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80013pt;width:484.95pt;height:.1pt;mso-position-horizontal-relative:page;mso-position-vertical-relative:page;z-index:0" coordorigin="1104,982" coordsize="9699,2">
            <v:shape style="position:absolute;left:1104;top:982;width:9699;height:2" coordorigin="1104,982" coordsize="9699,0" path="m1104,982l10802,982e" filled="false" stroked="true" strokeweight=".71997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990" w:lineRule="exact"/>
        <w:ind w:left="386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9"/>
          <w:sz w:val="20"/>
          <w:szCs w:val="20"/>
        </w:rPr>
        <w:drawing>
          <wp:inline distT="0" distB="0" distL="0" distR="0">
            <wp:extent cx="1410462" cy="62865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410462" cy="628650"/>
                    </a:xfrm>
                    <a:prstGeom prst="rect">
                      <a:avLst/>
                    </a:prstGeom>
                  </pic:spPr>
                </pic:pic>
              </a:graphicData>
            </a:graphic>
          </wp:inline>
        </w:drawing>
      </w:r>
      <w:r>
        <w:rPr>
          <w:rFonts w:ascii="Times New Roman" w:hAnsi="Times New Roman" w:cs="Times New Roman" w:eastAsia="Times New Roman" w:hint="default"/>
          <w:position w:val="-19"/>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2422" w:right="2421" w:firstLine="0"/>
        <w:jc w:val="center"/>
        <w:rPr>
          <w:rFonts w:ascii="宋体" w:hAnsi="宋体" w:cs="宋体" w:eastAsia="宋体" w:hint="default"/>
          <w:sz w:val="36"/>
          <w:szCs w:val="36"/>
        </w:rPr>
      </w:pPr>
      <w:r>
        <w:rPr>
          <w:rFonts w:ascii="宋体" w:hAnsi="宋体" w:cs="宋体" w:eastAsia="宋体" w:hint="default"/>
          <w:b/>
          <w:bCs/>
          <w:sz w:val="36"/>
          <w:szCs w:val="36"/>
        </w:rPr>
        <w:t>深圳市新国都技术股份有限公司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421" w:right="242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2014</w:t>
      </w:r>
      <w:r>
        <w:rPr>
          <w:rFonts w:ascii="Times New Roman" w:hAnsi="Times New Roman" w:cs="Times New Roman" w:eastAsia="Times New Roman" w:hint="default"/>
          <w:b/>
          <w:bCs/>
          <w:spacing w:val="-6"/>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11"/>
        <w:rPr>
          <w:rFonts w:ascii="宋体" w:hAnsi="宋体" w:cs="宋体" w:eastAsia="宋体" w:hint="default"/>
          <w:b/>
          <w:bCs/>
          <w:sz w:val="29"/>
          <w:szCs w:val="29"/>
        </w:rPr>
      </w:pPr>
    </w:p>
    <w:p>
      <w:pPr>
        <w:spacing w:before="0"/>
        <w:ind w:left="2422" w:right="2421" w:firstLine="0"/>
        <w:jc w:val="center"/>
        <w:rPr>
          <w:rFonts w:ascii="Times New Roman" w:hAnsi="Times New Roman" w:cs="Times New Roman" w:eastAsia="Times New Roman" w:hint="default"/>
          <w:sz w:val="22"/>
          <w:szCs w:val="22"/>
        </w:rPr>
      </w:pPr>
      <w:r>
        <w:rPr>
          <w:rFonts w:ascii="宋体" w:hAnsi="宋体" w:cs="宋体" w:eastAsia="宋体" w:hint="default"/>
          <w:b/>
          <w:bCs/>
          <w:sz w:val="22"/>
          <w:szCs w:val="22"/>
        </w:rPr>
        <w:t>公告编号：</w:t>
      </w:r>
      <w:r>
        <w:rPr>
          <w:rFonts w:ascii="Times New Roman" w:hAnsi="Times New Roman" w:cs="Times New Roman" w:eastAsia="Times New Roman" w:hint="default"/>
          <w:b/>
          <w:bCs/>
          <w:sz w:val="22"/>
          <w:szCs w:val="22"/>
        </w:rPr>
        <w:t>2015-023</w:t>
      </w:r>
      <w:r>
        <w:rPr>
          <w:rFonts w:ascii="Times New Roman" w:hAnsi="Times New Roman" w:cs="Times New Roman" w:eastAsia="Times New Roman" w:hint="default"/>
          <w:sz w:val="22"/>
          <w:szCs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44"/>
        <w:ind w:left="2422" w:right="242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82" w:top="1060" w:bottom="1180" w:left="980" w:right="98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4" w:right="0"/>
        <w:jc w:val="left"/>
        <w:rPr>
          <w:b w:val="0"/>
          <w:bCs w:val="0"/>
        </w:rPr>
      </w:pPr>
      <w:bookmarkStart w:name="_TOC_250009" w:id="1"/>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47"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本公司董事会、监事会及董事、监事、高级管理人员保证本报告所载资料</w:t>
      </w:r>
      <w:r>
        <w:rPr>
          <w:rFonts w:ascii="宋体" w:hAnsi="宋体" w:cs="宋体" w:eastAsia="宋体" w:hint="default"/>
          <w:b/>
          <w:bCs/>
          <w:spacing w:val="4"/>
          <w:w w:val="99"/>
          <w:sz w:val="28"/>
          <w:szCs w:val="28"/>
        </w:rPr>
        <w:t> </w:t>
      </w:r>
      <w:r>
        <w:rPr>
          <w:rFonts w:ascii="宋体" w:hAnsi="宋体" w:cs="宋体" w:eastAsia="宋体" w:hint="default"/>
          <w:b/>
          <w:bCs/>
          <w:spacing w:val="3"/>
          <w:w w:val="95"/>
          <w:sz w:val="28"/>
          <w:szCs w:val="28"/>
        </w:rPr>
        <w:t>不存在任何虚假记载、误导性陈述或者重大遗漏，并对其内容的真实性、准确</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472" w:lineRule="auto" w:before="162"/>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spacing w:val="1"/>
          <w:w w:val="99"/>
          <w:sz w:val="28"/>
          <w:szCs w:val="28"/>
        </w:rPr>
        <w:t> </w:t>
      </w:r>
      <w:r>
        <w:rPr>
          <w:rFonts w:ascii="宋体" w:hAnsi="宋体" w:cs="宋体" w:eastAsia="宋体" w:hint="default"/>
          <w:b/>
          <w:bCs/>
          <w:w w:val="95"/>
          <w:sz w:val="28"/>
          <w:szCs w:val="28"/>
        </w:rPr>
        <w:t>公司负责人刘祥、主管会计工作负责人赵辉及会计机构负责人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会计主管人</w:t>
      </w:r>
      <w:r>
        <w:rPr>
          <w:rFonts w:ascii="宋体" w:hAnsi="宋体" w:cs="宋体" w:eastAsia="宋体" w:hint="default"/>
          <w:sz w:val="28"/>
          <w:szCs w:val="28"/>
        </w:rPr>
      </w:r>
    </w:p>
    <w:p>
      <w:pPr>
        <w:spacing w:line="324" w:lineRule="exact" w:before="0"/>
        <w:ind w:left="153" w:right="0" w:firstLine="0"/>
        <w:jc w:val="left"/>
        <w:rPr>
          <w:rFonts w:ascii="宋体" w:hAnsi="宋体" w:cs="宋体" w:eastAsia="宋体" w:hint="default"/>
          <w:sz w:val="28"/>
          <w:szCs w:val="28"/>
        </w:rPr>
      </w:pPr>
      <w:r>
        <w:rPr>
          <w:rFonts w:ascii="宋体" w:hAnsi="宋体" w:cs="宋体" w:eastAsia="宋体" w:hint="default"/>
          <w:b/>
          <w:bCs/>
          <w:sz w:val="28"/>
          <w:szCs w:val="28"/>
        </w:rPr>
        <w:t>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赵辉声明：保证年度报告中财务报告的真实、准确、完整。</w:t>
      </w:r>
      <w:r>
        <w:rPr>
          <w:rFonts w:ascii="宋体" w:hAnsi="宋体" w:cs="宋体" w:eastAsia="宋体" w:hint="default"/>
          <w:sz w:val="28"/>
          <w:szCs w:val="28"/>
        </w:rPr>
      </w:r>
    </w:p>
    <w:p>
      <w:pPr>
        <w:spacing w:after="0" w:line="324" w:lineRule="exact"/>
        <w:jc w:val="left"/>
        <w:rPr>
          <w:rFonts w:ascii="宋体" w:hAnsi="宋体" w:cs="宋体" w:eastAsia="宋体" w:hint="default"/>
          <w:sz w:val="28"/>
          <w:szCs w:val="28"/>
        </w:rPr>
        <w:sectPr>
          <w:footerReference w:type="default" r:id="rId8"/>
          <w:pgSz w:w="11910" w:h="16840"/>
          <w:pgMar w:footer="982" w:header="747" w:top="1060" w:bottom="1180" w:left="980" w:right="98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2422" w:right="242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5"/>
        <w:rPr>
          <w:rFonts w:ascii="宋体" w:hAnsi="宋体" w:cs="宋体" w:eastAsia="宋体" w:hint="default"/>
          <w:b/>
          <w:bCs/>
          <w:sz w:val="49"/>
          <w:szCs w:val="49"/>
        </w:rPr>
      </w:pPr>
    </w:p>
    <w:sdt>
      <w:sdtPr>
        <w:docPartObj>
          <w:docPartGallery w:val="Table of Contents"/>
          <w:docPartUnique/>
        </w:docPartObj>
      </w:sdtPr>
      <w:sdtEndPr/>
      <w:sdtContent>
        <w:p>
          <w:pPr>
            <w:pStyle w:val="TOC1"/>
            <w:tabs>
              <w:tab w:pos="9781" w:val="right" w:leader="dot"/>
            </w:tabs>
            <w:spacing w:line="240" w:lineRule="auto" w:before="0"/>
            <w:ind w:left="154"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09">
            <w:r>
              <w:rPr/>
              <w:t>第一节</w:t>
            </w:r>
            <w:r>
              <w:rPr>
                <w:spacing w:val="-1"/>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0"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第二节</w:t>
            </w:r>
            <w:r>
              <w:rPr>
                <w:spacing w:val="-1"/>
              </w:rPr>
              <w:t> </w:t>
            </w:r>
            <w:r>
              <w:rPr/>
              <w:t>公司基本情况简介</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1" w:val="right" w:leader="dot"/>
            </w:tabs>
            <w:spacing w:line="240" w:lineRule="auto" w:before="204"/>
            <w:ind w:right="0"/>
            <w:jc w:val="left"/>
            <w:rPr>
              <w:rFonts w:ascii="Times New Roman" w:hAnsi="Times New Roman" w:cs="Times New Roman" w:eastAsia="Times New Roman" w:hint="default"/>
              <w:b w:val="0"/>
              <w:bCs w:val="0"/>
            </w:rPr>
          </w:pPr>
          <w:hyperlink w:history="true" w:anchor="_TOC_250007">
            <w:r>
              <w:rPr/>
              <w:t>第三节</w:t>
            </w:r>
            <w:r>
              <w:rPr>
                <w:spacing w:val="-1"/>
              </w:rPr>
              <w:t> </w:t>
            </w:r>
            <w:r>
              <w:rPr/>
              <w:t>会计数据和财务指标摘要</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第四节</w:t>
            </w:r>
            <w:r>
              <w:rPr>
                <w:spacing w:val="-1"/>
              </w:rPr>
              <w:t> </w:t>
            </w:r>
            <w:r>
              <w:rPr/>
              <w:t>董事会报告</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第五节</w:t>
            </w:r>
            <w:r>
              <w:rPr>
                <w:spacing w:val="-1"/>
              </w:rPr>
              <w:t> </w:t>
            </w:r>
            <w:r>
              <w:rPr/>
              <w:t>重要事项</w:t>
            </w:r>
            <w:r>
              <w:rPr>
                <w:rFonts w:ascii="Times New Roman" w:hAnsi="Times New Roman" w:cs="Times New Roman" w:eastAsia="Times New Roman" w:hint="default"/>
              </w:rPr>
              <w:tab/>
              <w:t>34</w:t>
            </w:r>
            <w:r>
              <w:rPr>
                <w:rFonts w:ascii="Times New Roman" w:hAnsi="Times New Roman" w:cs="Times New Roman" w:eastAsia="Times New Roman" w:hint="default"/>
                <w:b w:val="0"/>
                <w:bCs w:val="0"/>
              </w:rPr>
            </w:r>
          </w:hyperlink>
        </w:p>
        <w:p>
          <w:pPr>
            <w:pStyle w:val="TOC1"/>
            <w:tabs>
              <w:tab w:pos="9783" w:val="right" w:leader="dot"/>
            </w:tabs>
            <w:spacing w:line="240" w:lineRule="auto" w:before="204"/>
            <w:ind w:right="0"/>
            <w:jc w:val="left"/>
            <w:rPr>
              <w:rFonts w:ascii="Times New Roman" w:hAnsi="Times New Roman" w:cs="Times New Roman" w:eastAsia="Times New Roman" w:hint="default"/>
              <w:b w:val="0"/>
              <w:bCs w:val="0"/>
            </w:rPr>
          </w:pPr>
          <w:hyperlink w:history="true" w:anchor="_TOC_250004">
            <w:r>
              <w:rPr/>
              <w:t>第六节</w:t>
            </w:r>
            <w:r>
              <w:rPr>
                <w:spacing w:val="-1"/>
              </w:rPr>
              <w:t> </w:t>
            </w:r>
            <w:r>
              <w:rPr/>
              <w:t>股份变动及股东情况</w:t>
            </w:r>
            <w:r>
              <w:rPr>
                <w:rFonts w:ascii="Times New Roman" w:hAnsi="Times New Roman" w:cs="Times New Roman" w:eastAsia="Times New Roman" w:hint="default"/>
              </w:rPr>
              <w:tab/>
              <w:t>46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第七节</w:t>
            </w:r>
            <w:r>
              <w:rPr>
                <w:spacing w:val="-1"/>
              </w:rPr>
              <w:t> </w:t>
            </w:r>
            <w:r>
              <w:rPr/>
              <w:t>董事、监事、高级管理人员和员工情况</w:t>
            </w:r>
            <w:r>
              <w:rPr>
                <w:rFonts w:ascii="Times New Roman" w:hAnsi="Times New Roman" w:cs="Times New Roman" w:eastAsia="Times New Roman" w:hint="default"/>
              </w:rPr>
              <w:tab/>
              <w:t>51</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第八节</w:t>
            </w:r>
            <w:r>
              <w:rPr>
                <w:spacing w:val="-1"/>
              </w:rPr>
              <w:t> </w:t>
            </w:r>
            <w:r>
              <w:rPr/>
              <w:t>公司治理</w:t>
            </w:r>
            <w:r>
              <w:rPr>
                <w:rFonts w:ascii="Times New Roman" w:hAnsi="Times New Roman" w:cs="Times New Roman" w:eastAsia="Times New Roman" w:hint="default"/>
              </w:rPr>
              <w:tab/>
              <w:t>58</w:t>
            </w:r>
            <w:r>
              <w:rPr>
                <w:rFonts w:ascii="Times New Roman" w:hAnsi="Times New Roman" w:cs="Times New Roman" w:eastAsia="Times New Roman" w:hint="default"/>
                <w:b w:val="0"/>
                <w:bCs w:val="0"/>
              </w:rPr>
            </w:r>
          </w:hyperlink>
        </w:p>
        <w:p>
          <w:pPr>
            <w:pStyle w:val="TOC1"/>
            <w:tabs>
              <w:tab w:pos="9781" w:val="right" w:leader="dot"/>
            </w:tabs>
            <w:spacing w:line="240" w:lineRule="auto" w:before="204"/>
            <w:ind w:right="0"/>
            <w:jc w:val="left"/>
            <w:rPr>
              <w:rFonts w:ascii="Times New Roman" w:hAnsi="Times New Roman" w:cs="Times New Roman" w:eastAsia="Times New Roman" w:hint="default"/>
              <w:b w:val="0"/>
              <w:bCs w:val="0"/>
            </w:rPr>
          </w:pPr>
          <w:hyperlink w:history="true" w:anchor="_TOC_250001">
            <w:r>
              <w:rPr/>
              <w:t>第九节</w:t>
            </w:r>
            <w:r>
              <w:rPr>
                <w:spacing w:val="-1"/>
              </w:rPr>
              <w:t> </w:t>
            </w:r>
            <w:r>
              <w:rPr/>
              <w:t>财务报告</w:t>
            </w:r>
            <w:r>
              <w:rPr>
                <w:rFonts w:ascii="Times New Roman" w:hAnsi="Times New Roman" w:cs="Times New Roman" w:eastAsia="Times New Roman" w:hint="default"/>
              </w:rPr>
              <w:tab/>
              <w:t>61</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第十节</w:t>
            </w:r>
            <w:r>
              <w:rPr>
                <w:spacing w:val="-1"/>
              </w:rPr>
              <w:t> </w:t>
            </w:r>
            <w:r>
              <w:rPr/>
              <w:t>备查文件目录</w:t>
            </w:r>
            <w:r>
              <w:rPr>
                <w:rFonts w:ascii="Times New Roman" w:hAnsi="Times New Roman" w:cs="Times New Roman" w:eastAsia="Times New Roman" w:hint="default"/>
              </w:rPr>
              <w:tab/>
              <w:t>164</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82" w:top="1060" w:bottom="1180" w:left="980" w:right="980"/>
        </w:sectPr>
      </w:pPr>
    </w:p>
    <w:p>
      <w:pPr>
        <w:spacing w:before="946"/>
        <w:ind w:left="2422" w:right="242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24"/>
        <w:gridCol w:w="620"/>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本公司、公司、母公司、新国都、新国都股 份</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深圳市新国都技术股份有限公司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公司总部</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深圳市福田区深南路车公庙工业区泰然劲松大厦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17A</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易联技术</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深圳市易联技术有限公司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新国都软件</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深圳市新国都软件技术有限公司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南京新国都</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南京市新国都技术有限公司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广州新国都</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广州市新国都信息科技有限公司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苏州新国都</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苏州新国都电子技术有限公司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肇庆好易联</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肇庆市好易联网络有限公司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Exadigm</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美国</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Exadigm,Inc</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瑞柏泰</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深圳市瑞柏泰电子有限公司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泰德信</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深圳市泰德信实业有限公司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报告期、本报告期</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《深圳市新国都技术股份有限公司章程》</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主承销商、保荐机构、中信证券</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中信证券股份有限公司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审计机构、会计师、大华会计师</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律师、律师事务所</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北京市中伦（深圳）律师事务所</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中国证监会、证监会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中国银联体系</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银联商务有限公司、广州好易联支付网络有限公司、深圳市银联金融</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网络有限公司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银联商务</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银联商务有限公司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广州好易联</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广州好易联支付网络有限公司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深圳银联商务</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深圳市银联金融网络有限公司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范特西</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深圳市范特西科技有限公司</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126" w:right="0"/>
        <w:jc w:val="left"/>
        <w:rPr>
          <w:b w:val="0"/>
          <w:bCs w:val="0"/>
        </w:rPr>
      </w:pPr>
      <w:bookmarkStart w:name="_TOC_250008" w:id="2"/>
      <w:r>
        <w:rPr/>
        <w:t>第二节</w:t>
      </w:r>
      <w:r>
        <w:rPr>
          <w:spacing w:val="-9"/>
        </w:rPr>
        <w:t> </w:t>
      </w:r>
      <w:r>
        <w:rPr/>
        <w:t>公司基本情况简介</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930"/>
        <w:gridCol w:w="2306"/>
        <w:gridCol w:w="2156"/>
        <w:gridCol w:w="2177"/>
      </w:tblGrid>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新国都</w:t>
            </w:r>
          </w:p>
        </w:tc>
        <w:tc>
          <w:tcPr>
            <w:tcW w:w="21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300130</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深圳市新国都技术股份有限公司</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新国都</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Xinguodu</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XGD</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刘祥</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深圳市福田区深南路车公庙工业区泰然劲松大厦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17A</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518040</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深圳市福田区深南路车公庙工业区泰然劲松大厦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17A</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518040</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9">
              <w:r>
                <w:rPr>
                  <w:rFonts w:ascii="Times New Roman"/>
                  <w:sz w:val="18"/>
                </w:rPr>
                <w:t>www.xinguodu.com</w:t>
              </w:r>
            </w:hyperlink>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0">
              <w:r>
                <w:rPr>
                  <w:rFonts w:ascii="Times New Roman"/>
                  <w:sz w:val="18"/>
                </w:rPr>
                <w:t>xgd-zqb@xinguodu.com</w:t>
              </w:r>
            </w:hyperlink>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公司聘请的会计师事务所名称</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3"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公司聘请的会计师事务所办公地址</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深圳市福田区滨河大道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5022 </w:t>
            </w:r>
            <w:r>
              <w:rPr>
                <w:rFonts w:ascii="宋体" w:hAnsi="宋体" w:cs="宋体" w:eastAsia="宋体" w:hint="default"/>
                <w:sz w:val="18"/>
                <w:szCs w:val="18"/>
              </w:rPr>
              <w:t>号联合广场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李艳芳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方媛</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3D3D3"/>
          </w:tcPr>
          <w:p>
            <w:pP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95"/>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深圳市福田区深南路车公庙工业区泰然 劲松大厦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17A</w:t>
            </w: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95"/>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深圳市福田区深南路车公庙工业区泰然 劲松大厦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17A</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3D3D3"/>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0755-83481391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0755-83481391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0755-86319990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0755-86319990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liyanfang@xinguodu.com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fangyuan@xinguodu.com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860"/>
        <w:gridCol w:w="5708"/>
      </w:tblGrid>
      <w:tr>
        <w:trPr>
          <w:trHeight w:val="402" w:hRule="exact"/>
        </w:trPr>
        <w:tc>
          <w:tcPr>
            <w:tcW w:w="3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中国证券报、证券时报、上海证券报</w:t>
            </w:r>
          </w:p>
        </w:tc>
      </w:tr>
      <w:tr>
        <w:trPr>
          <w:trHeight w:val="402" w:hRule="exact"/>
        </w:trPr>
        <w:tc>
          <w:tcPr>
            <w:tcW w:w="3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r>
      <w:tr>
        <w:trPr>
          <w:trHeight w:val="402" w:hRule="exact"/>
        </w:trPr>
        <w:tc>
          <w:tcPr>
            <w:tcW w:w="3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r>
        <w:rPr/>
        <w:t>四、公司历史沿革</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51"/>
              <w:jc w:val="right"/>
              <w:rPr>
                <w:rFonts w:ascii="宋体" w:hAnsi="宋体" w:cs="宋体" w:eastAsia="宋体" w:hint="default"/>
                <w:sz w:val="18"/>
                <w:szCs w:val="18"/>
              </w:rPr>
            </w:pPr>
            <w:r>
              <w:rPr>
                <w:rFonts w:ascii="宋体" w:hAnsi="宋体" w:cs="宋体" w:eastAsia="宋体" w:hint="default"/>
                <w:sz w:val="18"/>
                <w:szCs w:val="18"/>
              </w:rPr>
              <w:t>税务登记号码</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4403012070860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6"/>
              <w:jc w:val="right"/>
              <w:rPr>
                <w:rFonts w:ascii="Times New Roman" w:hAnsi="Times New Roman" w:cs="Times New Roman" w:eastAsia="Times New Roman" w:hint="default"/>
                <w:sz w:val="18"/>
                <w:szCs w:val="18"/>
              </w:rPr>
            </w:pPr>
            <w:r>
              <w:rPr>
                <w:rFonts w:ascii="Times New Roman"/>
                <w:spacing w:val="-1"/>
                <w:sz w:val="18"/>
              </w:rPr>
              <w:t>440301731102852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73110285-2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变更设立股份公司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440301103074776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6"/>
              <w:jc w:val="right"/>
              <w:rPr>
                <w:rFonts w:ascii="Times New Roman" w:hAnsi="Times New Roman" w:cs="Times New Roman" w:eastAsia="Times New Roman" w:hint="default"/>
                <w:sz w:val="18"/>
                <w:szCs w:val="18"/>
              </w:rPr>
            </w:pPr>
            <w:r>
              <w:rPr>
                <w:rFonts w:ascii="Times New Roman"/>
                <w:spacing w:val="-1"/>
                <w:sz w:val="18"/>
              </w:rPr>
              <w:t>440301731102852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73110285-2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440301103074776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6"/>
              <w:jc w:val="right"/>
              <w:rPr>
                <w:rFonts w:ascii="Times New Roman" w:hAnsi="Times New Roman" w:cs="Times New Roman" w:eastAsia="Times New Roman" w:hint="default"/>
                <w:sz w:val="18"/>
                <w:szCs w:val="18"/>
              </w:rPr>
            </w:pPr>
            <w:r>
              <w:rPr>
                <w:rFonts w:ascii="Times New Roman"/>
                <w:spacing w:val="-1"/>
                <w:sz w:val="18"/>
              </w:rPr>
              <w:t>440301731102852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73110285-2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首次公开发行股票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440301103074776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6"/>
              <w:jc w:val="right"/>
              <w:rPr>
                <w:rFonts w:ascii="Times New Roman" w:hAnsi="Times New Roman" w:cs="Times New Roman" w:eastAsia="Times New Roman" w:hint="default"/>
                <w:sz w:val="18"/>
                <w:szCs w:val="18"/>
              </w:rPr>
            </w:pPr>
            <w:r>
              <w:rPr>
                <w:rFonts w:ascii="Times New Roman"/>
                <w:spacing w:val="-1"/>
                <w:sz w:val="18"/>
              </w:rPr>
              <w:t>440301731102852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73110285-2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转增股本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440301103074776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6"/>
              <w:jc w:val="right"/>
              <w:rPr>
                <w:rFonts w:ascii="Times New Roman" w:hAnsi="Times New Roman" w:cs="Times New Roman" w:eastAsia="Times New Roman" w:hint="default"/>
                <w:sz w:val="18"/>
                <w:szCs w:val="18"/>
              </w:rPr>
            </w:pPr>
            <w:r>
              <w:rPr>
                <w:rFonts w:ascii="Times New Roman"/>
                <w:spacing w:val="-1"/>
                <w:sz w:val="18"/>
              </w:rPr>
              <w:t>440301731102852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73110285-2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r>
        <w:rPr/>
        <w:pict>
          <v:shape style="position:absolute;margin-left:165.659698pt;margin-top:343.619995pt;width:111.8pt;height:35.25pt;mso-position-horizontal-relative:page;mso-position-vertical-relative:page;z-index:-826432"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9"/>
                    <w:ind w:left="0" w:right="0"/>
                    <w:jc w:val="left"/>
                  </w:pPr>
                  <w:r>
                    <w:rPr/>
                    <w:t>（元）</w:t>
                  </w:r>
                </w:p>
              </w:txbxContent>
            </v:textbox>
            <w10:wrap type="none"/>
          </v:shape>
        </w:pict>
      </w:r>
      <w:r>
        <w:rPr/>
        <w:pict>
          <v:group style="position:absolute;margin-left:189.779999pt;margin-top:343.619995pt;width:87.7pt;height:35.25pt;mso-position-horizontal-relative:page;mso-position-vertical-relative:page;z-index:-826408" coordorigin="3796,6872" coordsize="1754,705">
            <v:group style="position:absolute;left:3796;top:6872;width:1754;height:705" coordorigin="3796,6872" coordsize="1754,705">
              <v:shape style="position:absolute;left:3796;top:6872;width:1754;height:705" coordorigin="3796,6872" coordsize="1754,705" path="m3796,7577l5549,7577,5549,6872,3796,6872,3796,7577xe" filled="true" fillcolor="#ffffff" stroked="false">
                <v:path arrowok="t"/>
                <v:fill type="solid"/>
              </v:shape>
            </v:group>
            <v:group style="position:absolute;left:3818;top:7028;width:1708;height:393" coordorigin="3818,7028" coordsize="1708,393">
              <v:shape style="position:absolute;left:3818;top:7028;width:1708;height:393" coordorigin="3818,7028" coordsize="1708,393" path="m3818,7421l5526,7421,5526,7028,3818,7028,3818,7421xe" filled="true" fillcolor="#ffffff" stroked="false">
                <v:path arrowok="t"/>
                <v:fill type="solid"/>
              </v:shape>
            </v:group>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0"/>
        <w:jc w:val="left"/>
        <w:rPr>
          <w:b w:val="0"/>
          <w:bCs w:val="0"/>
        </w:rPr>
      </w:pPr>
      <w:bookmarkStart w:name="_TOC_250007" w:id="3"/>
      <w:r>
        <w:rPr/>
        <w:t>第三节</w:t>
      </w:r>
      <w:r>
        <w:rPr>
          <w:spacing w:val="-11"/>
        </w:rPr>
        <w:t> </w:t>
      </w:r>
      <w:r>
        <w:rPr/>
        <w:t>会计数据和财务指标摘要</w:t>
      </w:r>
      <w:bookmarkEnd w:id="3"/>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0"/>
        <w:jc w:val="left"/>
        <w:rPr>
          <w:b w:val="0"/>
          <w:bCs w:val="0"/>
        </w:rPr>
      </w:pPr>
      <w:r>
        <w:rPr/>
        <w:t>一、主要会计数据和财务指标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公司是否因会计政策变更及会计差错更正等追溯调整或重述以前年度会计数据</w:t>
      </w:r>
    </w:p>
    <w:p>
      <w:pPr>
        <w:pStyle w:val="BodyText"/>
        <w:spacing w:line="240" w:lineRule="auto" w:before="117"/>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657"/>
        <w:gridCol w:w="1763"/>
        <w:gridCol w:w="1764"/>
        <w:gridCol w:w="1763"/>
        <w:gridCol w:w="1621"/>
      </w:tblGrid>
      <w:tr>
        <w:trPr>
          <w:trHeight w:val="402"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5"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678,200,326.93</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499,177,767.74</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35.86%</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495,075,044.67</w:t>
            </w:r>
          </w:p>
        </w:tc>
      </w:tr>
      <w:tr>
        <w:trPr>
          <w:trHeight w:val="402"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营业成本（元）</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388,957,724.06</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309,530,557.90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25.66%</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294,528,706.61</w:t>
            </w:r>
          </w:p>
        </w:tc>
      </w:tr>
      <w:tr>
        <w:trPr>
          <w:trHeight w:val="402"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35,832,045.47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22,310,613.40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60.61%</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38,266,973.23</w:t>
            </w:r>
          </w:p>
        </w:tc>
      </w:tr>
      <w:tr>
        <w:trPr>
          <w:trHeight w:val="402"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77,332,937.51</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56,599,098.77</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36.63%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68,111,240.28</w:t>
            </w:r>
          </w:p>
        </w:tc>
      </w:tr>
      <w:tr>
        <w:trPr>
          <w:trHeight w:val="714"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02"/>
              <w:jc w:val="left"/>
              <w:rPr>
                <w:rFonts w:ascii="宋体" w:hAnsi="宋体" w:cs="宋体" w:eastAsia="宋体" w:hint="default"/>
                <w:sz w:val="18"/>
                <w:szCs w:val="18"/>
              </w:rPr>
            </w:pPr>
            <w:r>
              <w:rPr>
                <w:rFonts w:ascii="宋体" w:hAnsi="宋体" w:cs="宋体" w:eastAsia="宋体" w:hint="default"/>
                <w:sz w:val="18"/>
                <w:szCs w:val="18"/>
              </w:rPr>
              <w:t>归属于上市公司普通股股东的净 利润（元）</w:t>
            </w:r>
          </w:p>
        </w:tc>
        <w:tc>
          <w:tcPr>
            <w:tcW w:w="176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79,581,385.94</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54,940,058.49</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44.85%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60,160,444.91</w:t>
            </w:r>
          </w:p>
        </w:tc>
      </w:tr>
      <w:tr>
        <w:trPr>
          <w:trHeight w:val="714"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02"/>
              <w:jc w:val="left"/>
              <w:rPr>
                <w:rFonts w:ascii="宋体" w:hAnsi="宋体" w:cs="宋体" w:eastAsia="宋体" w:hint="default"/>
                <w:sz w:val="18"/>
                <w:szCs w:val="18"/>
              </w:rPr>
            </w:pPr>
            <w:r>
              <w:rPr>
                <w:rFonts w:ascii="宋体" w:hAnsi="宋体" w:cs="宋体" w:eastAsia="宋体" w:hint="default"/>
                <w:sz w:val="18"/>
                <w:szCs w:val="18"/>
              </w:rPr>
              <w:t>归属于上市公司普通股股东的扣 除非经常性损益后的净利润</w:t>
            </w:r>
          </w:p>
        </w:tc>
        <w:tc>
          <w:tcPr>
            <w:tcW w:w="176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68,708,194.95</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44,885,149.02</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53.08%</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56,226,757.63</w:t>
            </w:r>
          </w:p>
        </w:tc>
      </w:tr>
      <w:tr>
        <w:trPr>
          <w:trHeight w:val="714"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6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-3,867,312.57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35,329,141.02</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-110.95%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-38,725,834.44</w:t>
            </w:r>
          </w:p>
        </w:tc>
      </w:tr>
      <w:tr>
        <w:trPr>
          <w:trHeight w:val="714"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02"/>
              <w:jc w:val="left"/>
              <w:rPr>
                <w:rFonts w:ascii="宋体" w:hAnsi="宋体" w:cs="宋体" w:eastAsia="宋体" w:hint="default"/>
                <w:sz w:val="18"/>
                <w:szCs w:val="18"/>
              </w:rPr>
            </w:pPr>
            <w:r>
              <w:rPr>
                <w:rFonts w:ascii="宋体" w:hAnsi="宋体" w:cs="宋体" w:eastAsia="宋体" w:hint="default"/>
                <w:sz w:val="18"/>
                <w:szCs w:val="18"/>
              </w:rPr>
              <w:t>每股经营活动产生的现金流量净 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6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-0.03</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0.31</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-110.93%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-0.34</w:t>
            </w:r>
          </w:p>
        </w:tc>
      </w:tr>
      <w:tr>
        <w:trPr>
          <w:trHeight w:val="402"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0.48</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45.83%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0.53</w:t>
            </w:r>
          </w:p>
        </w:tc>
      </w:tr>
      <w:tr>
        <w:trPr>
          <w:trHeight w:val="402"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0.48</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45.83%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0.53</w:t>
            </w:r>
          </w:p>
        </w:tc>
      </w:tr>
      <w:tr>
        <w:trPr>
          <w:trHeight w:val="402"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7.44%</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5.45%</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6.28%</w:t>
            </w:r>
          </w:p>
        </w:tc>
      </w:tr>
      <w:tr>
        <w:trPr>
          <w:trHeight w:val="714"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02"/>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 净资产收益率</w:t>
            </w:r>
          </w:p>
        </w:tc>
        <w:tc>
          <w:tcPr>
            <w:tcW w:w="176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6.43%</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4.46%</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1.97%</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5.87%</w:t>
            </w:r>
          </w:p>
        </w:tc>
      </w:tr>
      <w:tr>
        <w:trPr>
          <w:trHeight w:val="402"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期末总股本（股）</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114,300,000.00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114,300,000.00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114,300,000.00</w:t>
            </w:r>
          </w:p>
        </w:tc>
      </w:tr>
      <w:tr>
        <w:trPr>
          <w:trHeight w:val="402"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1,381,259,985.93</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1,252,877,050.22</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1,224,882,262.42</w:t>
            </w:r>
          </w:p>
        </w:tc>
      </w:tr>
      <w:tr>
        <w:trPr>
          <w:trHeight w:val="402"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247,958,295.61</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216,942,029.62</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238,122,676.79</w:t>
            </w:r>
          </w:p>
        </w:tc>
      </w:tr>
      <w:tr>
        <w:trPr>
          <w:trHeight w:val="714"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02"/>
              <w:jc w:val="left"/>
              <w:rPr>
                <w:rFonts w:ascii="宋体" w:hAnsi="宋体" w:cs="宋体" w:eastAsia="宋体" w:hint="default"/>
                <w:sz w:val="18"/>
                <w:szCs w:val="18"/>
              </w:rPr>
            </w:pPr>
            <w:r>
              <w:rPr>
                <w:rFonts w:ascii="宋体" w:hAnsi="宋体" w:cs="宋体" w:eastAsia="宋体" w:hint="default"/>
                <w:sz w:val="18"/>
                <w:szCs w:val="18"/>
              </w:rPr>
              <w:t>归属于上市公司普通股股东的所 有者权益（元）</w:t>
            </w:r>
          </w:p>
        </w:tc>
        <w:tc>
          <w:tcPr>
            <w:tcW w:w="176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1,130,378,477.77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1,033,002,391.82</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983,777,333.33</w:t>
            </w:r>
          </w:p>
        </w:tc>
      </w:tr>
      <w:tr>
        <w:trPr>
          <w:trHeight w:val="714"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02"/>
              <w:jc w:val="left"/>
              <w:rPr>
                <w:rFonts w:ascii="宋体" w:hAnsi="宋体" w:cs="宋体" w:eastAsia="宋体" w:hint="default"/>
                <w:sz w:val="18"/>
                <w:szCs w:val="18"/>
              </w:rPr>
            </w:pPr>
            <w:r>
              <w:rPr>
                <w:rFonts w:ascii="宋体" w:hAnsi="宋体" w:cs="宋体" w:eastAsia="宋体" w:hint="default"/>
                <w:sz w:val="18"/>
                <w:szCs w:val="18"/>
              </w:rPr>
              <w:t>归属于上市公司普通股股东的每 股净资产（元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6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9.89</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9.04</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8.61</w:t>
            </w:r>
          </w:p>
        </w:tc>
      </w:tr>
      <w:tr>
        <w:trPr>
          <w:trHeight w:val="402" w:hRule="exact"/>
        </w:trPr>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17.95%</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17.32%</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19.44%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3"/>
          <w:szCs w:val="23"/>
        </w:rPr>
      </w:pPr>
    </w:p>
    <w:p>
      <w:pPr>
        <w:pStyle w:val="Heading2"/>
        <w:spacing w:line="240" w:lineRule="auto" w:before="26"/>
        <w:ind w:right="660"/>
        <w:jc w:val="left"/>
        <w:rPr>
          <w:b w:val="0"/>
          <w:bCs w:val="0"/>
        </w:rPr>
      </w:pPr>
      <w:r>
        <w:rPr/>
        <w:t>二、境内外会计准则下会计数据差异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66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right="6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3"/>
        <w:spacing w:line="240" w:lineRule="auto"/>
        <w:ind w:right="66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17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660"/>
        <w:jc w:val="left"/>
        <w:rPr>
          <w:b w:val="0"/>
          <w:bCs w:val="0"/>
        </w:rPr>
      </w:pPr>
      <w:r>
        <w:rPr/>
        <w:t>三、非经常性损益的项目及金额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6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240" w:lineRule="auto" w:before="102"/>
        <w:ind w:left="0" w:right="191"/>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296"/>
        <w:gridCol w:w="1519"/>
        <w:gridCol w:w="1520"/>
        <w:gridCol w:w="1522"/>
        <w:gridCol w:w="1710"/>
      </w:tblGrid>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1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479,361.17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9,613,916.23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-23,972.02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1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10,833,200.00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550,500.00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4,417,500.00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-389,370.18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-109,670.13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-439,265.70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-163.37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20,575.00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10,873,190.99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10,054,909.47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3,933,687.28</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1"/>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r>
        <w:rPr/>
      </w:r>
    </w:p>
    <w:p>
      <w:pPr>
        <w:pStyle w:val="BodyText"/>
        <w:spacing w:line="302" w:lineRule="auto" w:before="61"/>
        <w:ind w:right="177"/>
        <w:jc w:val="left"/>
      </w:pPr>
      <w:r>
        <w:rPr/>
        <w:t>开发行证券的公司信息披露解释性公告第</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70"/>
        <w:ind w:right="6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302" w:lineRule="auto" w:before="101"/>
        <w:ind w:right="174"/>
        <w:jc w:val="left"/>
      </w:pPr>
      <w:r>
        <w:rPr/>
        <w:t>公司报告期不存在将根据《公开发行证券的公司信息披露解释性公告第</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line="240" w:lineRule="auto" w:before="5"/>
        <w:rPr>
          <w:rFonts w:ascii="宋体" w:hAnsi="宋体" w:cs="宋体" w:eastAsia="宋体" w:hint="default"/>
          <w:sz w:val="21"/>
          <w:szCs w:val="21"/>
        </w:rPr>
      </w:pPr>
    </w:p>
    <w:p>
      <w:pPr>
        <w:pStyle w:val="Heading2"/>
        <w:spacing w:line="240" w:lineRule="auto"/>
        <w:ind w:right="660"/>
        <w:jc w:val="left"/>
        <w:rPr>
          <w:b w:val="0"/>
          <w:bCs w:val="0"/>
        </w:rPr>
      </w:pPr>
      <w:r>
        <w:rPr/>
        <w:t>四、重大风险提示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660"/>
        <w:jc w:val="left"/>
      </w:pPr>
      <w:r>
        <w:rPr>
          <w:rFonts w:ascii="Times New Roman" w:hAnsi="Times New Roman" w:cs="Times New Roman" w:eastAsia="Times New Roman" w:hint="default"/>
        </w:rPr>
        <w:t>1</w:t>
      </w:r>
      <w:r>
        <w:rPr/>
        <w:t>）个人征信牌照存在无法正常申请获得的重大风险，导致公司可能无法按照现有战略设想完成商业模式的落地</w:t>
      </w:r>
    </w:p>
    <w:p>
      <w:pPr>
        <w:pStyle w:val="BodyText"/>
        <w:spacing w:line="309" w:lineRule="auto" w:before="63"/>
        <w:ind w:left="153" w:right="91"/>
        <w:jc w:val="left"/>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5</w:t>
      </w:r>
      <w:r>
        <w:rPr>
          <w:spacing w:val="-2"/>
        </w:rPr>
        <w:t>日，中国人民银行已经公示芝麻信用、腾讯征信、拉卡拉信用、深圳前海征信中心、鹏元征信、中诚信、中智诚</w:t>
      </w:r>
      <w:r>
        <w:rPr>
          <w:spacing w:val="-59"/>
        </w:rPr>
        <w:t> </w:t>
      </w:r>
      <w:r>
        <w:rPr>
          <w:spacing w:val="-59"/>
        </w:rPr>
      </w:r>
      <w:r>
        <w:rPr/>
        <w:t>征信及北京华道征信等八家企业做好开展个人征信工作的准备，准备期间为</w:t>
      </w:r>
      <w:r>
        <w:rPr>
          <w:rFonts w:ascii="Times New Roman" w:hAnsi="Times New Roman" w:cs="Times New Roman" w:eastAsia="Times New Roman" w:hint="default"/>
        </w:rPr>
        <w:t>6</w:t>
      </w:r>
      <w:r>
        <w:rPr/>
        <w:t>个月。尽管该八家机构其个人征信牌照已经公 示，但其个人征信业务仍处于准备期。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27</w:t>
      </w:r>
      <w:r>
        <w:rPr/>
        <w:t>日，公司已经公告成立全资征信子公司，负责个人征信牌照的申请工作，并按照公司的战略安排，探索个人征 </w:t>
      </w:r>
      <w:r>
        <w:rPr>
          <w:spacing w:val="-2"/>
        </w:rPr>
        <w:t>信业务商业模式，将个人征信业务与支付大数据相结合，协助客户设计新的风险评估模型、金融服务产品，协助客户将互联</w:t>
      </w:r>
      <w:r>
        <w:rPr>
          <w:spacing w:val="-66"/>
        </w:rPr>
        <w:t> </w:t>
      </w:r>
      <w:r>
        <w:rPr>
          <w:spacing w:val="-66"/>
        </w:rPr>
      </w:r>
      <w:r>
        <w:rPr/>
        <w:t>网金融服务业务落地。尽管目前公司正在积极推进个人征信牌照申请工作，但公司最终是否能够成功申请到个人征信牌照， 并按照预计的商业模式开展业务，存在重大不确定性风险。</w:t>
      </w:r>
    </w:p>
    <w:p>
      <w:pPr>
        <w:spacing w:after="0" w:line="309"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240" w:lineRule="auto"/>
        <w:ind w:left="153" w:right="660"/>
        <w:jc w:val="left"/>
      </w:pPr>
      <w:r>
        <w:rPr>
          <w:rFonts w:ascii="Times New Roman" w:hAnsi="Times New Roman" w:cs="Times New Roman" w:eastAsia="Times New Roman" w:hint="default"/>
        </w:rPr>
        <w:t>2</w:t>
      </w:r>
      <w:r>
        <w:rPr/>
        <w:t>）应收账款回收风险</w:t>
      </w:r>
    </w:p>
    <w:p>
      <w:pPr>
        <w:pStyle w:val="BodyText"/>
        <w:spacing w:line="240" w:lineRule="auto" w:before="63"/>
        <w:ind w:left="153" w:right="91"/>
        <w:jc w:val="left"/>
      </w:pPr>
      <w:r>
        <w:rPr>
          <w:rFonts w:ascii="Times New Roman" w:hAnsi="Times New Roman" w:cs="Times New Roman" w:eastAsia="Times New Roman" w:hint="default"/>
        </w:rPr>
        <w:t>2014</w:t>
      </w:r>
      <w:r>
        <w:rPr/>
        <w:t>年，公司应收账款总额为人民币</w:t>
      </w:r>
      <w:r>
        <w:rPr>
          <w:rFonts w:ascii="Times New Roman" w:hAnsi="Times New Roman" w:cs="Times New Roman" w:eastAsia="Times New Roman" w:hint="default"/>
        </w:rPr>
        <w:t>31,918.80</w:t>
      </w:r>
      <w:r>
        <w:rPr/>
        <w:t>万元，相比去年同期增长</w:t>
      </w:r>
      <w:r>
        <w:rPr>
          <w:rFonts w:ascii="Times New Roman" w:hAnsi="Times New Roman" w:cs="Times New Roman" w:eastAsia="Times New Roman" w:hint="default"/>
        </w:rPr>
        <w:t>61.72%</w:t>
      </w:r>
      <w:r>
        <w:rPr/>
        <w:t>，其中，来自银联商务的应收账款为人民币</w:t>
      </w:r>
    </w:p>
    <w:p>
      <w:pPr>
        <w:pStyle w:val="BodyText"/>
        <w:spacing w:line="312" w:lineRule="auto" w:before="63"/>
        <w:ind w:left="153" w:right="91"/>
        <w:jc w:val="left"/>
      </w:pPr>
      <w:r>
        <w:rPr>
          <w:rFonts w:ascii="Times New Roman" w:hAnsi="Times New Roman" w:cs="Times New Roman" w:eastAsia="Times New Roman" w:hint="default"/>
        </w:rPr>
        <w:t>12,779.67</w:t>
      </w:r>
      <w:r>
        <w:rPr/>
        <w:t>万元，占公司总应收账款的</w:t>
      </w:r>
      <w:r>
        <w:rPr>
          <w:rFonts w:ascii="Times New Roman" w:hAnsi="Times New Roman" w:cs="Times New Roman" w:eastAsia="Times New Roman" w:hint="default"/>
        </w:rPr>
        <w:t>40.03%</w:t>
      </w:r>
      <w:r>
        <w:rPr/>
        <w:t>，这主要使银联商务的账款周期较长导致，尽管银联商务的客户信用较好，但 其账款周期过长导致公司资金回流较慢，对公司的长期健康发展造成了一定的影响；第三方支付客户的应收账款为人民币 </w:t>
      </w:r>
      <w:r>
        <w:rPr>
          <w:rFonts w:ascii="Times New Roman" w:hAnsi="Times New Roman" w:cs="Times New Roman" w:eastAsia="Times New Roman" w:hint="default"/>
        </w:rPr>
        <w:t>7,668.59</w:t>
      </w:r>
      <w:r>
        <w:rPr/>
        <w:t>万元，占公司总应收账款的</w:t>
      </w:r>
      <w:r>
        <w:rPr>
          <w:rFonts w:ascii="Times New Roman" w:hAnsi="Times New Roman" w:cs="Times New Roman" w:eastAsia="Times New Roman" w:hint="default"/>
        </w:rPr>
        <w:t>24.03%</w:t>
      </w:r>
      <w:r>
        <w:rPr/>
        <w:t>。第三方客户的的资金实力参差不齐，该部分的应收账款回收风险较高。 </w:t>
      </w:r>
      <w:r>
        <w:rPr>
          <w:spacing w:val="-1"/>
        </w:rPr>
        <w:t>针对该风险，公司已按照会计准则的要求，计提了坏账准备，计提比例为</w:t>
      </w:r>
      <w:r>
        <w:rPr>
          <w:rFonts w:ascii="Times New Roman" w:hAnsi="Times New Roman" w:cs="Times New Roman" w:eastAsia="Times New Roman" w:hint="default"/>
          <w:spacing w:val="-1"/>
        </w:rPr>
        <w:t>6.29%</w:t>
      </w:r>
      <w:r>
        <w:rPr>
          <w:spacing w:val="-1"/>
        </w:rPr>
        <w:t>。此外，在</w:t>
      </w:r>
      <w:r>
        <w:rPr>
          <w:rFonts w:ascii="Times New Roman" w:hAnsi="Times New Roman" w:cs="Times New Roman" w:eastAsia="Times New Roman" w:hint="default"/>
          <w:spacing w:val="-1"/>
        </w:rPr>
        <w:t>2015</w:t>
      </w:r>
      <w:r>
        <w:rPr>
          <w:spacing w:val="-1"/>
        </w:rPr>
        <w:t>年，公司将进一步加强落实</w:t>
      </w:r>
      <w:r>
        <w:rPr>
          <w:spacing w:val="-46"/>
        </w:rPr>
        <w:t> </w:t>
      </w:r>
      <w:r>
        <w:rPr>
          <w:spacing w:val="-46"/>
        </w:rPr>
      </w:r>
      <w:r>
        <w:rPr>
          <w:spacing w:val="-2"/>
        </w:rPr>
        <w:t>客户信用风险管控制度，调整业务部门销售提成考核指标，将货款的回收作为计提业务奖金的重要依据之一，以加强应收账</w:t>
      </w:r>
      <w:r>
        <w:rPr>
          <w:spacing w:val="-66"/>
        </w:rPr>
        <w:t> </w:t>
      </w:r>
      <w:r>
        <w:rPr>
          <w:spacing w:val="-66"/>
        </w:rPr>
      </w:r>
      <w:r>
        <w:rPr/>
        <w:t>款风险的催收和管理工作，提升公司业务资金回款速度，缓解主营业务的资金需求压力。 </w:t>
      </w:r>
      <w:r>
        <w:rPr>
          <w:rFonts w:ascii="Times New Roman" w:hAnsi="Times New Roman" w:cs="Times New Roman" w:eastAsia="Times New Roman" w:hint="default"/>
        </w:rPr>
        <w:t>3</w:t>
      </w:r>
      <w:r>
        <w:rPr/>
        <w:t>）无法把握移动互联网的发展趋势，产品、技术和服务等不能满足市场需求的风险 </w:t>
      </w:r>
      <w:r>
        <w:rPr>
          <w:spacing w:val="-2"/>
        </w:rPr>
        <w:t>公司已经积极开展基于移动互联网的产品、技术和服务的创新探索，但由于电子支付行业的复杂性，线下电子支付业务产品</w:t>
      </w:r>
      <w:r>
        <w:rPr>
          <w:spacing w:val="-66"/>
        </w:rPr>
        <w:t> </w:t>
      </w:r>
      <w:r>
        <w:rPr>
          <w:spacing w:val="-66"/>
        </w:rPr>
      </w:r>
      <w:r>
        <w:rPr>
          <w:spacing w:val="-2"/>
        </w:rPr>
        <w:t>和服务运营仍属于国内全新的业务领域，业内暂未有成功案例，仍需要公司进行不断的探讨和研究。另一方面，移动互联网</w:t>
      </w:r>
      <w:r>
        <w:rPr>
          <w:spacing w:val="-66"/>
        </w:rPr>
        <w:t> </w:t>
      </w:r>
      <w:r>
        <w:rPr>
          <w:spacing w:val="-66"/>
        </w:rPr>
      </w:r>
      <w:r>
        <w:rPr/>
        <w:t>的发展趋势虽已日益明晰，但具体的实现路径仍然存在诸多不确定性。 </w:t>
      </w:r>
      <w:r>
        <w:rPr>
          <w:spacing w:val="-2"/>
        </w:rPr>
        <w:t>公司现有高级管理层人员均未有从事基于移动互联网的业务运营经验，有可能出现对移动互联网的业务判断失误的风险，从</w:t>
      </w:r>
      <w:r>
        <w:rPr>
          <w:spacing w:val="-64"/>
        </w:rPr>
        <w:t> </w:t>
      </w:r>
      <w:r>
        <w:rPr>
          <w:spacing w:val="-64"/>
        </w:rPr>
      </w:r>
      <w:r>
        <w:rPr/>
        <w:t>而导致公司的产品、技术、服务不能满足市场需求的风险，进而影响公司的战略落地，影响公司未来的综合竞争力。 </w:t>
      </w:r>
      <w:r>
        <w:rPr>
          <w:spacing w:val="-2"/>
        </w:rPr>
        <w:t>针对该风险，公司将采取积极引进高端人才的策略，尤其是引进有过成功的基于移动互联网运营、产品和技术开发的高端人</w:t>
      </w:r>
      <w:r>
        <w:rPr>
          <w:spacing w:val="-66"/>
        </w:rPr>
        <w:t> </w:t>
      </w:r>
      <w:r>
        <w:rPr>
          <w:spacing w:val="-66"/>
        </w:rPr>
      </w:r>
      <w:r>
        <w:rPr/>
        <w:t>才，以提高公司对未来业务的把握能力。</w:t>
      </w:r>
    </w:p>
    <w:p>
      <w:pPr>
        <w:pStyle w:val="BodyText"/>
        <w:spacing w:line="240" w:lineRule="auto" w:before="22"/>
        <w:ind w:left="153" w:right="660"/>
        <w:jc w:val="left"/>
      </w:pPr>
      <w:r>
        <w:rPr>
          <w:rFonts w:ascii="Times New Roman" w:hAnsi="Times New Roman" w:cs="Times New Roman" w:eastAsia="Times New Roman" w:hint="default"/>
        </w:rPr>
        <w:t>4</w:t>
      </w:r>
      <w:r>
        <w:rPr/>
        <w:t>）海外市场开拓低于预期的风险</w:t>
      </w:r>
    </w:p>
    <w:p>
      <w:pPr>
        <w:pStyle w:val="BodyText"/>
        <w:spacing w:line="314" w:lineRule="auto" w:before="63"/>
        <w:ind w:left="153" w:right="88"/>
        <w:jc w:val="left"/>
      </w:pPr>
      <w:r>
        <w:rPr>
          <w:rFonts w:ascii="Times New Roman" w:hAnsi="Times New Roman" w:cs="Times New Roman" w:eastAsia="Times New Roman" w:hint="default"/>
          <w:spacing w:val="-3"/>
        </w:rPr>
        <w:t>2014</w:t>
      </w:r>
      <w:r>
        <w:rPr>
          <w:spacing w:val="-3"/>
        </w:rPr>
        <w:t>年，公司海外市场订单取得长足的进展，</w:t>
      </w:r>
      <w:r>
        <w:rPr>
          <w:rFonts w:ascii="Times New Roman" w:hAnsi="Times New Roman" w:cs="Times New Roman" w:eastAsia="Times New Roman" w:hint="default"/>
          <w:spacing w:val="-3"/>
        </w:rPr>
        <w:t>2015</w:t>
      </w:r>
      <w:r>
        <w:rPr>
          <w:spacing w:val="-3"/>
        </w:rPr>
        <w:t>年，公司将进一步加大国际市场的拓展力度，逐步完善海外售后服务体系。</w:t>
      </w:r>
      <w:r>
        <w:rPr/>
        <w:t> </w:t>
      </w:r>
      <w:r>
        <w:rPr>
          <w:spacing w:val="-4"/>
        </w:rPr>
        <w:t>尽管海外市场发展空间巨大，但受到国际政治局势、经济发展不平衡等因素影响，导致公司国外市场开拓的不确定因素增加。</w:t>
      </w:r>
      <w:r>
        <w:rPr>
          <w:spacing w:val="-44"/>
        </w:rPr>
        <w:t> </w:t>
      </w:r>
      <w:r>
        <w:rPr>
          <w:spacing w:val="-44"/>
        </w:rPr>
      </w:r>
      <w:r>
        <w:rPr>
          <w:spacing w:val="-4"/>
        </w:rPr>
        <w:t>针对该风险，公司将对已经出批量订单的市场区域继续加大力度深耕，争取把当地市场工作做得更扎实，加大品牌宣传力度，</w:t>
      </w:r>
      <w:r>
        <w:rPr>
          <w:spacing w:val="-44"/>
        </w:rPr>
        <w:t> </w:t>
      </w:r>
      <w:r>
        <w:rPr>
          <w:spacing w:val="-44"/>
        </w:rPr>
      </w:r>
      <w:r>
        <w:rPr/>
        <w:t>重点提高订单覆盖区域售后服务水平，以点带面，降低国外市场开拓失败的风险。 </w:t>
      </w:r>
      <w:r>
        <w:rPr>
          <w:rFonts w:ascii="Times New Roman" w:hAnsi="Times New Roman" w:cs="Times New Roman" w:eastAsia="Times New Roman" w:hint="default"/>
        </w:rPr>
        <w:t>5</w:t>
      </w:r>
      <w:r>
        <w:rPr/>
        <w:t>）管理团队不能适应公司发展需求的风险 </w:t>
      </w:r>
      <w:r>
        <w:rPr>
          <w:spacing w:val="-2"/>
        </w:rPr>
        <w:t>公司未来的战略规划和业务发展将主要围绕移动互联网领域开展，但公司现有中高层管理人员、员工团队并不具备移动互联</w:t>
      </w:r>
      <w:r>
        <w:rPr>
          <w:spacing w:val="-64"/>
        </w:rPr>
        <w:t> </w:t>
      </w:r>
      <w:r>
        <w:rPr>
          <w:spacing w:val="-64"/>
        </w:rPr>
      </w:r>
      <w:r>
        <w:rPr>
          <w:spacing w:val="-2"/>
        </w:rPr>
        <w:t>网业务经验，不能很好的适应公司未来发展需求。人才是公司未来战略实施的核心要素，因此，公司如果不能加大互联网业</w:t>
      </w:r>
      <w:r>
        <w:rPr>
          <w:spacing w:val="-66"/>
        </w:rPr>
        <w:t> </w:t>
      </w:r>
      <w:r>
        <w:rPr>
          <w:spacing w:val="-66"/>
        </w:rPr>
      </w:r>
      <w:r>
        <w:rPr/>
        <w:t>务和管理人才的引进力度，则有可能导致公司战略转型的失败。 </w:t>
      </w:r>
      <w:r>
        <w:rPr>
          <w:spacing w:val="-2"/>
        </w:rPr>
        <w:t>针对该风险，公司已经开始根据业务需求，有意识的进行人才结构优化工作，调整岗位，裁汰冗员，并通过主动收购，吸收</w:t>
      </w:r>
      <w:r>
        <w:rPr>
          <w:spacing w:val="-68"/>
        </w:rPr>
        <w:t> </w:t>
      </w:r>
      <w:r>
        <w:rPr>
          <w:spacing w:val="-68"/>
        </w:rPr>
      </w:r>
      <w:r>
        <w:rPr/>
        <w:t>优秀的互联网业务团队加入，逐步为公司的管理团队引入互联网业务经营人才队伍。</w:t>
      </w:r>
    </w:p>
    <w:p>
      <w:pPr>
        <w:spacing w:after="0" w:line="314" w:lineRule="auto"/>
        <w:jc w:val="left"/>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591" w:right="3627"/>
        <w:jc w:val="center"/>
        <w:rPr>
          <w:b w:val="0"/>
          <w:bCs w:val="0"/>
        </w:rPr>
      </w:pPr>
      <w:bookmarkStart w:name="_TOC_250006" w:id="4"/>
      <w:r>
        <w:rPr/>
        <w:t>第四节</w:t>
      </w:r>
      <w:r>
        <w:rPr>
          <w:spacing w:val="-6"/>
        </w:rPr>
        <w:t> </w:t>
      </w:r>
      <w:r>
        <w:rPr/>
        <w:t>董事会报告</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660"/>
        <w:jc w:val="left"/>
        <w:rPr>
          <w:b w:val="0"/>
          <w:bCs w:val="0"/>
        </w:rPr>
      </w:pPr>
      <w:r>
        <w:rPr/>
        <w:t>一、管理层讨论与分析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660"/>
        <w:jc w:val="left"/>
        <w:rPr>
          <w:b w:val="0"/>
          <w:bCs w:val="0"/>
        </w:rPr>
      </w:pPr>
      <w:r>
        <w:rPr>
          <w:rFonts w:ascii="Times New Roman" w:hAnsi="Times New Roman" w:cs="Times New Roman" w:eastAsia="Times New Roman" w:hint="default"/>
        </w:rPr>
        <w:t>1</w:t>
      </w:r>
      <w:r>
        <w:rPr/>
        <w:t>、报告期内主要业务回顾</w:t>
      </w:r>
      <w:r>
        <w:rPr>
          <w:b w:val="0"/>
          <w:bCs w:val="0"/>
        </w:rPr>
      </w:r>
    </w:p>
    <w:p>
      <w:pPr>
        <w:spacing w:line="240" w:lineRule="auto" w:before="7"/>
        <w:rPr>
          <w:rFonts w:ascii="宋体" w:hAnsi="宋体" w:cs="宋体" w:eastAsia="宋体" w:hint="default"/>
          <w:b/>
          <w:bCs/>
          <w:sz w:val="26"/>
          <w:szCs w:val="26"/>
        </w:rPr>
      </w:pPr>
    </w:p>
    <w:p>
      <w:pPr>
        <w:pStyle w:val="BodyText"/>
        <w:spacing w:line="304" w:lineRule="auto" w:before="0"/>
        <w:ind w:left="153" w:right="176" w:firstLine="420"/>
        <w:jc w:val="left"/>
      </w:pPr>
      <w:r>
        <w:rPr/>
        <w:t>自上市以来，公司一直专注于电子支付技术领域，从事以金融</w:t>
      </w:r>
      <w:r>
        <w:rPr>
          <w:rFonts w:ascii="Times New Roman" w:hAnsi="Times New Roman" w:cs="Times New Roman" w:eastAsia="Times New Roman" w:hint="default"/>
        </w:rPr>
        <w:t>POS</w:t>
      </w:r>
      <w:r>
        <w:rPr/>
        <w:t>机为主的电子支付受理终端设备软硬件的生产、研 </w:t>
      </w:r>
      <w:r>
        <w:rPr>
          <w:spacing w:val="-2"/>
        </w:rPr>
        <w:t>发、销售和租赁，以此为载体，为客户提供电子支付技术综合解决方案。</w:t>
      </w:r>
      <w:r>
        <w:rPr>
          <w:rFonts w:ascii="Times New Roman" w:hAnsi="Times New Roman" w:cs="Times New Roman" w:eastAsia="Times New Roman" w:hint="default"/>
          <w:spacing w:val="-2"/>
        </w:rPr>
        <w:t>2014</w:t>
      </w:r>
      <w:r>
        <w:rPr>
          <w:spacing w:val="-2"/>
        </w:rPr>
        <w:t>年，伴随电子支付、移动支付的快速发展，公</w:t>
      </w:r>
      <w:r>
        <w:rPr>
          <w:spacing w:val="-61"/>
        </w:rPr>
        <w:t> </w:t>
      </w:r>
      <w:r>
        <w:rPr>
          <w:spacing w:val="-61"/>
        </w:rPr>
      </w:r>
      <w:r>
        <w:rPr>
          <w:spacing w:val="-1"/>
        </w:rPr>
        <w:t>司以支付技术为基础，金融</w:t>
      </w:r>
      <w:r>
        <w:rPr>
          <w:rFonts w:ascii="Times New Roman" w:hAnsi="Times New Roman" w:cs="Times New Roman" w:eastAsia="Times New Roman" w:hint="default"/>
          <w:spacing w:val="-1"/>
        </w:rPr>
        <w:t>POS</w:t>
      </w:r>
      <w:r>
        <w:rPr>
          <w:spacing w:val="-1"/>
        </w:rPr>
        <w:t>终端软硬件的设计和研发为核心，继续巩固和提升在电子支付技术受理终端设备的市场领先</w:t>
      </w:r>
      <w:r>
        <w:rPr/>
        <w:t> </w:t>
      </w:r>
      <w:r>
        <w:rPr>
          <w:spacing w:val="-2"/>
        </w:rPr>
        <w:t>地位。公司凭借技术、市场和行业经验等优势，结合我国信息化新浪潮，围绕电子支付领域，积极推进云平台、云存储、大</w:t>
      </w:r>
      <w:r>
        <w:rPr>
          <w:spacing w:val="-65"/>
        </w:rPr>
        <w:t> </w:t>
      </w:r>
      <w:r>
        <w:rPr>
          <w:spacing w:val="-65"/>
        </w:rPr>
      </w:r>
      <w:r>
        <w:rPr/>
        <w:t>型系统平台技术等创新业务的进展。</w:t>
      </w:r>
    </w:p>
    <w:p>
      <w:pPr>
        <w:pStyle w:val="BodyText"/>
        <w:spacing w:line="309" w:lineRule="auto" w:before="28"/>
        <w:ind w:left="153" w:right="191" w:firstLine="420"/>
        <w:jc w:val="both"/>
      </w:pPr>
      <w:r>
        <w:rPr>
          <w:rFonts w:ascii="Times New Roman" w:hAnsi="Times New Roman" w:cs="Times New Roman" w:eastAsia="Times New Roman" w:hint="default"/>
        </w:rPr>
        <w:t>2014</w:t>
      </w:r>
      <w:r>
        <w:rPr/>
        <w:t>年是我国进入</w:t>
      </w:r>
      <w:r>
        <w:rPr>
          <w:rFonts w:ascii="Times New Roman" w:hAnsi="Times New Roman" w:cs="Times New Roman" w:eastAsia="Times New Roman" w:hint="default"/>
        </w:rPr>
        <w:t>“</w:t>
      </w:r>
      <w:r>
        <w:rPr/>
        <w:t>新常态</w:t>
      </w:r>
      <w:r>
        <w:rPr>
          <w:rFonts w:ascii="Times New Roman" w:hAnsi="Times New Roman" w:cs="Times New Roman" w:eastAsia="Times New Roman" w:hint="default"/>
        </w:rPr>
        <w:t>”</w:t>
      </w:r>
      <w:r>
        <w:rPr/>
        <w:t>的一年，也是公司切实推行互联网战略转型的元年，公司通过已经掌握的支付产业自主核 </w:t>
      </w:r>
      <w:r>
        <w:rPr>
          <w:spacing w:val="-2"/>
        </w:rPr>
        <w:t>心资源，以支付技术为切入点，以协助客户降低运营成本为产品和业务创新出发点，积极研究市场新变化，加大研发和市场</w:t>
      </w:r>
      <w:r>
        <w:rPr>
          <w:spacing w:val="-66"/>
        </w:rPr>
        <w:t> </w:t>
      </w:r>
      <w:r>
        <w:rPr>
          <w:spacing w:val="-66"/>
        </w:rPr>
      </w:r>
      <w:r>
        <w:rPr/>
        <w:t>投入力度，日益成为电子支付领域的综合技术方案提供方。</w:t>
      </w:r>
    </w:p>
    <w:p>
      <w:pPr>
        <w:pStyle w:val="BodyText"/>
        <w:spacing w:line="300" w:lineRule="auto" w:before="24"/>
        <w:ind w:left="153" w:right="191" w:firstLine="420"/>
        <w:jc w:val="both"/>
      </w:pPr>
      <w:r>
        <w:rPr>
          <w:rFonts w:ascii="Times New Roman" w:hAnsi="Times New Roman" w:cs="Times New Roman" w:eastAsia="Times New Roman" w:hint="default"/>
          <w:spacing w:val="-2"/>
        </w:rPr>
        <w:t>2014</w:t>
      </w:r>
      <w:r>
        <w:rPr>
          <w:spacing w:val="-2"/>
        </w:rPr>
        <w:t>年公司实现营业收入</w:t>
      </w:r>
      <w:r>
        <w:rPr>
          <w:rFonts w:ascii="Times New Roman" w:hAnsi="Times New Roman" w:cs="Times New Roman" w:eastAsia="Times New Roman" w:hint="default"/>
          <w:spacing w:val="-2"/>
        </w:rPr>
        <w:t>67,820.03</w:t>
      </w:r>
      <w:r>
        <w:rPr>
          <w:spacing w:val="-2"/>
        </w:rPr>
        <w:t>万元，同比增长</w:t>
      </w:r>
      <w:r>
        <w:rPr>
          <w:rFonts w:ascii="Times New Roman" w:hAnsi="Times New Roman" w:cs="Times New Roman" w:eastAsia="Times New Roman" w:hint="default"/>
          <w:spacing w:val="-2"/>
        </w:rPr>
        <w:t>35.86%</w:t>
      </w:r>
      <w:r>
        <w:rPr>
          <w:spacing w:val="-2"/>
        </w:rPr>
        <w:t>，实现利润总额</w:t>
      </w:r>
      <w:r>
        <w:rPr>
          <w:rFonts w:ascii="Times New Roman" w:hAnsi="Times New Roman" w:cs="Times New Roman" w:eastAsia="Times New Roman" w:hint="default"/>
          <w:spacing w:val="-2"/>
        </w:rPr>
        <w:t>7,733.29</w:t>
      </w:r>
      <w:r>
        <w:rPr>
          <w:spacing w:val="-2"/>
        </w:rPr>
        <w:t>万元，同比增长</w:t>
      </w:r>
      <w:r>
        <w:rPr>
          <w:rFonts w:ascii="Times New Roman" w:hAnsi="Times New Roman" w:cs="Times New Roman" w:eastAsia="Times New Roman" w:hint="default"/>
          <w:spacing w:val="-2"/>
        </w:rPr>
        <w:t>36.63%</w:t>
      </w:r>
      <w:r>
        <w:rPr>
          <w:spacing w:val="-2"/>
        </w:rPr>
        <w:t>，实现归属于</w:t>
      </w:r>
      <w:r>
        <w:rPr/>
        <w:t> 上市公司净利润</w:t>
      </w:r>
      <w:r>
        <w:rPr>
          <w:rFonts w:ascii="Times New Roman" w:hAnsi="Times New Roman" w:cs="Times New Roman" w:eastAsia="Times New Roman" w:hint="default"/>
        </w:rPr>
        <w:t>7,958.14</w:t>
      </w:r>
      <w:r>
        <w:rPr/>
        <w:t>万元，同比增长</w:t>
      </w:r>
      <w:r>
        <w:rPr>
          <w:rFonts w:ascii="Times New Roman" w:hAnsi="Times New Roman" w:cs="Times New Roman" w:eastAsia="Times New Roman" w:hint="default"/>
        </w:rPr>
        <w:t>44.85%</w:t>
      </w:r>
      <w:r>
        <w:rPr/>
        <w:t>。</w:t>
      </w:r>
    </w:p>
    <w:p>
      <w:pPr>
        <w:pStyle w:val="BodyText"/>
        <w:spacing w:line="240" w:lineRule="auto" w:before="13"/>
        <w:ind w:left="153" w:right="660"/>
        <w:jc w:val="left"/>
      </w:pPr>
      <w:r>
        <w:rPr/>
        <w:t>报告期内开展的主要工作如下：</w:t>
      </w:r>
    </w:p>
    <w:p>
      <w:pPr>
        <w:pStyle w:val="BodyText"/>
        <w:spacing w:line="304" w:lineRule="auto" w:before="76"/>
        <w:ind w:left="153" w:right="191" w:firstLine="420"/>
        <w:jc w:val="both"/>
      </w:pPr>
      <w:r>
        <w:rPr/>
        <w:t>（</w:t>
      </w:r>
      <w:r>
        <w:rPr>
          <w:rFonts w:ascii="Times New Roman" w:hAnsi="Times New Roman" w:cs="Times New Roman" w:eastAsia="Times New Roman" w:hint="default"/>
        </w:rPr>
        <w:t>1</w:t>
      </w:r>
      <w:r>
        <w:rPr/>
        <w:t>）产品和技术研发方面，公司持续投入大量研发资金，加强研发管理能力，通过</w:t>
      </w:r>
      <w:r>
        <w:rPr>
          <w:rFonts w:ascii="Times New Roman" w:hAnsi="Times New Roman" w:cs="Times New Roman" w:eastAsia="Times New Roman" w:hint="default"/>
        </w:rPr>
        <w:t>IPD</w:t>
      </w:r>
      <w:r>
        <w:rPr/>
        <w:t>流程落地，有效保证了研发结 </w:t>
      </w:r>
      <w:r>
        <w:rPr>
          <w:spacing w:val="-2"/>
        </w:rPr>
        <w:t>果输出的准确性，进一步提高产品质量的稳定性与可靠性。在新产品开发方面，针对互联网业务需求、</w:t>
      </w:r>
      <w:r>
        <w:rPr>
          <w:rFonts w:ascii="Times New Roman" w:hAnsi="Times New Roman" w:cs="Times New Roman" w:eastAsia="Times New Roman" w:hint="default"/>
          <w:spacing w:val="-2"/>
        </w:rPr>
        <w:t>O2O</w:t>
      </w:r>
      <w:r>
        <w:rPr>
          <w:spacing w:val="-2"/>
        </w:rPr>
        <w:t>业务需求，公司</w:t>
      </w:r>
      <w:r>
        <w:rPr>
          <w:spacing w:val="-57"/>
        </w:rPr>
        <w:t> </w:t>
      </w:r>
      <w:r>
        <w:rPr>
          <w:spacing w:val="-57"/>
        </w:rPr>
      </w:r>
      <w:r>
        <w:rPr>
          <w:spacing w:val="-1"/>
        </w:rPr>
        <w:t>成功研发了</w:t>
      </w:r>
      <w:r>
        <w:rPr>
          <w:rFonts w:ascii="Times New Roman" w:hAnsi="Times New Roman" w:cs="Times New Roman" w:eastAsia="Times New Roman" w:hint="default"/>
          <w:spacing w:val="-1"/>
        </w:rPr>
        <w:t>N</w:t>
      </w:r>
      <w:r>
        <w:rPr>
          <w:spacing w:val="-1"/>
        </w:rPr>
        <w:t>系列新产品，可以与智能设备直接联合使用的</w:t>
      </w:r>
      <w:r>
        <w:rPr>
          <w:rFonts w:ascii="Times New Roman" w:hAnsi="Times New Roman" w:cs="Times New Roman" w:eastAsia="Times New Roman" w:hint="default"/>
          <w:spacing w:val="-1"/>
        </w:rPr>
        <w:t>M-POS</w:t>
      </w:r>
      <w:r>
        <w:rPr>
          <w:spacing w:val="-1"/>
        </w:rPr>
        <w:t>产品，除了可以受理传统的银行支付外，还可以支持二维</w:t>
      </w:r>
      <w:r>
        <w:rPr>
          <w:spacing w:val="-83"/>
        </w:rPr>
        <w:t> </w:t>
      </w:r>
      <w:r>
        <w:rPr>
          <w:spacing w:val="-83"/>
        </w:rPr>
      </w:r>
      <w:r>
        <w:rPr>
          <w:spacing w:val="-2"/>
        </w:rPr>
        <w:t>码、微信、支付宝等大型互联网公司的新支付应用形式；针对电子支付安全出现的新问题，公司开发了国内首款通过最严格</w:t>
      </w:r>
      <w:r>
        <w:rPr>
          <w:spacing w:val="-66"/>
        </w:rPr>
        <w:t> </w:t>
      </w:r>
      <w:r>
        <w:rPr>
          <w:spacing w:val="-66"/>
        </w:rPr>
      </w:r>
      <w:r>
        <w:rPr/>
        <w:t>安全认证标准</w:t>
      </w:r>
      <w:r>
        <w:rPr>
          <w:rFonts w:ascii="Times New Roman" w:hAnsi="Times New Roman" w:cs="Times New Roman" w:eastAsia="Times New Roman" w:hint="default"/>
        </w:rPr>
        <w:t>PCI4.0</w:t>
      </w:r>
      <w:r>
        <w:rPr/>
        <w:t>认证的</w:t>
      </w:r>
      <w:r>
        <w:rPr>
          <w:rFonts w:ascii="Times New Roman" w:hAnsi="Times New Roman" w:cs="Times New Roman" w:eastAsia="Times New Roman" w:hint="default"/>
        </w:rPr>
        <w:t>G</w:t>
      </w:r>
      <w:r>
        <w:rPr/>
        <w:t>系列产品；上述新产品已全部实现批量生产与销售。</w:t>
      </w:r>
    </w:p>
    <w:p>
      <w:pPr>
        <w:pStyle w:val="BodyText"/>
        <w:spacing w:line="314" w:lineRule="auto" w:before="9"/>
        <w:ind w:left="153" w:right="189" w:firstLine="420"/>
        <w:jc w:val="both"/>
      </w:pPr>
      <w:r>
        <w:rPr/>
        <w:t>在新技术研发方面，公司积极研发基于新一代云平台技术架构的大型交易结算支撑系统平台，该平台以大数据收集、 </w:t>
      </w:r>
      <w:r>
        <w:rPr>
          <w:spacing w:val="-2"/>
        </w:rPr>
        <w:t>存储、分析为基础功能设计，开发完成后将可覆盖全交易过程的数据。该数据平台与公司设备结合使用，可有效为客户降低</w:t>
      </w:r>
      <w:r>
        <w:rPr>
          <w:spacing w:val="-66"/>
        </w:rPr>
        <w:t> </w:t>
      </w:r>
      <w:r>
        <w:rPr>
          <w:spacing w:val="-66"/>
        </w:rPr>
      </w:r>
      <w:r>
        <w:rPr>
          <w:spacing w:val="-2"/>
        </w:rPr>
        <w:t>运营成本，辅助客户提升运营效率。此外，公司积极开展指纹识别、虹膜识别、脸孔识别等生物识别技术在支付领域的应用</w:t>
      </w:r>
      <w:r>
        <w:rPr>
          <w:spacing w:val="-66"/>
        </w:rPr>
        <w:t> </w:t>
      </w:r>
      <w:r>
        <w:rPr>
          <w:spacing w:val="-66"/>
        </w:rPr>
      </w:r>
      <w:r>
        <w:rPr>
          <w:spacing w:val="-2"/>
        </w:rPr>
        <w:t>方案，积极准备可以受理苹果、华为为代表的手机指纹支付新需求。报告期间，公司研发费用占营业收入的</w:t>
      </w:r>
      <w:r>
        <w:rPr>
          <w:rFonts w:ascii="Times New Roman" w:hAnsi="Times New Roman" w:cs="Times New Roman" w:eastAsia="Times New Roman" w:hint="default"/>
          <w:spacing w:val="-2"/>
        </w:rPr>
        <w:t>15.36%</w:t>
      </w:r>
      <w:r>
        <w:rPr>
          <w:spacing w:val="-2"/>
        </w:rPr>
        <w:t>，较</w:t>
      </w:r>
      <w:r>
        <w:rPr>
          <w:rFonts w:ascii="Times New Roman" w:hAnsi="Times New Roman" w:cs="Times New Roman" w:eastAsia="Times New Roman" w:hint="default"/>
          <w:spacing w:val="-2"/>
        </w:rPr>
        <w:t>2013</w:t>
      </w:r>
      <w:r>
        <w:rPr>
          <w:rFonts w:ascii="Times New Roman" w:hAnsi="Times New Roman" w:cs="Times New Roman" w:eastAsia="Times New Roman" w:hint="default"/>
          <w:spacing w:val="-29"/>
        </w:rPr>
        <w:t> </w:t>
      </w:r>
      <w:r>
        <w:rPr/>
        <w:t>年增长</w:t>
      </w:r>
      <w:r>
        <w:rPr>
          <w:rFonts w:ascii="Times New Roman" w:hAnsi="Times New Roman" w:cs="Times New Roman" w:eastAsia="Times New Roman" w:hint="default"/>
        </w:rPr>
        <w:t>35.74%</w:t>
      </w:r>
      <w:r>
        <w:rPr/>
        <w:t>。</w:t>
      </w:r>
    </w:p>
    <w:p>
      <w:pPr>
        <w:pStyle w:val="BodyText"/>
        <w:spacing w:line="307" w:lineRule="auto" w:before="1"/>
        <w:ind w:left="153" w:right="191" w:firstLine="420"/>
        <w:jc w:val="both"/>
      </w:pPr>
      <w:r>
        <w:rPr>
          <w:spacing w:val="-2"/>
        </w:rPr>
        <w:t>（</w:t>
      </w:r>
      <w:r>
        <w:rPr>
          <w:rFonts w:ascii="Times New Roman" w:hAnsi="Times New Roman" w:cs="Times New Roman" w:eastAsia="Times New Roman" w:hint="default"/>
          <w:spacing w:val="-2"/>
        </w:rPr>
        <w:t>2</w:t>
      </w:r>
      <w:r>
        <w:rPr>
          <w:spacing w:val="-2"/>
        </w:rPr>
        <w:t>）市场建设方面，公司进一步完善梯队式的市场队伍建设，按照不同客户业务模式组建专门的市场团队，积极研究</w:t>
      </w:r>
      <w:r>
        <w:rPr/>
        <w:t> </w:t>
      </w:r>
      <w:r>
        <w:rPr>
          <w:spacing w:val="-2"/>
        </w:rPr>
        <w:t>市场新需求、新变化。在电子支付受理市场竞争日益激烈的大环境下，公司牢牢占据主流金融</w:t>
      </w:r>
      <w:r>
        <w:rPr>
          <w:rFonts w:ascii="Times New Roman" w:hAnsi="Times New Roman" w:cs="Times New Roman" w:eastAsia="Times New Roman" w:hint="default"/>
          <w:spacing w:val="-2"/>
        </w:rPr>
        <w:t>POS</w:t>
      </w:r>
      <w:r>
        <w:rPr>
          <w:spacing w:val="-2"/>
        </w:rPr>
        <w:t>市场的主导地位，继续成</w:t>
      </w:r>
      <w:r>
        <w:rPr>
          <w:spacing w:val="-38"/>
        </w:rPr>
        <w:t> </w:t>
      </w:r>
      <w:r>
        <w:rPr>
          <w:spacing w:val="-38"/>
        </w:rPr>
      </w:r>
      <w:r>
        <w:rPr>
          <w:spacing w:val="-2"/>
        </w:rPr>
        <w:t>功入围银联商务、通联支付、中国银行、农信资金结算中心、兴业银行、中信银行、交通银行、上海浦发银行、招商银行等</w:t>
      </w:r>
      <w:r>
        <w:rPr>
          <w:spacing w:val="-67"/>
        </w:rPr>
        <w:t> </w:t>
      </w:r>
      <w:r>
        <w:rPr>
          <w:spacing w:val="-67"/>
        </w:rPr>
      </w:r>
      <w:r>
        <w:rPr/>
        <w:t>主流金融机构，首次实现直接中标入围建设银行等大型传统金融机构的采购名单。</w:t>
      </w:r>
    </w:p>
    <w:p>
      <w:pPr>
        <w:pStyle w:val="BodyText"/>
        <w:spacing w:line="309" w:lineRule="auto" w:before="26"/>
        <w:ind w:left="153" w:right="91" w:firstLine="420"/>
        <w:jc w:val="left"/>
      </w:pPr>
      <w:r>
        <w:rPr/>
        <w:t>海外市场方面，完成局部市场的重点布局，确定代理与直销相结合的销售模式；继续参加法国智能卡</w:t>
      </w:r>
      <w:r>
        <w:rPr>
          <w:rFonts w:ascii="Times New Roman" w:hAnsi="Times New Roman" w:cs="Times New Roman" w:eastAsia="Times New Roman" w:hint="default"/>
        </w:rPr>
        <w:t>&amp;</w:t>
      </w:r>
      <w:r>
        <w:rPr/>
        <w:t>身份识别技术 工业展（</w:t>
      </w:r>
      <w:r>
        <w:rPr>
          <w:rFonts w:ascii="Times New Roman" w:hAnsi="Times New Roman" w:cs="Times New Roman" w:eastAsia="Times New Roman" w:hint="default"/>
        </w:rPr>
        <w:t>Cartes</w:t>
      </w:r>
      <w:r>
        <w:rPr>
          <w:rFonts w:ascii="Times New Roman" w:hAnsi="Times New Roman" w:cs="Times New Roman" w:eastAsia="Times New Roman" w:hint="default"/>
          <w:spacing w:val="-3"/>
        </w:rPr>
        <w:t> </w:t>
      </w:r>
      <w:r>
        <w:rPr>
          <w:rFonts w:ascii="Times New Roman" w:hAnsi="Times New Roman" w:cs="Times New Roman" w:eastAsia="Times New Roman" w:hint="default"/>
        </w:rPr>
        <w:t>Identification</w:t>
      </w:r>
      <w:r>
        <w:rPr/>
        <w:t>），公司品牌得到进一步提升；组建了一支专门的海外市场技术支撑团队，为海外市场的业务 </w:t>
      </w:r>
      <w:r>
        <w:rPr>
          <w:spacing w:val="-2"/>
        </w:rPr>
        <w:t>拓展提供较为及时的技术服务支撑。但公司仍然缺乏一个覆盖全球市场的售后服务、增值应用开发服务网络，缺乏一支具备</w:t>
      </w:r>
      <w:r>
        <w:rPr>
          <w:spacing w:val="-66"/>
        </w:rPr>
        <w:t> </w:t>
      </w:r>
      <w:r>
        <w:rPr>
          <w:spacing w:val="-66"/>
        </w:rPr>
      </w:r>
      <w:r>
        <w:rPr/>
        <w:t>丰富的全球化营销管理能力的管理团队，这是制约公司海外市场发展的瓶颈因素。报告期内，海外市场订单取得重点突破， 全年实现销售收入占公司中营业收入的</w:t>
      </w:r>
      <w:r>
        <w:rPr>
          <w:rFonts w:ascii="Times New Roman" w:hAnsi="Times New Roman" w:cs="Times New Roman" w:eastAsia="Times New Roman" w:hint="default"/>
        </w:rPr>
        <w:t>5.41%</w:t>
      </w:r>
      <w:r>
        <w:rPr/>
        <w:t>，较</w:t>
      </w:r>
      <w:r>
        <w:rPr>
          <w:rFonts w:ascii="Times New Roman" w:hAnsi="Times New Roman" w:cs="Times New Roman" w:eastAsia="Times New Roman" w:hint="default"/>
        </w:rPr>
        <w:t>2013</w:t>
      </w:r>
      <w:r>
        <w:rPr/>
        <w:t>年增长</w:t>
      </w:r>
      <w:r>
        <w:rPr>
          <w:rFonts w:ascii="Times New Roman" w:hAnsi="Times New Roman" w:cs="Times New Roman" w:eastAsia="Times New Roman" w:hint="default"/>
        </w:rPr>
        <w:t>801.96%</w:t>
      </w:r>
      <w:r>
        <w:rPr/>
        <w:t>。</w:t>
      </w:r>
    </w:p>
    <w:p>
      <w:pPr>
        <w:pStyle w:val="BodyText"/>
        <w:spacing w:line="309" w:lineRule="auto" w:before="5"/>
        <w:ind w:left="153" w:right="191" w:firstLine="420"/>
        <w:jc w:val="both"/>
      </w:pPr>
      <w:r>
        <w:rPr>
          <w:spacing w:val="-2"/>
        </w:rPr>
        <w:t>（</w:t>
      </w:r>
      <w:r>
        <w:rPr>
          <w:rFonts w:ascii="Times New Roman" w:hAnsi="Times New Roman" w:cs="Times New Roman" w:eastAsia="Times New Roman" w:hint="default"/>
          <w:spacing w:val="-2"/>
        </w:rPr>
        <w:t>3</w:t>
      </w:r>
      <w:r>
        <w:rPr>
          <w:spacing w:val="-2"/>
        </w:rPr>
        <w:t>）生产管理方面，进一步完善供应链管理，推进库存结构优化管理，提升研发与采购的协同性，切实从供应链管理</w:t>
      </w:r>
      <w:r>
        <w:rPr/>
        <w:t> </w:t>
      </w:r>
      <w:r>
        <w:rPr>
          <w:spacing w:val="-2"/>
        </w:rPr>
        <w:t>的角度来优化成本控制；加大新供应商的引进和开发工作，确保采购成本的竞争力；在订单大幅增加的情况下，加强生产订</w:t>
      </w:r>
      <w:r>
        <w:rPr>
          <w:spacing w:val="-66"/>
        </w:rPr>
        <w:t> </w:t>
      </w:r>
      <w:r>
        <w:rPr>
          <w:spacing w:val="-66"/>
        </w:rPr>
      </w:r>
      <w:r>
        <w:rPr/>
        <w:t>单管理，提高订单的准时率；优化了库存管理制度，有效提高库存周转率。</w:t>
      </w:r>
    </w:p>
    <w:p>
      <w:pPr>
        <w:pStyle w:val="BodyText"/>
        <w:spacing w:line="309" w:lineRule="auto" w:before="24"/>
        <w:ind w:left="153" w:right="188" w:firstLine="420"/>
        <w:jc w:val="both"/>
      </w:pPr>
      <w:r>
        <w:rPr>
          <w:spacing w:val="-1"/>
        </w:rPr>
        <w:t>（</w:t>
      </w:r>
      <w:r>
        <w:rPr>
          <w:rFonts w:ascii="Times New Roman" w:hAnsi="Times New Roman" w:cs="Times New Roman" w:eastAsia="Times New Roman" w:hint="default"/>
          <w:spacing w:val="-1"/>
        </w:rPr>
        <w:t>4</w:t>
      </w:r>
      <w:r>
        <w:rPr>
          <w:spacing w:val="-1"/>
        </w:rPr>
        <w:t>）人力资源和企业综合软实力建设方面，加大公司人员结构的优化，提升人均效率；继续推进</w:t>
      </w:r>
      <w:r>
        <w:rPr>
          <w:rFonts w:ascii="Times New Roman" w:hAnsi="Times New Roman" w:cs="Times New Roman" w:eastAsia="Times New Roman" w:hint="default"/>
          <w:spacing w:val="-1"/>
        </w:rPr>
        <w:t>“</w:t>
      </w:r>
      <w:r>
        <w:rPr>
          <w:spacing w:val="-1"/>
        </w:rPr>
        <w:t>精英培养</w:t>
      </w:r>
      <w:r>
        <w:rPr>
          <w:rFonts w:ascii="Times New Roman" w:hAnsi="Times New Roman" w:cs="Times New Roman" w:eastAsia="Times New Roman" w:hint="default"/>
          <w:spacing w:val="-1"/>
        </w:rPr>
        <w:t>”</w:t>
      </w:r>
      <w:r>
        <w:rPr>
          <w:spacing w:val="-1"/>
        </w:rPr>
        <w:t>计划，针</w:t>
      </w:r>
      <w:r>
        <w:rPr/>
        <w:t> </w:t>
      </w:r>
      <w:r>
        <w:rPr>
          <w:spacing w:val="-2"/>
        </w:rPr>
        <w:t>对性提升公司中层管理人员的综合素养；加强企业综合软实力建设，通过组织公司中高层员工到腾讯、阿里巴巴等标杆互联</w:t>
      </w:r>
      <w:r>
        <w:rPr>
          <w:spacing w:val="-66"/>
        </w:rPr>
        <w:t> </w:t>
      </w:r>
      <w:r>
        <w:rPr>
          <w:spacing w:val="-66"/>
        </w:rPr>
      </w:r>
      <w:r>
        <w:rPr>
          <w:spacing w:val="-2"/>
        </w:rPr>
        <w:t>网企业的参观活动，加强向互联网企业的人力资源管理、企业文化建设等方面的学习，加快推动公司中高层管理人员的管理</w:t>
      </w:r>
    </w:p>
    <w:p>
      <w:pPr>
        <w:spacing w:after="0" w:line="309" w:lineRule="auto"/>
        <w:jc w:val="both"/>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00" w:lineRule="auto"/>
        <w:ind w:right="148"/>
        <w:jc w:val="both"/>
      </w:pPr>
      <w:r>
        <w:rPr>
          <w:spacing w:val="-2"/>
        </w:rPr>
        <w:t>理念转变，在公司内部引进</w:t>
      </w:r>
      <w:r>
        <w:rPr>
          <w:rFonts w:ascii="Times New Roman" w:hAnsi="Times New Roman" w:cs="Times New Roman" w:eastAsia="Times New Roman" w:hint="default"/>
          <w:spacing w:val="-2"/>
        </w:rPr>
        <w:t>“</w:t>
      </w:r>
      <w:r>
        <w:rPr>
          <w:spacing w:val="-2"/>
        </w:rPr>
        <w:t>互联网化</w:t>
      </w:r>
      <w:r>
        <w:rPr>
          <w:rFonts w:ascii="Times New Roman" w:hAnsi="Times New Roman" w:cs="Times New Roman" w:eastAsia="Times New Roman" w:hint="default"/>
          <w:spacing w:val="-2"/>
        </w:rPr>
        <w:t>”</w:t>
      </w:r>
      <w:r>
        <w:rPr>
          <w:spacing w:val="-2"/>
        </w:rPr>
        <w:t>的思考角度，结合公司多年在产品和服务的积累，切实促进公司从内生能力方面具备</w:t>
      </w:r>
      <w:r>
        <w:rPr>
          <w:spacing w:val="-43"/>
        </w:rPr>
        <w:t> </w:t>
      </w:r>
      <w:r>
        <w:rPr>
          <w:spacing w:val="-43"/>
        </w:rPr>
      </w:r>
      <w:r>
        <w:rPr>
          <w:spacing w:val="-2"/>
        </w:rPr>
        <w:t>向互联网型企业全面升级的能力。此外，公司在</w:t>
      </w:r>
      <w:r>
        <w:rPr>
          <w:rFonts w:ascii="Times New Roman" w:hAnsi="Times New Roman" w:cs="Times New Roman" w:eastAsia="Times New Roman" w:hint="default"/>
          <w:spacing w:val="-2"/>
        </w:rPr>
        <w:t>2014</w:t>
      </w:r>
      <w:r>
        <w:rPr>
          <w:spacing w:val="-2"/>
        </w:rPr>
        <w:t>年推出了面向中高层骨干员工的期权激励计划，并已授予完毕，有效将</w:t>
      </w:r>
      <w:r>
        <w:rPr>
          <w:spacing w:val="-62"/>
        </w:rPr>
        <w:t> </w:t>
      </w:r>
      <w:r>
        <w:rPr>
          <w:spacing w:val="-62"/>
        </w:rPr>
      </w:r>
      <w:r>
        <w:rPr/>
        <w:t>员工长远利益与公司利益进行结合，促进了公司业务的快速发展。</w:t>
      </w:r>
    </w:p>
    <w:p>
      <w:pPr>
        <w:pStyle w:val="BodyText"/>
        <w:spacing w:line="300" w:lineRule="auto" w:before="31"/>
        <w:ind w:right="148" w:firstLine="420"/>
        <w:jc w:val="both"/>
      </w:pPr>
      <w:r>
        <w:rPr>
          <w:spacing w:val="-2"/>
        </w:rPr>
        <w:t>（</w:t>
      </w:r>
      <w:r>
        <w:rPr>
          <w:rFonts w:ascii="Times New Roman" w:hAnsi="Times New Roman" w:cs="Times New Roman" w:eastAsia="Times New Roman" w:hint="default"/>
          <w:spacing w:val="-2"/>
        </w:rPr>
        <w:t>5</w:t>
      </w:r>
      <w:r>
        <w:rPr>
          <w:spacing w:val="-2"/>
        </w:rPr>
        <w:t>）公司风险控制管理方面，公司认真落实监管机构对公司的检查意见，加强对内风险控制体系的建设与完善，进一</w:t>
      </w:r>
      <w:r>
        <w:rPr/>
        <w:t> </w:t>
      </w:r>
      <w:r>
        <w:rPr>
          <w:spacing w:val="-2"/>
        </w:rPr>
        <w:t>步规范财务管理工作，提升和落实审计部门的工作效力，规范</w:t>
      </w:r>
      <w:r>
        <w:rPr>
          <w:rFonts w:ascii="Times New Roman" w:hAnsi="Times New Roman" w:cs="Times New Roman" w:eastAsia="Times New Roman" w:hint="default"/>
          <w:spacing w:val="-2"/>
        </w:rPr>
        <w:t>“</w:t>
      </w:r>
      <w:r>
        <w:rPr>
          <w:spacing w:val="-2"/>
        </w:rPr>
        <w:t>三会</w:t>
      </w:r>
      <w:r>
        <w:rPr>
          <w:rFonts w:ascii="Times New Roman" w:hAnsi="Times New Roman" w:cs="Times New Roman" w:eastAsia="Times New Roman" w:hint="default"/>
          <w:spacing w:val="-2"/>
        </w:rPr>
        <w:t>”</w:t>
      </w:r>
      <w:r>
        <w:rPr>
          <w:spacing w:val="-2"/>
        </w:rPr>
        <w:t>工作运行，提升公司治理能力，加强业务管控水平，优</w:t>
      </w:r>
      <w:r>
        <w:rPr>
          <w:spacing w:val="-41"/>
        </w:rPr>
        <w:t> </w:t>
      </w:r>
      <w:r>
        <w:rPr>
          <w:spacing w:val="-41"/>
        </w:rPr>
      </w:r>
      <w:r>
        <w:rPr/>
        <w:t>化内控制度体系，使得公司整体风险管控水平上了一个新台阶。</w:t>
      </w:r>
    </w:p>
    <w:p>
      <w:pPr>
        <w:pStyle w:val="BodyText"/>
        <w:spacing w:line="300" w:lineRule="auto" w:before="31"/>
        <w:ind w:right="0" w:firstLine="420"/>
        <w:jc w:val="left"/>
      </w:pPr>
      <w:r>
        <w:rPr>
          <w:spacing w:val="-2"/>
        </w:rPr>
        <w:t>（</w:t>
      </w:r>
      <w:r>
        <w:rPr>
          <w:rFonts w:ascii="Times New Roman" w:hAnsi="Times New Roman" w:cs="Times New Roman" w:eastAsia="Times New Roman" w:hint="default"/>
          <w:spacing w:val="-2"/>
        </w:rPr>
        <w:t>6</w:t>
      </w:r>
      <w:r>
        <w:rPr>
          <w:spacing w:val="-2"/>
        </w:rPr>
        <w:t>）投资者关系工作方面，切实加强投资者关系建设与维护，及时回复投资者关系互动平台上的提问，认真解决投资</w:t>
      </w:r>
      <w:r>
        <w:rPr/>
        <w:t> 者问题，根据投资者需求，及时组织投资机构交流活动。</w:t>
      </w:r>
    </w:p>
    <w:p>
      <w:pPr>
        <w:spacing w:line="240" w:lineRule="auto" w:before="6"/>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2</w:t>
      </w:r>
      <w:r>
        <w:rPr/>
        <w:t>、报告期内主要经营情况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r>
        <w:rPr/>
        <w:t>（</w:t>
      </w:r>
      <w:r>
        <w:rPr>
          <w:rFonts w:ascii="Times New Roman" w:hAnsi="Times New Roman" w:cs="Times New Roman" w:eastAsia="Times New Roman" w:hint="default"/>
        </w:rPr>
        <w:t>1</w:t>
      </w:r>
      <w:r>
        <w:rPr/>
        <w:t>）主营业务分析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1</w:t>
      </w:r>
      <w:r>
        <w:rPr/>
        <w:t>）概述</w:t>
      </w:r>
    </w:p>
    <w:p>
      <w:pPr>
        <w:pStyle w:val="BodyText"/>
        <w:spacing w:line="316" w:lineRule="auto" w:before="101"/>
        <w:ind w:right="151" w:firstLine="420"/>
        <w:jc w:val="both"/>
      </w:pPr>
      <w:r>
        <w:rPr/>
        <w:t>公司一直专注于电子支付技术领域的发展，以金融POS终端软硬件的设计和研发为核心，从事以金融POS机为主的电子 支付受理终端设备软硬件的生产、研发、销售和租赁，同时以金融POS机等电子支付受理终端设备为载体，向商业银行、中 </w:t>
      </w:r>
      <w:r>
        <w:rPr>
          <w:spacing w:val="-2"/>
        </w:rPr>
        <w:t>国银联、社会第三方收单服务机构提供电子支付技术综合解决方案。报告期内，公司绝大部分收入依然来自国内电子支付受</w:t>
      </w:r>
      <w:r>
        <w:rPr>
          <w:spacing w:val="-66"/>
        </w:rPr>
        <w:t> </w:t>
      </w:r>
      <w:r>
        <w:rPr>
          <w:spacing w:val="-66"/>
        </w:rPr>
      </w:r>
      <w:r>
        <w:rPr/>
        <w:t>理终端市场。</w:t>
      </w:r>
    </w:p>
    <w:p>
      <w:pPr>
        <w:pStyle w:val="BodyText"/>
        <w:spacing w:line="316" w:lineRule="auto" w:before="19"/>
        <w:ind w:right="133" w:firstLine="420"/>
        <w:jc w:val="left"/>
      </w:pPr>
      <w:r>
        <w:rPr>
          <w:spacing w:val="-1"/>
        </w:rPr>
        <w:t>随着计算机信息技术的快速发展、我国电子商务O2O商业模式日益清晰、互联网浪潮加速对经济活动的改造，电子支付</w:t>
      </w:r>
      <w:r>
        <w:rPr/>
        <w:t> </w:t>
      </w:r>
      <w:r>
        <w:rPr>
          <w:spacing w:val="-2"/>
        </w:rPr>
        <w:t>市场持续活跃，预计我国乃至全球电子支付市场将迎来全新的发展时期。公司把握行业发展对电子支付终端和技术需求持续</w:t>
      </w:r>
      <w:r>
        <w:rPr>
          <w:spacing w:val="-64"/>
        </w:rPr>
        <w:t> </w:t>
      </w:r>
      <w:r>
        <w:rPr>
          <w:spacing w:val="-64"/>
        </w:rPr>
      </w:r>
      <w:r>
        <w:rPr/>
        <w:t>旺盛的机会，大力发展市场，营业收入、营业利润均实现快速增长。截止本报告出具之日，根据中国人民银行出具的2014 </w:t>
      </w:r>
      <w:r>
        <w:rPr>
          <w:spacing w:val="-2"/>
        </w:rPr>
        <w:t>年的支付体系运行情况数据，国内电子支付业务继续保持较快增长，预计全国发生的电子支付业务笔数和金额同比分别增长</w:t>
      </w:r>
      <w:r>
        <w:rPr>
          <w:spacing w:val="-64"/>
        </w:rPr>
        <w:t> </w:t>
      </w:r>
      <w:r>
        <w:rPr>
          <w:spacing w:val="-64"/>
        </w:rPr>
      </w:r>
      <w:r>
        <w:rPr>
          <w:spacing w:val="-2"/>
        </w:rPr>
        <w:t>29.28%和30.65%。。随着移动互联网业务的快速发展，移动互联网支付需求旺盛，第三方支付机构设备需求旺盛，全年电子</w:t>
      </w:r>
      <w:r>
        <w:rPr>
          <w:spacing w:val="-54"/>
        </w:rPr>
        <w:t> </w:t>
      </w:r>
      <w:r>
        <w:rPr>
          <w:spacing w:val="-54"/>
        </w:rPr>
      </w:r>
      <w:r>
        <w:rPr/>
        <w:t>支付受理终端设备的总体需求仍然呈现快速上升的态势。</w:t>
      </w:r>
    </w:p>
    <w:p>
      <w:pPr>
        <w:pStyle w:val="BodyText"/>
        <w:spacing w:line="338" w:lineRule="auto" w:before="19"/>
        <w:ind w:right="146" w:firstLine="420"/>
        <w:jc w:val="left"/>
      </w:pPr>
      <w:r>
        <w:rPr>
          <w:spacing w:val="-1"/>
        </w:rPr>
        <w:t>报告期，公司实现营业收入67,820.03万元，同比增长35.86%，营业利润3,583.20万元，同比增长60.61%，实现归属于</w:t>
      </w:r>
      <w:r>
        <w:rPr/>
        <w:t> 上市公司净利润7,958.14万元，同比增长44.85%。公司经营业绩继续在行业内保持领先水平。 </w:t>
      </w:r>
      <w:r>
        <w:rPr>
          <w:rFonts w:ascii="Times New Roman" w:hAnsi="Times New Roman" w:cs="Times New Roman" w:eastAsia="Times New Roman" w:hint="default"/>
        </w:rPr>
        <w:t>2</w:t>
      </w:r>
      <w:r>
        <w:rPr/>
        <w:t>）报告期利润构成或利润来源发生重大变动的说明</w:t>
      </w:r>
    </w:p>
    <w:p>
      <w:pPr>
        <w:pStyle w:val="BodyText"/>
        <w:spacing w:line="240" w:lineRule="auto" w:before="22"/>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240" w:lineRule="auto" w:before="102"/>
        <w:ind w:right="0"/>
        <w:jc w:val="both"/>
      </w:pPr>
      <w:r>
        <w:rPr>
          <w:rFonts w:ascii="Times New Roman" w:hAnsi="Times New Roman" w:cs="Times New Roman" w:eastAsia="Times New Roman" w:hint="default"/>
        </w:rPr>
        <w:t>3</w:t>
      </w:r>
      <w:r>
        <w:rPr/>
        <w:t>）收入</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同比增减情况</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6" w:right="0"/>
              <w:jc w:val="left"/>
              <w:rPr>
                <w:rFonts w:ascii="Times New Roman" w:hAnsi="Times New Roman" w:cs="Times New Roman" w:eastAsia="Times New Roman" w:hint="default"/>
                <w:sz w:val="18"/>
                <w:szCs w:val="18"/>
              </w:rPr>
            </w:pPr>
            <w:r>
              <w:rPr>
                <w:rFonts w:ascii="Times New Roman"/>
                <w:sz w:val="18"/>
              </w:rPr>
              <w:t>678,200,326.93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4" w:right="0"/>
              <w:jc w:val="left"/>
              <w:rPr>
                <w:rFonts w:ascii="Times New Roman" w:hAnsi="Times New Roman" w:cs="Times New Roman" w:eastAsia="Times New Roman" w:hint="default"/>
                <w:sz w:val="18"/>
                <w:szCs w:val="18"/>
              </w:rPr>
            </w:pPr>
            <w:r>
              <w:rPr>
                <w:rFonts w:ascii="Times New Roman"/>
                <w:sz w:val="18"/>
              </w:rPr>
              <w:t>499,177,767.74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35.86%</w:t>
            </w:r>
          </w:p>
        </w:tc>
      </w:tr>
    </w:tbl>
    <w:p>
      <w:pPr>
        <w:pStyle w:val="BodyText"/>
        <w:spacing w:line="357" w:lineRule="auto" w:before="51"/>
        <w:ind w:left="573" w:right="171" w:hanging="420"/>
        <w:jc w:val="left"/>
      </w:pPr>
      <w:r>
        <w:rPr/>
        <w:t>驱动收入变化的因素 公司积极推广创新产品，调整产品结构，稳固主流传统金融机构客户的同时，积极开拓新客户、新市场，使得销售订</w:t>
      </w:r>
    </w:p>
    <w:p>
      <w:pPr>
        <w:pStyle w:val="BodyText"/>
        <w:spacing w:line="224" w:lineRule="exact" w:before="0"/>
        <w:ind w:left="153" w:right="0"/>
        <w:jc w:val="left"/>
      </w:pPr>
      <w:r>
        <w:rPr/>
        <w:t>单增幅较高，带动销售收入增长。</w:t>
      </w:r>
    </w:p>
    <w:p>
      <w:pPr>
        <w:pStyle w:val="BodyText"/>
        <w:spacing w:line="240" w:lineRule="auto" w:before="117"/>
        <w:ind w:left="153" w:right="0"/>
        <w:jc w:val="left"/>
      </w:pPr>
      <w:r>
        <w:rPr/>
        <w:t>公司实物销售收入是否大于劳务收入</w:t>
      </w:r>
    </w:p>
    <w:p>
      <w:pPr>
        <w:pStyle w:val="BodyText"/>
        <w:spacing w:line="240" w:lineRule="auto" w:before="116"/>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行业分类</w:t>
            </w:r>
            <w:r>
              <w:rPr>
                <w:rFonts w:ascii="Times New Roman" w:hAnsi="Times New Roman" w:cs="Times New Roman" w:eastAsia="Times New Roman" w:hint="default"/>
                <w:sz w:val="18"/>
                <w:szCs w:val="18"/>
              </w:rPr>
              <w:t>/</w:t>
            </w:r>
            <w:r>
              <w:rPr>
                <w:rFonts w:ascii="宋体" w:hAnsi="宋体" w:cs="宋体" w:eastAsia="宋体" w:hint="default"/>
                <w:sz w:val="18"/>
                <w:szCs w:val="18"/>
              </w:rPr>
              <w:t>产品</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22" w:right="121"/>
              <w:jc w:val="left"/>
              <w:rPr>
                <w:rFonts w:ascii="宋体" w:hAnsi="宋体" w:cs="宋体" w:eastAsia="宋体" w:hint="default"/>
                <w:sz w:val="18"/>
                <w:szCs w:val="18"/>
              </w:rPr>
            </w:pPr>
            <w:r>
              <w:rPr>
                <w:rFonts w:ascii="宋体" w:hAnsi="宋体" w:cs="宋体" w:eastAsia="宋体" w:hint="default"/>
                <w:sz w:val="18"/>
                <w:szCs w:val="18"/>
              </w:rPr>
              <w:t>银行卡电子支付终 端</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1,074,518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777,441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38.21%</w:t>
            </w:r>
          </w:p>
        </w:tc>
      </w:tr>
      <w:tr>
        <w:trPr>
          <w:trHeight w:val="402"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1,198,436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789,792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51.74%</w:t>
            </w:r>
          </w:p>
        </w:tc>
      </w:tr>
      <w:tr>
        <w:trPr>
          <w:trHeight w:val="402"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126,798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114,023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11.20%</w:t>
            </w:r>
          </w:p>
        </w:tc>
      </w:tr>
    </w:tbl>
    <w:p>
      <w:pPr>
        <w:pStyle w:val="BodyText"/>
        <w:spacing w:line="240" w:lineRule="auto" w:before="51"/>
        <w:ind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spacing w:after="0" w:line="240" w:lineRule="auto"/>
        <w:jc w:val="left"/>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ind w:left="153" w:right="6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316" w:lineRule="auto" w:before="101"/>
        <w:ind w:right="210" w:firstLine="420"/>
        <w:jc w:val="left"/>
      </w:pPr>
      <w:r>
        <w:rPr/>
        <w:t>报告期末销售量同比上升38.21%主要系公司市场渠道拓宽，销售量上升所致；生产量同比上升51.74%主要是公司订单 增加，销售量增大所致。</w:t>
      </w:r>
    </w:p>
    <w:p>
      <w:pPr>
        <w:spacing w:line="240" w:lineRule="auto" w:before="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82" w:top="1060" w:bottom="1180" w:left="980" w:right="940"/>
        </w:sectPr>
      </w:pPr>
    </w:p>
    <w:p>
      <w:pPr>
        <w:pStyle w:val="BodyText"/>
        <w:spacing w:line="240" w:lineRule="auto"/>
        <w:ind w:right="-20"/>
        <w:jc w:val="left"/>
      </w:pPr>
      <w:r>
        <w:rPr/>
        <w:t>公司重大的在手订单情况</w:t>
      </w:r>
    </w:p>
    <w:p>
      <w:pPr>
        <w:pStyle w:val="BodyText"/>
        <w:spacing w:line="338" w:lineRule="auto" w:before="117"/>
        <w:ind w:right="268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数量分散的订单情况</w:t>
      </w:r>
    </w:p>
    <w:p>
      <w:pPr>
        <w:pStyle w:val="BodyText"/>
        <w:spacing w:line="338"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公司报告期内产品或服务发生重大变化或调整有关情况</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240" w:lineRule="auto" w:before="103"/>
        <w:ind w:right="-20"/>
        <w:jc w:val="left"/>
      </w:pPr>
      <w:r>
        <w:rPr>
          <w:rFonts w:ascii="Times New Roman" w:hAnsi="Times New Roman" w:cs="Times New Roman" w:eastAsia="Times New Roman" w:hint="default"/>
        </w:rPr>
        <w:t>4</w:t>
      </w:r>
      <w:r>
        <w:rPr/>
        <w:t>）成本</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3"/>
        <w:ind w:right="0"/>
        <w:jc w:val="left"/>
      </w:pPr>
      <w:r>
        <w:rPr/>
        <w:t>单位：元</w:t>
      </w:r>
    </w:p>
    <w:p>
      <w:pPr>
        <w:spacing w:after="0" w:line="240" w:lineRule="auto"/>
        <w:jc w:val="left"/>
        <w:sectPr>
          <w:type w:val="continuous"/>
          <w:pgSz w:w="11910" w:h="16840"/>
          <w:pgMar w:top="1060" w:bottom="1180" w:left="980" w:right="940"/>
          <w:cols w:num="2" w:equalWidth="0">
            <w:col w:w="4475" w:space="4444"/>
            <w:col w:w="107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2"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353,191,575.89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91.08%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272,455,664.73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88.15%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29.63%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13,676,698.81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15,240,349.89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-10.26%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22,672,143.40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21,379,896.78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387,779,608.18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309,075,911.40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25.46%</w:t>
            </w:r>
          </w:p>
        </w:tc>
      </w:tr>
    </w:tbl>
    <w:p>
      <w:pPr>
        <w:pStyle w:val="BodyText"/>
        <w:spacing w:line="240" w:lineRule="auto" w:before="51"/>
        <w:ind w:right="660"/>
        <w:jc w:val="left"/>
      </w:pPr>
      <w:r>
        <w:rPr>
          <w:rFonts w:ascii="Times New Roman" w:hAnsi="Times New Roman" w:cs="Times New Roman" w:eastAsia="Times New Roman" w:hint="default"/>
        </w:rPr>
        <w:t>5</w:t>
      </w:r>
      <w:r>
        <w:rPr/>
        <w:t>）费用</w:t>
      </w:r>
    </w:p>
    <w:p>
      <w:pPr>
        <w:pStyle w:val="BodyText"/>
        <w:spacing w:line="240" w:lineRule="auto" w:before="102"/>
        <w:ind w:left="0" w:right="191"/>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5"/>
        <w:gridCol w:w="1637"/>
        <w:gridCol w:w="1637"/>
        <w:gridCol w:w="1462"/>
        <w:gridCol w:w="2917"/>
      </w:tblGrid>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98,295,524.31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76,460,971.07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28.56%</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156,945,062.59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109,144,189.66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43.80%</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38"/>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主要系规模扩展</w:t>
            </w:r>
            <w:r>
              <w:rPr>
                <w:rFonts w:ascii="Times New Roman" w:hAnsi="Times New Roman" w:cs="Times New Roman" w:eastAsia="Times New Roman" w:hint="default"/>
                <w:sz w:val="18"/>
                <w:szCs w:val="18"/>
              </w:rPr>
              <w:t>,</w:t>
            </w:r>
            <w:r>
              <w:rPr>
                <w:rFonts w:ascii="宋体" w:hAnsi="宋体" w:cs="宋体" w:eastAsia="宋体" w:hint="default"/>
                <w:sz w:val="18"/>
                <w:szCs w:val="18"/>
              </w:rPr>
              <w:t>薪金及股权激励费 用增加所致</w:t>
            </w:r>
            <w:r>
              <w:rPr>
                <w:rFonts w:ascii="Times New Roman" w:hAnsi="Times New Roman" w:cs="Times New Roman" w:eastAsia="Times New Roman" w:hint="default"/>
                <w:sz w:val="18"/>
                <w:szCs w:val="18"/>
              </w:rPr>
              <w:t>.</w:t>
            </w:r>
          </w:p>
        </w:tc>
      </w:tr>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-12,717,729.87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-14,766,249.01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13.87%</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-2,239,032.20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1,708,663.80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-231.04%</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主要系递延所得税所致</w:t>
            </w:r>
          </w:p>
        </w:tc>
      </w:tr>
    </w:tbl>
    <w:p>
      <w:pPr>
        <w:pStyle w:val="BodyText"/>
        <w:spacing w:line="240" w:lineRule="auto" w:before="51"/>
        <w:ind w:right="660"/>
        <w:jc w:val="left"/>
      </w:pPr>
      <w:r>
        <w:rPr>
          <w:rFonts w:ascii="Times New Roman" w:hAnsi="Times New Roman" w:cs="Times New Roman" w:eastAsia="Times New Roman" w:hint="default"/>
        </w:rPr>
        <w:t>6</w:t>
      </w:r>
      <w:r>
        <w:rPr/>
        <w:t>）研发投入</w:t>
      </w:r>
    </w:p>
    <w:p>
      <w:pPr>
        <w:pStyle w:val="BodyText"/>
        <w:spacing w:line="240" w:lineRule="auto" w:before="103"/>
        <w:ind w:right="6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316" w:lineRule="auto" w:before="101"/>
        <w:ind w:right="120" w:firstLine="420"/>
        <w:jc w:val="left"/>
      </w:pPr>
      <w:r>
        <w:rPr/>
        <w:t>报告期内，公司坚持自主创新，持续加大研发力度，全年研发项目总支出104,188,634.52元，占营业收入的 15.36%， 所有研发支出均作为当期费用核算，未有资本化研发支出。</w:t>
      </w:r>
    </w:p>
    <w:p>
      <w:pPr>
        <w:pStyle w:val="BodyText"/>
        <w:spacing w:line="338" w:lineRule="auto" w:before="19"/>
        <w:ind w:right="91" w:firstLine="420"/>
        <w:jc w:val="left"/>
      </w:pPr>
      <w:r>
        <w:rPr/>
        <w:t>2014年度，公司进行的研发项目主要集中在基于互联网的新产品研发、基于互联网的新技术研发、大型支付系统平台 </w:t>
      </w:r>
      <w:r>
        <w:rPr>
          <w:spacing w:val="-4"/>
        </w:rPr>
        <w:t>软件研发等，这些新产品、新技术和大型平台软件的研发将促进公司的电子支付受理终端设备更加适应未来市场发展的需要。</w:t>
      </w:r>
      <w:r>
        <w:rPr>
          <w:spacing w:val="-44"/>
        </w:rPr>
        <w:t> </w:t>
      </w:r>
      <w:r>
        <w:rPr>
          <w:spacing w:val="-44"/>
        </w:rPr>
      </w:r>
      <w:r>
        <w:rPr/>
        <w:t>近三年公司研发投入金额及占营业收入的比例</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104,188,634.52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76,757,353.10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66,553,514.04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40"/>
        </w:sectPr>
      </w:pPr>
    </w:p>
    <w:p>
      <w:pPr>
        <w:pStyle w:val="BodyText"/>
        <w:spacing w:line="240" w:lineRule="auto" w:before="51"/>
        <w:ind w:right="-20"/>
        <w:jc w:val="left"/>
      </w:pPr>
      <w:r>
        <w:rPr/>
        <w:t>研发投入资本化率大幅变动的原因及其合理性说明</w:t>
      </w:r>
    </w:p>
    <w:p>
      <w:pPr>
        <w:pStyle w:val="BodyText"/>
        <w:spacing w:line="240" w:lineRule="auto" w:before="117"/>
        <w:ind w:left="153"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240" w:lineRule="auto" w:before="102"/>
        <w:ind w:right="-20"/>
        <w:jc w:val="left"/>
      </w:pPr>
      <w:r>
        <w:rPr>
          <w:rFonts w:ascii="Times New Roman" w:hAnsi="Times New Roman" w:cs="Times New Roman" w:eastAsia="Times New Roman" w:hint="default"/>
        </w:rPr>
        <w:t>7</w:t>
      </w:r>
      <w:r>
        <w:rPr/>
        <w:t>）现金流</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pStyle w:val="BodyText"/>
        <w:spacing w:line="240" w:lineRule="auto" w:before="0"/>
        <w:ind w:left="153" w:right="0"/>
        <w:jc w:val="left"/>
      </w:pPr>
      <w:r>
        <w:rPr/>
        <w:t>单位：元</w:t>
      </w:r>
    </w:p>
    <w:p>
      <w:pPr>
        <w:spacing w:after="0" w:line="240" w:lineRule="auto"/>
        <w:jc w:val="left"/>
        <w:sectPr>
          <w:type w:val="continuous"/>
          <w:pgSz w:w="11910" w:h="16840"/>
          <w:pgMar w:top="1060" w:bottom="1180" w:left="980" w:right="940"/>
          <w:cols w:num="2" w:equalWidth="0">
            <w:col w:w="4115" w:space="4804"/>
            <w:col w:w="107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699,860,476.48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599,673,731.54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16.71%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703,727,789.05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564,344,590.52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24.70%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-3,867,312.57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35,329,141.02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-110.95%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16,420,000.00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-56.15%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178,216,532.90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75,031,038.28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137.52%</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-171,016,532.90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-58,611,038.28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-191.78%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12,302,628.02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15,618,641.52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-21.23%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11,430,000.00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872,628.02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9,903,641.52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-91.19%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-174,011,217.45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-13,378,255.74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-1,200.70%</w:t>
            </w:r>
          </w:p>
        </w:tc>
      </w:tr>
    </w:tbl>
    <w:p>
      <w:pPr>
        <w:pStyle w:val="BodyText"/>
        <w:spacing w:line="240" w:lineRule="auto" w:before="51"/>
        <w:ind w:right="66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19" w:lineRule="auto" w:before="103"/>
        <w:ind w:right="1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1.</w:t>
      </w:r>
      <w:r>
        <w:rPr/>
        <w:t>报告期，经营活动现金流量净额同比下降</w:t>
      </w:r>
      <w:r>
        <w:rPr>
          <w:rFonts w:ascii="Times New Roman" w:hAnsi="Times New Roman" w:cs="Times New Roman" w:eastAsia="Times New Roman" w:hint="default"/>
        </w:rPr>
        <w:t>110.95%</w:t>
      </w:r>
      <w:r>
        <w:rPr/>
        <w:t>，主要系公司销售回款增长低，购买商品及支付其他经营活动的现金增 加所致 </w:t>
      </w:r>
      <w:r>
        <w:rPr>
          <w:rFonts w:ascii="Times New Roman" w:hAnsi="Times New Roman" w:cs="Times New Roman" w:eastAsia="Times New Roman" w:hint="default"/>
        </w:rPr>
        <w:t>2.</w:t>
      </w:r>
      <w:r>
        <w:rPr/>
        <w:t>报告期，投资活动现金流入同比下降</w:t>
      </w:r>
      <w:r>
        <w:rPr>
          <w:rFonts w:ascii="Times New Roman" w:hAnsi="Times New Roman" w:cs="Times New Roman" w:eastAsia="Times New Roman" w:hint="default"/>
        </w:rPr>
        <w:t>56.15%</w:t>
      </w:r>
      <w:r>
        <w:rPr/>
        <w:t>，主要系上期收回对肇庆好易联投资款及收到投资收益，而本期未发生所致；</w:t>
      </w:r>
    </w:p>
    <w:p>
      <w:pPr>
        <w:pStyle w:val="BodyText"/>
        <w:spacing w:line="246" w:lineRule="exact" w:before="0"/>
        <w:ind w:right="660"/>
        <w:jc w:val="left"/>
      </w:pPr>
      <w:r>
        <w:rPr>
          <w:rFonts w:ascii="Times New Roman" w:hAnsi="Times New Roman" w:cs="Times New Roman" w:eastAsia="Times New Roman" w:hint="default"/>
        </w:rPr>
        <w:t>3.</w:t>
      </w:r>
      <w:r>
        <w:rPr/>
        <w:t>报告期，投资活动现金流出同比增长</w:t>
      </w:r>
      <w:r>
        <w:rPr>
          <w:rFonts w:ascii="Times New Roman" w:hAnsi="Times New Roman" w:cs="Times New Roman" w:eastAsia="Times New Roman" w:hint="default"/>
        </w:rPr>
        <w:t>137.52%</w:t>
      </w:r>
      <w:r>
        <w:rPr/>
        <w:t>，主要系苏州新国都研发基地施工支出所致；</w:t>
      </w:r>
    </w:p>
    <w:p>
      <w:pPr>
        <w:pStyle w:val="BodyText"/>
        <w:spacing w:line="240" w:lineRule="auto" w:before="63"/>
        <w:ind w:left="153" w:right="660"/>
        <w:jc w:val="left"/>
      </w:pPr>
      <w:r>
        <w:rPr>
          <w:rFonts w:ascii="Times New Roman" w:hAnsi="Times New Roman" w:cs="Times New Roman" w:eastAsia="Times New Roman" w:hint="default"/>
        </w:rPr>
        <w:t>4.</w:t>
      </w:r>
      <w:r>
        <w:rPr/>
        <w:t>报告期，投资活动产生的现金流量净额同比下降</w:t>
      </w:r>
      <w:r>
        <w:rPr>
          <w:rFonts w:ascii="Times New Roman" w:hAnsi="Times New Roman" w:cs="Times New Roman" w:eastAsia="Times New Roman" w:hint="default"/>
        </w:rPr>
        <w:t>191.78%</w:t>
      </w:r>
      <w:r>
        <w:rPr/>
        <w:t>，主要系苏州新国都研发基地施工支出所致；</w:t>
      </w:r>
    </w:p>
    <w:p>
      <w:pPr>
        <w:pStyle w:val="BodyText"/>
        <w:spacing w:line="240" w:lineRule="auto" w:before="63"/>
        <w:ind w:left="153" w:right="660"/>
        <w:jc w:val="left"/>
      </w:pPr>
      <w:r>
        <w:rPr>
          <w:rFonts w:ascii="Times New Roman" w:hAnsi="Times New Roman" w:cs="Times New Roman" w:eastAsia="Times New Roman" w:hint="default"/>
        </w:rPr>
        <w:t>5.</w:t>
      </w:r>
      <w:r>
        <w:rPr/>
        <w:t>报告期，筹资活动现金流出同比增加</w:t>
      </w:r>
      <w:r>
        <w:rPr>
          <w:rFonts w:ascii="Times New Roman" w:hAnsi="Times New Roman" w:cs="Times New Roman" w:eastAsia="Times New Roman" w:hint="default"/>
        </w:rPr>
        <w:t>100%</w:t>
      </w:r>
      <w:r>
        <w:rPr/>
        <w:t>，主要系分配股利增加所致；</w:t>
      </w:r>
    </w:p>
    <w:p>
      <w:pPr>
        <w:pStyle w:val="BodyText"/>
        <w:spacing w:line="240" w:lineRule="auto" w:before="63"/>
        <w:ind w:left="153" w:right="660"/>
        <w:jc w:val="left"/>
      </w:pPr>
      <w:r>
        <w:rPr>
          <w:rFonts w:ascii="Times New Roman" w:hAnsi="Times New Roman" w:cs="Times New Roman" w:eastAsia="Times New Roman" w:hint="default"/>
        </w:rPr>
        <w:t>6.</w:t>
      </w:r>
      <w:r>
        <w:rPr/>
        <w:t>报告期，筹资活动现金流量净额同比下降</w:t>
      </w:r>
      <w:r>
        <w:rPr>
          <w:rFonts w:ascii="Times New Roman" w:hAnsi="Times New Roman" w:cs="Times New Roman" w:eastAsia="Times New Roman" w:hint="default"/>
        </w:rPr>
        <w:t>91.19%</w:t>
      </w:r>
      <w:r>
        <w:rPr/>
        <w:t>，主要系公司</w:t>
      </w:r>
      <w:r>
        <w:rPr>
          <w:rFonts w:ascii="Times New Roman" w:hAnsi="Times New Roman" w:cs="Times New Roman" w:eastAsia="Times New Roman" w:hint="default"/>
        </w:rPr>
        <w:t>2014</w:t>
      </w:r>
      <w:r>
        <w:rPr/>
        <w:t>年分配股利金额相比</w:t>
      </w:r>
      <w:r>
        <w:rPr>
          <w:rFonts w:ascii="Times New Roman" w:hAnsi="Times New Roman" w:cs="Times New Roman" w:eastAsia="Times New Roman" w:hint="default"/>
        </w:rPr>
        <w:t>2013</w:t>
      </w:r>
      <w:r>
        <w:rPr/>
        <w:t>年增加一倍所致；</w:t>
      </w:r>
    </w:p>
    <w:p>
      <w:pPr>
        <w:pStyle w:val="BodyText"/>
        <w:spacing w:line="340" w:lineRule="auto" w:before="63"/>
        <w:ind w:left="153" w:right="91"/>
        <w:jc w:val="left"/>
      </w:pPr>
      <w:r>
        <w:rPr>
          <w:rFonts w:ascii="Times New Roman" w:hAnsi="Times New Roman" w:cs="Times New Roman" w:eastAsia="Times New Roman" w:hint="default"/>
          <w:spacing w:val="-1"/>
        </w:rPr>
        <w:t>7.</w:t>
      </w:r>
      <w:r>
        <w:rPr>
          <w:spacing w:val="-1"/>
        </w:rPr>
        <w:t>报告期，现金及现金等价物净增加额同比下降</w:t>
      </w:r>
      <w:r>
        <w:rPr>
          <w:rFonts w:ascii="Times New Roman" w:hAnsi="Times New Roman" w:cs="Times New Roman" w:eastAsia="Times New Roman" w:hint="default"/>
          <w:spacing w:val="-1"/>
        </w:rPr>
        <w:t>1,200.70%</w:t>
      </w:r>
      <w:r>
        <w:rPr>
          <w:spacing w:val="-1"/>
        </w:rPr>
        <w:t>，主要系公司采购商品货款支付及苏州研发基地工程款支付所致。</w:t>
      </w:r>
      <w:r>
        <w:rPr>
          <w:spacing w:val="-39"/>
        </w:rPr>
        <w:t> </w:t>
      </w:r>
      <w:r>
        <w:rPr>
          <w:spacing w:val="-39"/>
        </w:rPr>
      </w:r>
      <w:r>
        <w:rPr/>
        <w:t>报告期内公司经营活动的现金流量与本年度净利润存在重大差异的原因说明</w:t>
      </w:r>
    </w:p>
    <w:p>
      <w:pPr>
        <w:pStyle w:val="BodyText"/>
        <w:spacing w:line="338" w:lineRule="auto" w:before="41"/>
        <w:ind w:left="153" w:right="73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w:t>
      </w:r>
      <w:r>
        <w:rPr>
          <w:rFonts w:ascii="Times New Roman" w:hAnsi="Times New Roman" w:cs="Times New Roman" w:eastAsia="Times New Roman" w:hint="default"/>
        </w:rPr>
        <w:t>8</w:t>
      </w:r>
      <w:r>
        <w:rPr/>
        <w:t>）公司主要供应商、客户情况 公司主要销售客户情况</w:t>
      </w:r>
    </w:p>
    <w:p>
      <w:pPr>
        <w:spacing w:line="240" w:lineRule="auto" w:before="4"/>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384,604,909.13</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56.72%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40"/>
        </w:sectPr>
      </w:pPr>
    </w:p>
    <w:p>
      <w:pPr>
        <w:spacing w:line="240" w:lineRule="auto" w:before="13"/>
        <w:rPr>
          <w:rFonts w:ascii="宋体" w:hAnsi="宋体" w:cs="宋体" w:eastAsia="宋体" w:hint="default"/>
          <w:sz w:val="25"/>
          <w:szCs w:val="25"/>
        </w:rPr>
      </w:pPr>
    </w:p>
    <w:p>
      <w:pPr>
        <w:pStyle w:val="BodyText"/>
        <w:spacing w:line="240" w:lineRule="auto"/>
        <w:ind w:left="153" w:right="660"/>
        <w:jc w:val="left"/>
      </w:pPr>
      <w:r>
        <w:rPr/>
        <w:t>向单一客户销售比例超过</w:t>
      </w:r>
      <w:r>
        <w:rPr>
          <w:spacing w:val="-46"/>
        </w:rPr>
        <w:t> </w:t>
      </w:r>
      <w:r>
        <w:rPr>
          <w:rFonts w:ascii="Times New Roman" w:hAnsi="Times New Roman" w:cs="Times New Roman" w:eastAsia="Times New Roman" w:hint="default"/>
        </w:rPr>
        <w:t>30%</w:t>
      </w:r>
      <w:r>
        <w:rPr/>
        <w:t>的客户资料</w:t>
      </w:r>
    </w:p>
    <w:p>
      <w:pPr>
        <w:pStyle w:val="BodyText"/>
        <w:spacing w:line="340" w:lineRule="auto" w:before="102"/>
        <w:ind w:right="81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公司主要供应商情况</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132,207,152.50</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36.17%</w:t>
            </w:r>
          </w:p>
        </w:tc>
      </w:tr>
    </w:tbl>
    <w:p>
      <w:pPr>
        <w:pStyle w:val="BodyText"/>
        <w:spacing w:line="240" w:lineRule="auto" w:before="51"/>
        <w:ind w:right="660"/>
        <w:jc w:val="left"/>
      </w:pPr>
      <w:r>
        <w:rPr/>
        <w:t>向单一供应商采购比例超过</w:t>
      </w:r>
      <w:r>
        <w:rPr>
          <w:spacing w:val="-46"/>
        </w:rPr>
        <w:t> </w:t>
      </w:r>
      <w:r>
        <w:rPr>
          <w:rFonts w:ascii="Times New Roman" w:hAnsi="Times New Roman" w:cs="Times New Roman" w:eastAsia="Times New Roman" w:hint="default"/>
        </w:rPr>
        <w:t>30%</w:t>
      </w:r>
      <w:r>
        <w:rPr/>
        <w:t>的客户资料</w:t>
      </w:r>
    </w:p>
    <w:p>
      <w:pPr>
        <w:pStyle w:val="BodyText"/>
        <w:spacing w:line="240" w:lineRule="auto" w:before="103"/>
        <w:ind w:right="6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340" w:lineRule="auto" w:before="102"/>
        <w:ind w:right="4050"/>
        <w:jc w:val="left"/>
      </w:pPr>
      <w:r>
        <w:rPr>
          <w:rFonts w:ascii="Times New Roman" w:hAnsi="Times New Roman" w:cs="Times New Roman" w:eastAsia="Times New Roman" w:hint="default"/>
        </w:rPr>
        <w:t>9</w:t>
      </w:r>
      <w:r>
        <w:rPr/>
        <w:t>）公司未来发展与规划延续至报告期的说明 首次公开发行招股说明书中披露的未来发展与规划在本报告期的实施情况</w:t>
      </w:r>
    </w:p>
    <w:p>
      <w:pPr>
        <w:pStyle w:val="BodyText"/>
        <w:spacing w:line="348" w:lineRule="auto" w:before="40"/>
        <w:ind w:right="54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前期披露的发展战略和经营计划在报告期内的进展情况 </w:t>
      </w:r>
      <w:r>
        <w:rPr>
          <w:rFonts w:ascii="Times New Roman" w:hAnsi="Times New Roman" w:cs="Times New Roman" w:eastAsia="Times New Roman" w:hint="default"/>
        </w:rPr>
        <w:t>2014</w:t>
      </w:r>
      <w:r>
        <w:rPr/>
        <w:t>年，公司的经营计划回顾，具体如下：</w:t>
      </w:r>
    </w:p>
    <w:p>
      <w:pPr>
        <w:pStyle w:val="BodyText"/>
        <w:spacing w:line="222" w:lineRule="exact" w:before="0"/>
        <w:ind w:left="574" w:right="91"/>
        <w:jc w:val="left"/>
      </w:pPr>
      <w:r>
        <w:rPr/>
        <w:t>①推行科学化管理，推广全流程创新：公司完成了</w:t>
      </w:r>
      <w:r>
        <w:rPr>
          <w:rFonts w:ascii="Times New Roman" w:hAnsi="Times New Roman" w:cs="Times New Roman" w:eastAsia="Times New Roman" w:hint="default"/>
        </w:rPr>
        <w:t>104</w:t>
      </w:r>
      <w:r>
        <w:rPr/>
        <w:t>项管理体系和流程的细化工作，涵盖研发、营销、生产、采购和</w:t>
      </w:r>
    </w:p>
    <w:p>
      <w:pPr>
        <w:pStyle w:val="BodyText"/>
        <w:spacing w:line="240" w:lineRule="auto" w:before="63"/>
        <w:ind w:right="660"/>
        <w:jc w:val="left"/>
      </w:pPr>
      <w:r>
        <w:rPr/>
        <w:t>职能部门。</w:t>
      </w:r>
    </w:p>
    <w:p>
      <w:pPr>
        <w:pStyle w:val="BodyText"/>
        <w:spacing w:line="316" w:lineRule="auto" w:before="76"/>
        <w:ind w:right="210" w:firstLine="420"/>
        <w:jc w:val="left"/>
      </w:pPr>
      <w:r>
        <w:rPr/>
        <w:t>②全力开拓国内外市场销售渠道，提高市场占有率：国内市场实现了建设银行的首次招标入围突破，商业银行的销售 金额稳步提升；海外市场销售工作取得长足进步，全年实现销售收入占公司中营业收入的</w:t>
      </w:r>
      <w:r>
        <w:rPr>
          <w:rFonts w:ascii="Times New Roman" w:hAnsi="Times New Roman" w:cs="Times New Roman" w:eastAsia="Times New Roman" w:hint="default"/>
        </w:rPr>
        <w:t>5.41%</w:t>
      </w:r>
      <w:r>
        <w:rPr/>
        <w:t>，较</w:t>
      </w:r>
      <w:r>
        <w:rPr>
          <w:rFonts w:ascii="Times New Roman" w:hAnsi="Times New Roman" w:cs="Times New Roman" w:eastAsia="Times New Roman" w:hint="default"/>
        </w:rPr>
        <w:t>2013</w:t>
      </w:r>
      <w:r>
        <w:rPr/>
        <w:t>年增长</w:t>
      </w:r>
      <w:r>
        <w:rPr>
          <w:rFonts w:ascii="Times New Roman" w:hAnsi="Times New Roman" w:cs="Times New Roman" w:eastAsia="Times New Roman" w:hint="default"/>
        </w:rPr>
        <w:t>801.96%</w:t>
      </w:r>
      <w:r>
        <w:rPr/>
        <w:t>。</w:t>
      </w:r>
    </w:p>
    <w:p>
      <w:pPr>
        <w:pStyle w:val="BodyText"/>
        <w:spacing w:line="307" w:lineRule="auto" w:before="0"/>
        <w:ind w:right="82" w:firstLine="420"/>
        <w:jc w:val="left"/>
      </w:pPr>
      <w:r>
        <w:rPr>
          <w:spacing w:val="-1"/>
        </w:rPr>
        <w:t>③加大研发管理投入，重点投入基于互联网业务模式的新技术、新产品开发与创新，探索基于互联网的运营模式创新：</w:t>
      </w:r>
      <w:r>
        <w:rPr/>
        <w:t> 进一步落实了研发管理流程，重点开发符合国际上最高支付安全认证技术</w:t>
      </w:r>
      <w:r>
        <w:rPr>
          <w:rFonts w:ascii="Times New Roman" w:hAnsi="Times New Roman" w:cs="Times New Roman" w:eastAsia="Times New Roman" w:hint="default"/>
        </w:rPr>
        <w:t>PCI4.0</w:t>
      </w:r>
      <w:r>
        <w:rPr/>
        <w:t>的</w:t>
      </w:r>
      <w:r>
        <w:rPr>
          <w:rFonts w:ascii="Times New Roman" w:hAnsi="Times New Roman" w:cs="Times New Roman" w:eastAsia="Times New Roman" w:hint="default"/>
        </w:rPr>
        <w:t>POS</w:t>
      </w:r>
      <w:r>
        <w:rPr/>
        <w:t>产品和基于</w:t>
      </w:r>
      <w:r>
        <w:rPr>
          <w:rFonts w:ascii="Times New Roman" w:hAnsi="Times New Roman" w:cs="Times New Roman" w:eastAsia="Times New Roman" w:hint="default"/>
        </w:rPr>
        <w:t>O2O</w:t>
      </w:r>
      <w:r>
        <w:rPr/>
        <w:t>商业模式的互联网 </w:t>
      </w:r>
      <w:r>
        <w:rPr>
          <w:rFonts w:ascii="Times New Roman" w:hAnsi="Times New Roman" w:cs="Times New Roman" w:eastAsia="Times New Roman" w:hint="default"/>
        </w:rPr>
        <w:t>POS</w:t>
      </w:r>
      <w:r>
        <w:rPr/>
        <w:t>产品；重点投入人力、物力进行交易平台系统的开发项目，构建基于云平台、云存储技术的交易大数据平台，并根据平 台数据尝试新的运营业务，协助客户开展带有互联网金融服务特点的创新业务。</w:t>
      </w:r>
    </w:p>
    <w:p>
      <w:pPr>
        <w:pStyle w:val="BodyText"/>
        <w:spacing w:line="300" w:lineRule="auto" w:before="26"/>
        <w:ind w:right="195" w:firstLine="420"/>
        <w:jc w:val="left"/>
      </w:pPr>
      <w:r>
        <w:rPr/>
        <w:t>④加大高端人才引进力度，提升人均效能：公司人才学历结构进一步优化，本科以上学历人才占比达到</w:t>
      </w:r>
      <w:r>
        <w:rPr>
          <w:rFonts w:ascii="Times New Roman" w:hAnsi="Times New Roman" w:cs="Times New Roman" w:eastAsia="Times New Roman" w:hint="default"/>
        </w:rPr>
        <w:t>72.42%</w:t>
      </w:r>
      <w:r>
        <w:rPr/>
        <w:t>，研究 生以上学历人才占比达到</w:t>
      </w:r>
      <w:r>
        <w:rPr>
          <w:rFonts w:ascii="Times New Roman" w:hAnsi="Times New Roman" w:cs="Times New Roman" w:eastAsia="Times New Roman" w:hint="default"/>
        </w:rPr>
        <w:t>5.44%</w:t>
      </w:r>
      <w:r>
        <w:rPr/>
        <w:t>，公司人均效能得到提升，人均产出</w:t>
      </w:r>
      <w:r>
        <w:rPr>
          <w:rFonts w:ascii="Times New Roman" w:hAnsi="Times New Roman" w:cs="Times New Roman" w:eastAsia="Times New Roman" w:hint="default"/>
        </w:rPr>
        <w:t>50.98</w:t>
      </w:r>
      <w:r>
        <w:rPr/>
        <w:t>万元，相比去年同期增长</w:t>
      </w:r>
      <w:r>
        <w:rPr>
          <w:rFonts w:ascii="Times New Roman" w:hAnsi="Times New Roman" w:cs="Times New Roman" w:eastAsia="Times New Roman" w:hint="default"/>
        </w:rPr>
        <w:t>5.43%</w:t>
      </w:r>
      <w:r>
        <w:rPr/>
        <w:t>。</w:t>
      </w:r>
    </w:p>
    <w:p>
      <w:pPr>
        <w:pStyle w:val="BodyText"/>
        <w:spacing w:line="316" w:lineRule="auto" w:before="13"/>
        <w:ind w:right="210" w:firstLine="420"/>
        <w:jc w:val="left"/>
      </w:pPr>
      <w:r>
        <w:rPr/>
        <w:t>⑤加强投资者关系建设：加强与投资者的沟通与互动，及时回复投资者互动平台的问题，及时组织投资者交流会，与 投资者进行积极沟通，有效提高了机构投资者在公司股权结构的占比。</w:t>
      </w:r>
    </w:p>
    <w:p>
      <w:pPr>
        <w:pStyle w:val="BodyText"/>
        <w:spacing w:line="240" w:lineRule="auto" w:before="19"/>
        <w:ind w:left="574" w:right="660"/>
        <w:jc w:val="left"/>
      </w:pPr>
      <w:r>
        <w:rPr/>
        <w:t>综上可见，</w:t>
      </w:r>
      <w:r>
        <w:rPr>
          <w:rFonts w:ascii="Times New Roman" w:hAnsi="Times New Roman" w:cs="Times New Roman" w:eastAsia="Times New Roman" w:hint="default"/>
        </w:rPr>
        <w:t>2014</w:t>
      </w:r>
      <w:r>
        <w:rPr/>
        <w:t>年公司经营计划执行情况良好，达到了预期目标。</w:t>
      </w:r>
    </w:p>
    <w:p>
      <w:pPr>
        <w:pStyle w:val="BodyText"/>
        <w:spacing w:line="314" w:lineRule="auto" w:before="63"/>
        <w:ind w:right="189" w:firstLine="420"/>
        <w:jc w:val="both"/>
      </w:pPr>
      <w:r>
        <w:rPr>
          <w:rFonts w:ascii="Times New Roman" w:hAnsi="Times New Roman" w:cs="Times New Roman" w:eastAsia="Times New Roman" w:hint="default"/>
        </w:rPr>
        <w:t>2015</w:t>
      </w:r>
      <w:r>
        <w:rPr/>
        <w:t>年，公司将继续密切关注移动互联网和电子支付行业的发展趋势，以帮助客户降低支付运营业务综合成本、提升 </w:t>
      </w:r>
      <w:r>
        <w:rPr>
          <w:spacing w:val="-2"/>
        </w:rPr>
        <w:t>客户运营效率为目标，主动积累电子支付产业链上下游的核心技术资源，以产品和服务覆盖商户交易活动全流程；积极研究</w:t>
      </w:r>
      <w:r>
        <w:rPr>
          <w:spacing w:val="-66"/>
        </w:rPr>
        <w:t> </w:t>
      </w:r>
      <w:r>
        <w:rPr>
          <w:spacing w:val="-66"/>
        </w:rPr>
      </w:r>
      <w:r>
        <w:rPr>
          <w:spacing w:val="-2"/>
        </w:rPr>
        <w:t>电子支付交易新场景和产品新形态；围绕移动互联网的发展趋势，继续加大互联网运营模式的探索，布局符合未来移动互联</w:t>
      </w:r>
      <w:r>
        <w:rPr>
          <w:spacing w:val="-66"/>
        </w:rPr>
        <w:t> </w:t>
      </w:r>
      <w:r>
        <w:rPr>
          <w:spacing w:val="-66"/>
        </w:rPr>
      </w:r>
      <w:r>
        <w:rPr>
          <w:spacing w:val="-2"/>
        </w:rPr>
        <w:t>网需求的新产品、新技术和新服务；以提升输出管理能力和投融资管理水平为核心，积极打造上市公司投融资平台功能，实</w:t>
      </w:r>
      <w:r>
        <w:rPr>
          <w:spacing w:val="-66"/>
        </w:rPr>
        <w:t> </w:t>
      </w:r>
      <w:r>
        <w:rPr>
          <w:spacing w:val="-66"/>
        </w:rPr>
      </w:r>
      <w:r>
        <w:rPr/>
        <w:t>现公司综合实力的跨越式大发展。</w:t>
      </w:r>
      <w:r>
        <w:rPr>
          <w:rFonts w:ascii="Times New Roman" w:hAnsi="Times New Roman" w:cs="Times New Roman" w:eastAsia="Times New Roman" w:hint="default"/>
        </w:rPr>
        <w:t>2015</w:t>
      </w:r>
      <w:r>
        <w:rPr/>
        <w:t>年，公司的经营计划将主要围绕以下几个方面开展：</w:t>
      </w:r>
    </w:p>
    <w:p>
      <w:pPr>
        <w:pStyle w:val="BodyText"/>
        <w:spacing w:line="240" w:lineRule="auto" w:before="1"/>
        <w:ind w:left="574" w:right="660"/>
        <w:jc w:val="left"/>
      </w:pPr>
      <w:r>
        <w:rPr>
          <w:rFonts w:ascii="Times New Roman" w:hAnsi="Times New Roman" w:cs="Times New Roman" w:eastAsia="Times New Roman" w:hint="default"/>
        </w:rPr>
        <w:t>1</w:t>
      </w:r>
      <w:r>
        <w:rPr/>
        <w:t>）主动积累电子支付产业链上下游的核心技术资源</w:t>
      </w:r>
    </w:p>
    <w:p>
      <w:pPr>
        <w:pStyle w:val="BodyText"/>
        <w:spacing w:line="309" w:lineRule="auto" w:before="63"/>
        <w:ind w:right="138"/>
        <w:jc w:val="both"/>
      </w:pPr>
      <w:r>
        <w:rPr>
          <w:rFonts w:ascii="Times New Roman" w:hAnsi="Times New Roman" w:cs="Times New Roman" w:eastAsia="Times New Roman" w:hint="default"/>
        </w:rPr>
        <w:t>2015</w:t>
      </w:r>
      <w:r>
        <w:rPr/>
        <w:t>年，公司将继续围绕电子支付产业，积极开展基于金融</w:t>
      </w:r>
      <w:r>
        <w:rPr>
          <w:rFonts w:ascii="Times New Roman" w:hAnsi="Times New Roman" w:cs="Times New Roman" w:eastAsia="Times New Roman" w:hint="default"/>
        </w:rPr>
        <w:t>POS</w:t>
      </w:r>
      <w:r>
        <w:rPr/>
        <w:t>终端产品和软件平台技术为核心的产业链上下游技术资源， </w:t>
      </w:r>
      <w:r>
        <w:rPr>
          <w:spacing w:val="-2"/>
        </w:rPr>
        <w:t>以产品和服务覆盖商户交易活动的全流程，重视交易数据的收集、沉淀和分析，结合互联网金融业务模式的发展，研究符合</w:t>
      </w:r>
      <w:r>
        <w:rPr>
          <w:spacing w:val="-66"/>
        </w:rPr>
        <w:t> </w:t>
      </w:r>
      <w:r>
        <w:rPr>
          <w:spacing w:val="-66"/>
        </w:rPr>
      </w:r>
      <w:r>
        <w:rPr/>
        <w:t>金融业务逻辑的产品分析模型，为电子支付运营服务、互联网金融业务提供技术和产品支持。</w:t>
      </w:r>
    </w:p>
    <w:p>
      <w:pPr>
        <w:pStyle w:val="BodyText"/>
        <w:spacing w:line="300" w:lineRule="auto" w:before="24"/>
        <w:ind w:right="91" w:firstLine="420"/>
        <w:jc w:val="left"/>
      </w:pPr>
      <w:r>
        <w:rPr>
          <w:rFonts w:ascii="Times New Roman" w:hAnsi="Times New Roman" w:cs="Times New Roman" w:eastAsia="Times New Roman" w:hint="default"/>
          <w:spacing w:val="-2"/>
        </w:rPr>
        <w:t>2</w:t>
      </w:r>
      <w:r>
        <w:rPr>
          <w:spacing w:val="-2"/>
        </w:rPr>
        <w:t>）继续保持主营业务的稳步增长，加大关键销售渠道的建设，研发重点新产品，争抢电子支付受理设备市场未来发展</w:t>
      </w:r>
      <w:r>
        <w:rPr/>
        <w:t> 的主动权</w:t>
      </w:r>
    </w:p>
    <w:p>
      <w:pPr>
        <w:pStyle w:val="BodyText"/>
        <w:spacing w:line="316" w:lineRule="auto" w:before="31"/>
        <w:ind w:right="189" w:firstLine="420"/>
        <w:jc w:val="both"/>
      </w:pPr>
      <w:r>
        <w:rPr/>
        <w:t>2015年，公司将继续深耕国内电子支付受理终端市场，继续保持并扩大在主流客户如银联、通联、主要商业银行的采 </w:t>
      </w:r>
      <w:r>
        <w:rPr>
          <w:spacing w:val="-2"/>
        </w:rPr>
        <w:t>购份额，积极参与第三方支付市场，抓住市场新变化，继续保持市场领先地位；国外市场，公司将加强海外市场售后服务体</w:t>
      </w:r>
      <w:r>
        <w:rPr>
          <w:spacing w:val="-66"/>
        </w:rPr>
        <w:t> </w:t>
      </w:r>
      <w:r>
        <w:rPr>
          <w:spacing w:val="-66"/>
        </w:rPr>
      </w:r>
      <w:r>
        <w:rPr>
          <w:spacing w:val="-2"/>
        </w:rPr>
        <w:t>系建设投入，巩固已有市场订单，开拓新市场业务。优化公司资源的投入产出比，相比2014年，公司2015年的市场和研发工</w:t>
      </w:r>
      <w:r>
        <w:rPr>
          <w:spacing w:val="-58"/>
        </w:rPr>
        <w:t> </w:t>
      </w:r>
      <w:r>
        <w:rPr>
          <w:spacing w:val="-58"/>
        </w:rPr>
      </w:r>
      <w:r>
        <w:rPr>
          <w:spacing w:val="-2"/>
        </w:rPr>
        <w:t>作策略以突出重点、突出关键为鲜明特色，即通过重点开展重要商业银行的招投标入围工作、产品销售落地工作，重点深入</w:t>
      </w:r>
      <w:r>
        <w:rPr>
          <w:spacing w:val="-66"/>
        </w:rPr>
        <w:t> </w:t>
      </w:r>
      <w:r>
        <w:rPr>
          <w:spacing w:val="-66"/>
        </w:rPr>
      </w:r>
      <w:r>
        <w:rPr>
          <w:spacing w:val="-2"/>
        </w:rPr>
        <w:t>国外已有订单市场；保障主流产品的供货，研发关键性新产品；通过突出重点和关键，聚焦优势资源，力争实现公司营业收</w:t>
      </w:r>
      <w:r>
        <w:rPr>
          <w:spacing w:val="-66"/>
        </w:rPr>
        <w:t> </w:t>
      </w:r>
      <w:r>
        <w:rPr>
          <w:spacing w:val="-66"/>
        </w:rPr>
      </w:r>
      <w:r>
        <w:rPr/>
        <w:t>入平稳较快增长的前提下，抢占电子支付受理终端市场未来发展的主动权。</w:t>
      </w:r>
    </w:p>
    <w:p>
      <w:pPr>
        <w:spacing w:after="0" w:line="316" w:lineRule="auto"/>
        <w:jc w:val="both"/>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4" w:lineRule="auto"/>
        <w:ind w:right="0" w:firstLine="420"/>
        <w:jc w:val="left"/>
      </w:pPr>
      <w:r>
        <w:rPr>
          <w:rFonts w:ascii="Times New Roman" w:hAnsi="Times New Roman" w:cs="Times New Roman" w:eastAsia="Times New Roman" w:hint="default"/>
        </w:rPr>
        <w:t>3</w:t>
      </w:r>
      <w:r>
        <w:rPr/>
        <w:t>）加大基于移动互联网的电子支付技术运营模式的探索，探索基于移动互联网的自有核心业务生态圈 </w:t>
      </w:r>
      <w:r>
        <w:rPr>
          <w:spacing w:val="-2"/>
        </w:rPr>
        <w:t>公司将继续加大基于移动互联网的电子支付技术运营模式的探索，围绕电子支付技术服务的核心业务，构建自有核心业务生</w:t>
      </w:r>
      <w:r>
        <w:rPr>
          <w:spacing w:val="-64"/>
        </w:rPr>
        <w:t> </w:t>
      </w:r>
      <w:r>
        <w:rPr>
          <w:spacing w:val="-64"/>
        </w:rPr>
      </w:r>
      <w:r>
        <w:rPr/>
        <w:t>态圈，建设平台型、多业务领域互相支撑的业务体系。 </w:t>
      </w:r>
      <w:r>
        <w:rPr>
          <w:spacing w:val="-2"/>
        </w:rPr>
        <w:t>公司已经开始着手征信牌照申请工作，将结合电子支付技术服务，以征信业务为手段，促进公司电子支付技术运营模式的完</w:t>
      </w:r>
      <w:r>
        <w:rPr>
          <w:spacing w:val="-66"/>
        </w:rPr>
        <w:t> </w:t>
      </w:r>
      <w:r>
        <w:rPr>
          <w:spacing w:val="-66"/>
        </w:rPr>
      </w:r>
      <w:r>
        <w:rPr/>
        <w:t>善和发展，有利于公司建设自有核心业务生态系统。</w:t>
      </w:r>
    </w:p>
    <w:p>
      <w:pPr>
        <w:pStyle w:val="BodyText"/>
        <w:spacing w:line="309" w:lineRule="auto" w:before="20"/>
        <w:ind w:right="0" w:firstLine="420"/>
        <w:jc w:val="left"/>
      </w:pPr>
      <w:r>
        <w:rPr>
          <w:rFonts w:ascii="Times New Roman" w:hAnsi="Times New Roman" w:cs="Times New Roman" w:eastAsia="Times New Roman" w:hint="default"/>
        </w:rPr>
        <w:t>4</w:t>
      </w:r>
      <w:r>
        <w:rPr/>
        <w:t>）进一步提高公司管理水平，打造平台型公司 </w:t>
      </w:r>
      <w:r>
        <w:rPr>
          <w:spacing w:val="-2"/>
        </w:rPr>
        <w:t>为了支撑公司的未来战略发展，使上市公司充分发挥其资本优势，公司将通过将业务发展与资本市场有机结合，促进公司战</w:t>
      </w:r>
      <w:r>
        <w:rPr>
          <w:spacing w:val="-66"/>
        </w:rPr>
        <w:t> </w:t>
      </w:r>
      <w:r>
        <w:rPr>
          <w:spacing w:val="-66"/>
        </w:rPr>
      </w:r>
      <w:r>
        <w:rPr/>
        <w:t>略转型，使公司成为具备管理输出能力、专业投融资管理能力的平台型公司。</w:t>
      </w:r>
    </w:p>
    <w:p>
      <w:pPr>
        <w:pStyle w:val="BodyText"/>
        <w:spacing w:line="312" w:lineRule="auto" w:before="24"/>
        <w:ind w:right="149" w:firstLine="420"/>
        <w:jc w:val="both"/>
      </w:pPr>
      <w:r>
        <w:rPr>
          <w:rFonts w:ascii="Times New Roman" w:hAnsi="Times New Roman" w:cs="Times New Roman" w:eastAsia="Times New Roman" w:hint="default"/>
        </w:rPr>
        <w:t>2015</w:t>
      </w:r>
      <w:r>
        <w:rPr/>
        <w:t>年，公司将在继</w:t>
      </w:r>
      <w:r>
        <w:rPr>
          <w:rFonts w:ascii="Times New Roman" w:hAnsi="Times New Roman" w:cs="Times New Roman" w:eastAsia="Times New Roman" w:hint="default"/>
        </w:rPr>
        <w:t>IBM</w:t>
      </w:r>
      <w:r>
        <w:rPr/>
        <w:t>、德勤等咨询管理服务项目后，继续投入预算资金，聘请专业管理咨询机构，重点对公司的 </w:t>
      </w:r>
      <w:r>
        <w:rPr>
          <w:spacing w:val="-2"/>
        </w:rPr>
        <w:t>中高层管理团队开展基于业务管理能力、团队领导能力等方面的管理咨询服务；公司还将加强内部风控体系的建设，围绕财</w:t>
      </w:r>
      <w:r>
        <w:rPr>
          <w:spacing w:val="-66"/>
        </w:rPr>
        <w:t> </w:t>
      </w:r>
      <w:r>
        <w:rPr>
          <w:spacing w:val="-66"/>
        </w:rPr>
      </w:r>
      <w:r>
        <w:rPr>
          <w:spacing w:val="-2"/>
        </w:rPr>
        <w:t>务风险管理、法务风险管理、审计管理等三大核心风控模块，进一步完善公司内控制度体系建设，为提升公司风险管理水平</w:t>
      </w:r>
      <w:r>
        <w:rPr>
          <w:spacing w:val="-66"/>
        </w:rPr>
        <w:t> </w:t>
      </w:r>
      <w:r>
        <w:rPr>
          <w:spacing w:val="-66"/>
        </w:rPr>
      </w:r>
      <w:r>
        <w:rPr/>
        <w:t>与能力打下管理基础。</w:t>
      </w:r>
    </w:p>
    <w:p>
      <w:pPr>
        <w:pStyle w:val="BodyText"/>
        <w:spacing w:line="240" w:lineRule="auto" w:before="22"/>
        <w:ind w:left="574" w:right="0"/>
        <w:jc w:val="left"/>
      </w:pPr>
      <w:r>
        <w:rPr>
          <w:rFonts w:ascii="Times New Roman" w:hAnsi="Times New Roman" w:cs="Times New Roman" w:eastAsia="Times New Roman" w:hint="default"/>
        </w:rPr>
        <w:t>5</w:t>
      </w:r>
      <w:r>
        <w:rPr/>
        <w:t>）加强品牌体系建设</w:t>
      </w:r>
    </w:p>
    <w:p>
      <w:pPr>
        <w:pStyle w:val="BodyText"/>
        <w:spacing w:line="300" w:lineRule="auto" w:before="63"/>
        <w:ind w:right="170" w:firstLine="420"/>
        <w:jc w:val="left"/>
      </w:pPr>
      <w:r>
        <w:rPr>
          <w:rFonts w:ascii="Times New Roman" w:hAnsi="Times New Roman" w:cs="Times New Roman" w:eastAsia="Times New Roman" w:hint="default"/>
        </w:rPr>
        <w:t>2015</w:t>
      </w:r>
      <w:r>
        <w:rPr/>
        <w:t>年，公司将加强品牌体系建设工作，根据公司的业务发展需要，理顺现有品牌关系，建设多品牌并行不悖的品牌 管理体系。</w:t>
      </w:r>
    </w:p>
    <w:p>
      <w:pPr>
        <w:pStyle w:val="BodyText"/>
        <w:spacing w:line="316" w:lineRule="auto" w:before="31"/>
        <w:ind w:right="149" w:firstLine="420"/>
        <w:jc w:val="both"/>
      </w:pPr>
      <w:r>
        <w:rPr/>
        <w:t>通过重新打造自有媒体平台，结合社会媒体的宣传推广，更精准、更充分的描述公司业务模式、产品情况和战略发展 </w:t>
      </w:r>
      <w:r>
        <w:rPr>
          <w:spacing w:val="-2"/>
        </w:rPr>
        <w:t>思路，切实提升市场对公司的了解和认同，树立清晰的公司品牌形象；进一步加强与投资者的沟通与交流工作，有效提升公</w:t>
      </w:r>
      <w:r>
        <w:rPr>
          <w:spacing w:val="-66"/>
        </w:rPr>
        <w:t> </w:t>
      </w:r>
      <w:r>
        <w:rPr>
          <w:spacing w:val="-66"/>
        </w:rPr>
      </w:r>
      <w:r>
        <w:rPr/>
        <w:t>司投资者关系工作质量。</w:t>
      </w:r>
    </w:p>
    <w:p>
      <w:pPr>
        <w:pStyle w:val="BodyText"/>
        <w:spacing w:line="240" w:lineRule="auto" w:before="59"/>
        <w:ind w:right="0"/>
        <w:jc w:val="left"/>
      </w:pPr>
      <w:r>
        <w:rPr/>
        <w:t>公司实际经营业绩较曾公开披露过的本年度盈利预测低于或高于</w:t>
      </w:r>
      <w:r>
        <w:rPr>
          <w:spacing w:val="-46"/>
        </w:rPr>
        <w:t> </w:t>
      </w:r>
      <w:r>
        <w:rPr>
          <w:rFonts w:ascii="Times New Roman" w:hAnsi="Times New Roman" w:cs="Times New Roman" w:eastAsia="Times New Roman" w:hint="default"/>
        </w:rPr>
        <w:t>20%</w:t>
      </w:r>
      <w:r>
        <w:rPr/>
        <w:t>以上的差异原因</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）主营业务分部报告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1</w:t>
      </w:r>
      <w:r>
        <w:rPr/>
        <w:t>）报告期主营业务收入及主营业务利润的构成</w:t>
      </w:r>
    </w:p>
    <w:p>
      <w:pPr>
        <w:pStyle w:val="BodyText"/>
        <w:spacing w:line="240" w:lineRule="auto" w:before="102"/>
        <w:ind w:left="0" w:right="151"/>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8"/>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48" w:right="0"/>
              <w:jc w:val="left"/>
              <w:rPr>
                <w:rFonts w:ascii="宋体" w:hAnsi="宋体" w:cs="宋体" w:eastAsia="宋体" w:hint="default"/>
                <w:sz w:val="18"/>
                <w:szCs w:val="18"/>
              </w:rPr>
            </w:pPr>
            <w:r>
              <w:rPr>
                <w:rFonts w:ascii="宋体" w:hAnsi="宋体" w:cs="宋体" w:eastAsia="宋体" w:hint="default"/>
                <w:sz w:val="18"/>
                <w:szCs w:val="18"/>
              </w:rPr>
              <w:t>主营业务利润</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银行卡电子支付终端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678,200,326.93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289,242,602.87</w:t>
            </w:r>
          </w:p>
        </w:tc>
      </w:tr>
      <w:tr>
        <w:trPr>
          <w:trHeight w:val="401"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机销售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666,278,970.54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279,449,390.38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机出租</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4,442,053.58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3,236,456.15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密码器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102,564.10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63,582.10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修配</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1,541,954.41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1,405,672.14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读卡器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5,724,972.98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4,977,690.78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109,811.32</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678,200,326.93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289,242,602.87</w:t>
            </w:r>
          </w:p>
        </w:tc>
      </w:tr>
      <w:tr>
        <w:trPr>
          <w:trHeight w:val="401"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华南区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220,596,511.97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86,507,599.15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华北区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91,478,760.00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40,214,535.70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8"/>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132,475,686.20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56,907,036.28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106,776,505.83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46,993,167.41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47,011,930.75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22,538,263.70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27,325,663.56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9,835,725.32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15,826,556.78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6,129,853.59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36,708,711.84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20,116,421.71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tabs>
                <w:tab w:pos="472" w:val="left" w:leader="none"/>
              </w:tabs>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678,200,326.93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289,242,602.87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pStyle w:val="BodyText"/>
        <w:spacing w:line="240" w:lineRule="auto" w:before="51"/>
        <w:ind w:right="-20"/>
        <w:jc w:val="left"/>
      </w:pPr>
      <w:r>
        <w:rPr>
          <w:rFonts w:ascii="Times New Roman" w:hAnsi="Times New Roman" w:cs="Times New Roman" w:eastAsia="Times New Roman" w:hint="default"/>
        </w:rPr>
        <w:t>2</w:t>
      </w:r>
      <w:r>
        <w:rPr/>
        <w:t>）占比</w:t>
      </w:r>
      <w:r>
        <w:rPr>
          <w:spacing w:val="-46"/>
        </w:rPr>
        <w:t> </w:t>
      </w:r>
      <w:r>
        <w:rPr>
          <w:rFonts w:ascii="Times New Roman" w:hAnsi="Times New Roman" w:cs="Times New Roman" w:eastAsia="Times New Roman" w:hint="default"/>
        </w:rPr>
        <w:t>10%</w:t>
      </w:r>
      <w:r>
        <w:rPr/>
        <w:t>以上的产品、行业或地区情况</w:t>
      </w:r>
    </w:p>
    <w:p>
      <w:pPr>
        <w:pStyle w:val="BodyText"/>
        <w:spacing w:line="240" w:lineRule="auto" w:before="10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left="153" w:right="0"/>
        <w:jc w:val="left"/>
      </w:pPr>
      <w:r>
        <w:rPr/>
        <w:t>单位：元</w:t>
      </w:r>
    </w:p>
    <w:p>
      <w:pPr>
        <w:spacing w:after="0" w:line="240" w:lineRule="auto"/>
        <w:jc w:val="left"/>
        <w:sectPr>
          <w:type w:val="continuous"/>
          <w:pgSz w:w="11910" w:h="16840"/>
          <w:pgMar w:top="1060" w:bottom="1180" w:left="980" w:right="980"/>
          <w:cols w:num="2" w:equalWidth="0">
            <w:col w:w="3499" w:space="5420"/>
            <w:col w:w="103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银行卡电子支付 终端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678,200,326.93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387,779,608.18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25.85%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4.67%</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机销售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666,278,970.54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386,829,580.16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26.85%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5.85%</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220,596,511.97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134,088,912.82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48.42%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91,478,760.00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51,264,224.30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132,475,686.20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75,568,649.92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20.86%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106,776,505.83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59,783,338.42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30.73%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6.66%</w:t>
            </w:r>
          </w:p>
        </w:tc>
      </w:tr>
    </w:tbl>
    <w:p>
      <w:pPr>
        <w:pStyle w:val="BodyText"/>
        <w:spacing w:line="240" w:lineRule="auto" w:before="51"/>
        <w:ind w:right="0"/>
        <w:jc w:val="left"/>
      </w:pPr>
      <w:r>
        <w:rPr>
          <w:rFonts w:ascii="Times New Roman" w:hAnsi="Times New Roman" w:cs="Times New Roman" w:eastAsia="Times New Roman" w:hint="default"/>
        </w:rPr>
        <w:t>3</w:t>
      </w:r>
      <w:r>
        <w:rPr/>
        <w:t>）公司主营业务数据统计口径在报告期发生调整的情况下，公司最近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）资产、负债状况分析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1</w:t>
      </w:r>
      <w:r>
        <w:rPr/>
        <w:t>）资产项目重大变动情况</w:t>
      </w:r>
    </w:p>
    <w:p>
      <w:pPr>
        <w:pStyle w:val="BodyText"/>
        <w:spacing w:line="240" w:lineRule="auto" w:before="102"/>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5"/>
        <w:gridCol w:w="1063"/>
        <w:gridCol w:w="798"/>
        <w:gridCol w:w="2917"/>
      </w:tblGrid>
      <w:tr>
        <w:trPr>
          <w:trHeight w:val="382"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72" w:hRule="exact"/>
        </w:trPr>
        <w:tc>
          <w:tcPr>
            <w:tcW w:w="1368" w:type="dxa"/>
            <w:vMerge/>
            <w:tcBorders>
              <w:left w:val="single" w:sz="4" w:space="0" w:color="000000"/>
              <w:right w:val="single" w:sz="4" w:space="0" w:color="000000"/>
            </w:tcBorders>
            <w:shd w:val="clear" w:color="auto" w:fill="D3D3D3"/>
          </w:tcPr>
          <w:p>
            <w:pPr/>
          </w:p>
        </w:tc>
        <w:tc>
          <w:tcPr>
            <w:tcW w:w="11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tcBorders>
              <w:left w:val="single" w:sz="4" w:space="0" w:color="000000"/>
              <w:right w:val="single" w:sz="4" w:space="0" w:color="000000"/>
            </w:tcBorders>
            <w:shd w:val="clear" w:color="auto" w:fill="D3D3D3"/>
          </w:tcPr>
          <w:p>
            <w:pPr/>
          </w:p>
        </w:tc>
        <w:tc>
          <w:tcPr>
            <w:tcW w:w="291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1"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164"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1195"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291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515,970,004.7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683,052,556.30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54.52%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-17.16%</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299,105,960.4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21.65%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182,477,850.98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14.56%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7.09%</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6" w:right="0"/>
              <w:jc w:val="left"/>
              <w:rPr>
                <w:rFonts w:ascii="Times New Roman" w:hAnsi="Times New Roman" w:cs="Times New Roman" w:eastAsia="Times New Roman" w:hint="default"/>
                <w:sz w:val="18"/>
                <w:szCs w:val="18"/>
              </w:rPr>
            </w:pPr>
            <w:r>
              <w:rPr>
                <w:rFonts w:ascii="Times New Roman"/>
                <w:sz w:val="18"/>
              </w:rPr>
              <w:t>127,407,106.0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114,059,740.80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9.10%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0.12%</w:t>
            </w:r>
          </w:p>
        </w:tc>
        <w:tc>
          <w:tcPr>
            <w:tcW w:w="291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5"/>
        <w:gridCol w:w="1063"/>
        <w:gridCol w:w="798"/>
        <w:gridCol w:w="2917"/>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24,526,601.30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22,062,164.22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26,981,294.82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20,644,745.93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0.30%</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230,792,939.8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16.71%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73,749,092.60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10.82%</w:t>
            </w:r>
          </w:p>
        </w:tc>
        <w:tc>
          <w:tcPr>
            <w:tcW w:w="291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rFonts w:ascii="Times New Roman" w:hAnsi="Times New Roman" w:cs="Times New Roman" w:eastAsia="Times New Roman" w:hint="default"/>
        </w:rPr>
        <w:t>2</w:t>
      </w:r>
      <w:r>
        <w:rPr/>
        <w:t>）负债项目重大变动情况</w:t>
      </w:r>
    </w:p>
    <w:p>
      <w:pPr>
        <w:pStyle w:val="BodyText"/>
        <w:spacing w:line="240" w:lineRule="auto" w:before="103"/>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5"/>
        <w:gridCol w:w="1063"/>
        <w:gridCol w:w="798"/>
        <w:gridCol w:w="291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tcBorders>
              <w:left w:val="single" w:sz="4" w:space="0" w:color="000000"/>
              <w:bottom w:val="single" w:sz="4" w:space="0" w:color="000000"/>
              <w:right w:val="single" w:sz="4" w:space="0" w:color="000000"/>
            </w:tcBorders>
            <w:shd w:val="clear" w:color="auto" w:fill="D3D3D3"/>
          </w:tcPr>
          <w:p>
            <w:pPr/>
          </w:p>
        </w:tc>
        <w:tc>
          <w:tcPr>
            <w:tcW w:w="2917" w:type="dxa"/>
            <w:vMerge/>
            <w:tcBorders>
              <w:left w:val="single" w:sz="4" w:space="0" w:color="000000"/>
              <w:bottom w:val="single" w:sz="4" w:space="0" w:color="000000"/>
              <w:right w:val="single" w:sz="4" w:space="0" w:color="000000"/>
            </w:tcBorders>
            <w:shd w:val="clear" w:color="auto" w:fill="D3D3D3"/>
          </w:tcPr>
          <w:p>
            <w:pPr/>
          </w:p>
        </w:tc>
      </w:tr>
    </w:tbl>
    <w:p>
      <w:pPr>
        <w:pStyle w:val="BodyText"/>
        <w:spacing w:line="240" w:lineRule="auto" w:before="51"/>
        <w:ind w:right="0"/>
        <w:jc w:val="left"/>
      </w:pPr>
      <w:r>
        <w:rPr>
          <w:rFonts w:ascii="Times New Roman" w:hAnsi="Times New Roman" w:cs="Times New Roman" w:eastAsia="Times New Roman" w:hint="default"/>
        </w:rPr>
        <w:t>3</w:t>
      </w:r>
      <w:r>
        <w:rPr/>
        <w:t>）以公允价值计量的资产和负债</w:t>
      </w:r>
    </w:p>
    <w:p>
      <w:pPr>
        <w:pStyle w:val="BodyText"/>
        <w:spacing w:line="240" w:lineRule="auto" w:before="103"/>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）公司竞争能力重大变化分析</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）投资状况分析</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80"/>
        </w:sectPr>
      </w:pPr>
    </w:p>
    <w:p>
      <w:pPr>
        <w:pStyle w:val="BodyText"/>
        <w:spacing w:line="240" w:lineRule="auto"/>
        <w:ind w:right="-20"/>
        <w:jc w:val="left"/>
      </w:pPr>
      <w:r>
        <w:rPr>
          <w:rFonts w:ascii="Times New Roman" w:hAnsi="Times New Roman" w:cs="Times New Roman" w:eastAsia="Times New Roman" w:hint="default"/>
        </w:rPr>
        <w:t>1</w:t>
      </w:r>
      <w:r>
        <w:rPr/>
        <w:t>）对外投资情况</w:t>
      </w:r>
    </w:p>
    <w:p>
      <w:pPr>
        <w:pStyle w:val="BodyText"/>
        <w:spacing w:line="348" w:lineRule="auto" w:before="10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公司报告期无对外投资。 </w:t>
      </w:r>
      <w:r>
        <w:rPr>
          <w:rFonts w:ascii="Times New Roman" w:hAnsi="Times New Roman" w:cs="Times New Roman" w:eastAsia="Times New Roman" w:hint="default"/>
        </w:rPr>
        <w:t>2</w:t>
      </w:r>
      <w:r>
        <w:rPr/>
        <w:t>）募集资金使用情况</w:t>
      </w:r>
    </w:p>
    <w:p>
      <w:pPr>
        <w:pStyle w:val="BodyText"/>
        <w:spacing w:line="240" w:lineRule="auto" w:before="1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240" w:lineRule="auto" w:before="103"/>
        <w:ind w:right="-20"/>
        <w:jc w:val="left"/>
      </w:pPr>
      <w:r>
        <w:rPr>
          <w:rFonts w:ascii="Times New Roman" w:hAnsi="Times New Roman" w:cs="Times New Roman" w:eastAsia="Times New Roman" w:hint="default"/>
        </w:rPr>
        <w:t>1.</w:t>
      </w:r>
      <w:r>
        <w:rPr/>
        <w:t>募集资金总体使用情况</w:t>
      </w:r>
    </w:p>
    <w:p>
      <w:pPr>
        <w:pStyle w:val="BodyText"/>
        <w:spacing w:line="240" w:lineRule="auto" w:before="10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2"/>
        <w:ind w:left="153" w:right="0"/>
        <w:jc w:val="left"/>
      </w:pPr>
      <w:r>
        <w:rPr/>
        <w:t>单位：万元</w:t>
      </w:r>
    </w:p>
    <w:p>
      <w:pPr>
        <w:spacing w:after="0" w:line="240" w:lineRule="auto"/>
        <w:jc w:val="left"/>
        <w:sectPr>
          <w:type w:val="continuous"/>
          <w:pgSz w:w="11910" w:h="16840"/>
          <w:pgMar w:top="1060" w:bottom="1180" w:left="980" w:right="980"/>
          <w:cols w:num="2" w:equalWidth="0">
            <w:col w:w="2135" w:space="6604"/>
            <w:col w:w="1211"/>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pStyle w:val="BodyText"/>
        <w:spacing w:line="240" w:lineRule="auto"/>
        <w:ind w:left="0" w:right="159"/>
        <w:jc w:val="right"/>
      </w:pPr>
      <w:r>
        <w:rPr/>
        <w:pict>
          <v:shape style="position:absolute;margin-left:56.459999pt;margin-top:-157.087997pt;width:479.1pt;height:221.7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00"/>
                    <w:gridCol w:w="5467"/>
                  </w:tblGrid>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64,633.4</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25,320.24</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51,711.27</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610"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年度公司募集资金总额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64,633.49 </w:t>
                        </w:r>
                        <w:r>
                          <w:rPr>
                            <w:rFonts w:ascii="宋体" w:hAnsi="宋体" w:cs="宋体" w:eastAsia="宋体" w:hint="default"/>
                            <w:spacing w:val="-3"/>
                            <w:sz w:val="18"/>
                            <w:szCs w:val="18"/>
                          </w:rPr>
                          <w:t>万元，其中超募资金金额为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41,016.4 </w:t>
                        </w:r>
                        <w:r>
                          <w:rPr>
                            <w:rFonts w:ascii="宋体" w:hAnsi="宋体" w:cs="宋体" w:eastAsia="宋体" w:hint="default"/>
                            <w:spacing w:val="-5"/>
                            <w:sz w:val="18"/>
                            <w:szCs w:val="18"/>
                          </w:rPr>
                          <w:t>万元。截至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日，公司已累计投</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入募集资金</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51,711.27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万元，其中运营销售服务网络建设项目实施完毕，电子支付终端设备运营项目已使用</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3,041.83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日召开第三届董事会第七次会议审议通过《关于终止部分募投项目并将剩余募集资金永久补充流动</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资金的议案</w:t>
                        </w:r>
                        <w:r>
                          <w:rPr>
                            <w:rFonts w:ascii="宋体" w:hAnsi="宋体" w:cs="宋体" w:eastAsia="宋体" w:hint="default"/>
                            <w:spacing w:val="-90"/>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终止部分电子支付终端设备运营项目并将剩余募集资金永久补充流动资金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14.18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r>
                          <w:rPr>
                            <w:rFonts w:ascii="宋体" w:hAnsi="宋体" w:cs="宋体" w:eastAsia="宋体" w:hint="default"/>
                            <w:spacing w:val="-8"/>
                            <w:sz w:val="18"/>
                            <w:szCs w:val="18"/>
                          </w:rPr>
                          <w:t>元</w:t>
                        </w:r>
                        <w:r>
                          <w:rPr>
                            <w:rFonts w:ascii="宋体" w:hAnsi="宋体" w:cs="宋体" w:eastAsia="宋体" w:hint="default"/>
                            <w:sz w:val="18"/>
                            <w:szCs w:val="18"/>
                          </w:rPr>
                          <w:t>（含利息</w:t>
                        </w:r>
                        <w:r>
                          <w:rPr>
                            <w:rFonts w:ascii="宋体" w:hAnsi="宋体" w:cs="宋体" w:eastAsia="宋体" w:hint="default"/>
                            <w:spacing w:val="-90"/>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具体情</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况请参考下表</w:t>
                        </w:r>
                        <w:r>
                          <w:rPr>
                            <w:rFonts w:ascii="Times New Roman" w:hAnsi="Times New Roman" w:cs="Times New Roman" w:eastAsia="Times New Roman" w:hint="default"/>
                            <w:sz w:val="18"/>
                            <w:szCs w:val="18"/>
                          </w:rPr>
                          <w:t>“</w:t>
                        </w:r>
                        <w:r>
                          <w:rPr>
                            <w:rFonts w:ascii="宋体" w:hAnsi="宋体" w:cs="宋体" w:eastAsia="宋体" w:hint="default"/>
                            <w:sz w:val="18"/>
                            <w:szCs w:val="18"/>
                          </w:rPr>
                          <w:t>项目可行性发生重大变化的情况说明</w:t>
                        </w:r>
                        <w:r>
                          <w:rPr>
                            <w:rFonts w:ascii="Times New Roman" w:hAnsi="Times New Roman" w:cs="Times New Roman" w:eastAsia="Times New Roman" w:hint="default"/>
                            <w:sz w:val="18"/>
                            <w:szCs w:val="18"/>
                          </w:rPr>
                          <w:t>”</w:t>
                        </w:r>
                        <w:r>
                          <w:rPr>
                            <w:rFonts w:ascii="宋体" w:hAnsi="宋体" w:cs="宋体" w:eastAsia="宋体" w:hint="default"/>
                            <w:sz w:val="18"/>
                            <w:szCs w:val="18"/>
                          </w:rPr>
                          <w:t>；电子支付技术产研基地建设项目已使用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15,049.25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万元，未使用完</w:t>
                        </w:r>
                      </w:p>
                    </w:tc>
                  </w:tr>
                </w:tbl>
                <w:p>
                  <w:pPr/>
                </w:p>
              </w:txbxContent>
            </v:textbox>
            <w10:wrap type="none"/>
          </v:shape>
        </w:pict>
      </w:r>
      <w:r>
        <w:rPr/>
        <w:t>，</w:t>
      </w:r>
    </w:p>
    <w:p>
      <w:pPr>
        <w:spacing w:after="0" w:line="240" w:lineRule="auto"/>
        <w:jc w:val="right"/>
        <w:sectPr>
          <w:type w:val="continuous"/>
          <w:pgSz w:w="11910" w:h="16840"/>
          <w:pgMar w:top="1060" w:bottom="1180" w:left="980" w:right="980"/>
        </w:sectPr>
      </w:pPr>
    </w:p>
    <w:p>
      <w:pPr>
        <w:spacing w:line="240" w:lineRule="auto" w:before="11"/>
        <w:rPr>
          <w:rFonts w:ascii="宋体" w:hAnsi="宋体" w:cs="宋体" w:eastAsia="宋体" w:hint="default"/>
          <w:sz w:val="28"/>
          <w:szCs w:val="28"/>
        </w:rPr>
      </w:pPr>
    </w:p>
    <w:p>
      <w:pPr>
        <w:spacing w:line="362" w:lineRule="exact"/>
        <w:ind w:left="154" w:right="0" w:firstLine="0"/>
        <w:rPr>
          <w:rFonts w:ascii="宋体" w:hAnsi="宋体" w:cs="宋体" w:eastAsia="宋体" w:hint="default"/>
          <w:sz w:val="20"/>
          <w:szCs w:val="20"/>
        </w:rPr>
      </w:pPr>
      <w:r>
        <w:rPr>
          <w:rFonts w:ascii="宋体" w:hAnsi="宋体" w:cs="宋体" w:eastAsia="宋体" w:hint="default"/>
          <w:position w:val="-6"/>
          <w:sz w:val="20"/>
          <w:szCs w:val="20"/>
        </w:rPr>
        <w:pict>
          <v:shape style="width:478.4pt;height:18.150pt;mso-position-horizontal-relative:char;mso-position-vertical-relative:line" type="#_x0000_t202" filled="false" stroked="true" strokeweight=".47998pt" strokecolor="#000000">
            <w10:anchorlock/>
            <v:textbox inset="0,0,0,0">
              <w:txbxContent>
                <w:p>
                  <w:pPr>
                    <w:pStyle w:val="BodyText"/>
                    <w:spacing w:line="240" w:lineRule="auto" w:before="11"/>
                    <w:ind w:left="22" w:right="0"/>
                    <w:jc w:val="left"/>
                  </w:pPr>
                  <w:r>
                    <w:rPr/>
                    <w:t>毕的资金将继续用于项目的运行与建设，超募资金已使用</w:t>
                  </w:r>
                  <w:r>
                    <w:rPr>
                      <w:spacing w:val="-46"/>
                    </w:rPr>
                    <w:t> </w:t>
                  </w:r>
                  <w:r>
                    <w:rPr>
                      <w:rFonts w:ascii="Times New Roman" w:hAnsi="Times New Roman" w:cs="Times New Roman" w:eastAsia="Times New Roman" w:hint="default"/>
                    </w:rPr>
                    <w:t>30,822.69</w:t>
                  </w:r>
                  <w:r>
                    <w:rPr>
                      <w:rFonts w:ascii="Times New Roman" w:hAnsi="Times New Roman" w:cs="Times New Roman" w:eastAsia="Times New Roman" w:hint="default"/>
                      <w:spacing w:val="-1"/>
                    </w:rPr>
                    <w:t> </w:t>
                  </w:r>
                  <w:r>
                    <w:rPr/>
                    <w:t>万元。</w:t>
                  </w:r>
                </w:p>
              </w:txbxContent>
            </v:textbox>
          </v:shape>
        </w:pict>
      </w:r>
      <w:r>
        <w:rPr>
          <w:rFonts w:ascii="宋体" w:hAnsi="宋体" w:cs="宋体" w:eastAsia="宋体" w:hint="default"/>
          <w:position w:val="-6"/>
          <w:sz w:val="20"/>
          <w:szCs w:val="20"/>
        </w:rPr>
      </w:r>
    </w:p>
    <w:p>
      <w:pPr>
        <w:spacing w:after="0" w:line="362" w:lineRule="exact"/>
        <w:rPr>
          <w:rFonts w:ascii="宋体" w:hAnsi="宋体" w:cs="宋体" w:eastAsia="宋体" w:hint="default"/>
          <w:sz w:val="20"/>
          <w:szCs w:val="20"/>
        </w:rPr>
        <w:sectPr>
          <w:pgSz w:w="11910" w:h="16840"/>
          <w:pgMar w:header="747" w:footer="982" w:top="1060" w:bottom="1180" w:left="980" w:right="980"/>
        </w:sectPr>
      </w:pPr>
    </w:p>
    <w:p>
      <w:pPr>
        <w:pStyle w:val="BodyText"/>
        <w:spacing w:line="240" w:lineRule="auto" w:before="56"/>
        <w:ind w:right="-9"/>
        <w:jc w:val="left"/>
      </w:pPr>
      <w:r>
        <w:rPr>
          <w:rFonts w:ascii="Times New Roman" w:hAnsi="Times New Roman" w:cs="Times New Roman" w:eastAsia="Times New Roman" w:hint="default"/>
          <w:spacing w:val="-1"/>
        </w:rPr>
        <w:t>2.</w:t>
      </w:r>
      <w:r>
        <w:rPr>
          <w:spacing w:val="-1"/>
        </w:rPr>
        <w:t>募集资金承诺项目情况</w:t>
      </w:r>
    </w:p>
    <w:p>
      <w:pPr>
        <w:pStyle w:val="BodyText"/>
        <w:spacing w:line="240" w:lineRule="auto" w:before="103"/>
        <w:ind w:left="153" w:right="-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2"/>
          <w:szCs w:val="22"/>
        </w:rPr>
      </w:pPr>
    </w:p>
    <w:p>
      <w:pPr>
        <w:pStyle w:val="BodyText"/>
        <w:spacing w:line="240" w:lineRule="auto" w:before="0"/>
        <w:ind w:left="153" w:right="0"/>
        <w:jc w:val="left"/>
      </w:pPr>
      <w:r>
        <w:rPr/>
        <w:t>单位：万元</w:t>
      </w:r>
    </w:p>
    <w:p>
      <w:pPr>
        <w:spacing w:after="0" w:line="240" w:lineRule="auto"/>
        <w:jc w:val="left"/>
        <w:sectPr>
          <w:type w:val="continuous"/>
          <w:pgSz w:w="11910" w:h="16840"/>
          <w:pgMar w:top="1060" w:bottom="1180" w:left="980" w:right="980"/>
          <w:cols w:num="2" w:equalWidth="0">
            <w:col w:w="2089" w:space="6650"/>
            <w:col w:w="121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22"/>
        <w:gridCol w:w="644"/>
        <w:gridCol w:w="90"/>
        <w:gridCol w:w="720"/>
        <w:gridCol w:w="721"/>
        <w:gridCol w:w="720"/>
        <w:gridCol w:w="706"/>
        <w:gridCol w:w="739"/>
        <w:gridCol w:w="720"/>
        <w:gridCol w:w="722"/>
        <w:gridCol w:w="722"/>
        <w:gridCol w:w="721"/>
        <w:gridCol w:w="722"/>
      </w:tblGrid>
      <w:tr>
        <w:trPr>
          <w:trHeight w:val="1650" w:hRule="exact"/>
        </w:trPr>
        <w:tc>
          <w:tcPr>
            <w:tcW w:w="1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361" w:right="79"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2" w:lineRule="auto"/>
              <w:ind w:left="66" w:right="55"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85" w:right="83"/>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6" w:right="83"/>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3" w:right="84"/>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85" w:right="68"/>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87" w:right="70"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0" w:lineRule="auto"/>
              <w:ind w:left="48"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85" w:right="83"/>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6" w:right="84"/>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85" w:right="85"/>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5" w:right="84"/>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86" w:right="84"/>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1" w:hRule="exact"/>
        </w:trPr>
        <w:tc>
          <w:tcPr>
            <w:tcW w:w="9570"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22" w:right="19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运营销售服务网 络建设项目</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73" w:right="0"/>
              <w:jc w:val="left"/>
              <w:rPr>
                <w:rFonts w:ascii="Times New Roman" w:hAnsi="Times New Roman" w:cs="Times New Roman" w:eastAsia="Times New Roman" w:hint="default"/>
                <w:sz w:val="18"/>
                <w:szCs w:val="18"/>
              </w:rPr>
            </w:pPr>
            <w:r>
              <w:rPr>
                <w:rFonts w:ascii="Times New Roman"/>
                <w:sz w:val="18"/>
              </w:rPr>
              <w:t>2,690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2,690</w:t>
            </w:r>
          </w:p>
        </w:tc>
        <w:tc>
          <w:tcPr>
            <w:tcW w:w="72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z w:val="18"/>
              </w:rPr>
              <w:t>1,967.88</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73.16%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9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电子支付终端设 备运营项目</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3" w:right="0"/>
              <w:jc w:val="left"/>
              <w:rPr>
                <w:rFonts w:ascii="Times New Roman" w:hAnsi="Times New Roman" w:cs="Times New Roman" w:eastAsia="Times New Roman" w:hint="default"/>
                <w:sz w:val="18"/>
                <w:szCs w:val="18"/>
              </w:rPr>
            </w:pPr>
            <w:r>
              <w:rPr>
                <w:rFonts w:ascii="Times New Roman"/>
                <w:sz w:val="18"/>
              </w:rPr>
              <w:t>5,621</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5,621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594.53</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z w:val="18"/>
              </w:rPr>
              <w:t>3,041.83</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54.12%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318.32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1,359.11</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22" w:right="19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电子支付技术产 研基地建设项目</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15,306</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15,306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9,103.01</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15,049.2</w:t>
            </w:r>
          </w:p>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z w:val="18"/>
              </w:rPr>
              <w:t>5</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98.32%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9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项目结余永久补 充流动资金</w:t>
            </w:r>
          </w:p>
        </w:tc>
        <w:tc>
          <w:tcPr>
            <w:tcW w:w="644" w:type="dxa"/>
            <w:tcBorders>
              <w:top w:val="single" w:sz="4" w:space="0" w:color="000000"/>
              <w:left w:val="single" w:sz="4" w:space="0" w:color="000000"/>
              <w:bottom w:val="single" w:sz="4" w:space="0" w:color="000000"/>
              <w:right w:val="single" w:sz="4" w:space="0" w:color="000000"/>
            </w:tcBorders>
          </w:tcPr>
          <w:p>
            <w:pPr/>
          </w:p>
        </w:tc>
        <w:tc>
          <w:tcPr>
            <w:tcW w:w="810" w:type="dxa"/>
            <w:gridSpan w:val="2"/>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829.61</w:t>
            </w:r>
          </w:p>
        </w:tc>
        <w:tc>
          <w:tcPr>
            <w:tcW w:w="739"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6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center"/>
              <w:rPr>
                <w:rFonts w:ascii="Times New Roman" w:hAnsi="Times New Roman" w:cs="Times New Roman" w:eastAsia="Times New Roman" w:hint="default"/>
                <w:sz w:val="18"/>
                <w:szCs w:val="18"/>
              </w:rPr>
            </w:pPr>
            <w:r>
              <w:rPr>
                <w:rFonts w:ascii="Times New Roman"/>
                <w:sz w:val="18"/>
              </w:rPr>
              <w:t>--</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23,617</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23,617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9,697.54</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
              <w:jc w:val="right"/>
              <w:rPr>
                <w:rFonts w:ascii="Times New Roman" w:hAnsi="Times New Roman" w:cs="Times New Roman" w:eastAsia="Times New Roman" w:hint="default"/>
                <w:sz w:val="18"/>
                <w:szCs w:val="18"/>
              </w:rPr>
            </w:pPr>
            <w:r>
              <w:rPr>
                <w:rFonts w:ascii="Times New Roman"/>
                <w:sz w:val="18"/>
              </w:rPr>
              <w:t>20,888.5</w:t>
            </w:r>
          </w:p>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z w:val="18"/>
              </w:rPr>
              <w:t>7</w:t>
            </w:r>
          </w:p>
        </w:tc>
        <w:tc>
          <w:tcPr>
            <w:tcW w:w="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318.32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1,359.11</w:t>
            </w:r>
          </w:p>
        </w:tc>
        <w:tc>
          <w:tcPr>
            <w:tcW w:w="7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94"/>
              <w:jc w:val="righ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9570"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6"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22" w:right="1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电子支付技术苏州 研发基地项目</w:t>
            </w:r>
          </w:p>
        </w:tc>
        <w:tc>
          <w:tcPr>
            <w:tcW w:w="7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25,684.6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25,684.6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7,422.70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12,422.</w:t>
            </w:r>
          </w:p>
          <w:p>
            <w:pPr>
              <w:pStyle w:val="TableParagraph"/>
              <w:spacing w:line="240" w:lineRule="auto" w:before="105"/>
              <w:ind w:left="458" w:right="0"/>
              <w:jc w:val="left"/>
              <w:rPr>
                <w:rFonts w:ascii="Times New Roman" w:hAnsi="Times New Roman" w:cs="Times New Roman" w:eastAsia="Times New Roman" w:hint="default"/>
                <w:sz w:val="18"/>
                <w:szCs w:val="18"/>
              </w:rPr>
            </w:pPr>
            <w:r>
              <w:rPr>
                <w:rFonts w:ascii="Times New Roman"/>
                <w:sz w:val="18"/>
              </w:rPr>
              <w:t>70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48.37%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收购瑞柏泰公司</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股权</w:t>
            </w:r>
          </w:p>
        </w:tc>
        <w:tc>
          <w:tcPr>
            <w:tcW w:w="7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54"/>
              <w:jc w:val="right"/>
              <w:rPr>
                <w:rFonts w:ascii="Times New Roman" w:hAnsi="Times New Roman" w:cs="Times New Roman" w:eastAsia="Times New Roman" w:hint="default"/>
                <w:sz w:val="18"/>
                <w:szCs w:val="18"/>
              </w:rPr>
            </w:pPr>
            <w:r>
              <w:rPr>
                <w:rFonts w:ascii="Times New Roman"/>
                <w:sz w:val="18"/>
              </w:rPr>
              <w:t>2,000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263.24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479.24</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47"/>
              <w:jc w:val="left"/>
              <w:rPr>
                <w:rFonts w:ascii="宋体" w:hAnsi="宋体" w:cs="宋体" w:eastAsia="宋体" w:hint="default"/>
                <w:sz w:val="18"/>
                <w:szCs w:val="18"/>
              </w:rPr>
            </w:pPr>
            <w:r>
              <w:rPr>
                <w:rFonts w:ascii="宋体" w:hAnsi="宋体" w:cs="宋体" w:eastAsia="宋体" w:hint="default"/>
                <w:sz w:val="18"/>
                <w:szCs w:val="18"/>
              </w:rPr>
              <w:t>补充流动资金（如 有）</w:t>
            </w:r>
          </w:p>
        </w:tc>
        <w:tc>
          <w:tcPr>
            <w:tcW w:w="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16,400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16,400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4"/>
              <w:jc w:val="right"/>
              <w:rPr>
                <w:rFonts w:ascii="Times New Roman" w:hAnsi="Times New Roman" w:cs="Times New Roman" w:eastAsia="Times New Roman" w:hint="default"/>
                <w:sz w:val="18"/>
                <w:szCs w:val="18"/>
              </w:rPr>
            </w:pPr>
            <w:r>
              <w:rPr>
                <w:rFonts w:ascii="Times New Roman"/>
                <w:sz w:val="18"/>
              </w:rPr>
              <w:t>16,400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94"/>
              <w:jc w:val="right"/>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44,084.6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44,084.6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15,622.7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30,822.</w:t>
            </w:r>
          </w:p>
          <w:p>
            <w:pPr>
              <w:pStyle w:val="TableParagraph"/>
              <w:spacing w:line="240" w:lineRule="auto" w:before="105"/>
              <w:ind w:left="458" w:right="0"/>
              <w:jc w:val="left"/>
              <w:rPr>
                <w:rFonts w:ascii="Times New Roman" w:hAnsi="Times New Roman" w:cs="Times New Roman" w:eastAsia="Times New Roman" w:hint="default"/>
                <w:sz w:val="18"/>
                <w:szCs w:val="18"/>
              </w:rPr>
            </w:pPr>
            <w:r>
              <w:rPr>
                <w:rFonts w:ascii="Times New Roman"/>
                <w:sz w:val="18"/>
              </w:rPr>
              <w:t>70</w:t>
            </w:r>
          </w:p>
        </w:tc>
        <w:tc>
          <w:tcPr>
            <w:tcW w:w="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4"/>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263.24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479.24</w:t>
            </w:r>
          </w:p>
        </w:tc>
        <w:tc>
          <w:tcPr>
            <w:tcW w:w="7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94"/>
              <w:jc w:val="right"/>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67,701.6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67,701.6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25,320.2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0"/>
              <w:jc w:val="left"/>
              <w:rPr>
                <w:rFonts w:ascii="Times New Roman" w:hAnsi="Times New Roman" w:cs="Times New Roman" w:eastAsia="Times New Roman" w:hint="default"/>
                <w:sz w:val="18"/>
                <w:szCs w:val="18"/>
              </w:rPr>
            </w:pPr>
            <w:r>
              <w:rPr>
                <w:rFonts w:ascii="Times New Roman"/>
                <w:sz w:val="18"/>
              </w:rPr>
              <w:t>51,711.</w:t>
            </w:r>
          </w:p>
          <w:p>
            <w:pPr>
              <w:pStyle w:val="TableParagraph"/>
              <w:spacing w:line="240" w:lineRule="auto" w:before="105"/>
              <w:ind w:left="458" w:right="0"/>
              <w:jc w:val="left"/>
              <w:rPr>
                <w:rFonts w:ascii="Times New Roman" w:hAnsi="Times New Roman" w:cs="Times New Roman" w:eastAsia="Times New Roman" w:hint="default"/>
                <w:sz w:val="18"/>
                <w:szCs w:val="18"/>
              </w:rPr>
            </w:pPr>
            <w:r>
              <w:rPr>
                <w:rFonts w:ascii="Times New Roman"/>
                <w:sz w:val="18"/>
              </w:rPr>
              <w:t>27</w:t>
            </w:r>
          </w:p>
        </w:tc>
        <w:tc>
          <w:tcPr>
            <w:tcW w:w="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4"/>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581.56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1,838.35</w:t>
            </w:r>
          </w:p>
        </w:tc>
        <w:tc>
          <w:tcPr>
            <w:tcW w:w="7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94"/>
              <w:jc w:val="right"/>
              <w:rPr>
                <w:rFonts w:ascii="Times New Roman" w:hAnsi="Times New Roman" w:cs="Times New Roman" w:eastAsia="Times New Roman" w:hint="default"/>
                <w:sz w:val="18"/>
                <w:szCs w:val="18"/>
              </w:rPr>
            </w:pPr>
            <w:r>
              <w:rPr>
                <w:rFonts w:ascii="Times New Roman"/>
                <w:sz w:val="18"/>
              </w:rPr>
              <w:t>--</w:t>
            </w:r>
          </w:p>
        </w:tc>
      </w:tr>
      <w:tr>
        <w:trPr>
          <w:trHeight w:val="1610" w:hRule="exact"/>
        </w:trPr>
        <w:tc>
          <w:tcPr>
            <w:tcW w:w="1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26"/>
                <w:szCs w:val="26"/>
              </w:rPr>
            </w:pPr>
          </w:p>
          <w:p>
            <w:pPr>
              <w:pStyle w:val="TableParagraph"/>
              <w:spacing w:line="316" w:lineRule="auto"/>
              <w:ind w:left="22" w:right="-31"/>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948"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3"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电子支付终端设备运营项目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的实施进度未能达到计划进度和预计收益，具体原因为：</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p>
            <w:pPr>
              <w:pStyle w:val="TableParagraph"/>
              <w:spacing w:line="307" w:lineRule="auto" w:before="61"/>
              <w:ind w:left="33" w:right="19"/>
              <w:jc w:val="both"/>
              <w:rPr>
                <w:rFonts w:ascii="宋体" w:hAnsi="宋体" w:cs="宋体" w:eastAsia="宋体" w:hint="default"/>
                <w:sz w:val="18"/>
                <w:szCs w:val="18"/>
              </w:rPr>
            </w:pPr>
            <w:r>
              <w:rPr>
                <w:rFonts w:ascii="宋体" w:hAnsi="宋体" w:cs="宋体" w:eastAsia="宋体" w:hint="default"/>
                <w:sz w:val="18"/>
                <w:szCs w:val="18"/>
              </w:rPr>
              <w:t>月，中国人民银行发布中国人民银行令【</w:t>
            </w:r>
            <w:r>
              <w:rPr>
                <w:rFonts w:ascii="Times New Roman" w:hAnsi="Times New Roman" w:cs="Times New Roman" w:eastAsia="Times New Roman" w:hint="default"/>
                <w:sz w:val="18"/>
                <w:szCs w:val="18"/>
              </w:rPr>
              <w:t>2010</w:t>
            </w:r>
            <w:r>
              <w:rPr>
                <w:rFonts w:ascii="宋体" w:hAnsi="宋体" w:cs="宋体" w:eastAsia="宋体" w:hint="default"/>
                <w:sz w:val="18"/>
                <w:szCs w:val="18"/>
              </w:rPr>
              <w:t>】第</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号文件《非金融机构支付服务管理办法》（以下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简称</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12"/>
                <w:sz w:val="18"/>
                <w:szCs w:val="18"/>
              </w:rPr>
              <w:t> </w:t>
            </w:r>
            <w:r>
              <w:rPr>
                <w:rFonts w:ascii="宋体" w:hAnsi="宋体" w:cs="宋体" w:eastAsia="宋体" w:hint="default"/>
                <w:spacing w:val="-4"/>
                <w:sz w:val="18"/>
                <w:szCs w:val="18"/>
              </w:rPr>
              <w:t>号令</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），根据该办法规定，国内非金融机构从事网上支付、预付卡的发行与受理、银行卡收单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服务等业务的，必须通过中国人民银行审批，并获得相关业务许可证书。电子支付终端设备运营项目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的运营内容主要为与广州羊城通有限公司合作开展基于</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羊城通</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公交卡的小额支付合作运营业务，以</w:t>
            </w:r>
          </w:p>
        </w:tc>
      </w:tr>
    </w:tbl>
    <w:p>
      <w:pPr>
        <w:spacing w:after="0" w:line="307" w:lineRule="auto"/>
        <w:jc w:val="both"/>
        <w:rPr>
          <w:rFonts w:ascii="宋体" w:hAnsi="宋体" w:cs="宋体" w:eastAsia="宋体" w:hint="default"/>
          <w:sz w:val="18"/>
          <w:szCs w:val="18"/>
        </w:rPr>
        <w:sectPr>
          <w:type w:val="continuous"/>
          <w:pgSz w:w="11910" w:h="16840"/>
          <w:pgMar w:top="1060" w:bottom="1180" w:left="980" w:right="980"/>
        </w:sectPr>
      </w:pPr>
    </w:p>
    <w:p>
      <w:pPr>
        <w:spacing w:line="240" w:lineRule="auto" w:before="0"/>
        <w:rPr>
          <w:rFonts w:ascii="宋体" w:hAnsi="宋体" w:cs="宋体" w:eastAsia="宋体" w:hint="default"/>
          <w:sz w:val="20"/>
          <w:szCs w:val="20"/>
        </w:rPr>
      </w:pPr>
      <w:r>
        <w:rPr/>
        <w:pict>
          <v:shape style="position:absolute;margin-left:56.459999pt;margin-top:71.999962pt;width:479.25pt;height:693.3pt;mso-position-horizontal-relative:page;mso-position-vertical-relative:page;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33"/>
                    <w:gridCol w:w="7937"/>
                  </w:tblGrid>
                  <w:tr>
                    <w:trPr>
                      <w:trHeight w:val="4770" w:hRule="exact"/>
                    </w:trPr>
                    <w:tc>
                      <w:tcPr>
                        <w:tcW w:w="163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3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20"/>
                          <w:jc w:val="both"/>
                          <w:rPr>
                            <w:rFonts w:ascii="宋体" w:hAnsi="宋体" w:cs="宋体" w:eastAsia="宋体" w:hint="default"/>
                            <w:sz w:val="18"/>
                            <w:szCs w:val="18"/>
                          </w:rPr>
                        </w:pPr>
                        <w:r>
                          <w:rPr>
                            <w:rFonts w:ascii="宋体" w:hAnsi="宋体" w:cs="宋体" w:eastAsia="宋体" w:hint="default"/>
                            <w:sz w:val="18"/>
                            <w:szCs w:val="18"/>
                          </w:rPr>
                          <w:t>及为商业银行、第三方提供设备租赁服务。由于受到</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号令实施和审批进度的影响，以及广州羊城通 </w:t>
                        </w:r>
                        <w:r>
                          <w:rPr>
                            <w:rFonts w:ascii="宋体" w:hAnsi="宋体" w:cs="宋体" w:eastAsia="宋体" w:hint="default"/>
                            <w:spacing w:val="-1"/>
                            <w:sz w:val="18"/>
                            <w:szCs w:val="18"/>
                          </w:rPr>
                          <w:t>有限公司在申领预付卡发行与受理牌照的进度限制，本项目的的实施进度缓慢，项目一直未能达到预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计收益。截止至</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日，广州羊城通有限公司仍未能取得预付卡发行与受理牌照，对公司</w:t>
                        </w:r>
                      </w:p>
                      <w:p>
                        <w:pPr>
                          <w:pStyle w:val="TableParagraph"/>
                          <w:spacing w:line="314" w:lineRule="auto" w:before="5"/>
                          <w:ind w:left="22" w:right="20"/>
                          <w:jc w:val="left"/>
                          <w:rPr>
                            <w:rFonts w:ascii="宋体" w:hAnsi="宋体" w:cs="宋体" w:eastAsia="宋体" w:hint="default"/>
                            <w:sz w:val="18"/>
                            <w:szCs w:val="18"/>
                          </w:rPr>
                        </w:pPr>
                        <w:r>
                          <w:rPr>
                            <w:rFonts w:ascii="宋体" w:hAnsi="宋体" w:cs="宋体" w:eastAsia="宋体" w:hint="default"/>
                            <w:sz w:val="18"/>
                            <w:szCs w:val="18"/>
                          </w:rPr>
                          <w:t>电子支付终端设备运营项目直接产生影响。鉴于上述情况，公司于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日召开第三届董事 </w:t>
                        </w:r>
                        <w:r>
                          <w:rPr>
                            <w:rFonts w:ascii="宋体" w:hAnsi="宋体" w:cs="宋体" w:eastAsia="宋体" w:hint="default"/>
                            <w:spacing w:val="-3"/>
                            <w:sz w:val="18"/>
                            <w:szCs w:val="18"/>
                          </w:rPr>
                          <w:t>会第七次会议审议通过《关于终止部分募投项目并将剩余募集资金永久补充流动资金的议案》，终止</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部分电子支付终端设备运营项目并将剩余募集资金永久补充流动资金</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3,114.18 </w:t>
                        </w:r>
                        <w:r>
                          <w:rPr>
                            <w:rFonts w:ascii="宋体" w:hAnsi="宋体" w:cs="宋体" w:eastAsia="宋体" w:hint="default"/>
                            <w:spacing w:val="-12"/>
                            <w:sz w:val="18"/>
                            <w:szCs w:val="18"/>
                          </w:rPr>
                          <w:t>万元（含利息）。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电子支付技术产研基地建设项目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（原募集资金承诺投资项目，实施地点：南京）的实施进度未 能达到计划进度和预计收益，具体原因为：政府原本规定的项目土地建设规划要点由</w:t>
                        </w:r>
                        <w:r>
                          <w:rPr>
                            <w:rFonts w:ascii="Times New Roman" w:hAnsi="Times New Roman" w:cs="Times New Roman" w:eastAsia="Times New Roman" w:hint="default"/>
                            <w:sz w:val="18"/>
                            <w:szCs w:val="18"/>
                          </w:rPr>
                          <w:t>“</w:t>
                        </w:r>
                        <w:r>
                          <w:rPr>
                            <w:rFonts w:ascii="宋体" w:hAnsi="宋体" w:cs="宋体" w:eastAsia="宋体" w:hint="default"/>
                            <w:sz w:val="18"/>
                            <w:szCs w:val="18"/>
                          </w:rPr>
                          <w:t>建筑容积率</w:t>
                        </w:r>
                      </w:p>
                      <w:p>
                        <w:pPr>
                          <w:pStyle w:val="TableParagraph"/>
                          <w:spacing w:line="240" w:lineRule="auto" w:before="1"/>
                          <w:ind w:left="22" w:right="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0.7</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
                            <w:sz w:val="18"/>
                            <w:szCs w:val="18"/>
                          </w:rPr>
                          <w:t>R</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，建筑密度</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
                            <w:sz w:val="18"/>
                            <w:szCs w:val="18"/>
                          </w:rPr>
                          <w:t>30%</w:t>
                        </w:r>
                        <w:r>
                          <w:rPr>
                            <w:rFonts w:ascii="宋体" w:hAnsi="宋体" w:cs="宋体" w:eastAsia="宋体" w:hint="default"/>
                            <w:spacing w:val="-2"/>
                            <w:sz w:val="18"/>
                            <w:szCs w:val="18"/>
                          </w:rPr>
                          <w:t>，建筑高度</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
                            <w:sz w:val="18"/>
                            <w:szCs w:val="18"/>
                          </w:rPr>
                          <w:t>15</w:t>
                        </w:r>
                        <w:r>
                          <w:rPr>
                            <w:rFonts w:ascii="Times New Roman" w:hAnsi="Times New Roman" w:cs="Times New Roman" w:eastAsia="Times New Roman" w:hint="default"/>
                            <w:sz w:val="18"/>
                            <w:szCs w:val="18"/>
                          </w:rPr>
                          <w:t> </w:t>
                        </w:r>
                        <w:r>
                          <w:rPr>
                            <w:rFonts w:ascii="宋体" w:hAnsi="宋体" w:cs="宋体" w:eastAsia="宋体" w:hint="default"/>
                            <w:spacing w:val="-2"/>
                            <w:sz w:val="18"/>
                            <w:szCs w:val="18"/>
                          </w:rPr>
                          <w:t>米，绿地率</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
                            <w:sz w:val="18"/>
                            <w:szCs w:val="18"/>
                          </w:rPr>
                          <w:t>45%”</w:t>
                        </w:r>
                        <w:r>
                          <w:rPr>
                            <w:rFonts w:ascii="宋体" w:hAnsi="宋体" w:cs="宋体" w:eastAsia="宋体" w:hint="default"/>
                            <w:spacing w:val="-2"/>
                            <w:sz w:val="18"/>
                            <w:szCs w:val="18"/>
                          </w:rPr>
                          <w:t>变更为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建筑容积率</w:t>
                        </w:r>
                        <w:r>
                          <w:rPr>
                            <w:rFonts w:ascii="宋体" w:hAnsi="宋体" w:cs="宋体" w:eastAsia="宋体" w:hint="default"/>
                            <w:spacing w:val="-21"/>
                            <w:sz w:val="18"/>
                            <w:szCs w:val="18"/>
                          </w:rPr>
                          <w:t> </w:t>
                        </w:r>
                        <w:r>
                          <w:rPr>
                            <w:rFonts w:ascii="Times New Roman" w:hAnsi="Times New Roman" w:cs="Times New Roman" w:eastAsia="Times New Roman" w:hint="default"/>
                            <w:spacing w:val="-2"/>
                            <w:sz w:val="18"/>
                            <w:szCs w:val="18"/>
                          </w:rPr>
                          <w:t>0.7</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
                            <w:sz w:val="18"/>
                            <w:szCs w:val="18"/>
                          </w:rPr>
                          <w:t>R</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，建筑密度</w:t>
                        </w:r>
                      </w:p>
                      <w:p>
                        <w:pPr>
                          <w:pStyle w:val="TableParagraph"/>
                          <w:spacing w:line="300" w:lineRule="auto" w:before="63"/>
                          <w:ind w:left="22" w:right="2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
                            <w:sz w:val="18"/>
                            <w:szCs w:val="18"/>
                          </w:rPr>
                          <w:t>30%</w:t>
                        </w:r>
                        <w:r>
                          <w:rPr>
                            <w:rFonts w:ascii="宋体" w:hAnsi="宋体" w:cs="宋体" w:eastAsia="宋体" w:hint="default"/>
                            <w:spacing w:val="-2"/>
                            <w:sz w:val="18"/>
                            <w:szCs w:val="18"/>
                          </w:rPr>
                          <w:t>，建筑高度</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
                            <w:sz w:val="18"/>
                            <w:szCs w:val="18"/>
                          </w:rPr>
                          <w:t>10</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米，绿地率</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45%”</w:t>
                        </w:r>
                        <w:r>
                          <w:rPr>
                            <w:rFonts w:ascii="宋体" w:hAnsi="宋体" w:cs="宋体" w:eastAsia="宋体" w:hint="default"/>
                            <w:spacing w:val="-1"/>
                            <w:sz w:val="18"/>
                            <w:szCs w:val="18"/>
                          </w:rPr>
                          <w:t>，建设规划要点的变更导致南京项目土地的原定建设方案无法</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正常实施，且根据新的建设规划要点，项目地块已经无法满足公司使用需求。该项目于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月</w:t>
                        </w:r>
                      </w:p>
                      <w:p>
                        <w:pPr>
                          <w:pStyle w:val="TableParagraph"/>
                          <w:spacing w:line="312" w:lineRule="auto" w:before="13"/>
                          <w:ind w:left="22"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26 </w:t>
                        </w:r>
                        <w:r>
                          <w:rPr>
                            <w:rFonts w:ascii="宋体" w:hAnsi="宋体" w:cs="宋体" w:eastAsia="宋体" w:hint="default"/>
                            <w:spacing w:val="-4"/>
                            <w:sz w:val="18"/>
                            <w:szCs w:val="18"/>
                          </w:rPr>
                          <w:t>日，经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年度股东大会审议通过，公司已将该项目建设内容和投资资金分别迁移至深圳、苏州 </w:t>
                        </w:r>
                        <w:r>
                          <w:rPr>
                            <w:rFonts w:ascii="宋体" w:hAnsi="宋体" w:cs="宋体" w:eastAsia="宋体" w:hint="default"/>
                            <w:spacing w:val="-1"/>
                            <w:sz w:val="18"/>
                            <w:szCs w:val="18"/>
                          </w:rPr>
                          <w:t>两地实施，其中在深圳，由公司通过租赁厂房的方式实施电子支付设备生产中心；在苏州，由公司的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控股子公司苏州新国都电子技术有限公司实施电子支付技术研发中心建设项目。变更后项目实施情况</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详见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）募集资金变更项目情况</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5746" w:hRule="exact"/>
                    </w:trPr>
                    <w:tc>
                      <w:tcPr>
                        <w:tcW w:w="1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2" w:right="158"/>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93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9"/>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、用超募资金增资深圳市易联技术有限公司（以下简称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易联技术</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）开展</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电子支付服务项目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，项目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可行性发生重大变化，具体情况为：随着</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号令的推行，国内第三方支付市场发生重大变化，且市场 </w:t>
                        </w:r>
                        <w:r>
                          <w:rPr>
                            <w:rFonts w:ascii="宋体" w:hAnsi="宋体" w:cs="宋体" w:eastAsia="宋体" w:hint="default"/>
                            <w:spacing w:val="-1"/>
                            <w:sz w:val="18"/>
                            <w:szCs w:val="18"/>
                          </w:rPr>
                          <w:t>竞争不断加剧。易联技术开展电子支付服务项目，主要是为了推进小额支付运营业务的进展，计划申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领预付卡发行和受理业务。由于公司的小额支付运营业务受到阻碍，导致本项目无法实际开展，造成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项目可行性发生重大变化。</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8"/>
                            <w:sz w:val="18"/>
                            <w:szCs w:val="18"/>
                          </w:rPr>
                          <w:t> </w:t>
                        </w:r>
                        <w:r>
                          <w:rPr>
                            <w:rFonts w:ascii="宋体" w:hAnsi="宋体" w:cs="宋体" w:eastAsia="宋体" w:hint="default"/>
                            <w:spacing w:val="-10"/>
                            <w:sz w:val="18"/>
                            <w:szCs w:val="18"/>
                          </w:rPr>
                          <w:t>日，经</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年第一次临时股东大会审议通过了《审议终止</w:t>
                        </w:r>
                      </w:p>
                      <w:p>
                        <w:pPr>
                          <w:pStyle w:val="TableParagraph"/>
                          <w:spacing w:line="302" w:lineRule="auto" w:before="5"/>
                          <w:ind w:left="22" w:right="271"/>
                          <w:jc w:val="left"/>
                          <w:rPr>
                            <w:rFonts w:ascii="宋体" w:hAnsi="宋体" w:cs="宋体" w:eastAsia="宋体" w:hint="default"/>
                            <w:sz w:val="18"/>
                            <w:szCs w:val="18"/>
                          </w:rPr>
                        </w:pPr>
                        <w:r>
                          <w:rPr>
                            <w:rFonts w:ascii="宋体" w:hAnsi="宋体" w:cs="宋体" w:eastAsia="宋体" w:hint="default"/>
                            <w:sz w:val="18"/>
                            <w:szCs w:val="18"/>
                          </w:rPr>
                          <w:t>深圳市易联技术有限公司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电子支付服务项目</w:t>
                        </w:r>
                        <w:r>
                          <w:rPr>
                            <w:rFonts w:ascii="Times New Roman" w:hAnsi="Times New Roman" w:cs="Times New Roman" w:eastAsia="Times New Roman" w:hint="default"/>
                            <w:sz w:val="18"/>
                            <w:szCs w:val="18"/>
                          </w:rPr>
                          <w:t>”</w:t>
                        </w:r>
                        <w:r>
                          <w:rPr>
                            <w:rFonts w:ascii="宋体" w:hAnsi="宋体" w:cs="宋体" w:eastAsia="宋体" w:hint="default"/>
                            <w:sz w:val="18"/>
                            <w:szCs w:val="18"/>
                          </w:rPr>
                          <w:t>并退回其他与主营业务相关的营运资金 </w:t>
                        </w:r>
                        <w:r>
                          <w:rPr>
                            <w:rFonts w:ascii="Times New Roman" w:hAnsi="Times New Roman" w:cs="Times New Roman" w:eastAsia="Times New Roman" w:hint="default"/>
                            <w:sz w:val="18"/>
                            <w:szCs w:val="18"/>
                          </w:rPr>
                          <w:t>1 </w:t>
                        </w:r>
                        <w:r>
                          <w:rPr>
                            <w:rFonts w:ascii="宋体" w:hAnsi="宋体" w:cs="宋体" w:eastAsia="宋体" w:hint="default"/>
                            <w:sz w:val="18"/>
                            <w:szCs w:val="18"/>
                          </w:rPr>
                          <w:t>亿元的议 </w:t>
                        </w:r>
                        <w:r>
                          <w:rPr>
                            <w:rFonts w:ascii="宋体" w:hAnsi="宋体" w:cs="宋体" w:eastAsia="宋体" w:hint="default"/>
                            <w:spacing w:val="-4"/>
                            <w:sz w:val="18"/>
                            <w:szCs w:val="18"/>
                          </w:rPr>
                          <w:t>案》，终止该项目的实施，以提高超募资金的使用效率。</w:t>
                        </w:r>
                      </w:p>
                      <w:p>
                        <w:pPr>
                          <w:pStyle w:val="TableParagraph"/>
                          <w:spacing w:line="309" w:lineRule="auto" w:before="68"/>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、电子支付终端设备运营项目：</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月，中国人民银行发布中国人民银行令【</w:t>
                        </w:r>
                        <w:r>
                          <w:rPr>
                            <w:rFonts w:ascii="Times New Roman" w:hAnsi="Times New Roman" w:cs="Times New Roman" w:eastAsia="Times New Roman" w:hint="default"/>
                            <w:sz w:val="18"/>
                            <w:szCs w:val="18"/>
                          </w:rPr>
                          <w:t>2010</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号文 </w:t>
                        </w:r>
                        <w:r>
                          <w:rPr>
                            <w:rFonts w:ascii="宋体" w:hAnsi="宋体" w:cs="宋体" w:eastAsia="宋体" w:hint="default"/>
                            <w:spacing w:val="-4"/>
                            <w:sz w:val="18"/>
                            <w:szCs w:val="18"/>
                          </w:rPr>
                          <w:t>件《非金融机构支付服务管理办法》（以下简称</w:t>
                        </w:r>
                        <w:r>
                          <w:rPr>
                            <w:rFonts w:ascii="Times New Roman" w:hAnsi="Times New Roman" w:cs="Times New Roman" w:eastAsia="Times New Roman" w:hint="default"/>
                            <w:spacing w:val="-4"/>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号令</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），根据该办法规定，国内非金融机构从事网</w:t>
                        </w:r>
                        <w:r>
                          <w:rPr>
                            <w:rFonts w:ascii="宋体" w:hAnsi="宋体" w:cs="宋体" w:eastAsia="宋体" w:hint="default"/>
                            <w:sz w:val="18"/>
                            <w:szCs w:val="18"/>
                          </w:rPr>
                          <w:t> </w:t>
                        </w:r>
                        <w:r>
                          <w:rPr>
                            <w:rFonts w:ascii="宋体" w:hAnsi="宋体" w:cs="宋体" w:eastAsia="宋体" w:hint="default"/>
                            <w:spacing w:val="-1"/>
                            <w:sz w:val="18"/>
                            <w:szCs w:val="18"/>
                          </w:rPr>
                          <w:t>上支付、预付卡的发行与受理、银行卡收单服务等业务的，必须通过中国人民银行审批，并获得相关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业务许可证书。电子支付终端设备运营项目的运营内容主要为与广州羊城通有限公司合作开展基于 </w:t>
                        </w:r>
                        <w:r>
                          <w:rPr>
                            <w:rFonts w:ascii="Times New Roman" w:hAnsi="Times New Roman" w:cs="Times New Roman" w:eastAsia="Times New Roman" w:hint="default"/>
                            <w:sz w:val="18"/>
                            <w:szCs w:val="18"/>
                          </w:rPr>
                          <w:t>“</w:t>
                        </w:r>
                        <w:r>
                          <w:rPr>
                            <w:rFonts w:ascii="宋体" w:hAnsi="宋体" w:cs="宋体" w:eastAsia="宋体" w:hint="default"/>
                            <w:sz w:val="18"/>
                            <w:szCs w:val="18"/>
                          </w:rPr>
                          <w:t>羊城通</w:t>
                        </w:r>
                        <w:r>
                          <w:rPr>
                            <w:rFonts w:ascii="Times New Roman" w:hAnsi="Times New Roman" w:cs="Times New Roman" w:eastAsia="Times New Roman" w:hint="default"/>
                            <w:sz w:val="18"/>
                            <w:szCs w:val="18"/>
                          </w:rPr>
                          <w:t>”</w:t>
                        </w:r>
                        <w:r>
                          <w:rPr>
                            <w:rFonts w:ascii="宋体" w:hAnsi="宋体" w:cs="宋体" w:eastAsia="宋体" w:hint="default"/>
                            <w:sz w:val="18"/>
                            <w:szCs w:val="18"/>
                          </w:rPr>
                          <w:t>公交卡的小额支付合作运营业务，以及为商业银行、第三方提供设备租赁服务。由于受到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 </w:t>
                        </w:r>
                        <w:r>
                          <w:rPr>
                            <w:rFonts w:ascii="宋体" w:hAnsi="宋体" w:cs="宋体" w:eastAsia="宋体" w:hint="default"/>
                            <w:spacing w:val="-1"/>
                            <w:sz w:val="18"/>
                            <w:szCs w:val="18"/>
                          </w:rPr>
                          <w:t>号令实施和审批进度的影响，以及广州羊城通有限公司在申领预付卡发行与受理牌照的进度限制，本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项目的实施进度缓慢，项目一直未能达到预计收益。截止至</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日，广州羊城通有限公司 </w:t>
                        </w:r>
                        <w:r>
                          <w:rPr>
                            <w:rFonts w:ascii="宋体" w:hAnsi="宋体" w:cs="宋体" w:eastAsia="宋体" w:hint="default"/>
                            <w:spacing w:val="-3"/>
                            <w:sz w:val="18"/>
                            <w:szCs w:val="18"/>
                          </w:rPr>
                          <w:t>仍未能取得预付卡发行与受理牌照，对公司电子支付终端设备运营项目直接产生影响。鉴于上述情况</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日召开第三届董事会第七次会议审议通过《关于终止部分募投项目并将剩余募 </w:t>
                        </w:r>
                        <w:r>
                          <w:rPr>
                            <w:rFonts w:ascii="宋体" w:hAnsi="宋体" w:cs="宋体" w:eastAsia="宋体" w:hint="default"/>
                            <w:spacing w:val="-3"/>
                            <w:sz w:val="18"/>
                            <w:szCs w:val="18"/>
                          </w:rPr>
                          <w:t>集资金永久补充流动资金的议案》，终止部分电子支付终端设备运营项目并将剩余募集资金永久补充</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流动资金</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3,114.18</w:t>
                        </w:r>
                        <w:r>
                          <w:rPr>
                            <w:rFonts w:ascii="Times New Roman" w:hAnsi="Times New Roman" w:cs="Times New Roman" w:eastAsia="Times New Roman" w:hint="default"/>
                            <w:spacing w:val="2"/>
                            <w:sz w:val="18"/>
                            <w:szCs w:val="18"/>
                          </w:rPr>
                          <w:t> </w:t>
                        </w:r>
                        <w:r>
                          <w:rPr>
                            <w:rFonts w:ascii="宋体" w:hAnsi="宋体" w:cs="宋体" w:eastAsia="宋体" w:hint="default"/>
                            <w:spacing w:val="-12"/>
                            <w:sz w:val="18"/>
                            <w:szCs w:val="18"/>
                          </w:rPr>
                          <w:t>万元（含利息）。</w:t>
                        </w:r>
                      </w:p>
                    </w:tc>
                  </w:tr>
                  <w:tr>
                    <w:trPr>
                      <w:trHeight w:val="402" w:hRule="exact"/>
                    </w:trPr>
                    <w:tc>
                      <w:tcPr>
                        <w:tcW w:w="163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5"/>
                            <w:sz w:val="18"/>
                            <w:szCs w:val="18"/>
                          </w:rPr>
                          <w:t>超募资金的金额、用</w:t>
                        </w:r>
                        <w:r>
                          <w:rPr>
                            <w:rFonts w:ascii="宋体" w:hAnsi="宋体" w:cs="宋体" w:eastAsia="宋体" w:hint="default"/>
                            <w:sz w:val="18"/>
                            <w:szCs w:val="18"/>
                          </w:rPr>
                          <w:t> 途及使用进展情况</w:t>
                        </w:r>
                      </w:p>
                    </w:tc>
                    <w:tc>
                      <w:tcPr>
                        <w:tcW w:w="7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939" w:hRule="exact"/>
                    </w:trPr>
                    <w:tc>
                      <w:tcPr>
                        <w:tcW w:w="1633" w:type="dxa"/>
                        <w:vMerge/>
                        <w:tcBorders>
                          <w:left w:val="single" w:sz="4" w:space="0" w:color="000000"/>
                          <w:bottom w:val="single" w:sz="4" w:space="0" w:color="000000"/>
                          <w:right w:val="single" w:sz="4" w:space="0" w:color="000000"/>
                        </w:tcBorders>
                        <w:shd w:val="clear" w:color="auto" w:fill="D3D3D3"/>
                      </w:tcPr>
                      <w:p>
                        <w:pPr/>
                      </w:p>
                    </w:tc>
                    <w:tc>
                      <w:tcPr>
                        <w:tcW w:w="7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年第一次临时股东大会会议于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日召开，审议通过了《关于审议使用部分其他</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与主营业务相关的营运资金对全资子公司深圳市新国都软件技术有限公司增资的议案》</w:t>
                        </w:r>
                        <w:r>
                          <w:rPr>
                            <w:rFonts w:ascii="Times New Roman" w:hAnsi="Times New Roman" w:cs="Times New Roman" w:eastAsia="Times New Roman" w:hint="default"/>
                            <w:sz w:val="18"/>
                            <w:szCs w:val="18"/>
                          </w:rPr>
                          <w:t>,</w:t>
                        </w:r>
                        <w:r>
                          <w:rPr>
                            <w:rFonts w:ascii="宋体" w:hAnsi="宋体" w:cs="宋体" w:eastAsia="宋体" w:hint="default"/>
                            <w:sz w:val="18"/>
                            <w:szCs w:val="18"/>
                          </w:rPr>
                          <w:t>公司于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使</w:t>
                        </w:r>
                        <w:r>
                          <w:rPr>
                            <w:rFonts w:ascii="宋体" w:hAnsi="宋体" w:cs="宋体" w:eastAsia="宋体" w:hint="default"/>
                            <w:sz w:val="18"/>
                            <w:szCs w:val="18"/>
                          </w:rPr>
                          <w:t>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亿增资新国都软件公司</w:t>
                        </w:r>
                        <w:r>
                          <w:rPr>
                            <w:rFonts w:ascii="宋体" w:hAnsi="宋体" w:cs="宋体" w:eastAsia="宋体" w:hint="default"/>
                            <w:spacing w:val="-164"/>
                            <w:sz w:val="18"/>
                            <w:szCs w:val="18"/>
                          </w:rPr>
                          <w:t>。</w:t>
                        </w:r>
                        <w:r>
                          <w:rPr>
                            <w:rFonts w:ascii="宋体" w:hAnsi="宋体" w:cs="宋体" w:eastAsia="宋体" w:hint="default"/>
                            <w:sz w:val="18"/>
                            <w:szCs w:val="18"/>
                          </w:rPr>
                          <w:t>（注</w:t>
                        </w:r>
                        <w:r>
                          <w:rPr>
                            <w:rFonts w:ascii="宋体" w:hAnsi="宋体" w:cs="宋体" w:eastAsia="宋体" w:hint="default"/>
                            <w:spacing w:val="-74"/>
                            <w:sz w:val="18"/>
                            <w:szCs w:val="18"/>
                          </w:rPr>
                          <w:t>：</w:t>
                        </w:r>
                        <w:r>
                          <w:rPr>
                            <w:rFonts w:ascii="宋体" w:hAnsi="宋体" w:cs="宋体" w:eastAsia="宋体" w:hint="default"/>
                            <w:sz w:val="18"/>
                            <w:szCs w:val="18"/>
                          </w:rPr>
                          <w:t>现已更名为深圳市易联技术有限公司</w:t>
                        </w:r>
                        <w:r>
                          <w:rPr>
                            <w:rFonts w:ascii="宋体" w:hAnsi="宋体" w:cs="宋体" w:eastAsia="宋体" w:hint="default"/>
                            <w:spacing w:val="-90"/>
                            <w:sz w:val="18"/>
                            <w:szCs w:val="18"/>
                          </w:rPr>
                          <w:t>）</w:t>
                        </w:r>
                        <w:r>
                          <w:rPr>
                            <w:rFonts w:ascii="宋体" w:hAnsi="宋体" w:cs="宋体" w:eastAsia="宋体" w:hint="default"/>
                            <w:spacing w:val="-74"/>
                            <w:sz w:val="18"/>
                            <w:szCs w:val="18"/>
                          </w:rPr>
                          <w:t>。</w:t>
                        </w:r>
                        <w:r>
                          <w:rPr>
                            <w:rFonts w:ascii="Times New Roman" w:hAnsi="Times New Roman" w:cs="Times New Roman" w:eastAsia="Times New Roman" w:hint="default"/>
                            <w:sz w:val="18"/>
                            <w:szCs w:val="18"/>
                          </w:rPr>
                          <w:t>2012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年第一次临时股东大会审议通过了《审议终止深圳市易联技术有限公司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电子</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支付服务项目</w:t>
                        </w:r>
                        <w:r>
                          <w:rPr>
                            <w:rFonts w:ascii="Times New Roman" w:hAnsi="Times New Roman" w:cs="Times New Roman" w:eastAsia="Times New Roman" w:hint="default"/>
                            <w:sz w:val="18"/>
                            <w:szCs w:val="18"/>
                          </w:rPr>
                          <w:t>”</w:t>
                        </w:r>
                        <w:r>
                          <w:rPr>
                            <w:rFonts w:ascii="宋体" w:hAnsi="宋体" w:cs="宋体" w:eastAsia="宋体" w:hint="default"/>
                            <w:sz w:val="18"/>
                            <w:szCs w:val="18"/>
                          </w:rPr>
                          <w:t>并退回其他与主营业务相关的营运资金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亿元的议案</w:t>
                        </w:r>
                        <w:r>
                          <w:rPr>
                            <w:rFonts w:ascii="宋体" w:hAnsi="宋体" w:cs="宋体" w:eastAsia="宋体" w:hint="default"/>
                            <w:spacing w:val="-90"/>
                            <w:sz w:val="18"/>
                            <w:szCs w:val="18"/>
                          </w:rPr>
                          <w:t>》</w:t>
                        </w:r>
                        <w:r>
                          <w:rPr>
                            <w:rFonts w:ascii="宋体" w:hAnsi="宋体" w:cs="宋体" w:eastAsia="宋体" w:hint="default"/>
                            <w:sz w:val="18"/>
                            <w:szCs w:val="18"/>
                          </w:rPr>
                          <w:t>，终止该项目的实施。</w:t>
                        </w:r>
                      </w:p>
                      <w:p>
                        <w:pPr>
                          <w:pStyle w:val="TableParagraph"/>
                          <w:spacing w:line="240" w:lineRule="auto" w:before="10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、本公司于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日召开第二届董事会第二次会议，会议通过了《关于投资建设</w:t>
                        </w:r>
                        <w:r>
                          <w:rPr>
                            <w:rFonts w:ascii="Times New Roman" w:hAnsi="Times New Roman" w:cs="Times New Roman" w:eastAsia="Times New Roman" w:hint="default"/>
                            <w:sz w:val="18"/>
                            <w:szCs w:val="18"/>
                          </w:rPr>
                          <w:t>“</w:t>
                        </w:r>
                        <w:r>
                          <w:rPr>
                            <w:rFonts w:ascii="宋体" w:hAnsi="宋体" w:cs="宋体" w:eastAsia="宋体" w:hint="default"/>
                            <w:sz w:val="18"/>
                            <w:szCs w:val="18"/>
                          </w:rPr>
                          <w:t>电子支付</w:t>
                        </w:r>
                      </w:p>
                      <w:p>
                        <w:pPr>
                          <w:pStyle w:val="TableParagraph"/>
                          <w:spacing w:line="302" w:lineRule="auto" w:before="63"/>
                          <w:ind w:left="22" w:right="23"/>
                          <w:jc w:val="left"/>
                          <w:rPr>
                            <w:rFonts w:ascii="宋体" w:hAnsi="宋体" w:cs="宋体" w:eastAsia="宋体" w:hint="default"/>
                            <w:sz w:val="18"/>
                            <w:szCs w:val="18"/>
                          </w:rPr>
                        </w:pPr>
                        <w:r>
                          <w:rPr>
                            <w:rFonts w:ascii="宋体" w:hAnsi="宋体" w:cs="宋体" w:eastAsia="宋体" w:hint="default"/>
                            <w:spacing w:val="-3"/>
                            <w:sz w:val="18"/>
                            <w:szCs w:val="18"/>
                          </w:rPr>
                          <w:t>技术苏州研发基地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的议案》，同意从其他与主营业务相关的营运资金</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超募资金</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中支出</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1.35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亿元人民</w:t>
                        </w:r>
                        <w:r>
                          <w:rPr>
                            <w:rFonts w:ascii="宋体" w:hAnsi="宋体" w:cs="宋体" w:eastAsia="宋体" w:hint="default"/>
                            <w:spacing w:val="-88"/>
                            <w:sz w:val="18"/>
                            <w:szCs w:val="18"/>
                          </w:rPr>
                          <w:t> </w:t>
                        </w:r>
                        <w:r>
                          <w:rPr>
                            <w:rFonts w:ascii="宋体" w:hAnsi="宋体" w:cs="宋体" w:eastAsia="宋体" w:hint="default"/>
                            <w:sz w:val="18"/>
                            <w:szCs w:val="18"/>
                          </w:rPr>
                          <w:t>币，以货币资金形式对苏州新国都投资。</w:t>
                        </w:r>
                      </w:p>
                      <w:p>
                        <w:pPr>
                          <w:pStyle w:val="TableParagraph"/>
                          <w:spacing w:line="240" w:lineRule="auto" w:before="6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、本公司于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日召开第二届董事会第三次会议，会议通过了《关于使用部分超幕资金</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before="0"/>
        <w:ind w:left="0" w:right="157"/>
        <w:jc w:val="right"/>
      </w:pPr>
      <w:r>
        <w:rPr/>
        <w:t>，</w:t>
      </w:r>
    </w:p>
    <w:p>
      <w:pPr>
        <w:spacing w:after="0" w:line="240" w:lineRule="auto"/>
        <w:jc w:val="right"/>
        <w:sectPr>
          <w:pgSz w:w="11910" w:h="16840"/>
          <w:pgMar w:header="747" w:footer="982" w:top="1060" w:bottom="1180" w:left="980" w:right="980"/>
        </w:sectPr>
      </w:pPr>
    </w:p>
    <w:p>
      <w:pPr>
        <w:spacing w:line="240" w:lineRule="auto" w:before="0"/>
        <w:rPr>
          <w:rFonts w:ascii="宋体" w:hAnsi="宋体" w:cs="宋体" w:eastAsia="宋体" w:hint="default"/>
          <w:sz w:val="20"/>
          <w:szCs w:val="20"/>
        </w:rPr>
      </w:pPr>
      <w:r>
        <w:rPr/>
        <w:pict>
          <v:shape style="position:absolute;margin-left:56.459999pt;margin-top:71.999962pt;width:479.25pt;height:696.15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33"/>
                    <w:gridCol w:w="7937"/>
                  </w:tblGrid>
                  <w:tr>
                    <w:trPr>
                      <w:trHeight w:val="322" w:hRule="exact"/>
                    </w:trPr>
                    <w:tc>
                      <w:tcPr>
                        <w:tcW w:w="1633" w:type="dxa"/>
                        <w:vMerge w:val="restart"/>
                        <w:tcBorders>
                          <w:top w:val="single" w:sz="4" w:space="0" w:color="000000"/>
                          <w:left w:val="single" w:sz="4" w:space="0" w:color="000000"/>
                          <w:right w:val="single" w:sz="4" w:space="0" w:color="000000"/>
                        </w:tcBorders>
                        <w:shd w:val="clear" w:color="auto" w:fill="D3D3D3"/>
                      </w:tcPr>
                      <w:p>
                        <w:pPr/>
                      </w:p>
                    </w:tc>
                    <w:tc>
                      <w:tcPr>
                        <w:tcW w:w="79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永久补充流动资金的议案</w:t>
                        </w:r>
                        <w:r>
                          <w:rPr>
                            <w:rFonts w:ascii="宋体" w:hAnsi="宋体" w:cs="宋体" w:eastAsia="宋体" w:hint="default"/>
                            <w:spacing w:val="-90"/>
                            <w:sz w:val="18"/>
                            <w:szCs w:val="18"/>
                          </w:rPr>
                          <w:t>》</w:t>
                        </w:r>
                        <w:r>
                          <w:rPr>
                            <w:rFonts w:ascii="宋体" w:hAnsi="宋体" w:cs="宋体" w:eastAsia="宋体" w:hint="default"/>
                            <w:sz w:val="18"/>
                            <w:szCs w:val="18"/>
                          </w:rPr>
                          <w:t>，同意公司使用部分超幕资金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万元永久补充流动资金；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tc>
                  </w:tr>
                  <w:tr>
                    <w:trPr>
                      <w:trHeight w:val="332" w:hRule="exact"/>
                    </w:trPr>
                    <w:tc>
                      <w:tcPr>
                        <w:tcW w:w="1633" w:type="dxa"/>
                        <w:vMerge/>
                        <w:tcBorders>
                          <w:left w:val="single" w:sz="4" w:space="0" w:color="000000"/>
                          <w:right w:val="single" w:sz="4" w:space="0" w:color="000000"/>
                        </w:tcBorders>
                        <w:shd w:val="clear" w:color="auto" w:fill="D3D3D3"/>
                      </w:tcPr>
                      <w:p>
                        <w:pPr/>
                      </w:p>
                    </w:tc>
                    <w:tc>
                      <w:tcPr>
                        <w:tcW w:w="79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月，公司从募集资金账户支取人民币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万元用于永久补充流动资金。</w:t>
                        </w:r>
                      </w:p>
                    </w:tc>
                  </w:tr>
                  <w:tr>
                    <w:trPr>
                      <w:trHeight w:val="332" w:hRule="exact"/>
                    </w:trPr>
                    <w:tc>
                      <w:tcPr>
                        <w:tcW w:w="1633" w:type="dxa"/>
                        <w:vMerge/>
                        <w:tcBorders>
                          <w:left w:val="single" w:sz="4" w:space="0" w:color="000000"/>
                          <w:right w:val="single" w:sz="4" w:space="0" w:color="000000"/>
                        </w:tcBorders>
                        <w:shd w:val="clear" w:color="auto" w:fill="D3D3D3"/>
                      </w:tcPr>
                      <w:p>
                        <w:pPr/>
                      </w:p>
                    </w:tc>
                    <w:tc>
                      <w:tcPr>
                        <w:tcW w:w="7937"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、本公司于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日召开</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年第一次临时股东大会，会议审议通过了《审议使用部分超</w:t>
                        </w:r>
                      </w:p>
                    </w:tc>
                  </w:tr>
                  <w:tr>
                    <w:trPr>
                      <w:trHeight w:val="313" w:hRule="exact"/>
                    </w:trPr>
                    <w:tc>
                      <w:tcPr>
                        <w:tcW w:w="1633" w:type="dxa"/>
                        <w:vMerge/>
                        <w:tcBorders>
                          <w:left w:val="single" w:sz="4" w:space="0" w:color="000000"/>
                          <w:right w:val="single" w:sz="4" w:space="0" w:color="000000"/>
                        </w:tcBorders>
                        <w:shd w:val="clear" w:color="auto" w:fill="D3D3D3"/>
                      </w:tcPr>
                      <w:p>
                        <w:pPr/>
                      </w:p>
                    </w:tc>
                    <w:tc>
                      <w:tcPr>
                        <w:tcW w:w="79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募资金永久补充流动资金的议案</w:t>
                        </w:r>
                        <w:r>
                          <w:rPr>
                            <w:rFonts w:ascii="宋体" w:hAnsi="宋体" w:cs="宋体" w:eastAsia="宋体" w:hint="default"/>
                            <w:spacing w:val="-90"/>
                            <w:sz w:val="18"/>
                            <w:szCs w:val="18"/>
                          </w:rPr>
                          <w:t>》</w:t>
                        </w:r>
                        <w:r>
                          <w:rPr>
                            <w:rFonts w:ascii="宋体" w:hAnsi="宋体" w:cs="宋体" w:eastAsia="宋体" w:hint="default"/>
                            <w:sz w:val="18"/>
                            <w:szCs w:val="18"/>
                          </w:rPr>
                          <w:t>，同意公司使用部分超幕资金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万元永久补充流动资金，</w:t>
                        </w:r>
                        <w:r>
                          <w:rPr>
                            <w:rFonts w:ascii="Times New Roman" w:hAnsi="Times New Roman" w:cs="Times New Roman" w:eastAsia="Times New Roman" w:hint="default"/>
                            <w:sz w:val="18"/>
                            <w:szCs w:val="18"/>
                          </w:rPr>
                          <w:t>2012</w:t>
                        </w:r>
                      </w:p>
                    </w:tc>
                  </w:tr>
                  <w:tr>
                    <w:trPr>
                      <w:trHeight w:val="332" w:hRule="exact"/>
                    </w:trPr>
                    <w:tc>
                      <w:tcPr>
                        <w:tcW w:w="1633" w:type="dxa"/>
                        <w:vMerge/>
                        <w:tcBorders>
                          <w:left w:val="single" w:sz="4" w:space="0" w:color="000000"/>
                          <w:right w:val="single" w:sz="4" w:space="0" w:color="000000"/>
                        </w:tcBorders>
                        <w:shd w:val="clear" w:color="auto" w:fill="D3D3D3"/>
                      </w:tcPr>
                      <w:p>
                        <w:pPr/>
                      </w:p>
                    </w:tc>
                    <w:tc>
                      <w:tcPr>
                        <w:tcW w:w="79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月，公司从募集资金账户支取人民币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万元用于永久补充流动资金。</w:t>
                        </w:r>
                      </w:p>
                    </w:tc>
                  </w:tr>
                  <w:tr>
                    <w:trPr>
                      <w:trHeight w:val="331" w:hRule="exact"/>
                    </w:trPr>
                    <w:tc>
                      <w:tcPr>
                        <w:tcW w:w="1633" w:type="dxa"/>
                        <w:vMerge/>
                        <w:tcBorders>
                          <w:left w:val="single" w:sz="4" w:space="0" w:color="000000"/>
                          <w:right w:val="single" w:sz="4" w:space="0" w:color="000000"/>
                        </w:tcBorders>
                        <w:shd w:val="clear" w:color="auto" w:fill="D3D3D3"/>
                      </w:tcPr>
                      <w:p>
                        <w:pPr/>
                      </w:p>
                    </w:tc>
                    <w:tc>
                      <w:tcPr>
                        <w:tcW w:w="7937"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、本公司于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日召开第二届董事会第十次会议，会议通过了《审议收购深圳市瑞柏泰</w:t>
                        </w:r>
                      </w:p>
                    </w:tc>
                  </w:tr>
                  <w:tr>
                    <w:trPr>
                      <w:trHeight w:val="312" w:hRule="exact"/>
                    </w:trPr>
                    <w:tc>
                      <w:tcPr>
                        <w:tcW w:w="1633" w:type="dxa"/>
                        <w:vMerge/>
                        <w:tcBorders>
                          <w:left w:val="single" w:sz="4" w:space="0" w:color="000000"/>
                          <w:right w:val="single" w:sz="4" w:space="0" w:color="000000"/>
                        </w:tcBorders>
                        <w:shd w:val="clear" w:color="auto" w:fill="D3D3D3"/>
                      </w:tcPr>
                      <w:p>
                        <w:pPr/>
                      </w:p>
                    </w:tc>
                    <w:tc>
                      <w:tcPr>
                        <w:tcW w:w="79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电子有限公司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股权的议案</w:t>
                        </w:r>
                        <w:r>
                          <w:rPr>
                            <w:rFonts w:ascii="宋体" w:hAnsi="宋体" w:cs="宋体" w:eastAsia="宋体" w:hint="default"/>
                            <w:spacing w:val="-90"/>
                            <w:sz w:val="18"/>
                            <w:szCs w:val="18"/>
                          </w:rPr>
                          <w:t>》</w:t>
                        </w:r>
                        <w:r>
                          <w:rPr>
                            <w:rFonts w:ascii="宋体" w:hAnsi="宋体" w:cs="宋体" w:eastAsia="宋体" w:hint="default"/>
                            <w:sz w:val="18"/>
                            <w:szCs w:val="18"/>
                          </w:rPr>
                          <w:t>，同意公司使用超募资金人民币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万元向蔡敏女士购买其所持瑞</w:t>
                        </w:r>
                      </w:p>
                    </w:tc>
                  </w:tr>
                  <w:tr>
                    <w:trPr>
                      <w:trHeight w:val="312" w:hRule="exact"/>
                    </w:trPr>
                    <w:tc>
                      <w:tcPr>
                        <w:tcW w:w="1633" w:type="dxa"/>
                        <w:vMerge/>
                        <w:tcBorders>
                          <w:left w:val="single" w:sz="4" w:space="0" w:color="000000"/>
                          <w:right w:val="single" w:sz="4" w:space="0" w:color="000000"/>
                        </w:tcBorders>
                        <w:shd w:val="clear" w:color="auto" w:fill="D3D3D3"/>
                      </w:tcPr>
                      <w:p>
                        <w:pPr/>
                      </w:p>
                    </w:tc>
                    <w:tc>
                      <w:tcPr>
                        <w:tcW w:w="79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柏泰公司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股权。</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日，公司从募集资金账户转出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万元，其中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万元直接转</w:t>
                        </w:r>
                      </w:p>
                    </w:tc>
                  </w:tr>
                  <w:tr>
                    <w:trPr>
                      <w:trHeight w:val="313" w:hRule="exact"/>
                    </w:trPr>
                    <w:tc>
                      <w:tcPr>
                        <w:tcW w:w="1633" w:type="dxa"/>
                        <w:vMerge/>
                        <w:tcBorders>
                          <w:left w:val="single" w:sz="4" w:space="0" w:color="000000"/>
                          <w:right w:val="single" w:sz="4" w:space="0" w:color="000000"/>
                        </w:tcBorders>
                        <w:shd w:val="clear" w:color="auto" w:fill="D3D3D3"/>
                      </w:tcPr>
                      <w:p>
                        <w:pPr/>
                      </w:p>
                    </w:tc>
                    <w:tc>
                      <w:tcPr>
                        <w:tcW w:w="79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到蔡敏女士名下，剩余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 </w:t>
                        </w:r>
                        <w:r>
                          <w:rPr>
                            <w:rFonts w:ascii="宋体" w:hAnsi="宋体" w:cs="宋体" w:eastAsia="宋体" w:hint="default"/>
                            <w:sz w:val="18"/>
                            <w:szCs w:val="18"/>
                          </w:rPr>
                          <w:t>万元是由我公司将为蔡敏女士代交的个人所得税税款，并于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p>
                    </w:tc>
                  </w:tr>
                  <w:tr>
                    <w:trPr>
                      <w:trHeight w:val="332" w:hRule="exact"/>
                    </w:trPr>
                    <w:tc>
                      <w:tcPr>
                        <w:tcW w:w="1633" w:type="dxa"/>
                        <w:vMerge/>
                        <w:tcBorders>
                          <w:left w:val="single" w:sz="4" w:space="0" w:color="000000"/>
                          <w:right w:val="single" w:sz="4" w:space="0" w:color="000000"/>
                        </w:tcBorders>
                        <w:shd w:val="clear" w:color="auto" w:fill="D3D3D3"/>
                      </w:tcPr>
                      <w:p>
                        <w:pPr/>
                      </w:p>
                    </w:tc>
                    <w:tc>
                      <w:tcPr>
                        <w:tcW w:w="79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日缴纳。</w:t>
                        </w:r>
                      </w:p>
                    </w:tc>
                  </w:tr>
                  <w:tr>
                    <w:trPr>
                      <w:trHeight w:val="331" w:hRule="exact"/>
                    </w:trPr>
                    <w:tc>
                      <w:tcPr>
                        <w:tcW w:w="1633" w:type="dxa"/>
                        <w:vMerge/>
                        <w:tcBorders>
                          <w:left w:val="single" w:sz="4" w:space="0" w:color="000000"/>
                          <w:right w:val="single" w:sz="4" w:space="0" w:color="000000"/>
                        </w:tcBorders>
                        <w:shd w:val="clear" w:color="auto" w:fill="D3D3D3"/>
                      </w:tcPr>
                      <w:p>
                        <w:pPr/>
                      </w:p>
                    </w:tc>
                    <w:tc>
                      <w:tcPr>
                        <w:tcW w:w="7937"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、本公司于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日召开第二届董事会第三次会议，会议通过了《关于使用部分超幕资金</w:t>
                        </w:r>
                      </w:p>
                    </w:tc>
                  </w:tr>
                  <w:tr>
                    <w:trPr>
                      <w:trHeight w:val="312" w:hRule="exact"/>
                    </w:trPr>
                    <w:tc>
                      <w:tcPr>
                        <w:tcW w:w="1633" w:type="dxa"/>
                        <w:vMerge/>
                        <w:tcBorders>
                          <w:left w:val="single" w:sz="4" w:space="0" w:color="000000"/>
                          <w:right w:val="single" w:sz="4" w:space="0" w:color="000000"/>
                        </w:tcBorders>
                        <w:shd w:val="clear" w:color="auto" w:fill="D3D3D3"/>
                      </w:tcPr>
                      <w:p>
                        <w:pPr/>
                      </w:p>
                    </w:tc>
                    <w:tc>
                      <w:tcPr>
                        <w:tcW w:w="79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永久补充流动资金的议案</w:t>
                        </w:r>
                        <w:r>
                          <w:rPr>
                            <w:rFonts w:ascii="宋体" w:hAnsi="宋体" w:cs="宋体" w:eastAsia="宋体" w:hint="default"/>
                            <w:spacing w:val="-90"/>
                            <w:sz w:val="18"/>
                            <w:szCs w:val="18"/>
                          </w:rPr>
                          <w:t>》</w:t>
                        </w:r>
                        <w:r>
                          <w:rPr>
                            <w:rFonts w:ascii="宋体" w:hAnsi="宋体" w:cs="宋体" w:eastAsia="宋体" w:hint="default"/>
                            <w:spacing w:val="-42"/>
                            <w:sz w:val="18"/>
                            <w:szCs w:val="18"/>
                          </w:rPr>
                          <w:t>，</w:t>
                        </w:r>
                        <w:r>
                          <w:rPr>
                            <w:rFonts w:ascii="宋体" w:hAnsi="宋体" w:cs="宋体" w:eastAsia="宋体" w:hint="default"/>
                            <w:sz w:val="18"/>
                            <w:szCs w:val="18"/>
                          </w:rPr>
                          <w:t>同意公司使用部分超幕资金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万元永久补充流动资金</w:t>
                        </w:r>
                        <w:r>
                          <w:rPr>
                            <w:rFonts w:ascii="宋体" w:hAnsi="宋体" w:cs="宋体" w:eastAsia="宋体" w:hint="default"/>
                            <w:spacing w:val="-42"/>
                            <w:sz w:val="18"/>
                            <w:szCs w:val="18"/>
                          </w:rPr>
                          <w:t>；</w:t>
                        </w:r>
                        <w:r>
                          <w:rPr>
                            <w:rFonts w:ascii="宋体" w:hAnsi="宋体" w:cs="宋体" w:eastAsia="宋体" w:hint="default"/>
                            <w:sz w:val="18"/>
                            <w:szCs w:val="18"/>
                          </w:rPr>
                          <w:t>会议还通过了</w:t>
                        </w:r>
                      </w:p>
                    </w:tc>
                  </w:tr>
                  <w:tr>
                    <w:trPr>
                      <w:trHeight w:val="312" w:hRule="exact"/>
                    </w:trPr>
                    <w:tc>
                      <w:tcPr>
                        <w:tcW w:w="1633" w:type="dxa"/>
                        <w:vMerge/>
                        <w:tcBorders>
                          <w:left w:val="single" w:sz="4" w:space="0" w:color="000000"/>
                          <w:right w:val="single" w:sz="4" w:space="0" w:color="000000"/>
                        </w:tcBorders>
                        <w:shd w:val="clear" w:color="auto" w:fill="D3D3D3"/>
                      </w:tcPr>
                      <w:p>
                        <w:pPr/>
                      </w:p>
                    </w:tc>
                    <w:tc>
                      <w:tcPr>
                        <w:tcW w:w="79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《审议增加投资</w:t>
                        </w:r>
                        <w:r>
                          <w:rPr>
                            <w:rFonts w:ascii="Times New Roman" w:hAnsi="Times New Roman" w:cs="Times New Roman" w:eastAsia="Times New Roman" w:hint="default"/>
                            <w:sz w:val="18"/>
                            <w:szCs w:val="18"/>
                          </w:rPr>
                          <w:t>“</w:t>
                        </w:r>
                        <w:r>
                          <w:rPr>
                            <w:rFonts w:ascii="宋体" w:hAnsi="宋体" w:cs="宋体" w:eastAsia="宋体" w:hint="default"/>
                            <w:sz w:val="18"/>
                            <w:szCs w:val="18"/>
                          </w:rPr>
                          <w:t>电子支付技术苏州研发基地项目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的议案》同意公司使用人民币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万元对</w:t>
                        </w:r>
                        <w:r>
                          <w:rPr>
                            <w:rFonts w:ascii="Times New Roman" w:hAnsi="Times New Roman" w:cs="Times New Roman" w:eastAsia="Times New Roman" w:hint="default"/>
                            <w:sz w:val="18"/>
                            <w:szCs w:val="18"/>
                          </w:rPr>
                          <w:t>“</w:t>
                        </w:r>
                        <w:r>
                          <w:rPr>
                            <w:rFonts w:ascii="宋体" w:hAnsi="宋体" w:cs="宋体" w:eastAsia="宋体" w:hint="default"/>
                            <w:sz w:val="18"/>
                            <w:szCs w:val="18"/>
                          </w:rPr>
                          <w:t>电子</w:t>
                        </w:r>
                      </w:p>
                    </w:tc>
                  </w:tr>
                  <w:tr>
                    <w:trPr>
                      <w:trHeight w:val="313" w:hRule="exact"/>
                    </w:trPr>
                    <w:tc>
                      <w:tcPr>
                        <w:tcW w:w="1633" w:type="dxa"/>
                        <w:vMerge/>
                        <w:tcBorders>
                          <w:left w:val="single" w:sz="4" w:space="0" w:color="000000"/>
                          <w:right w:val="single" w:sz="4" w:space="0" w:color="000000"/>
                        </w:tcBorders>
                        <w:shd w:val="clear" w:color="auto" w:fill="D3D3D3"/>
                      </w:tcPr>
                      <w:p>
                        <w:pPr/>
                      </w:p>
                    </w:tc>
                    <w:tc>
                      <w:tcPr>
                        <w:tcW w:w="79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支付技术苏州研发基地项目</w:t>
                        </w:r>
                        <w:r>
                          <w:rPr>
                            <w:rFonts w:ascii="Times New Roman" w:hAnsi="Times New Roman" w:cs="Times New Roman" w:eastAsia="Times New Roman" w:hint="default"/>
                            <w:sz w:val="18"/>
                            <w:szCs w:val="18"/>
                          </w:rPr>
                          <w:t>”</w:t>
                        </w:r>
                        <w:r>
                          <w:rPr>
                            <w:rFonts w:ascii="宋体" w:hAnsi="宋体" w:cs="宋体" w:eastAsia="宋体" w:hint="default"/>
                            <w:sz w:val="18"/>
                            <w:szCs w:val="18"/>
                          </w:rPr>
                          <w:t>增加投资，其中</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12184.61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万元由上市超募资金解决，</w:t>
                        </w:r>
                        <w:r>
                          <w:rPr>
                            <w:rFonts w:ascii="Times New Roman" w:hAnsi="Times New Roman" w:cs="Times New Roman" w:eastAsia="Times New Roman" w:hint="default"/>
                            <w:sz w:val="18"/>
                            <w:szCs w:val="18"/>
                          </w:rPr>
                          <w:t>815.39</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万元由企业</w:t>
                        </w:r>
                      </w:p>
                    </w:tc>
                  </w:tr>
                  <w:tr>
                    <w:trPr>
                      <w:trHeight w:val="352" w:hRule="exact"/>
                    </w:trPr>
                    <w:tc>
                      <w:tcPr>
                        <w:tcW w:w="1633" w:type="dxa"/>
                        <w:vMerge/>
                        <w:tcBorders>
                          <w:left w:val="single" w:sz="4" w:space="0" w:color="000000"/>
                          <w:bottom w:val="single" w:sz="4" w:space="0" w:color="000000"/>
                          <w:right w:val="single" w:sz="4" w:space="0" w:color="000000"/>
                        </w:tcBorders>
                        <w:shd w:val="clear" w:color="auto" w:fill="D3D3D3"/>
                      </w:tcPr>
                      <w:p>
                        <w:pPr/>
                      </w:p>
                    </w:tc>
                    <w:tc>
                      <w:tcPr>
                        <w:tcW w:w="79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自筹解决，全部投资将以增资形式投入苏州新国都。</w:t>
                        </w:r>
                      </w:p>
                    </w:tc>
                  </w:tr>
                  <w:tr>
                    <w:trPr>
                      <w:trHeight w:val="402" w:hRule="exact"/>
                    </w:trPr>
                    <w:tc>
                      <w:tcPr>
                        <w:tcW w:w="1633" w:type="dxa"/>
                        <w:tcBorders>
                          <w:top w:val="single" w:sz="4" w:space="0" w:color="000000"/>
                          <w:left w:val="single" w:sz="4" w:space="0" w:color="000000"/>
                          <w:bottom w:val="nil" w:sz="6" w:space="0" w:color="auto"/>
                          <w:right w:val="single" w:sz="4" w:space="0" w:color="000000"/>
                        </w:tcBorders>
                        <w:shd w:val="clear" w:color="auto" w:fill="D3D3D3"/>
                      </w:tcPr>
                      <w:p>
                        <w:pPr/>
                      </w:p>
                    </w:tc>
                    <w:tc>
                      <w:tcPr>
                        <w:tcW w:w="7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633" w:type="dxa"/>
                        <w:tcBorders>
                          <w:top w:val="nil" w:sz="6" w:space="0" w:color="auto"/>
                          <w:left w:val="single" w:sz="4" w:space="0" w:color="000000"/>
                          <w:bottom w:val="nil" w:sz="6" w:space="0" w:color="auto"/>
                          <w:right w:val="single" w:sz="4" w:space="0" w:color="000000"/>
                        </w:tcBorders>
                        <w:shd w:val="clear" w:color="auto" w:fill="D3D3D3"/>
                      </w:tcPr>
                      <w:p>
                        <w:pPr/>
                      </w:p>
                    </w:tc>
                    <w:tc>
                      <w:tcPr>
                        <w:tcW w:w="7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424" w:hRule="exact"/>
                    </w:trPr>
                    <w:tc>
                      <w:tcPr>
                        <w:tcW w:w="163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w:t>
                        </w:r>
                      </w:p>
                    </w:tc>
                    <w:tc>
                      <w:tcPr>
                        <w:tcW w:w="7937" w:type="dxa"/>
                        <w:vMerge w:val="restart"/>
                        <w:tcBorders>
                          <w:top w:val="single" w:sz="4" w:space="0" w:color="000000"/>
                          <w:left w:val="single" w:sz="4" w:space="0" w:color="000000"/>
                          <w:right w:val="single" w:sz="4" w:space="0" w:color="000000"/>
                        </w:tcBorders>
                      </w:tcPr>
                      <w:p>
                        <w:pPr>
                          <w:pStyle w:val="TableParagraph"/>
                          <w:spacing w:line="300"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公司于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日召开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年度股东大会，审议通过了《关于审议变更募投项目电子支付 </w:t>
                        </w:r>
                        <w:r>
                          <w:rPr>
                            <w:rFonts w:ascii="宋体" w:hAnsi="宋体" w:cs="宋体" w:eastAsia="宋体" w:hint="default"/>
                            <w:spacing w:val="-3"/>
                            <w:sz w:val="18"/>
                            <w:szCs w:val="18"/>
                          </w:rPr>
                          <w:t>技术产研基地建设项目实施地址及部分实施方式的议案》。同意将原位于南京的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电子支付技术产研基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地项目</w:t>
                        </w:r>
                        <w:r>
                          <w:rPr>
                            <w:rFonts w:ascii="Times New Roman" w:hAnsi="Times New Roman" w:cs="Times New Roman" w:eastAsia="Times New Roman" w:hint="default"/>
                            <w:sz w:val="18"/>
                            <w:szCs w:val="18"/>
                          </w:rPr>
                          <w:t>”</w:t>
                        </w:r>
                        <w:r>
                          <w:rPr>
                            <w:rFonts w:ascii="宋体" w:hAnsi="宋体" w:cs="宋体" w:eastAsia="宋体" w:hint="default"/>
                            <w:sz w:val="18"/>
                            <w:szCs w:val="18"/>
                          </w:rPr>
                          <w:t>中规划的研发中心、客服中心迁移到苏州实施，项目规划的生产中心迁移到深圳宝安区以租 赁房屋的方式实施。原投入南京的</w:t>
                        </w:r>
                        <w:r>
                          <w:rPr>
                            <w:rFonts w:ascii="Times New Roman" w:hAnsi="Times New Roman" w:cs="Times New Roman" w:eastAsia="Times New Roman" w:hint="default"/>
                            <w:sz w:val="18"/>
                            <w:szCs w:val="18"/>
                          </w:rPr>
                          <w:t>“</w:t>
                        </w:r>
                        <w:r>
                          <w:rPr>
                            <w:rFonts w:ascii="宋体" w:hAnsi="宋体" w:cs="宋体" w:eastAsia="宋体" w:hint="default"/>
                            <w:sz w:val="18"/>
                            <w:szCs w:val="18"/>
                          </w:rPr>
                          <w:t>电子支付技术产研基地项目</w:t>
                        </w:r>
                        <w:r>
                          <w:rPr>
                            <w:rFonts w:ascii="Times New Roman" w:hAnsi="Times New Roman" w:cs="Times New Roman" w:eastAsia="Times New Roman" w:hint="default"/>
                            <w:sz w:val="18"/>
                            <w:szCs w:val="18"/>
                          </w:rPr>
                          <w:t>”</w:t>
                        </w:r>
                        <w:r>
                          <w:rPr>
                            <w:rFonts w:ascii="宋体" w:hAnsi="宋体" w:cs="宋体" w:eastAsia="宋体" w:hint="default"/>
                            <w:sz w:val="18"/>
                            <w:szCs w:val="18"/>
                          </w:rPr>
                          <w:t>总投资</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15,306</w:t>
                        </w:r>
                        <w:r>
                          <w:rPr>
                            <w:rFonts w:ascii="Times New Roman" w:hAnsi="Times New Roman" w:cs="Times New Roman" w:eastAsia="Times New Roman" w:hint="default"/>
                            <w:spacing w:val="-14"/>
                            <w:sz w:val="18"/>
                            <w:szCs w:val="18"/>
                          </w:rPr>
                          <w:t> </w:t>
                        </w:r>
                        <w:r>
                          <w:rPr>
                            <w:rFonts w:ascii="宋体" w:hAnsi="宋体" w:cs="宋体" w:eastAsia="宋体" w:hint="default"/>
                            <w:spacing w:val="-4"/>
                            <w:sz w:val="18"/>
                            <w:szCs w:val="18"/>
                          </w:rPr>
                          <w:t>万元，扣除投入深圳生</w:t>
                        </w:r>
                      </w:p>
                      <w:p>
                        <w:pPr>
                          <w:pStyle w:val="TableParagraph"/>
                          <w:spacing w:line="240" w:lineRule="auto" w:before="14"/>
                          <w:ind w:left="22" w:right="0"/>
                          <w:jc w:val="both"/>
                          <w:rPr>
                            <w:rFonts w:ascii="宋体" w:hAnsi="宋体" w:cs="宋体" w:eastAsia="宋体" w:hint="default"/>
                            <w:sz w:val="18"/>
                            <w:szCs w:val="18"/>
                          </w:rPr>
                        </w:pPr>
                        <w:r>
                          <w:rPr>
                            <w:rFonts w:ascii="宋体" w:hAnsi="宋体" w:cs="宋体" w:eastAsia="宋体" w:hint="default"/>
                            <w:sz w:val="18"/>
                            <w:szCs w:val="18"/>
                          </w:rPr>
                          <w:t>产中心的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万元，剩余的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12,806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万元全部投入苏州项目。</w:t>
                        </w:r>
                      </w:p>
                    </w:tc>
                  </w:tr>
                  <w:tr>
                    <w:trPr>
                      <w:trHeight w:val="1226" w:hRule="exact"/>
                    </w:trPr>
                    <w:tc>
                      <w:tcPr>
                        <w:tcW w:w="163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实施地点变更情况</w:t>
                        </w:r>
                      </w:p>
                    </w:tc>
                    <w:tc>
                      <w:tcPr>
                        <w:tcW w:w="7937" w:type="dxa"/>
                        <w:vMerge/>
                        <w:tcBorders>
                          <w:left w:val="single" w:sz="4" w:space="0" w:color="000000"/>
                          <w:bottom w:val="single" w:sz="4" w:space="0" w:color="000000"/>
                          <w:right w:val="single" w:sz="4" w:space="0" w:color="000000"/>
                        </w:tcBorders>
                      </w:tcPr>
                      <w:p>
                        <w:pPr/>
                      </w:p>
                    </w:tc>
                  </w:tr>
                  <w:tr>
                    <w:trPr>
                      <w:trHeight w:val="402" w:hRule="exact"/>
                    </w:trPr>
                    <w:tc>
                      <w:tcPr>
                        <w:tcW w:w="1633" w:type="dxa"/>
                        <w:tcBorders>
                          <w:top w:val="single" w:sz="4" w:space="0" w:color="000000"/>
                          <w:left w:val="single" w:sz="4" w:space="0" w:color="000000"/>
                          <w:bottom w:val="nil" w:sz="6" w:space="0" w:color="auto"/>
                          <w:right w:val="single" w:sz="4" w:space="0" w:color="000000"/>
                        </w:tcBorders>
                        <w:shd w:val="clear" w:color="auto" w:fill="D3D3D3"/>
                      </w:tcPr>
                      <w:p>
                        <w:pPr/>
                      </w:p>
                    </w:tc>
                    <w:tc>
                      <w:tcPr>
                        <w:tcW w:w="7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633" w:type="dxa"/>
                        <w:tcBorders>
                          <w:top w:val="nil" w:sz="6" w:space="0" w:color="auto"/>
                          <w:left w:val="single" w:sz="4" w:space="0" w:color="000000"/>
                          <w:bottom w:val="nil" w:sz="6" w:space="0" w:color="auto"/>
                          <w:right w:val="single" w:sz="4" w:space="0" w:color="000000"/>
                        </w:tcBorders>
                        <w:shd w:val="clear" w:color="auto" w:fill="D3D3D3"/>
                      </w:tcPr>
                      <w:p>
                        <w:pPr/>
                      </w:p>
                    </w:tc>
                    <w:tc>
                      <w:tcPr>
                        <w:tcW w:w="7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580" w:hRule="exact"/>
                    </w:trPr>
                    <w:tc>
                      <w:tcPr>
                        <w:tcW w:w="163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w:t>
                        </w:r>
                      </w:p>
                    </w:tc>
                    <w:tc>
                      <w:tcPr>
                        <w:tcW w:w="7937" w:type="dxa"/>
                        <w:vMerge w:val="restart"/>
                        <w:tcBorders>
                          <w:top w:val="single" w:sz="4" w:space="0" w:color="000000"/>
                          <w:left w:val="single" w:sz="4" w:space="0" w:color="000000"/>
                          <w:right w:val="single" w:sz="4" w:space="0" w:color="000000"/>
                        </w:tcBorders>
                      </w:tcPr>
                      <w:p>
                        <w:pPr>
                          <w:pStyle w:val="TableParagraph"/>
                          <w:spacing w:line="300"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公司于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日召开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年度股东大会，审议通过了《关于审议变更募投项目电子支付 </w:t>
                        </w:r>
                        <w:r>
                          <w:rPr>
                            <w:rFonts w:ascii="宋体" w:hAnsi="宋体" w:cs="宋体" w:eastAsia="宋体" w:hint="default"/>
                            <w:spacing w:val="-3"/>
                            <w:sz w:val="18"/>
                            <w:szCs w:val="18"/>
                          </w:rPr>
                          <w:t>技术产研基地建设项目实施地址及部分实施方式的议案》。同意将原位于南京的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电子支付技术产研基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地项目</w:t>
                        </w:r>
                        <w:r>
                          <w:rPr>
                            <w:rFonts w:ascii="Times New Roman" w:hAnsi="Times New Roman" w:cs="Times New Roman" w:eastAsia="Times New Roman" w:hint="default"/>
                            <w:sz w:val="18"/>
                            <w:szCs w:val="18"/>
                          </w:rPr>
                          <w:t>”</w:t>
                        </w:r>
                        <w:r>
                          <w:rPr>
                            <w:rFonts w:ascii="宋体" w:hAnsi="宋体" w:cs="宋体" w:eastAsia="宋体" w:hint="default"/>
                            <w:sz w:val="18"/>
                            <w:szCs w:val="18"/>
                          </w:rPr>
                          <w:t>中规划的研发中心、客服中心迁移到苏州实施，项目规划的生产中心迁移到深圳宝安区以租 赁房屋的方式实施。由于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年募集资金投入南京新国都土地使用权</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1,475.71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万元，本次变更募投</w:t>
                        </w:r>
                      </w:p>
                      <w:p>
                        <w:pPr>
                          <w:pStyle w:val="TableParagraph"/>
                          <w:spacing w:line="240" w:lineRule="auto" w:before="13"/>
                          <w:ind w:left="22" w:right="0"/>
                          <w:jc w:val="both"/>
                          <w:rPr>
                            <w:rFonts w:ascii="宋体" w:hAnsi="宋体" w:cs="宋体" w:eastAsia="宋体" w:hint="default"/>
                            <w:sz w:val="18"/>
                            <w:szCs w:val="18"/>
                          </w:rPr>
                        </w:pPr>
                        <w:r>
                          <w:rPr>
                            <w:rFonts w:ascii="宋体" w:hAnsi="宋体" w:cs="宋体" w:eastAsia="宋体" w:hint="default"/>
                            <w:sz w:val="18"/>
                            <w:szCs w:val="18"/>
                          </w:rPr>
                          <w:t>项目实施地点，本公司将投入南京新国都的土地使用权金额为</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1,475.71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万元转为公司自筹资金投入，</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并用自有资金归还募集资金，公司于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日办理银行资金归还手续。</w:t>
                        </w:r>
                      </w:p>
                    </w:tc>
                  </w:tr>
                  <w:tr>
                    <w:trPr>
                      <w:trHeight w:val="1382" w:hRule="exact"/>
                    </w:trPr>
                    <w:tc>
                      <w:tcPr>
                        <w:tcW w:w="163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实施方式调整情况</w:t>
                        </w:r>
                      </w:p>
                    </w:tc>
                    <w:tc>
                      <w:tcPr>
                        <w:tcW w:w="7937" w:type="dxa"/>
                        <w:vMerge/>
                        <w:tcBorders>
                          <w:left w:val="single" w:sz="4" w:space="0" w:color="000000"/>
                          <w:bottom w:val="single" w:sz="4" w:space="0" w:color="000000"/>
                          <w:right w:val="single" w:sz="4" w:space="0" w:color="000000"/>
                        </w:tcBorders>
                      </w:tcPr>
                      <w:p>
                        <w:pPr/>
                      </w:p>
                    </w:tc>
                  </w:tr>
                  <w:tr>
                    <w:trPr>
                      <w:trHeight w:val="402" w:hRule="exact"/>
                    </w:trPr>
                    <w:tc>
                      <w:tcPr>
                        <w:tcW w:w="1633" w:type="dxa"/>
                        <w:tcBorders>
                          <w:top w:val="single" w:sz="4" w:space="0" w:color="000000"/>
                          <w:left w:val="single" w:sz="4" w:space="0" w:color="000000"/>
                          <w:bottom w:val="nil" w:sz="6" w:space="0" w:color="auto"/>
                          <w:right w:val="single" w:sz="4" w:space="0" w:color="000000"/>
                        </w:tcBorders>
                        <w:shd w:val="clear" w:color="auto" w:fill="D3D3D3"/>
                      </w:tcPr>
                      <w:p>
                        <w:pPr/>
                      </w:p>
                    </w:tc>
                    <w:tc>
                      <w:tcPr>
                        <w:tcW w:w="7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68" w:hRule="exact"/>
                    </w:trPr>
                    <w:tc>
                      <w:tcPr>
                        <w:tcW w:w="163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w:t>
                        </w:r>
                      </w:p>
                    </w:tc>
                    <w:tc>
                      <w:tcPr>
                        <w:tcW w:w="7937" w:type="dxa"/>
                        <w:vMerge w:val="restart"/>
                        <w:tcBorders>
                          <w:top w:val="single" w:sz="4" w:space="0" w:color="000000"/>
                          <w:left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电子支付技术产研基地建设项目，截止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日公司已利用自筹资金先行投入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业经立信大华会计师事务所有限公司出具的立信大华核字</w:t>
                        </w:r>
                        <w:r>
                          <w:rPr>
                            <w:rFonts w:ascii="Times New Roman" w:hAnsi="Times New Roman" w:cs="Times New Roman" w:eastAsia="Times New Roman" w:hint="default"/>
                            <w:sz w:val="18"/>
                            <w:szCs w:val="18"/>
                          </w:rPr>
                          <w:t>[2010]2404</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号《首次公开发行股票募集资金 投资项目实际自筹资金使用情况专项审核报告》确认，经本公司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日第一届董事会第十</w:t>
                        </w:r>
                      </w:p>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四次会议决议通过，使用募集资金置换公司预先投入募集资金项目建设的自筹资金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公司于</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日办理了银行资金置换手续</w:t>
                        </w:r>
                      </w:p>
                    </w:tc>
                  </w:tr>
                  <w:tr>
                    <w:trPr>
                      <w:trHeight w:val="313" w:hRule="exact"/>
                    </w:trPr>
                    <w:tc>
                      <w:tcPr>
                        <w:tcW w:w="163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先期投入及置换情</w:t>
                        </w:r>
                      </w:p>
                    </w:tc>
                    <w:tc>
                      <w:tcPr>
                        <w:tcW w:w="7937" w:type="dxa"/>
                        <w:vMerge/>
                        <w:tcBorders>
                          <w:left w:val="single" w:sz="4" w:space="0" w:color="000000"/>
                          <w:right w:val="single" w:sz="4" w:space="0" w:color="000000"/>
                        </w:tcBorders>
                      </w:tcPr>
                      <w:p>
                        <w:pPr/>
                      </w:p>
                    </w:tc>
                  </w:tr>
                  <w:tr>
                    <w:trPr>
                      <w:trHeight w:val="869" w:hRule="exact"/>
                    </w:trPr>
                    <w:tc>
                      <w:tcPr>
                        <w:tcW w:w="163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况</w:t>
                        </w:r>
                      </w:p>
                    </w:tc>
                    <w:tc>
                      <w:tcPr>
                        <w:tcW w:w="7937" w:type="dxa"/>
                        <w:vMerge/>
                        <w:tcBorders>
                          <w:left w:val="single" w:sz="4" w:space="0" w:color="000000"/>
                          <w:bottom w:val="single" w:sz="4" w:space="0" w:color="000000"/>
                          <w:right w:val="single" w:sz="4" w:space="0" w:color="000000"/>
                        </w:tcBorders>
                      </w:tcPr>
                      <w:p>
                        <w:pPr/>
                      </w:p>
                    </w:tc>
                  </w:tr>
                  <w:tr>
                    <w:trPr>
                      <w:trHeight w:val="402" w:hRule="exact"/>
                    </w:trPr>
                    <w:tc>
                      <w:tcPr>
                        <w:tcW w:w="163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用闲置募集资金暂</w:t>
                        </w:r>
                      </w:p>
                    </w:tc>
                    <w:tc>
                      <w:tcPr>
                        <w:tcW w:w="7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67" w:hRule="exact"/>
                    </w:trPr>
                    <w:tc>
                      <w:tcPr>
                        <w:tcW w:w="163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01" w:lineRule="exact"/>
                          <w:ind w:left="22" w:right="0"/>
                          <w:jc w:val="left"/>
                          <w:rPr>
                            <w:rFonts w:ascii="宋体" w:hAnsi="宋体" w:cs="宋体" w:eastAsia="宋体" w:hint="default"/>
                            <w:sz w:val="18"/>
                            <w:szCs w:val="18"/>
                          </w:rPr>
                        </w:pPr>
                        <w:r>
                          <w:rPr>
                            <w:rFonts w:ascii="宋体" w:hAnsi="宋体" w:cs="宋体" w:eastAsia="宋体" w:hint="default"/>
                            <w:sz w:val="18"/>
                            <w:szCs w:val="18"/>
                          </w:rPr>
                          <w:t>时补充流动资金情</w:t>
                        </w:r>
                      </w:p>
                    </w:tc>
                    <w:tc>
                      <w:tcPr>
                        <w:tcW w:w="7937" w:type="dxa"/>
                        <w:vMerge w:val="restart"/>
                        <w:tcBorders>
                          <w:top w:val="single" w:sz="4" w:space="0" w:color="000000"/>
                          <w:left w:val="single" w:sz="4" w:space="0" w:color="000000"/>
                          <w:right w:val="single" w:sz="4" w:space="0" w:color="000000"/>
                        </w:tcBorders>
                      </w:tcPr>
                      <w:p>
                        <w:pPr/>
                      </w:p>
                    </w:tc>
                  </w:tr>
                  <w:tr>
                    <w:trPr>
                      <w:trHeight w:val="357" w:hRule="exact"/>
                    </w:trPr>
                    <w:tc>
                      <w:tcPr>
                        <w:tcW w:w="163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况</w:t>
                        </w:r>
                      </w:p>
                    </w:tc>
                    <w:tc>
                      <w:tcPr>
                        <w:tcW w:w="7937" w:type="dxa"/>
                        <w:vMerge/>
                        <w:tcBorders>
                          <w:left w:val="single" w:sz="4" w:space="0" w:color="000000"/>
                          <w:bottom w:val="single" w:sz="4" w:space="0" w:color="000000"/>
                          <w:right w:val="single" w:sz="4" w:space="0" w:color="000000"/>
                        </w:tcBorders>
                      </w:tcPr>
                      <w:p>
                        <w:pPr/>
                      </w:p>
                    </w:tc>
                  </w:tr>
                  <w:tr>
                    <w:trPr>
                      <w:trHeight w:val="402" w:hRule="exact"/>
                    </w:trPr>
                    <w:tc>
                      <w:tcPr>
                        <w:tcW w:w="163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95"/>
                          <w:ind w:left="22" w:right="0"/>
                          <w:jc w:val="left"/>
                          <w:rPr>
                            <w:rFonts w:ascii="宋体" w:hAnsi="宋体" w:cs="宋体" w:eastAsia="宋体" w:hint="default"/>
                            <w:sz w:val="18"/>
                            <w:szCs w:val="18"/>
                          </w:rPr>
                        </w:pPr>
                        <w:r>
                          <w:rPr>
                            <w:rFonts w:ascii="宋体" w:hAnsi="宋体" w:cs="宋体" w:eastAsia="宋体" w:hint="default"/>
                            <w:sz w:val="18"/>
                            <w:szCs w:val="18"/>
                          </w:rPr>
                          <w:t>项目实施出现募集</w:t>
                        </w:r>
                      </w:p>
                    </w:tc>
                    <w:tc>
                      <w:tcPr>
                        <w:tcW w:w="7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62" w:hRule="exact"/>
                    </w:trPr>
                    <w:tc>
                      <w:tcPr>
                        <w:tcW w:w="163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资金结余的金额及</w:t>
                        </w:r>
                      </w:p>
                    </w:tc>
                    <w:tc>
                      <w:tcPr>
                        <w:tcW w:w="7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运营销售服</w:t>
                        </w:r>
                        <w:r>
                          <w:rPr>
                            <w:rFonts w:ascii="宋体" w:hAnsi="宋体" w:cs="宋体" w:eastAsia="宋体" w:hint="default"/>
                            <w:spacing w:val="1"/>
                            <w:sz w:val="18"/>
                            <w:szCs w:val="18"/>
                          </w:rPr>
                          <w:t>务</w:t>
                        </w:r>
                        <w:r>
                          <w:rPr>
                            <w:rFonts w:ascii="宋体" w:hAnsi="宋体" w:cs="宋体" w:eastAsia="宋体" w:hint="default"/>
                            <w:sz w:val="18"/>
                            <w:szCs w:val="18"/>
                          </w:rPr>
                          <w:t>网络建设项目</w:t>
                        </w:r>
                        <w:r>
                          <w:rPr>
                            <w:rFonts w:ascii="Times New Roman" w:hAnsi="Times New Roman" w:cs="Times New Roman" w:eastAsia="Times New Roman" w:hint="default"/>
                            <w:sz w:val="18"/>
                            <w:szCs w:val="18"/>
                          </w:rPr>
                          <w:t>”  </w:t>
                        </w:r>
                        <w:r>
                          <w:rPr>
                            <w:rFonts w:ascii="宋体" w:hAnsi="宋体" w:cs="宋体" w:eastAsia="宋体" w:hint="default"/>
                            <w:sz w:val="18"/>
                            <w:szCs w:val="18"/>
                          </w:rPr>
                          <w:t>已完成项目建设，节余资金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829.6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万（含利息</w:t>
                        </w:r>
                        <w:r>
                          <w:rPr>
                            <w:rFonts w:ascii="宋体" w:hAnsi="宋体" w:cs="宋体" w:eastAsia="宋体" w:hint="default"/>
                            <w:spacing w:val="-90"/>
                            <w:sz w:val="18"/>
                            <w:szCs w:val="18"/>
                          </w:rPr>
                          <w:t>）</w:t>
                        </w:r>
                        <w:r>
                          <w:rPr>
                            <w:rFonts w:ascii="宋体" w:hAnsi="宋体" w:cs="宋体" w:eastAsia="宋体" w:hint="default"/>
                            <w:sz w:val="18"/>
                            <w:szCs w:val="18"/>
                          </w:rPr>
                          <w:t>。项目原计划在一类办</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3"/>
          <w:szCs w:val="13"/>
        </w:rPr>
      </w:pPr>
    </w:p>
    <w:p>
      <w:pPr>
        <w:pStyle w:val="BodyText"/>
        <w:spacing w:line="240" w:lineRule="auto" w:before="0"/>
        <w:ind w:left="0" w:right="163"/>
        <w:jc w:val="right"/>
      </w:pPr>
      <w:r>
        <w:rPr/>
        <w:t>，</w:t>
      </w:r>
    </w:p>
    <w:p>
      <w:pPr>
        <w:spacing w:after="0" w:line="240" w:lineRule="auto"/>
        <w:jc w:val="righ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3"/>
        <w:gridCol w:w="7937"/>
      </w:tblGrid>
      <w:tr>
        <w:trPr>
          <w:trHeight w:val="674" w:hRule="exact"/>
        </w:trPr>
        <w:tc>
          <w:tcPr>
            <w:tcW w:w="1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原因</w:t>
            </w:r>
          </w:p>
        </w:tc>
        <w:tc>
          <w:tcPr>
            <w:tcW w:w="79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pacing w:val="-2"/>
                <w:sz w:val="18"/>
                <w:szCs w:val="18"/>
              </w:rPr>
              <w:t>事处北京、上海、青岛、广州购置办公用房作为办公场地使用，现由于实际经营需要，将原计划购置</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房产的实施方式改为通过租赁房产来实施，因此节约了项目成本。</w:t>
            </w:r>
          </w:p>
        </w:tc>
      </w:tr>
      <w:tr>
        <w:trPr>
          <w:trHeight w:val="714" w:hRule="exact"/>
        </w:trPr>
        <w:tc>
          <w:tcPr>
            <w:tcW w:w="1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58"/>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尚未使用的募集资金均存放在公司的募集资金专户</w:t>
            </w:r>
          </w:p>
        </w:tc>
      </w:tr>
      <w:tr>
        <w:trPr>
          <w:trHeight w:val="1026" w:hRule="exact"/>
        </w:trPr>
        <w:tc>
          <w:tcPr>
            <w:tcW w:w="1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58"/>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right="0"/>
        <w:jc w:val="left"/>
      </w:pPr>
      <w:r>
        <w:rPr>
          <w:spacing w:val="-2"/>
        </w:rPr>
        <w:t>注：募集资金承诺项目情况表：电子支付终端设备运营项目由于受到</w:t>
      </w:r>
      <w:r>
        <w:rPr/>
        <w:t> </w:t>
      </w: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spacing w:val="-2"/>
        </w:rPr>
        <w:t>号令的影响，实施进度缓慢，项目一直未能达到预计</w:t>
      </w:r>
    </w:p>
    <w:p>
      <w:pPr>
        <w:pStyle w:val="BodyText"/>
        <w:spacing w:line="302" w:lineRule="auto" w:before="61"/>
        <w:ind w:right="147"/>
        <w:jc w:val="left"/>
      </w:pPr>
      <w:r>
        <w:rPr/>
        <w:t>可使用状态。公司曾于</w:t>
      </w:r>
      <w:r>
        <w:rPr>
          <w:spacing w:val="-46"/>
        </w:rPr>
        <w:t> </w:t>
      </w:r>
      <w:r>
        <w:rPr>
          <w:rFonts w:ascii="Times New Roman" w:hAnsi="Times New Roman" w:cs="Times New Roman" w:eastAsia="Times New Roman" w:hint="default"/>
        </w:rPr>
        <w:t>2013 </w:t>
      </w:r>
      <w:r>
        <w:rPr/>
        <w:t>年度报告及</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年的定期报告中披露该项目达到预定可使用状态日期为</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 </w:t>
      </w:r>
      <w:r>
        <w:rPr/>
        <w:t>日， 实际则为一直未能达到预计可使用状态，特此更正说明。</w:t>
      </w:r>
    </w:p>
    <w:p>
      <w:pPr>
        <w:pStyle w:val="BodyText"/>
        <w:spacing w:line="240" w:lineRule="auto" w:before="70"/>
        <w:ind w:right="0"/>
        <w:jc w:val="left"/>
      </w:pPr>
      <w:r>
        <w:rPr>
          <w:rFonts w:ascii="Times New Roman" w:hAnsi="Times New Roman" w:cs="Times New Roman" w:eastAsia="Times New Roman" w:hint="default"/>
        </w:rPr>
        <w:t>3.</w:t>
      </w:r>
      <w:r>
        <w:rPr/>
        <w:t>募集资金变更项目情况</w:t>
      </w:r>
    </w:p>
    <w:p>
      <w:pPr>
        <w:pStyle w:val="BodyText"/>
        <w:spacing w:line="240" w:lineRule="auto" w:before="10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240" w:lineRule="auto" w:before="102"/>
        <w:ind w:left="0" w:right="151"/>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8"/>
        <w:gridCol w:w="958"/>
        <w:gridCol w:w="956"/>
        <w:gridCol w:w="959"/>
        <w:gridCol w:w="956"/>
        <w:gridCol w:w="956"/>
        <w:gridCol w:w="956"/>
        <w:gridCol w:w="956"/>
        <w:gridCol w:w="958"/>
        <w:gridCol w:w="956"/>
      </w:tblGrid>
      <w:tr>
        <w:trPr>
          <w:trHeight w:val="1338"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82" w:right="23"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3"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w:t>
            </w:r>
          </w:p>
        </w:tc>
        <w:tc>
          <w:tcPr>
            <w:tcW w:w="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3" w:right="20"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2"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357" w:hRule="exact"/>
        </w:trPr>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（苏州）电</w:t>
            </w:r>
          </w:p>
        </w:tc>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（南京）电</w:t>
            </w:r>
          </w:p>
        </w:tc>
        <w:tc>
          <w:tcPr>
            <w:tcW w:w="956"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vMerge w:val="restart"/>
            <w:tcBorders>
              <w:top w:val="single" w:sz="4" w:space="0" w:color="000000"/>
              <w:left w:val="single" w:sz="4" w:space="0" w:color="000000"/>
              <w:right w:val="single" w:sz="4" w:space="0" w:color="000000"/>
            </w:tcBorders>
          </w:tcPr>
          <w:p>
            <w:pPr/>
          </w:p>
        </w:tc>
        <w:tc>
          <w:tcPr>
            <w:tcW w:w="956" w:type="dxa"/>
            <w:vMerge w:val="restart"/>
            <w:tcBorders>
              <w:top w:val="single" w:sz="4" w:space="0" w:color="000000"/>
              <w:left w:val="single" w:sz="4" w:space="0" w:color="000000"/>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子支付技术 产研基地建</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子支付技术 产研基地建</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15,306</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9,103.01</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15,049.25</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8" w:right="0"/>
              <w:jc w:val="left"/>
              <w:rPr>
                <w:rFonts w:ascii="Times New Roman" w:hAnsi="Times New Roman" w:cs="Times New Roman" w:eastAsia="Times New Roman" w:hint="default"/>
                <w:sz w:val="18"/>
                <w:szCs w:val="18"/>
              </w:rPr>
            </w:pPr>
            <w:r>
              <w:rPr>
                <w:rFonts w:ascii="Times New Roman"/>
                <w:sz w:val="18"/>
              </w:rPr>
              <w:t>98.32%</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7" w:hRule="exact"/>
        </w:trPr>
        <w:tc>
          <w:tcPr>
            <w:tcW w:w="9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设项目</w:t>
            </w:r>
          </w:p>
        </w:tc>
        <w:tc>
          <w:tcPr>
            <w:tcW w:w="9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设项目</w:t>
            </w:r>
          </w:p>
        </w:tc>
        <w:tc>
          <w:tcPr>
            <w:tcW w:w="956"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958" w:type="dxa"/>
            <w:vMerge w:val="restart"/>
            <w:tcBorders>
              <w:top w:val="single" w:sz="4" w:space="0" w:color="000000"/>
              <w:left w:val="single" w:sz="4" w:space="0" w:color="000000"/>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增资易联技</w:t>
            </w:r>
          </w:p>
        </w:tc>
        <w:tc>
          <w:tcPr>
            <w:tcW w:w="956" w:type="dxa"/>
            <w:vMerge w:val="restart"/>
            <w:tcBorders>
              <w:top w:val="single" w:sz="4" w:space="0" w:color="000000"/>
              <w:left w:val="single" w:sz="4" w:space="0" w:color="000000"/>
              <w:right w:val="single" w:sz="4" w:space="0" w:color="000000"/>
            </w:tcBorders>
          </w:tcPr>
          <w:p>
            <w:pPr/>
          </w:p>
        </w:tc>
        <w:tc>
          <w:tcPr>
            <w:tcW w:w="959" w:type="dxa"/>
            <w:vMerge w:val="restart"/>
            <w:tcBorders>
              <w:top w:val="single" w:sz="4" w:space="0" w:color="000000"/>
              <w:left w:val="single" w:sz="4" w:space="0" w:color="000000"/>
              <w:right w:val="single" w:sz="4" w:space="0" w:color="000000"/>
            </w:tcBorders>
          </w:tcPr>
          <w:p>
            <w:pPr/>
          </w:p>
        </w:tc>
        <w:tc>
          <w:tcPr>
            <w:tcW w:w="956" w:type="dxa"/>
            <w:vMerge w:val="restart"/>
            <w:tcBorders>
              <w:top w:val="single" w:sz="4" w:space="0" w:color="000000"/>
              <w:left w:val="single" w:sz="4" w:space="0" w:color="000000"/>
              <w:right w:val="single" w:sz="4" w:space="0" w:color="000000"/>
            </w:tcBorders>
          </w:tcPr>
          <w:p>
            <w:pPr/>
          </w:p>
        </w:tc>
        <w:tc>
          <w:tcPr>
            <w:tcW w:w="956" w:type="dxa"/>
            <w:vMerge w:val="restart"/>
            <w:tcBorders>
              <w:top w:val="single" w:sz="4" w:space="0" w:color="000000"/>
              <w:left w:val="single" w:sz="4" w:space="0" w:color="000000"/>
              <w:right w:val="single" w:sz="4" w:space="0" w:color="000000"/>
            </w:tcBorders>
          </w:tcPr>
          <w:p>
            <w:pPr/>
          </w:p>
        </w:tc>
        <w:tc>
          <w:tcPr>
            <w:tcW w:w="956" w:type="dxa"/>
            <w:vMerge w:val="restart"/>
            <w:tcBorders>
              <w:top w:val="single" w:sz="4" w:space="0" w:color="000000"/>
              <w:left w:val="single" w:sz="4" w:space="0" w:color="000000"/>
              <w:right w:val="single" w:sz="4" w:space="0" w:color="000000"/>
            </w:tcBorders>
          </w:tcPr>
          <w:p>
            <w:pPr/>
          </w:p>
        </w:tc>
        <w:tc>
          <w:tcPr>
            <w:tcW w:w="956" w:type="dxa"/>
            <w:vMerge w:val="restart"/>
            <w:tcBorders>
              <w:top w:val="single" w:sz="4" w:space="0" w:color="000000"/>
              <w:left w:val="single" w:sz="4" w:space="0" w:color="000000"/>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958"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术公司开展 电子支付服</w:t>
            </w:r>
          </w:p>
        </w:tc>
        <w:tc>
          <w:tcPr>
            <w:tcW w:w="956" w:type="dxa"/>
            <w:vMerge/>
            <w:tcBorders>
              <w:left w:val="single" w:sz="4" w:space="0" w:color="000000"/>
              <w:right w:val="single" w:sz="4" w:space="0" w:color="000000"/>
            </w:tcBorders>
          </w:tcPr>
          <w:p>
            <w:pPr/>
          </w:p>
        </w:tc>
        <w:tc>
          <w:tcPr>
            <w:tcW w:w="959"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7" w:hRule="exact"/>
        </w:trPr>
        <w:tc>
          <w:tcPr>
            <w:tcW w:w="958" w:type="dxa"/>
            <w:vMerge/>
            <w:tcBorders>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务项目</w:t>
            </w:r>
          </w:p>
        </w:tc>
        <w:tc>
          <w:tcPr>
            <w:tcW w:w="956" w:type="dxa"/>
            <w:vMerge/>
            <w:tcBorders>
              <w:left w:val="single" w:sz="4" w:space="0" w:color="000000"/>
              <w:bottom w:val="single" w:sz="4" w:space="0" w:color="000000"/>
              <w:right w:val="single" w:sz="4" w:space="0" w:color="000000"/>
            </w:tcBorders>
          </w:tcPr>
          <w:p>
            <w:pPr/>
          </w:p>
        </w:tc>
        <w:tc>
          <w:tcPr>
            <w:tcW w:w="959" w:type="dxa"/>
            <w:vMerge/>
            <w:tcBorders>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15,306</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9,103.01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15,049.25</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12" w:right="0"/>
              <w:jc w:val="left"/>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362" w:hRule="exact"/>
        </w:trPr>
        <w:tc>
          <w:tcPr>
            <w:tcW w:w="2872" w:type="dxa"/>
            <w:gridSpan w:val="3"/>
            <w:tcBorders>
              <w:top w:val="single" w:sz="4" w:space="0" w:color="000000"/>
              <w:left w:val="single" w:sz="4" w:space="0" w:color="000000"/>
              <w:bottom w:val="nil" w:sz="6" w:space="0" w:color="auto"/>
              <w:right w:val="single" w:sz="4" w:space="0" w:color="000000"/>
            </w:tcBorders>
            <w:shd w:val="clear" w:color="auto" w:fill="D3D3D3"/>
          </w:tcPr>
          <w:p>
            <w:pPr/>
          </w:p>
        </w:tc>
        <w:tc>
          <w:tcPr>
            <w:tcW w:w="6698" w:type="dxa"/>
            <w:gridSpan w:val="7"/>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、公司分别于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日，经第二届董事会第五次会议、第二届监事会第四</w:t>
            </w:r>
          </w:p>
        </w:tc>
      </w:tr>
      <w:tr>
        <w:trPr>
          <w:trHeight w:val="311"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次会议审议通过，于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日召开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年度股东大会，审议通过了《关于</w:t>
            </w:r>
          </w:p>
        </w:tc>
      </w:tr>
      <w:tr>
        <w:trPr>
          <w:trHeight w:val="307"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审议变更募投项目电子支付技术产研基地建设项目实施地址及部分实施方式的议</w:t>
            </w:r>
          </w:p>
        </w:tc>
      </w:tr>
      <w:tr>
        <w:trPr>
          <w:trHeight w:val="317"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0"/>
                <w:sz w:val="18"/>
                <w:szCs w:val="18"/>
              </w:rPr>
              <w:t>》</w:t>
            </w:r>
            <w:r>
              <w:rPr>
                <w:rFonts w:ascii="宋体" w:hAnsi="宋体" w:cs="宋体" w:eastAsia="宋体" w:hint="default"/>
                <w:spacing w:val="-45"/>
                <w:sz w:val="18"/>
                <w:szCs w:val="18"/>
              </w:rPr>
              <w:t>，</w:t>
            </w:r>
            <w:r>
              <w:rPr>
                <w:rFonts w:ascii="宋体" w:hAnsi="宋体" w:cs="宋体" w:eastAsia="宋体" w:hint="default"/>
                <w:sz w:val="18"/>
                <w:szCs w:val="18"/>
              </w:rPr>
              <w:t>决定将原计划投入南京的</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电子支付</w:t>
            </w:r>
            <w:r>
              <w:rPr>
                <w:rFonts w:ascii="宋体" w:hAnsi="宋体" w:cs="宋体" w:eastAsia="宋体" w:hint="default"/>
                <w:spacing w:val="1"/>
                <w:sz w:val="18"/>
                <w:szCs w:val="18"/>
              </w:rPr>
              <w:t>技</w:t>
            </w:r>
            <w:r>
              <w:rPr>
                <w:rFonts w:ascii="宋体" w:hAnsi="宋体" w:cs="宋体" w:eastAsia="宋体" w:hint="default"/>
                <w:sz w:val="18"/>
                <w:szCs w:val="18"/>
              </w:rPr>
              <w:t>术产研基地项目</w:t>
            </w:r>
            <w:r>
              <w:rPr>
                <w:rFonts w:ascii="Times New Roman" w:hAnsi="Times New Roman" w:cs="Times New Roman" w:eastAsia="Times New Roman" w:hint="default"/>
                <w:sz w:val="18"/>
                <w:szCs w:val="18"/>
              </w:rPr>
              <w:t>”</w:t>
            </w:r>
            <w:r>
              <w:rPr>
                <w:rFonts w:ascii="宋体" w:hAnsi="宋体" w:cs="宋体" w:eastAsia="宋体" w:hint="default"/>
                <w:sz w:val="18"/>
                <w:szCs w:val="18"/>
              </w:rPr>
              <w:t>中规划的研发中心</w:t>
            </w:r>
            <w:r>
              <w:rPr>
                <w:rFonts w:ascii="宋体" w:hAnsi="宋体" w:cs="宋体" w:eastAsia="宋体" w:hint="default"/>
                <w:spacing w:val="-45"/>
                <w:sz w:val="18"/>
                <w:szCs w:val="18"/>
              </w:rPr>
              <w:t>、</w:t>
            </w:r>
            <w:r>
              <w:rPr>
                <w:rFonts w:ascii="宋体" w:hAnsi="宋体" w:cs="宋体" w:eastAsia="宋体" w:hint="default"/>
                <w:sz w:val="18"/>
                <w:szCs w:val="18"/>
              </w:rPr>
              <w:t>客服</w:t>
            </w:r>
          </w:p>
        </w:tc>
      </w:tr>
      <w:tr>
        <w:trPr>
          <w:trHeight w:val="307"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中心迁移到苏州实施，项目规划的生产中心迁移到深圳宝安区实施。其中，公司目前</w:t>
            </w:r>
          </w:p>
        </w:tc>
      </w:tr>
      <w:tr>
        <w:trPr>
          <w:trHeight w:val="312"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未在深圳获得自有土地使用权，项目规划的生产中心由自建变更为租赁房屋建设。同</w:t>
            </w:r>
          </w:p>
        </w:tc>
      </w:tr>
      <w:tr>
        <w:trPr>
          <w:trHeight w:val="941"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2" w:right="2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变更原因、决策程序及信息披露情况</w:t>
            </w:r>
            <w:r>
              <w:rPr>
                <w:rFonts w:ascii="宋体" w:hAnsi="宋体" w:cs="宋体" w:eastAsia="宋体" w:hint="default"/>
                <w:sz w:val="18"/>
                <w:szCs w:val="18"/>
              </w:rPr>
              <w:t> 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3" w:right="19"/>
              <w:jc w:val="both"/>
              <w:rPr>
                <w:rFonts w:ascii="Times New Roman" w:hAnsi="Times New Roman" w:cs="Times New Roman" w:eastAsia="Times New Roman" w:hint="default"/>
                <w:sz w:val="18"/>
                <w:szCs w:val="18"/>
              </w:rPr>
            </w:pPr>
            <w:r>
              <w:rPr>
                <w:rFonts w:ascii="宋体" w:hAnsi="宋体" w:cs="宋体" w:eastAsia="宋体" w:hint="default"/>
                <w:sz w:val="18"/>
                <w:szCs w:val="18"/>
              </w:rPr>
              <w:t>意将原位于南京的</w:t>
            </w:r>
            <w:r>
              <w:rPr>
                <w:rFonts w:ascii="Times New Roman" w:hAnsi="Times New Roman" w:cs="Times New Roman" w:eastAsia="Times New Roman" w:hint="default"/>
                <w:sz w:val="18"/>
                <w:szCs w:val="18"/>
              </w:rPr>
              <w:t>“</w:t>
            </w:r>
            <w:r>
              <w:rPr>
                <w:rFonts w:ascii="宋体" w:hAnsi="宋体" w:cs="宋体" w:eastAsia="宋体" w:hint="default"/>
                <w:sz w:val="18"/>
                <w:szCs w:val="18"/>
              </w:rPr>
              <w:t>电子支付技术产研基地项目</w:t>
            </w:r>
            <w:r>
              <w:rPr>
                <w:rFonts w:ascii="Times New Roman" w:hAnsi="Times New Roman" w:cs="Times New Roman" w:eastAsia="Times New Roman" w:hint="default"/>
                <w:sz w:val="18"/>
                <w:szCs w:val="18"/>
              </w:rPr>
              <w:t>”</w:t>
            </w:r>
            <w:r>
              <w:rPr>
                <w:rFonts w:ascii="宋体" w:hAnsi="宋体" w:cs="宋体" w:eastAsia="宋体" w:hint="default"/>
                <w:sz w:val="18"/>
                <w:szCs w:val="18"/>
              </w:rPr>
              <w:t>中规划的研发中心、客服中心迁移到 </w:t>
            </w:r>
            <w:r>
              <w:rPr>
                <w:rFonts w:ascii="宋体" w:hAnsi="宋体" w:cs="宋体" w:eastAsia="宋体" w:hint="default"/>
                <w:spacing w:val="-1"/>
                <w:sz w:val="18"/>
                <w:szCs w:val="18"/>
              </w:rPr>
              <w:t>苏州实施，项目规划的生产中心迁移到深圳宝安区以租赁房屋的方式实施。原投入南</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京的</w:t>
            </w:r>
            <w:r>
              <w:rPr>
                <w:rFonts w:ascii="Times New Roman" w:hAnsi="Times New Roman" w:cs="Times New Roman" w:eastAsia="Times New Roman" w:hint="default"/>
                <w:sz w:val="18"/>
                <w:szCs w:val="18"/>
              </w:rPr>
              <w:t>“</w:t>
            </w:r>
            <w:r>
              <w:rPr>
                <w:rFonts w:ascii="宋体" w:hAnsi="宋体" w:cs="宋体" w:eastAsia="宋体" w:hint="default"/>
                <w:sz w:val="18"/>
                <w:szCs w:val="18"/>
              </w:rPr>
              <w:t>电子支付技术产研基地项目</w:t>
            </w:r>
            <w:r>
              <w:rPr>
                <w:rFonts w:ascii="Times New Roman" w:hAnsi="Times New Roman" w:cs="Times New Roman" w:eastAsia="Times New Roman" w:hint="default"/>
                <w:sz w:val="18"/>
                <w:szCs w:val="18"/>
              </w:rPr>
              <w:t>”</w:t>
            </w:r>
            <w:r>
              <w:rPr>
                <w:rFonts w:ascii="宋体" w:hAnsi="宋体" w:cs="宋体" w:eastAsia="宋体" w:hint="default"/>
                <w:sz w:val="18"/>
                <w:szCs w:val="18"/>
              </w:rPr>
              <w:t>总投资</w:t>
            </w:r>
            <w:r>
              <w:rPr>
                <w:rFonts w:ascii="宋体" w:hAnsi="宋体" w:cs="宋体" w:eastAsia="宋体" w:hint="default"/>
                <w:spacing w:val="-56"/>
                <w:sz w:val="18"/>
                <w:szCs w:val="18"/>
              </w:rPr>
              <w:t> </w:t>
            </w:r>
            <w:r>
              <w:rPr>
                <w:rFonts w:ascii="Times New Roman" w:hAnsi="Times New Roman" w:cs="Times New Roman" w:eastAsia="Times New Roman" w:hint="default"/>
                <w:spacing w:val="-1"/>
                <w:sz w:val="18"/>
                <w:szCs w:val="18"/>
              </w:rPr>
              <w:t>15,306</w:t>
            </w:r>
            <w:r>
              <w:rPr>
                <w:rFonts w:ascii="Times New Roman" w:hAnsi="Times New Roman" w:cs="Times New Roman" w:eastAsia="Times New Roman" w:hint="default"/>
                <w:spacing w:val="-11"/>
                <w:sz w:val="18"/>
                <w:szCs w:val="18"/>
              </w:rPr>
              <w:t> </w:t>
            </w:r>
            <w:r>
              <w:rPr>
                <w:rFonts w:ascii="宋体" w:hAnsi="宋体" w:cs="宋体" w:eastAsia="宋体" w:hint="default"/>
                <w:spacing w:val="-7"/>
                <w:sz w:val="18"/>
                <w:szCs w:val="18"/>
              </w:rPr>
              <w:t>万元，扣除投入深圳生产中心的</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2,500</w:t>
            </w:r>
          </w:p>
        </w:tc>
      </w:tr>
      <w:tr>
        <w:trPr>
          <w:trHeight w:val="312"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6"/>
                <w:sz w:val="18"/>
                <w:szCs w:val="18"/>
              </w:rPr>
              <w:t>万元，剩余的</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12,806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万元全部投入苏州项目。公司通过募集资金专户向原募投项目支</w:t>
            </w:r>
          </w:p>
        </w:tc>
      </w:tr>
      <w:tr>
        <w:trPr>
          <w:trHeight w:val="313"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付的人民币</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1,475.71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万元（主要用于土地使用权出让金、土地交易税费、建筑方案设</w:t>
            </w:r>
          </w:p>
        </w:tc>
      </w:tr>
      <w:tr>
        <w:trPr>
          <w:trHeight w:val="327"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计费</w:t>
            </w:r>
            <w:r>
              <w:rPr>
                <w:rFonts w:ascii="宋体" w:hAnsi="宋体" w:cs="宋体" w:eastAsia="宋体" w:hint="default"/>
                <w:spacing w:val="-90"/>
                <w:sz w:val="18"/>
                <w:szCs w:val="18"/>
              </w:rPr>
              <w:t>）</w:t>
            </w:r>
            <w:r>
              <w:rPr>
                <w:rFonts w:ascii="宋体" w:hAnsi="宋体" w:cs="宋体" w:eastAsia="宋体" w:hint="default"/>
                <w:sz w:val="18"/>
                <w:szCs w:val="18"/>
              </w:rPr>
              <w:t>，已全部用公司自有资金予以置换。</w:t>
            </w:r>
          </w:p>
        </w:tc>
      </w:tr>
      <w:tr>
        <w:trPr>
          <w:trHeight w:val="337"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、增资易联技术开展电子支付服务项目，项目可行性发生重大变化，具体情况为：</w:t>
            </w:r>
          </w:p>
        </w:tc>
      </w:tr>
      <w:tr>
        <w:trPr>
          <w:trHeight w:val="312"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随着</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号令的推行，国内第三方支付市场发生重大变化，且市场竞争不断加剧。易联</w:t>
            </w:r>
          </w:p>
        </w:tc>
      </w:tr>
      <w:tr>
        <w:trPr>
          <w:trHeight w:val="312" w:hRule="exact"/>
        </w:trPr>
        <w:tc>
          <w:tcPr>
            <w:tcW w:w="2872" w:type="dxa"/>
            <w:gridSpan w:val="3"/>
            <w:tcBorders>
              <w:top w:val="nil" w:sz="6" w:space="0" w:color="auto"/>
              <w:left w:val="single" w:sz="4" w:space="0" w:color="000000"/>
              <w:bottom w:val="single" w:sz="4" w:space="0" w:color="000000"/>
              <w:right w:val="single" w:sz="4" w:space="0" w:color="000000"/>
            </w:tcBorders>
            <w:shd w:val="clear" w:color="auto" w:fill="D3D3D3"/>
          </w:tcPr>
          <w:p>
            <w:pPr/>
          </w:p>
        </w:tc>
        <w:tc>
          <w:tcPr>
            <w:tcW w:w="6698" w:type="dxa"/>
            <w:gridSpan w:val="7"/>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技术开展电子支付服务项目，主要是为了推进小额支付运营业务的进展，计划申领预</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72"/>
        <w:gridCol w:w="6698"/>
      </w:tblGrid>
      <w:tr>
        <w:trPr>
          <w:trHeight w:val="1610" w:hRule="exact"/>
        </w:trPr>
        <w:tc>
          <w:tcPr>
            <w:tcW w:w="287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698"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10"/>
              <w:ind w:left="23" w:right="21"/>
              <w:jc w:val="left"/>
              <w:rPr>
                <w:rFonts w:ascii="宋体" w:hAnsi="宋体" w:cs="宋体" w:eastAsia="宋体" w:hint="default"/>
                <w:sz w:val="18"/>
                <w:szCs w:val="18"/>
              </w:rPr>
            </w:pPr>
            <w:r>
              <w:rPr>
                <w:rFonts w:ascii="宋体" w:hAnsi="宋体" w:cs="宋体" w:eastAsia="宋体" w:hint="default"/>
                <w:spacing w:val="-1"/>
                <w:sz w:val="18"/>
                <w:szCs w:val="18"/>
              </w:rPr>
              <w:t>付卡发行和受理业务。由于公司的小额支付运营业务受到阻碍，导致本项目无法实际</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开展，造成项目可行性发生重大变化。</w:t>
            </w:r>
            <w:r>
              <w:rPr>
                <w:rFonts w:ascii="Times New Roman" w:hAnsi="Times New Roman" w:cs="Times New Roman" w:eastAsia="Times New Roman" w:hint="default"/>
                <w:spacing w:val="-3"/>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日，经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 大会审议通过了《审议终止深圳市易联技术有限公司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电子支付服务项目</w:t>
            </w:r>
            <w:r>
              <w:rPr>
                <w:rFonts w:ascii="Times New Roman" w:hAnsi="Times New Roman" w:cs="Times New Roman" w:eastAsia="Times New Roman" w:hint="default"/>
                <w:sz w:val="18"/>
                <w:szCs w:val="18"/>
              </w:rPr>
              <w:t>”</w:t>
            </w:r>
            <w:r>
              <w:rPr>
                <w:rFonts w:ascii="宋体" w:hAnsi="宋体" w:cs="宋体" w:eastAsia="宋体" w:hint="default"/>
                <w:sz w:val="18"/>
                <w:szCs w:val="18"/>
              </w:rPr>
              <w:t>并退回其他 与主营业务相关的营运资金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pacing w:val="-4"/>
                <w:sz w:val="18"/>
                <w:szCs w:val="18"/>
              </w:rPr>
              <w:t>亿元的议案》，终止该项目的实施，以提高超募资金的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使用效率。</w:t>
            </w:r>
          </w:p>
        </w:tc>
      </w:tr>
      <w:tr>
        <w:trPr>
          <w:trHeight w:val="714" w:hRule="exact"/>
        </w:trPr>
        <w:tc>
          <w:tcPr>
            <w:tcW w:w="28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8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right="0"/>
        <w:jc w:val="left"/>
      </w:pPr>
      <w:r>
        <w:rPr>
          <w:rFonts w:ascii="Times New Roman" w:hAnsi="Times New Roman" w:cs="Times New Roman" w:eastAsia="Times New Roman" w:hint="default"/>
        </w:rPr>
        <w:t>3</w:t>
      </w:r>
      <w:r>
        <w:rPr/>
        <w:t>）非募集资金投资的重大项目情况</w:t>
      </w:r>
    </w:p>
    <w:p>
      <w:pPr>
        <w:pStyle w:val="BodyText"/>
        <w:spacing w:line="348" w:lineRule="auto" w:before="103"/>
        <w:ind w:right="63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公司报告期无非募集资金投资的重大项目。 </w:t>
      </w:r>
      <w:r>
        <w:rPr>
          <w:rFonts w:ascii="Times New Roman" w:hAnsi="Times New Roman" w:cs="Times New Roman" w:eastAsia="Times New Roman" w:hint="default"/>
        </w:rPr>
        <w:t>4</w:t>
      </w:r>
      <w:r>
        <w:rPr/>
        <w:t>）持有其他上市公司股权情况</w:t>
      </w:r>
    </w:p>
    <w:p>
      <w:pPr>
        <w:pStyle w:val="BodyText"/>
        <w:spacing w:line="240" w:lineRule="auto" w:before="1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240" w:lineRule="auto" w:before="102"/>
        <w:ind w:right="0"/>
        <w:jc w:val="left"/>
      </w:pPr>
      <w:r>
        <w:rPr>
          <w:rFonts w:ascii="Times New Roman" w:hAnsi="Times New Roman" w:cs="Times New Roman" w:eastAsia="Times New Roman" w:hint="default"/>
        </w:rPr>
        <w:t>5</w:t>
      </w:r>
      <w:r>
        <w:rPr/>
        <w:t>）持有金融企业股权情况</w:t>
      </w:r>
    </w:p>
    <w:p>
      <w:pPr>
        <w:pStyle w:val="BodyText"/>
        <w:spacing w:line="348" w:lineRule="auto" w:before="102"/>
        <w:ind w:right="70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公司报告期未持有金融企业股权。 </w:t>
      </w:r>
      <w:r>
        <w:rPr>
          <w:rFonts w:ascii="Times New Roman" w:hAnsi="Times New Roman" w:cs="Times New Roman" w:eastAsia="Times New Roman" w:hint="default"/>
        </w:rPr>
        <w:t>6</w:t>
      </w:r>
      <w:r>
        <w:rPr/>
        <w:t>）买卖其他上市公司股份的情况</w:t>
      </w:r>
    </w:p>
    <w:p>
      <w:pPr>
        <w:pStyle w:val="BodyText"/>
        <w:spacing w:line="240" w:lineRule="auto" w:before="1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240" w:lineRule="auto" w:before="103"/>
        <w:ind w:right="0"/>
        <w:jc w:val="left"/>
      </w:pPr>
      <w:r>
        <w:rPr>
          <w:rFonts w:ascii="Times New Roman" w:hAnsi="Times New Roman" w:cs="Times New Roman" w:eastAsia="Times New Roman" w:hint="default"/>
        </w:rPr>
        <w:t>7</w:t>
      </w:r>
      <w:r>
        <w:rPr/>
        <w:t>）以公允价值计量的金融资产</w:t>
      </w:r>
    </w:p>
    <w:p>
      <w:pPr>
        <w:pStyle w:val="BodyText"/>
        <w:spacing w:line="240" w:lineRule="auto" w:before="10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）主要控股参股公司分析</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80"/>
        </w:sectPr>
      </w:pPr>
    </w:p>
    <w:p>
      <w:pPr>
        <w:pStyle w:val="BodyText"/>
        <w:spacing w:line="338" w:lineRule="auto"/>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主要子公司、参股公司情况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53" w:right="0"/>
        <w:jc w:val="left"/>
      </w:pPr>
      <w:r>
        <w:rPr/>
        <w:t>单位：元</w:t>
      </w:r>
    </w:p>
    <w:p>
      <w:pPr>
        <w:spacing w:after="0" w:line="240" w:lineRule="auto"/>
        <w:jc w:val="left"/>
        <w:sectPr>
          <w:type w:val="continuous"/>
          <w:pgSz w:w="11910" w:h="16840"/>
          <w:pgMar w:top="1060" w:bottom="1180" w:left="980" w:right="980"/>
          <w:cols w:num="2" w:equalWidth="0">
            <w:col w:w="2315" w:space="6604"/>
            <w:col w:w="103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46"/>
        <w:gridCol w:w="1075"/>
        <w:gridCol w:w="942"/>
        <w:gridCol w:w="943"/>
        <w:gridCol w:w="943"/>
        <w:gridCol w:w="944"/>
        <w:gridCol w:w="942"/>
        <w:gridCol w:w="943"/>
        <w:gridCol w:w="809"/>
        <w:gridCol w:w="1078"/>
      </w:tblGrid>
      <w:tr>
        <w:trPr>
          <w:trHeight w:val="714" w:hRule="exact"/>
        </w:trPr>
        <w:tc>
          <w:tcPr>
            <w:tcW w:w="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95" w:right="107" w:hanging="90"/>
              <w:jc w:val="left"/>
              <w:rPr>
                <w:rFonts w:ascii="宋体" w:hAnsi="宋体" w:cs="宋体" w:eastAsia="宋体" w:hint="default"/>
                <w:sz w:val="18"/>
                <w:szCs w:val="18"/>
              </w:rPr>
            </w:pPr>
            <w:r>
              <w:rPr>
                <w:rFonts w:ascii="宋体" w:hAnsi="宋体" w:cs="宋体" w:eastAsia="宋体" w:hint="default"/>
                <w:sz w:val="18"/>
                <w:szCs w:val="18"/>
              </w:rPr>
              <w:t>主要产品 或服务</w:t>
            </w:r>
          </w:p>
        </w:tc>
        <w:tc>
          <w:tcPr>
            <w:tcW w:w="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总资产</w:t>
            </w:r>
          </w:p>
        </w:tc>
        <w:tc>
          <w:tcPr>
            <w:tcW w:w="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净资产</w:t>
            </w:r>
          </w:p>
        </w:tc>
        <w:tc>
          <w:tcPr>
            <w:tcW w:w="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8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8"/>
              <w:jc w:val="right"/>
              <w:rPr>
                <w:rFonts w:ascii="宋体" w:hAnsi="宋体" w:cs="宋体" w:eastAsia="宋体" w:hint="default"/>
                <w:sz w:val="18"/>
                <w:szCs w:val="18"/>
              </w:rPr>
            </w:pPr>
            <w:r>
              <w:rPr>
                <w:rFonts w:ascii="宋体" w:hAnsi="宋体" w:cs="宋体" w:eastAsia="宋体" w:hint="default"/>
                <w:sz w:val="18"/>
                <w:szCs w:val="18"/>
              </w:rPr>
              <w:t>营业利润</w:t>
            </w:r>
          </w:p>
        </w:tc>
        <w:tc>
          <w:tcPr>
            <w:tcW w:w="1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深圳市易 联技术有 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电子支付 </w:t>
            </w:r>
            <w:r>
              <w:rPr>
                <w:rFonts w:ascii="宋体" w:hAnsi="宋体" w:cs="宋体" w:eastAsia="宋体" w:hint="default"/>
                <w:spacing w:val="-3"/>
                <w:sz w:val="18"/>
                <w:szCs w:val="18"/>
              </w:rPr>
              <w:t>技术、软件</w:t>
            </w:r>
            <w:r>
              <w:rPr>
                <w:rFonts w:ascii="宋体" w:hAnsi="宋体" w:cs="宋体" w:eastAsia="宋体" w:hint="default"/>
                <w:sz w:val="18"/>
                <w:szCs w:val="18"/>
              </w:rPr>
              <w:t> 技术</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8"/>
              <w:jc w:val="both"/>
              <w:rPr>
                <w:rFonts w:ascii="宋体" w:hAnsi="宋体" w:cs="宋体" w:eastAsia="宋体" w:hint="default"/>
                <w:sz w:val="18"/>
                <w:szCs w:val="18"/>
              </w:rPr>
            </w:pPr>
            <w:r>
              <w:rPr>
                <w:rFonts w:ascii="宋体" w:hAnsi="宋体" w:cs="宋体" w:eastAsia="宋体" w:hint="default"/>
                <w:sz w:val="18"/>
                <w:szCs w:val="18"/>
              </w:rPr>
              <w:t>软件技术 开发与销 售</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290,294,74</w:t>
            </w:r>
          </w:p>
          <w:p>
            <w:pPr>
              <w:pStyle w:val="TableParagraph"/>
              <w:spacing w:line="240" w:lineRule="auto" w:before="106"/>
              <w:ind w:left="596" w:right="0"/>
              <w:jc w:val="left"/>
              <w:rPr>
                <w:rFonts w:ascii="Times New Roman" w:hAnsi="Times New Roman" w:cs="Times New Roman" w:eastAsia="Times New Roman" w:hint="default"/>
                <w:sz w:val="18"/>
                <w:szCs w:val="18"/>
              </w:rPr>
            </w:pPr>
            <w:r>
              <w:rPr>
                <w:rFonts w:ascii="Times New Roman"/>
                <w:sz w:val="18"/>
              </w:rPr>
              <w:t>1.25</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273,155,99</w:t>
            </w:r>
          </w:p>
          <w:p>
            <w:pPr>
              <w:pStyle w:val="TableParagraph"/>
              <w:spacing w:line="240" w:lineRule="auto" w:before="106"/>
              <w:ind w:left="595" w:right="0"/>
              <w:jc w:val="left"/>
              <w:rPr>
                <w:rFonts w:ascii="Times New Roman" w:hAnsi="Times New Roman" w:cs="Times New Roman" w:eastAsia="Times New Roman" w:hint="default"/>
                <w:sz w:val="18"/>
                <w:szCs w:val="18"/>
              </w:rPr>
            </w:pPr>
            <w:r>
              <w:rPr>
                <w:rFonts w:ascii="Times New Roman"/>
                <w:sz w:val="18"/>
              </w:rPr>
              <w:t>6.61</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80,709,252.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13</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8,471,415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17,686,274.6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r>
      <w:tr>
        <w:trPr>
          <w:trHeight w:val="102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南京市新 国都技术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电子支付 </w:t>
            </w:r>
            <w:r>
              <w:rPr>
                <w:rFonts w:ascii="宋体" w:hAnsi="宋体" w:cs="宋体" w:eastAsia="宋体" w:hint="default"/>
                <w:spacing w:val="-3"/>
                <w:sz w:val="18"/>
                <w:szCs w:val="18"/>
              </w:rPr>
              <w:t>技术、软件</w:t>
            </w:r>
            <w:r>
              <w:rPr>
                <w:rFonts w:ascii="宋体" w:hAnsi="宋体" w:cs="宋体" w:eastAsia="宋体" w:hint="default"/>
                <w:sz w:val="18"/>
                <w:szCs w:val="18"/>
              </w:rPr>
              <w:t> 技术</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8"/>
              <w:jc w:val="both"/>
              <w:rPr>
                <w:rFonts w:ascii="宋体" w:hAnsi="宋体" w:cs="宋体" w:eastAsia="宋体" w:hint="default"/>
                <w:sz w:val="18"/>
                <w:szCs w:val="18"/>
              </w:rPr>
            </w:pPr>
            <w:r>
              <w:rPr>
                <w:rFonts w:ascii="宋体" w:hAnsi="宋体" w:cs="宋体" w:eastAsia="宋体" w:hint="default"/>
                <w:sz w:val="18"/>
                <w:szCs w:val="18"/>
              </w:rPr>
              <w:t>软件技术 开发与销 售</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86,633,558.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19</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83,955,668.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19</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23,573,375.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84</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18,391,15</w:t>
            </w:r>
          </w:p>
          <w:p>
            <w:pPr>
              <w:pStyle w:val="TableParagraph"/>
              <w:spacing w:line="240" w:lineRule="auto" w:before="106"/>
              <w:ind w:left="460" w:right="0"/>
              <w:jc w:val="left"/>
              <w:rPr>
                <w:rFonts w:ascii="Times New Roman" w:hAnsi="Times New Roman" w:cs="Times New Roman" w:eastAsia="Times New Roman" w:hint="default"/>
                <w:sz w:val="18"/>
                <w:szCs w:val="18"/>
              </w:rPr>
            </w:pPr>
            <w:r>
              <w:rPr>
                <w:rFonts w:ascii="Times New Roman"/>
                <w:sz w:val="18"/>
              </w:rPr>
              <w:t>3.51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23,907,018.7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r>
      <w:tr>
        <w:trPr>
          <w:trHeight w:val="1338"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广州市新 国都信息 科技有限 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电子支付 </w:t>
            </w:r>
            <w:r>
              <w:rPr>
                <w:rFonts w:ascii="宋体" w:hAnsi="宋体" w:cs="宋体" w:eastAsia="宋体" w:hint="default"/>
                <w:spacing w:val="-3"/>
                <w:sz w:val="18"/>
                <w:szCs w:val="18"/>
              </w:rPr>
              <w:t>技术、软件</w:t>
            </w:r>
            <w:r>
              <w:rPr>
                <w:rFonts w:ascii="宋体" w:hAnsi="宋体" w:cs="宋体" w:eastAsia="宋体" w:hint="default"/>
                <w:sz w:val="18"/>
                <w:szCs w:val="18"/>
              </w:rPr>
              <w:t> 技术</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
              <w:jc w:val="left"/>
              <w:rPr>
                <w:rFonts w:ascii="宋体" w:hAnsi="宋体" w:cs="宋体" w:eastAsia="宋体" w:hint="default"/>
                <w:sz w:val="18"/>
                <w:szCs w:val="18"/>
              </w:rPr>
            </w:pPr>
            <w:r>
              <w:rPr>
                <w:rFonts w:ascii="宋体" w:hAnsi="宋体" w:cs="宋体" w:eastAsia="宋体" w:hint="default"/>
                <w:sz w:val="18"/>
                <w:szCs w:val="18"/>
              </w:rPr>
              <w:t>计算机软 </w:t>
            </w:r>
            <w:r>
              <w:rPr>
                <w:rFonts w:ascii="宋体" w:hAnsi="宋体" w:cs="宋体" w:eastAsia="宋体" w:hint="default"/>
                <w:spacing w:val="-3"/>
                <w:sz w:val="18"/>
                <w:szCs w:val="18"/>
              </w:rPr>
              <w:t>件、智能设</w:t>
            </w:r>
            <w:r>
              <w:rPr>
                <w:rFonts w:ascii="宋体" w:hAnsi="宋体" w:cs="宋体" w:eastAsia="宋体" w:hint="default"/>
                <w:sz w:val="18"/>
                <w:szCs w:val="18"/>
              </w:rPr>
              <w:t> 备的研究、 </w:t>
            </w:r>
            <w:r>
              <w:rPr>
                <w:rFonts w:ascii="宋体" w:hAnsi="宋体" w:cs="宋体" w:eastAsia="宋体" w:hint="default"/>
                <w:spacing w:val="-3"/>
                <w:sz w:val="18"/>
                <w:szCs w:val="18"/>
              </w:rPr>
              <w:t>开发、销售</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969,655.86</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492,656.08</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35,542.83</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-499,209.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93</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-535,437.11</w:t>
            </w:r>
          </w:p>
        </w:tc>
      </w:tr>
      <w:tr>
        <w:trPr>
          <w:trHeight w:val="402"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苏州新国</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电子支付</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电子产品</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7"/>
              <w:jc w:val="right"/>
              <w:rPr>
                <w:rFonts w:ascii="Times New Roman" w:hAnsi="Times New Roman" w:cs="Times New Roman" w:eastAsia="Times New Roman" w:hint="default"/>
                <w:sz w:val="18"/>
                <w:szCs w:val="18"/>
              </w:rPr>
            </w:pPr>
            <w:r>
              <w:rPr>
                <w:rFonts w:ascii="Times New Roman"/>
                <w:sz w:val="18"/>
              </w:rPr>
              <w:t>408,060,00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8" w:right="0"/>
              <w:jc w:val="center"/>
              <w:rPr>
                <w:rFonts w:ascii="Times New Roman" w:hAnsi="Times New Roman" w:cs="Times New Roman" w:eastAsia="Times New Roman" w:hint="default"/>
                <w:sz w:val="18"/>
                <w:szCs w:val="18"/>
              </w:rPr>
            </w:pPr>
            <w:r>
              <w:rPr>
                <w:rFonts w:ascii="Times New Roman"/>
                <w:sz w:val="18"/>
              </w:rPr>
              <w:t>405,474,62</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8" w:right="0"/>
              <w:jc w:val="center"/>
              <w:rPr>
                <w:rFonts w:ascii="Times New Roman" w:hAnsi="Times New Roman" w:cs="Times New Roman" w:eastAsia="Times New Roman" w:hint="default"/>
                <w:sz w:val="18"/>
                <w:szCs w:val="18"/>
              </w:rPr>
            </w:pPr>
            <w:r>
              <w:rPr>
                <w:rFonts w:ascii="Times New Roman"/>
                <w:sz w:val="18"/>
              </w:rPr>
              <w:t>394,688,23</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428,205.11</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z w:val="18"/>
              </w:rPr>
              <w:t>-256,154.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-256,154.34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46"/>
        <w:gridCol w:w="1075"/>
        <w:gridCol w:w="942"/>
        <w:gridCol w:w="943"/>
        <w:gridCol w:w="943"/>
        <w:gridCol w:w="944"/>
        <w:gridCol w:w="942"/>
        <w:gridCol w:w="943"/>
        <w:gridCol w:w="809"/>
        <w:gridCol w:w="1078"/>
      </w:tblGrid>
      <w:tr>
        <w:trPr>
          <w:trHeight w:val="98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91"/>
              <w:jc w:val="both"/>
              <w:rPr>
                <w:rFonts w:ascii="宋体" w:hAnsi="宋体" w:cs="宋体" w:eastAsia="宋体" w:hint="default"/>
                <w:sz w:val="18"/>
                <w:szCs w:val="18"/>
              </w:rPr>
            </w:pPr>
            <w:r>
              <w:rPr>
                <w:rFonts w:ascii="宋体" w:hAnsi="宋体" w:cs="宋体" w:eastAsia="宋体" w:hint="default"/>
                <w:sz w:val="18"/>
                <w:szCs w:val="18"/>
              </w:rPr>
              <w:t>都电子技 术有限公 司</w:t>
            </w:r>
          </w:p>
        </w:tc>
        <w:tc>
          <w:tcPr>
            <w:tcW w:w="1075"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3"/>
              <w:jc w:val="left"/>
              <w:rPr>
                <w:rFonts w:ascii="宋体" w:hAnsi="宋体" w:cs="宋体" w:eastAsia="宋体" w:hint="default"/>
                <w:sz w:val="18"/>
                <w:szCs w:val="18"/>
              </w:rPr>
            </w:pPr>
            <w:r>
              <w:rPr>
                <w:rFonts w:ascii="宋体" w:hAnsi="宋体" w:cs="宋体" w:eastAsia="宋体" w:hint="default"/>
                <w:spacing w:val="-3"/>
                <w:sz w:val="18"/>
                <w:szCs w:val="18"/>
              </w:rPr>
              <w:t>技术、软件</w:t>
            </w:r>
            <w:r>
              <w:rPr>
                <w:rFonts w:ascii="宋体" w:hAnsi="宋体" w:cs="宋体" w:eastAsia="宋体" w:hint="default"/>
                <w:sz w:val="18"/>
                <w:szCs w:val="18"/>
              </w:rPr>
              <w:t> 技术</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88"/>
              <w:jc w:val="both"/>
              <w:rPr>
                <w:rFonts w:ascii="宋体" w:hAnsi="宋体" w:cs="宋体" w:eastAsia="宋体" w:hint="default"/>
                <w:sz w:val="18"/>
                <w:szCs w:val="18"/>
              </w:rPr>
            </w:pPr>
            <w:r>
              <w:rPr>
                <w:rFonts w:ascii="宋体" w:hAnsi="宋体" w:cs="宋体" w:eastAsia="宋体" w:hint="default"/>
                <w:sz w:val="18"/>
                <w:szCs w:val="18"/>
              </w:rPr>
              <w:t>及计算机 产品的开 发、销售</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0.00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6" w:right="0"/>
              <w:jc w:val="left"/>
              <w:rPr>
                <w:rFonts w:ascii="Times New Roman" w:hAnsi="Times New Roman" w:cs="Times New Roman" w:eastAsia="Times New Roman" w:hint="default"/>
                <w:sz w:val="18"/>
                <w:szCs w:val="18"/>
              </w:rPr>
            </w:pPr>
            <w:r>
              <w:rPr>
                <w:rFonts w:ascii="Times New Roman"/>
                <w:sz w:val="18"/>
              </w:rPr>
              <w:t>2.66</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5" w:right="0"/>
              <w:jc w:val="left"/>
              <w:rPr>
                <w:rFonts w:ascii="Times New Roman" w:hAnsi="Times New Roman" w:cs="Times New Roman" w:eastAsia="Times New Roman" w:hint="default"/>
                <w:sz w:val="18"/>
                <w:szCs w:val="18"/>
              </w:rPr>
            </w:pPr>
            <w:r>
              <w:rPr>
                <w:rFonts w:ascii="Times New Roman"/>
                <w:sz w:val="18"/>
              </w:rPr>
              <w:t>2.92</w:t>
            </w:r>
          </w:p>
        </w:tc>
        <w:tc>
          <w:tcPr>
            <w:tcW w:w="943"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34</w:t>
            </w: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深圳市瑞 柏泰电子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软件技术</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8"/>
              <w:jc w:val="both"/>
              <w:rPr>
                <w:rFonts w:ascii="宋体" w:hAnsi="宋体" w:cs="宋体" w:eastAsia="宋体" w:hint="default"/>
                <w:sz w:val="18"/>
                <w:szCs w:val="18"/>
              </w:rPr>
            </w:pPr>
            <w:r>
              <w:rPr>
                <w:rFonts w:ascii="宋体" w:hAnsi="宋体" w:cs="宋体" w:eastAsia="宋体" w:hint="default"/>
                <w:sz w:val="18"/>
                <w:szCs w:val="18"/>
              </w:rPr>
              <w:t>计算机软 硬件开发 及服务</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10,526,316.</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79,877,962.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61</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63,368,267.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98</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33,450,773.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43</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12,022,43</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5.48</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13,161,783.6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240" w:lineRule="auto" w:before="51"/>
        <w:ind w:right="660"/>
        <w:jc w:val="left"/>
      </w:pPr>
      <w:r>
        <w:rPr/>
        <w:t>主要子公司、参股公司情况说明</w:t>
      </w:r>
    </w:p>
    <w:p>
      <w:pPr>
        <w:spacing w:line="240" w:lineRule="auto" w:before="0"/>
        <w:rPr>
          <w:rFonts w:ascii="宋体" w:hAnsi="宋体" w:cs="宋体" w:eastAsia="宋体" w:hint="default"/>
          <w:sz w:val="18"/>
          <w:szCs w:val="18"/>
        </w:rPr>
      </w:pPr>
    </w:p>
    <w:p>
      <w:pPr>
        <w:pStyle w:val="Heading5"/>
        <w:spacing w:line="240" w:lineRule="auto" w:before="124"/>
        <w:ind w:right="660"/>
        <w:jc w:val="left"/>
        <w:rPr>
          <w:b w:val="0"/>
          <w:bCs w:val="0"/>
        </w:rPr>
      </w:pPr>
      <w:r>
        <w:rPr/>
        <w:t>（</w:t>
      </w:r>
      <w:r>
        <w:rPr>
          <w:rFonts w:ascii="Times New Roman" w:hAnsi="Times New Roman" w:cs="Times New Roman" w:eastAsia="Times New Roman" w:hint="default"/>
        </w:rPr>
        <w:t>1</w:t>
      </w:r>
      <w:r>
        <w:rPr/>
        <w:t>）深圳市易联技术有限公司</w:t>
      </w:r>
      <w:r>
        <w:rPr>
          <w:spacing w:val="-19"/>
        </w:rPr>
        <w:t> </w:t>
      </w:r>
      <w:r>
        <w:rPr/>
        <w:t>（以下简称</w:t>
      </w:r>
      <w:r>
        <w:rPr>
          <w:rFonts w:ascii="Times New Roman" w:hAnsi="Times New Roman" w:cs="Times New Roman" w:eastAsia="Times New Roman" w:hint="default"/>
        </w:rPr>
        <w:t>“</w:t>
      </w:r>
      <w:r>
        <w:rPr/>
        <w:t>易联技术</w:t>
      </w:r>
      <w:r>
        <w:rPr>
          <w:rFonts w:ascii="Times New Roman" w:hAnsi="Times New Roman" w:cs="Times New Roman" w:eastAsia="Times New Roman" w:hint="default"/>
        </w:rPr>
        <w:t>”</w:t>
      </w:r>
      <w:r>
        <w:rPr/>
        <w:t>）</w:t>
      </w:r>
      <w:r>
        <w:rPr>
          <w:b w:val="0"/>
          <w:bCs w:val="0"/>
        </w:rPr>
      </w:r>
    </w:p>
    <w:p>
      <w:pPr>
        <w:spacing w:line="240" w:lineRule="auto" w:before="10"/>
        <w:rPr>
          <w:rFonts w:ascii="宋体" w:hAnsi="宋体" w:cs="宋体" w:eastAsia="宋体" w:hint="default"/>
          <w:b/>
          <w:bCs/>
          <w:sz w:val="26"/>
          <w:szCs w:val="26"/>
        </w:rPr>
      </w:pPr>
    </w:p>
    <w:p>
      <w:pPr>
        <w:pStyle w:val="BodyText"/>
        <w:spacing w:line="300" w:lineRule="auto" w:before="0"/>
        <w:ind w:right="91" w:firstLine="419"/>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19</w:t>
      </w:r>
      <w:r>
        <w:rPr/>
        <w:t>日，公司全资子公司</w:t>
      </w:r>
      <w:r>
        <w:rPr>
          <w:rFonts w:ascii="Times New Roman" w:hAnsi="Times New Roman" w:cs="Times New Roman" w:eastAsia="Times New Roman" w:hint="default"/>
        </w:rPr>
        <w:t>“</w:t>
      </w:r>
      <w:r>
        <w:rPr/>
        <w:t>深圳市新国都软件技术有限公司</w:t>
      </w:r>
      <w:r>
        <w:rPr>
          <w:rFonts w:ascii="Times New Roman" w:hAnsi="Times New Roman" w:cs="Times New Roman" w:eastAsia="Times New Roman" w:hint="default"/>
        </w:rPr>
        <w:t>”</w:t>
      </w:r>
      <w:r>
        <w:rPr/>
        <w:t>更名为</w:t>
      </w:r>
      <w:r>
        <w:rPr>
          <w:rFonts w:ascii="Times New Roman" w:hAnsi="Times New Roman" w:cs="Times New Roman" w:eastAsia="Times New Roman" w:hint="default"/>
        </w:rPr>
        <w:t>“</w:t>
      </w:r>
      <w:r>
        <w:rPr/>
        <w:t>深圳市易联技术有限公司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易 </w:t>
      </w:r>
      <w:r>
        <w:rPr>
          <w:spacing w:val="-1"/>
        </w:rPr>
        <w:t>联技术</w:t>
      </w:r>
      <w:r>
        <w:rPr>
          <w:rFonts w:ascii="Times New Roman" w:hAnsi="Times New Roman" w:cs="Times New Roman" w:eastAsia="Times New Roman" w:hint="default"/>
          <w:spacing w:val="-1"/>
        </w:rPr>
        <w:t>”</w:t>
      </w:r>
      <w:r>
        <w:rPr>
          <w:spacing w:val="-1"/>
        </w:rPr>
        <w:t>），易联技术成立于</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27</w:t>
      </w:r>
      <w:r>
        <w:rPr>
          <w:spacing w:val="-1"/>
        </w:rPr>
        <w:t>日，现注册资本</w:t>
      </w:r>
      <w:r>
        <w:rPr>
          <w:rFonts w:ascii="Times New Roman" w:hAnsi="Times New Roman" w:cs="Times New Roman" w:eastAsia="Times New Roman" w:hint="default"/>
          <w:spacing w:val="-1"/>
        </w:rPr>
        <w:t>11,000</w:t>
      </w:r>
      <w:r>
        <w:rPr>
          <w:spacing w:val="-1"/>
        </w:rPr>
        <w:t>万元，经营范围是：软件技术开发和销售，软件技术咨询，</w:t>
      </w:r>
      <w:r>
        <w:rPr>
          <w:spacing w:val="-58"/>
        </w:rPr>
        <w:t> </w:t>
      </w:r>
      <w:r>
        <w:rPr>
          <w:spacing w:val="-58"/>
        </w:rPr>
      </w:r>
      <w:r>
        <w:rPr/>
        <w:t>计算机系统集成，目前主要为母公司提供产品软件和增值应用软件的支撑服务。</w:t>
      </w:r>
    </w:p>
    <w:p>
      <w:pPr>
        <w:pStyle w:val="BodyText"/>
        <w:spacing w:line="240" w:lineRule="auto" w:before="151"/>
        <w:ind w:left="634" w:right="91"/>
        <w:jc w:val="left"/>
      </w:pPr>
      <w:r>
        <w:rPr>
          <w:spacing w:val="-4"/>
        </w:rPr>
        <w:t>截止</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日，易联技术总资产</w:t>
      </w:r>
      <w:r>
        <w:rPr>
          <w:rFonts w:ascii="Times New Roman" w:hAnsi="Times New Roman" w:cs="Times New Roman" w:eastAsia="Times New Roman" w:hint="default"/>
          <w:spacing w:val="-4"/>
        </w:rPr>
        <w:t>290,294,741.25</w:t>
      </w:r>
      <w:r>
        <w:rPr>
          <w:spacing w:val="-4"/>
        </w:rPr>
        <w:t>元，净资产</w:t>
      </w:r>
      <w:r>
        <w:rPr>
          <w:rFonts w:ascii="Times New Roman" w:hAnsi="Times New Roman" w:cs="Times New Roman" w:eastAsia="Times New Roman" w:hint="default"/>
          <w:spacing w:val="-4"/>
        </w:rPr>
        <w:t>273,155,996.61</w:t>
      </w:r>
      <w:r>
        <w:rPr>
          <w:spacing w:val="-4"/>
        </w:rPr>
        <w:t>元，较年初分别下降</w:t>
      </w:r>
      <w:r>
        <w:rPr>
          <w:rFonts w:ascii="Times New Roman" w:hAnsi="Times New Roman" w:cs="Times New Roman" w:eastAsia="Times New Roman" w:hint="default"/>
          <w:spacing w:val="-4"/>
        </w:rPr>
        <w:t>0.29%</w:t>
      </w:r>
      <w:r>
        <w:rPr>
          <w:spacing w:val="-4"/>
        </w:rPr>
        <w:t>、增长</w:t>
      </w:r>
      <w:r>
        <w:rPr>
          <w:rFonts w:ascii="Times New Roman" w:hAnsi="Times New Roman" w:cs="Times New Roman" w:eastAsia="Times New Roman" w:hint="default"/>
          <w:spacing w:val="-4"/>
        </w:rPr>
        <w:t>7.94%</w:t>
      </w:r>
      <w:r>
        <w:rPr>
          <w:spacing w:val="-4"/>
        </w:rPr>
        <w:t>。</w:t>
      </w:r>
    </w:p>
    <w:p>
      <w:pPr>
        <w:pStyle w:val="BodyText"/>
        <w:spacing w:line="240" w:lineRule="auto" w:before="63"/>
        <w:ind w:right="82"/>
        <w:jc w:val="left"/>
      </w:pPr>
      <w:r>
        <w:rPr>
          <w:rFonts w:ascii="Times New Roman" w:hAnsi="Times New Roman" w:cs="Times New Roman" w:eastAsia="Times New Roman" w:hint="default"/>
        </w:rPr>
        <w:t>2014</w:t>
      </w:r>
      <w:r>
        <w:rPr/>
        <w:t>年度实现营业收入</w:t>
      </w:r>
      <w:r>
        <w:rPr>
          <w:rFonts w:ascii="Times New Roman" w:hAnsi="Times New Roman" w:cs="Times New Roman" w:eastAsia="Times New Roman" w:hint="default"/>
        </w:rPr>
        <w:t>80,709,252.13</w:t>
      </w:r>
      <w:r>
        <w:rPr/>
        <w:t>元，较上年同期增长</w:t>
      </w:r>
      <w:r>
        <w:rPr>
          <w:rFonts w:ascii="Times New Roman" w:hAnsi="Times New Roman" w:cs="Times New Roman" w:eastAsia="Times New Roman" w:hint="default"/>
        </w:rPr>
        <w:t>66.57%</w:t>
      </w:r>
      <w:r>
        <w:rPr/>
        <w:t>；营业利润</w:t>
      </w:r>
      <w:r>
        <w:rPr>
          <w:rFonts w:ascii="Times New Roman" w:hAnsi="Times New Roman" w:cs="Times New Roman" w:eastAsia="Times New Roman" w:hint="default"/>
        </w:rPr>
        <w:t>8,471,415.44</w:t>
      </w:r>
      <w:r>
        <w:rPr/>
        <w:t>元</w:t>
      </w:r>
      <w:r>
        <w:rPr>
          <w:rFonts w:ascii="Times New Roman" w:hAnsi="Times New Roman" w:cs="Times New Roman" w:eastAsia="Times New Roman" w:hint="default"/>
        </w:rPr>
        <w:t>,</w:t>
      </w:r>
      <w:r>
        <w:rPr/>
        <w:t>较上年同期增长</w:t>
      </w:r>
      <w:r>
        <w:rPr>
          <w:rFonts w:ascii="Times New Roman" w:hAnsi="Times New Roman" w:cs="Times New Roman" w:eastAsia="Times New Roman" w:hint="default"/>
        </w:rPr>
        <w:t>410.84%</w:t>
      </w:r>
      <w:r>
        <w:rPr/>
        <w:t>；净利润</w:t>
      </w:r>
    </w:p>
    <w:p>
      <w:pPr>
        <w:pStyle w:val="BodyText"/>
        <w:spacing w:line="240" w:lineRule="auto" w:before="63"/>
        <w:ind w:right="660"/>
        <w:jc w:val="left"/>
      </w:pPr>
      <w:r>
        <w:rPr>
          <w:rFonts w:ascii="Times New Roman" w:hAnsi="Times New Roman" w:cs="Times New Roman" w:eastAsia="Times New Roman" w:hint="default"/>
        </w:rPr>
        <w:t>17,686,274.66</w:t>
      </w:r>
      <w:r>
        <w:rPr/>
        <w:t>元，较上年同期增长</w:t>
      </w:r>
      <w:r>
        <w:rPr>
          <w:rFonts w:ascii="Times New Roman" w:hAnsi="Times New Roman" w:cs="Times New Roman" w:eastAsia="Times New Roman" w:hint="default"/>
        </w:rPr>
        <w:t>6.55%</w:t>
      </w:r>
      <w:r>
        <w:rPr/>
        <w:t>。销售收入增长主要系对母公司的销售增加。</w:t>
      </w:r>
    </w:p>
    <w:p>
      <w:pPr>
        <w:spacing w:line="240" w:lineRule="auto" w:before="6"/>
        <w:rPr>
          <w:rFonts w:ascii="宋体" w:hAnsi="宋体" w:cs="宋体" w:eastAsia="宋体" w:hint="default"/>
          <w:sz w:val="26"/>
          <w:szCs w:val="26"/>
        </w:rPr>
      </w:pPr>
    </w:p>
    <w:p>
      <w:pPr>
        <w:pStyle w:val="Heading5"/>
        <w:spacing w:line="240" w:lineRule="auto"/>
        <w:ind w:right="660"/>
        <w:jc w:val="left"/>
        <w:rPr>
          <w:b w:val="0"/>
          <w:bCs w:val="0"/>
        </w:rPr>
      </w:pPr>
      <w:r>
        <w:rPr/>
        <w:t>（</w:t>
      </w:r>
      <w:r>
        <w:rPr>
          <w:rFonts w:ascii="Times New Roman" w:hAnsi="Times New Roman" w:cs="Times New Roman" w:eastAsia="Times New Roman" w:hint="default"/>
        </w:rPr>
        <w:t>2</w:t>
      </w:r>
      <w:r>
        <w:rPr/>
        <w:t>）南京市新国都技术有限公司（以下简称</w:t>
      </w:r>
      <w:r>
        <w:rPr>
          <w:rFonts w:ascii="Times New Roman" w:hAnsi="Times New Roman" w:cs="Times New Roman" w:eastAsia="Times New Roman" w:hint="default"/>
        </w:rPr>
        <w:t>“</w:t>
      </w:r>
      <w:r>
        <w:rPr/>
        <w:t>南京新国都</w:t>
      </w:r>
      <w:r>
        <w:rPr>
          <w:rFonts w:ascii="Times New Roman" w:hAnsi="Times New Roman" w:cs="Times New Roman" w:eastAsia="Times New Roman" w:hint="default"/>
        </w:rPr>
        <w:t>”</w:t>
      </w:r>
      <w:r>
        <w:rPr/>
        <w:t>）</w:t>
      </w:r>
      <w:r>
        <w:rPr>
          <w:b w:val="0"/>
          <w:bCs w:val="0"/>
        </w:rPr>
      </w:r>
    </w:p>
    <w:p>
      <w:pPr>
        <w:spacing w:line="240" w:lineRule="auto" w:before="11"/>
        <w:rPr>
          <w:rFonts w:ascii="宋体" w:hAnsi="宋体" w:cs="宋体" w:eastAsia="宋体" w:hint="default"/>
          <w:b/>
          <w:bCs/>
          <w:sz w:val="26"/>
          <w:szCs w:val="26"/>
        </w:rPr>
      </w:pPr>
    </w:p>
    <w:p>
      <w:pPr>
        <w:pStyle w:val="BodyText"/>
        <w:spacing w:line="300" w:lineRule="auto" w:before="0"/>
        <w:ind w:right="91" w:firstLine="420"/>
        <w:jc w:val="left"/>
      </w:pPr>
      <w:r>
        <w:rPr>
          <w:spacing w:val="-1"/>
        </w:rPr>
        <w:t>南京新国都成立日期：</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24</w:t>
      </w:r>
      <w:r>
        <w:rPr>
          <w:spacing w:val="-1"/>
        </w:rPr>
        <w:t>日，注册资本：</w:t>
      </w:r>
      <w:r>
        <w:rPr>
          <w:rFonts w:ascii="Times New Roman" w:hAnsi="Times New Roman" w:cs="Times New Roman" w:eastAsia="Times New Roman" w:hint="default"/>
          <w:spacing w:val="-1"/>
        </w:rPr>
        <w:t>1,300</w:t>
      </w:r>
      <w:r>
        <w:rPr>
          <w:spacing w:val="-1"/>
        </w:rPr>
        <w:t>万元，经营范围是：软件技术开发与销售、技术咨询和服务；</w:t>
      </w:r>
      <w:r>
        <w:rPr/>
        <w:t> 计算机系统集成；投资咨询服务；计算机产品及电子产品的技术开发、生产、销售、租赁及技术服务。</w:t>
      </w:r>
    </w:p>
    <w:p>
      <w:pPr>
        <w:pStyle w:val="BodyText"/>
        <w:spacing w:line="240" w:lineRule="auto" w:before="151"/>
        <w:ind w:left="573" w:right="91"/>
        <w:jc w:val="left"/>
      </w:pPr>
      <w:r>
        <w:rPr/>
        <w:t>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日，南京新国都总资产</w:t>
      </w:r>
      <w:r>
        <w:rPr>
          <w:rFonts w:ascii="Times New Roman" w:hAnsi="Times New Roman" w:cs="Times New Roman" w:eastAsia="Times New Roman" w:hint="default"/>
        </w:rPr>
        <w:t>86,633,558.19</w:t>
      </w:r>
      <w:r>
        <w:rPr/>
        <w:t>元，净资产</w:t>
      </w:r>
      <w:r>
        <w:rPr>
          <w:rFonts w:ascii="Times New Roman" w:hAnsi="Times New Roman" w:cs="Times New Roman" w:eastAsia="Times New Roman" w:hint="default"/>
        </w:rPr>
        <w:t>83,955,668.19</w:t>
      </w:r>
      <w:r>
        <w:rPr/>
        <w:t>元</w:t>
      </w:r>
      <w:r>
        <w:rPr>
          <w:rFonts w:ascii="Times New Roman" w:hAnsi="Times New Roman" w:cs="Times New Roman" w:eastAsia="Times New Roman" w:hint="default"/>
        </w:rPr>
        <w:t>,</w:t>
      </w:r>
      <w:r>
        <w:rPr/>
        <w:t>较年初分别增长</w:t>
      </w:r>
      <w:r>
        <w:rPr>
          <w:rFonts w:ascii="Times New Roman" w:hAnsi="Times New Roman" w:cs="Times New Roman" w:eastAsia="Times New Roman" w:hint="default"/>
        </w:rPr>
        <w:t>33.14%</w:t>
      </w:r>
      <w:r>
        <w:rPr/>
        <w:t>、</w:t>
      </w:r>
      <w:r>
        <w:rPr>
          <w:rFonts w:ascii="Times New Roman" w:hAnsi="Times New Roman" w:cs="Times New Roman" w:eastAsia="Times New Roman" w:hint="default"/>
        </w:rPr>
        <w:t>41.06%</w:t>
      </w:r>
      <w:r>
        <w:rPr/>
        <w:t>。</w:t>
      </w:r>
    </w:p>
    <w:p>
      <w:pPr>
        <w:pStyle w:val="BodyText"/>
        <w:spacing w:line="240" w:lineRule="auto" w:before="63"/>
        <w:ind w:left="153" w:right="91"/>
        <w:jc w:val="left"/>
      </w:pPr>
      <w:r>
        <w:rPr>
          <w:rFonts w:ascii="Times New Roman" w:hAnsi="Times New Roman" w:cs="Times New Roman" w:eastAsia="Times New Roman" w:hint="default"/>
        </w:rPr>
        <w:t>2014</w:t>
      </w:r>
      <w:r>
        <w:rPr/>
        <w:t>年度实现营业收入</w:t>
      </w:r>
      <w:r>
        <w:rPr>
          <w:rFonts w:ascii="Times New Roman" w:hAnsi="Times New Roman" w:cs="Times New Roman" w:eastAsia="Times New Roman" w:hint="default"/>
        </w:rPr>
        <w:t>23,573,375.84</w:t>
      </w:r>
      <w:r>
        <w:rPr/>
        <w:t>元，较上年同期下降</w:t>
      </w:r>
      <w:r>
        <w:rPr>
          <w:rFonts w:ascii="Times New Roman" w:hAnsi="Times New Roman" w:cs="Times New Roman" w:eastAsia="Times New Roman" w:hint="default"/>
        </w:rPr>
        <w:t>50.82%</w:t>
      </w:r>
      <w:r>
        <w:rPr/>
        <w:t>；营业利润</w:t>
      </w:r>
      <w:r>
        <w:rPr>
          <w:rFonts w:ascii="Times New Roman" w:hAnsi="Times New Roman" w:cs="Times New Roman" w:eastAsia="Times New Roman" w:hint="default"/>
        </w:rPr>
        <w:t>18,391,153.51</w:t>
      </w:r>
      <w:r>
        <w:rPr/>
        <w:t>元</w:t>
      </w:r>
      <w:r>
        <w:rPr>
          <w:rFonts w:ascii="Times New Roman" w:hAnsi="Times New Roman" w:cs="Times New Roman" w:eastAsia="Times New Roman" w:hint="default"/>
        </w:rPr>
        <w:t>,</w:t>
      </w:r>
      <w:r>
        <w:rPr/>
        <w:t>较上年同期下降</w:t>
      </w:r>
      <w:r>
        <w:rPr>
          <w:rFonts w:ascii="Times New Roman" w:hAnsi="Times New Roman" w:cs="Times New Roman" w:eastAsia="Times New Roman" w:hint="default"/>
        </w:rPr>
        <w:t>54.83%;</w:t>
      </w:r>
      <w:r>
        <w:rPr/>
        <w:t>净利润</w:t>
      </w:r>
    </w:p>
    <w:p>
      <w:pPr>
        <w:pStyle w:val="BodyText"/>
        <w:spacing w:line="240" w:lineRule="auto" w:before="63"/>
        <w:ind w:left="153" w:right="660"/>
        <w:jc w:val="left"/>
      </w:pPr>
      <w:r>
        <w:rPr>
          <w:rFonts w:ascii="Times New Roman" w:hAnsi="Times New Roman" w:cs="Times New Roman" w:eastAsia="Times New Roman" w:hint="default"/>
        </w:rPr>
        <w:t>23,907,018.77</w:t>
      </w:r>
      <w:r>
        <w:rPr/>
        <w:t>元，较上年同期下降</w:t>
      </w:r>
      <w:r>
        <w:rPr>
          <w:rFonts w:ascii="Times New Roman" w:hAnsi="Times New Roman" w:cs="Times New Roman" w:eastAsia="Times New Roman" w:hint="default"/>
        </w:rPr>
        <w:t>47.02%</w:t>
      </w:r>
      <w:r>
        <w:rPr/>
        <w:t>。销售收入下降主要系于对母公司的销售减少。</w:t>
      </w:r>
    </w:p>
    <w:p>
      <w:pPr>
        <w:spacing w:line="240" w:lineRule="auto" w:before="6"/>
        <w:rPr>
          <w:rFonts w:ascii="宋体" w:hAnsi="宋体" w:cs="宋体" w:eastAsia="宋体" w:hint="default"/>
          <w:sz w:val="26"/>
          <w:szCs w:val="26"/>
        </w:rPr>
      </w:pPr>
    </w:p>
    <w:p>
      <w:pPr>
        <w:pStyle w:val="Heading5"/>
        <w:spacing w:line="240" w:lineRule="auto"/>
        <w:ind w:right="660"/>
        <w:jc w:val="left"/>
        <w:rPr>
          <w:b w:val="0"/>
          <w:bCs w:val="0"/>
        </w:rPr>
      </w:pPr>
      <w:r>
        <w:rPr/>
        <w:t>（</w:t>
      </w:r>
      <w:r>
        <w:rPr>
          <w:rFonts w:ascii="Times New Roman" w:hAnsi="Times New Roman" w:cs="Times New Roman" w:eastAsia="Times New Roman" w:hint="default"/>
        </w:rPr>
        <w:t>3</w:t>
      </w:r>
      <w:r>
        <w:rPr/>
        <w:t>）广州市新国都信息科技有限公司（以下简称</w:t>
      </w:r>
      <w:r>
        <w:rPr>
          <w:rFonts w:ascii="Times New Roman" w:hAnsi="Times New Roman" w:cs="Times New Roman" w:eastAsia="Times New Roman" w:hint="default"/>
        </w:rPr>
        <w:t>“</w:t>
      </w:r>
      <w:r>
        <w:rPr/>
        <w:t>广州新国都</w:t>
      </w:r>
      <w:r>
        <w:rPr>
          <w:rFonts w:ascii="Times New Roman" w:hAnsi="Times New Roman" w:cs="Times New Roman" w:eastAsia="Times New Roman" w:hint="default"/>
        </w:rPr>
        <w:t>”</w:t>
      </w:r>
      <w:r>
        <w:rPr/>
        <w:t>）</w:t>
      </w:r>
      <w:r>
        <w:rPr>
          <w:b w:val="0"/>
          <w:bCs w:val="0"/>
        </w:rPr>
      </w:r>
    </w:p>
    <w:p>
      <w:pPr>
        <w:spacing w:line="240" w:lineRule="auto" w:before="11"/>
        <w:rPr>
          <w:rFonts w:ascii="宋体" w:hAnsi="宋体" w:cs="宋体" w:eastAsia="宋体" w:hint="default"/>
          <w:b/>
          <w:bCs/>
          <w:sz w:val="26"/>
          <w:szCs w:val="26"/>
        </w:rPr>
      </w:pPr>
    </w:p>
    <w:p>
      <w:pPr>
        <w:pStyle w:val="BodyText"/>
        <w:spacing w:line="300" w:lineRule="auto" w:before="0"/>
        <w:ind w:left="153" w:right="91" w:firstLine="480"/>
        <w:jc w:val="left"/>
      </w:pPr>
      <w:r>
        <w:rPr/>
        <w:t>广州新国都成立日期：</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8</w:t>
      </w:r>
      <w:r>
        <w:rPr/>
        <w:t>日，注册资本：</w:t>
      </w:r>
      <w:r>
        <w:rPr>
          <w:rFonts w:ascii="Times New Roman" w:hAnsi="Times New Roman" w:cs="Times New Roman" w:eastAsia="Times New Roman" w:hint="default"/>
        </w:rPr>
        <w:t>300</w:t>
      </w:r>
      <w:r>
        <w:rPr/>
        <w:t>万元，经营范围是：计算机软件、智能设备的研究、开发、销 </w:t>
      </w:r>
      <w:r>
        <w:rPr>
          <w:spacing w:val="-2"/>
        </w:rPr>
        <w:t>售、技术咨询、技术服务；计算机系统集成技术服务。广州新国都主要开展募集资金投资项目</w:t>
      </w:r>
      <w:r>
        <w:rPr>
          <w:rFonts w:ascii="Times New Roman" w:hAnsi="Times New Roman" w:cs="Times New Roman" w:eastAsia="Times New Roman" w:hint="default"/>
          <w:spacing w:val="-2"/>
        </w:rPr>
        <w:t>“</w:t>
      </w:r>
      <w:r>
        <w:rPr>
          <w:spacing w:val="-2"/>
        </w:rPr>
        <w:t>电子支付终端设备运营项目</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 </w:t>
      </w:r>
      <w:r>
        <w:rPr/>
        <w:t>中的广州羊城通小额支付合作运营业务。</w:t>
      </w:r>
    </w:p>
    <w:p>
      <w:pPr>
        <w:pStyle w:val="BodyText"/>
        <w:spacing w:line="300" w:lineRule="auto" w:before="151"/>
        <w:ind w:right="191" w:firstLine="480"/>
        <w:jc w:val="left"/>
      </w:pPr>
      <w:r>
        <w:rPr>
          <w:spacing w:val="-1"/>
        </w:rPr>
        <w:t>截止</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日，广州新国都总资产</w:t>
      </w:r>
      <w:r>
        <w:rPr>
          <w:rFonts w:ascii="Times New Roman" w:hAnsi="Times New Roman" w:cs="Times New Roman" w:eastAsia="Times New Roman" w:hint="default"/>
          <w:spacing w:val="-1"/>
        </w:rPr>
        <w:t>969,655.86</w:t>
      </w:r>
      <w:r>
        <w:rPr>
          <w:spacing w:val="-1"/>
        </w:rPr>
        <w:t>元，净资产</w:t>
      </w:r>
      <w:r>
        <w:rPr>
          <w:rFonts w:ascii="Times New Roman" w:hAnsi="Times New Roman" w:cs="Times New Roman" w:eastAsia="Times New Roman" w:hint="default"/>
          <w:spacing w:val="-1"/>
        </w:rPr>
        <w:t>492,656.08</w:t>
      </w:r>
      <w:r>
        <w:rPr>
          <w:spacing w:val="-1"/>
        </w:rPr>
        <w:t>元，较年初分别下降</w:t>
      </w:r>
      <w:r>
        <w:rPr>
          <w:rFonts w:ascii="Times New Roman" w:hAnsi="Times New Roman" w:cs="Times New Roman" w:eastAsia="Times New Roman" w:hint="default"/>
          <w:spacing w:val="-1"/>
        </w:rPr>
        <w:t>37.95%</w:t>
      </w:r>
      <w:r>
        <w:rPr>
          <w:spacing w:val="-1"/>
        </w:rPr>
        <w:t>、</w:t>
      </w:r>
      <w:r>
        <w:rPr>
          <w:rFonts w:ascii="Times New Roman" w:hAnsi="Times New Roman" w:cs="Times New Roman" w:eastAsia="Times New Roman" w:hint="default"/>
          <w:spacing w:val="-1"/>
        </w:rPr>
        <w:t>52.08%</w:t>
      </w:r>
      <w:r>
        <w:rPr>
          <w:spacing w:val="-1"/>
        </w:rPr>
        <w:t>。</w:t>
      </w:r>
      <w:r>
        <w:rPr>
          <w:rFonts w:ascii="Times New Roman" w:hAnsi="Times New Roman" w:cs="Times New Roman" w:eastAsia="Times New Roman" w:hint="default"/>
          <w:spacing w:val="-1"/>
        </w:rPr>
        <w:t>2014</w:t>
      </w:r>
      <w:r>
        <w:rPr>
          <w:rFonts w:ascii="Times New Roman" w:hAnsi="Times New Roman" w:cs="Times New Roman" w:eastAsia="Times New Roman" w:hint="default"/>
        </w:rPr>
        <w:t> </w:t>
      </w:r>
      <w:r>
        <w:rPr/>
        <w:t>年度实现营业收入</w:t>
      </w:r>
      <w:r>
        <w:rPr>
          <w:rFonts w:ascii="Times New Roman" w:hAnsi="Times New Roman" w:cs="Times New Roman" w:eastAsia="Times New Roman" w:hint="default"/>
        </w:rPr>
        <w:t>35,542.83</w:t>
      </w:r>
      <w:r>
        <w:rPr/>
        <w:t>元，较上年同期下降</w:t>
      </w:r>
      <w:r>
        <w:rPr>
          <w:rFonts w:ascii="Times New Roman" w:hAnsi="Times New Roman" w:cs="Times New Roman" w:eastAsia="Times New Roman" w:hint="default"/>
        </w:rPr>
        <w:t>44.13%;</w:t>
      </w:r>
      <w:r>
        <w:rPr/>
        <w:t>营业利润为</w:t>
      </w:r>
      <w:r>
        <w:rPr>
          <w:rFonts w:ascii="Times New Roman" w:hAnsi="Times New Roman" w:cs="Times New Roman" w:eastAsia="Times New Roman" w:hint="default"/>
        </w:rPr>
        <w:t>-499,209.93</w:t>
      </w:r>
      <w:r>
        <w:rPr/>
        <w:t>元</w:t>
      </w:r>
      <w:r>
        <w:rPr>
          <w:rFonts w:ascii="Times New Roman" w:hAnsi="Times New Roman" w:cs="Times New Roman" w:eastAsia="Times New Roman" w:hint="default"/>
        </w:rPr>
        <w:t>,</w:t>
      </w:r>
      <w:r>
        <w:rPr/>
        <w:t>较上年同期下降</w:t>
      </w:r>
      <w:r>
        <w:rPr>
          <w:rFonts w:ascii="Times New Roman" w:hAnsi="Times New Roman" w:cs="Times New Roman" w:eastAsia="Times New Roman" w:hint="default"/>
        </w:rPr>
        <w:t>13.83%;</w:t>
      </w:r>
      <w:r>
        <w:rPr/>
        <w:t>净利润为</w:t>
      </w:r>
    </w:p>
    <w:p>
      <w:pPr>
        <w:pStyle w:val="BodyText"/>
        <w:spacing w:line="240" w:lineRule="auto" w:before="13"/>
        <w:ind w:left="153" w:right="660"/>
        <w:jc w:val="left"/>
      </w:pPr>
      <w:r>
        <w:rPr>
          <w:rFonts w:ascii="Times New Roman" w:hAnsi="Times New Roman" w:cs="Times New Roman" w:eastAsia="Times New Roman" w:hint="default"/>
        </w:rPr>
        <w:t>-535,437.11</w:t>
      </w:r>
      <w:r>
        <w:rPr/>
        <w:t>元，同比下降</w:t>
      </w:r>
      <w:r>
        <w:rPr>
          <w:rFonts w:ascii="Times New Roman" w:hAnsi="Times New Roman" w:cs="Times New Roman" w:eastAsia="Times New Roman" w:hint="default"/>
        </w:rPr>
        <w:t>21.38%</w:t>
      </w:r>
      <w:r>
        <w:rPr/>
        <w:t>。</w:t>
      </w:r>
    </w:p>
    <w:p>
      <w:pPr>
        <w:spacing w:line="240" w:lineRule="auto" w:before="6"/>
        <w:rPr>
          <w:rFonts w:ascii="宋体" w:hAnsi="宋体" w:cs="宋体" w:eastAsia="宋体" w:hint="default"/>
          <w:sz w:val="26"/>
          <w:szCs w:val="26"/>
        </w:rPr>
      </w:pPr>
    </w:p>
    <w:p>
      <w:pPr>
        <w:pStyle w:val="Heading5"/>
        <w:spacing w:line="240" w:lineRule="auto"/>
        <w:ind w:right="660"/>
        <w:jc w:val="left"/>
        <w:rPr>
          <w:b w:val="0"/>
          <w:bCs w:val="0"/>
        </w:rPr>
      </w:pPr>
      <w:r>
        <w:rPr/>
        <w:t>（</w:t>
      </w:r>
      <w:r>
        <w:rPr>
          <w:rFonts w:ascii="Times New Roman" w:hAnsi="Times New Roman" w:cs="Times New Roman" w:eastAsia="Times New Roman" w:hint="default"/>
        </w:rPr>
        <w:t>4</w:t>
      </w:r>
      <w:r>
        <w:rPr/>
        <w:t>）苏州新国都电子技术有限公司（以下简称</w:t>
      </w:r>
      <w:r>
        <w:rPr>
          <w:rFonts w:ascii="Times New Roman" w:hAnsi="Times New Roman" w:cs="Times New Roman" w:eastAsia="Times New Roman" w:hint="default"/>
        </w:rPr>
        <w:t>“</w:t>
      </w:r>
      <w:r>
        <w:rPr/>
        <w:t>苏州新国都</w:t>
      </w:r>
      <w:r>
        <w:rPr>
          <w:rFonts w:ascii="Times New Roman" w:hAnsi="Times New Roman" w:cs="Times New Roman" w:eastAsia="Times New Roman" w:hint="default"/>
        </w:rPr>
        <w:t>”</w:t>
      </w:r>
      <w:r>
        <w:rPr/>
        <w:t>）</w:t>
      </w:r>
      <w:r>
        <w:rPr>
          <w:b w:val="0"/>
          <w:bCs w:val="0"/>
        </w:rPr>
      </w:r>
    </w:p>
    <w:p>
      <w:pPr>
        <w:spacing w:line="240" w:lineRule="auto" w:before="11"/>
        <w:rPr>
          <w:rFonts w:ascii="宋体" w:hAnsi="宋体" w:cs="宋体" w:eastAsia="宋体" w:hint="default"/>
          <w:b/>
          <w:bCs/>
          <w:sz w:val="26"/>
          <w:szCs w:val="26"/>
        </w:rPr>
      </w:pPr>
    </w:p>
    <w:p>
      <w:pPr>
        <w:pStyle w:val="BodyText"/>
        <w:spacing w:line="307" w:lineRule="auto" w:before="0"/>
        <w:ind w:left="153" w:right="168" w:firstLine="480"/>
        <w:jc w:val="both"/>
      </w:pPr>
      <w:r>
        <w:rPr>
          <w:spacing w:val="-1"/>
        </w:rPr>
        <w:t>苏州新国都成立日期：</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23</w:t>
      </w:r>
      <w:r>
        <w:rPr>
          <w:spacing w:val="-1"/>
        </w:rPr>
        <w:t>日，注册资本：</w:t>
      </w:r>
      <w:r>
        <w:rPr>
          <w:rFonts w:ascii="Times New Roman" w:hAnsi="Times New Roman" w:cs="Times New Roman" w:eastAsia="Times New Roman" w:hint="default"/>
          <w:spacing w:val="-1"/>
        </w:rPr>
        <w:t>40,806</w:t>
      </w:r>
      <w:r>
        <w:rPr>
          <w:spacing w:val="-1"/>
        </w:rPr>
        <w:t>万元，实收资本</w:t>
      </w:r>
      <w:r>
        <w:rPr>
          <w:rFonts w:ascii="Times New Roman" w:hAnsi="Times New Roman" w:cs="Times New Roman" w:eastAsia="Times New Roman" w:hint="default"/>
          <w:spacing w:val="-1"/>
        </w:rPr>
        <w:t>39,606</w:t>
      </w:r>
      <w:r>
        <w:rPr>
          <w:spacing w:val="-1"/>
        </w:rPr>
        <w:t>万元，经营范围是：电子产品及计算</w:t>
      </w:r>
      <w:r>
        <w:rPr/>
        <w:t> </w:t>
      </w:r>
      <w:r>
        <w:rPr>
          <w:spacing w:val="-2"/>
        </w:rPr>
        <w:t>机产品的技术开发、销售、技术咨询及技术服务；计算机系统集成；投资咨询服务。苏州新国都目前主要作为超募资金投资</w:t>
      </w:r>
      <w:r>
        <w:rPr>
          <w:spacing w:val="-66"/>
        </w:rPr>
        <w:t> </w:t>
      </w:r>
      <w:r>
        <w:rPr>
          <w:spacing w:val="-66"/>
        </w:rPr>
      </w:r>
      <w:r>
        <w:rPr>
          <w:spacing w:val="-1"/>
        </w:rPr>
        <w:t>项目</w:t>
      </w:r>
      <w:r>
        <w:rPr>
          <w:rFonts w:ascii="Times New Roman" w:hAnsi="Times New Roman" w:cs="Times New Roman" w:eastAsia="Times New Roman" w:hint="default"/>
          <w:spacing w:val="-1"/>
        </w:rPr>
        <w:t>“</w:t>
      </w:r>
      <w:r>
        <w:rPr>
          <w:spacing w:val="-1"/>
        </w:rPr>
        <w:t>电子支付技术苏州研发基地项目</w:t>
      </w:r>
      <w:r>
        <w:rPr>
          <w:rFonts w:ascii="Times New Roman" w:hAnsi="Times New Roman" w:cs="Times New Roman" w:eastAsia="Times New Roman" w:hint="default"/>
          <w:spacing w:val="-1"/>
        </w:rPr>
        <w:t>”</w:t>
      </w:r>
      <w:r>
        <w:rPr>
          <w:spacing w:val="-1"/>
        </w:rPr>
        <w:t>和原募集资金投资项目</w:t>
      </w:r>
      <w:r>
        <w:rPr>
          <w:rFonts w:ascii="Times New Roman" w:hAnsi="Times New Roman" w:cs="Times New Roman" w:eastAsia="Times New Roman" w:hint="default"/>
          <w:spacing w:val="-1"/>
        </w:rPr>
        <w:t>“</w:t>
      </w:r>
      <w:r>
        <w:rPr>
          <w:spacing w:val="-1"/>
        </w:rPr>
        <w:t>电子支付技术产研基地建设项目（南京）</w:t>
      </w:r>
      <w:r>
        <w:rPr>
          <w:rFonts w:ascii="Times New Roman" w:hAnsi="Times New Roman" w:cs="Times New Roman" w:eastAsia="Times New Roman" w:hint="default"/>
          <w:spacing w:val="-1"/>
        </w:rPr>
        <w:t>”</w:t>
      </w:r>
      <w:r>
        <w:rPr>
          <w:spacing w:val="-1"/>
        </w:rPr>
        <w:t>中的客服中心、研</w:t>
      </w:r>
      <w:r>
        <w:rPr>
          <w:spacing w:val="-79"/>
        </w:rPr>
        <w:t> </w:t>
      </w:r>
      <w:r>
        <w:rPr>
          <w:spacing w:val="-79"/>
        </w:rPr>
      </w:r>
      <w:r>
        <w:rPr/>
        <w:t>发中心建设部分的实施主体。苏州新国都的股权构成为：公司持股比例为</w:t>
      </w:r>
      <w:r>
        <w:rPr>
          <w:rFonts w:ascii="Times New Roman" w:hAnsi="Times New Roman" w:cs="Times New Roman" w:eastAsia="Times New Roman" w:hint="default"/>
        </w:rPr>
        <w:t>94.6%</w:t>
      </w:r>
      <w:r>
        <w:rPr/>
        <w:t>，苏州君宝投资有限公司持股比例为</w:t>
      </w:r>
      <w:r>
        <w:rPr>
          <w:rFonts w:ascii="Times New Roman" w:hAnsi="Times New Roman" w:cs="Times New Roman" w:eastAsia="Times New Roman" w:hint="default"/>
        </w:rPr>
        <w:t>5.4%</w:t>
      </w:r>
      <w:r>
        <w:rPr/>
        <w:t>。</w:t>
      </w:r>
    </w:p>
    <w:p>
      <w:pPr>
        <w:pStyle w:val="BodyText"/>
        <w:spacing w:line="240" w:lineRule="auto" w:before="127"/>
        <w:ind w:left="574" w:right="91"/>
        <w:jc w:val="left"/>
      </w:pPr>
      <w:r>
        <w:rPr>
          <w:spacing w:val="-3"/>
        </w:rPr>
        <w:t>截止</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日，苏州新国都总资产</w:t>
      </w:r>
      <w:r>
        <w:rPr>
          <w:rFonts w:ascii="Times New Roman" w:hAnsi="Times New Roman" w:cs="Times New Roman" w:eastAsia="Times New Roman" w:hint="default"/>
          <w:spacing w:val="-3"/>
        </w:rPr>
        <w:t>405,474,622.66</w:t>
      </w:r>
      <w:r>
        <w:rPr>
          <w:spacing w:val="-3"/>
        </w:rPr>
        <w:t>元，净资产</w:t>
      </w:r>
      <w:r>
        <w:rPr>
          <w:rFonts w:ascii="Times New Roman" w:hAnsi="Times New Roman" w:cs="Times New Roman" w:eastAsia="Times New Roman" w:hint="default"/>
          <w:spacing w:val="-3"/>
        </w:rPr>
        <w:t>394,688,232.92</w:t>
      </w:r>
      <w:r>
        <w:rPr>
          <w:spacing w:val="-3"/>
        </w:rPr>
        <w:t>元，较年初分别增长</w:t>
      </w:r>
      <w:r>
        <w:rPr>
          <w:rFonts w:ascii="Times New Roman" w:hAnsi="Times New Roman" w:cs="Times New Roman" w:eastAsia="Times New Roman" w:hint="default"/>
          <w:spacing w:val="-3"/>
        </w:rPr>
        <w:t>48.95%</w:t>
      </w:r>
      <w:r>
        <w:rPr>
          <w:spacing w:val="-3"/>
        </w:rPr>
        <w:t>、</w:t>
      </w:r>
      <w:r>
        <w:rPr>
          <w:rFonts w:ascii="Times New Roman" w:hAnsi="Times New Roman" w:cs="Times New Roman" w:eastAsia="Times New Roman" w:hint="default"/>
          <w:spacing w:val="-3"/>
        </w:rPr>
        <w:t>48.97%</w:t>
      </w:r>
      <w:r>
        <w:rPr>
          <w:spacing w:val="-3"/>
        </w:rPr>
        <w:t>。</w:t>
      </w:r>
    </w:p>
    <w:p>
      <w:pPr>
        <w:pStyle w:val="BodyText"/>
        <w:spacing w:line="240" w:lineRule="auto" w:before="63"/>
        <w:ind w:right="660"/>
        <w:jc w:val="left"/>
      </w:pPr>
      <w:r>
        <w:rPr>
          <w:rFonts w:ascii="Times New Roman" w:hAnsi="Times New Roman" w:cs="Times New Roman" w:eastAsia="Times New Roman" w:hint="default"/>
        </w:rPr>
        <w:t>2014</w:t>
      </w:r>
      <w:r>
        <w:rPr/>
        <w:t>年营业收入为</w:t>
      </w:r>
      <w:r>
        <w:rPr>
          <w:rFonts w:ascii="Times New Roman" w:hAnsi="Times New Roman" w:cs="Times New Roman" w:eastAsia="Times New Roman" w:hint="default"/>
        </w:rPr>
        <w:t>428,205.11</w:t>
      </w:r>
      <w:r>
        <w:rPr/>
        <w:t>元，较上年同期增长</w:t>
      </w:r>
      <w:r>
        <w:rPr>
          <w:rFonts w:ascii="Times New Roman" w:hAnsi="Times New Roman" w:cs="Times New Roman" w:eastAsia="Times New Roman" w:hint="default"/>
        </w:rPr>
        <w:t>100%;</w:t>
      </w:r>
      <w:r>
        <w:rPr/>
        <w:t>营业利润为</w:t>
      </w:r>
      <w:r>
        <w:rPr>
          <w:rFonts w:ascii="Times New Roman" w:hAnsi="Times New Roman" w:cs="Times New Roman" w:eastAsia="Times New Roman" w:hint="default"/>
        </w:rPr>
        <w:t>-256,154.34</w:t>
      </w:r>
      <w:r>
        <w:rPr/>
        <w:t>元</w:t>
      </w:r>
      <w:r>
        <w:rPr>
          <w:rFonts w:ascii="Times New Roman" w:hAnsi="Times New Roman" w:cs="Times New Roman" w:eastAsia="Times New Roman" w:hint="default"/>
        </w:rPr>
        <w:t>,</w:t>
      </w:r>
      <w:r>
        <w:rPr/>
        <w:t>较上年同期增长</w:t>
      </w:r>
      <w:r>
        <w:rPr>
          <w:rFonts w:ascii="Times New Roman" w:hAnsi="Times New Roman" w:cs="Times New Roman" w:eastAsia="Times New Roman" w:hint="default"/>
        </w:rPr>
        <w:t>72.13%;</w:t>
      </w:r>
      <w:r>
        <w:rPr/>
        <w:t>净利润为</w:t>
      </w:r>
    </w:p>
    <w:p>
      <w:pPr>
        <w:pStyle w:val="BodyText"/>
        <w:spacing w:line="240" w:lineRule="auto" w:before="63"/>
        <w:ind w:left="153" w:right="660"/>
        <w:jc w:val="left"/>
      </w:pPr>
      <w:r>
        <w:rPr>
          <w:rFonts w:ascii="Times New Roman" w:hAnsi="Times New Roman" w:cs="Times New Roman" w:eastAsia="Times New Roman" w:hint="default"/>
        </w:rPr>
        <w:t>-256,154.34</w:t>
      </w:r>
      <w:r>
        <w:rPr/>
        <w:t>元，同比增长</w:t>
      </w:r>
      <w:r>
        <w:rPr>
          <w:rFonts w:ascii="Times New Roman" w:hAnsi="Times New Roman" w:cs="Times New Roman" w:eastAsia="Times New Roman" w:hint="default"/>
        </w:rPr>
        <w:t>72.13%</w:t>
      </w:r>
      <w:r>
        <w:rPr/>
        <w:t>。</w:t>
      </w:r>
    </w:p>
    <w:p>
      <w:pPr>
        <w:spacing w:after="0" w:line="240" w:lineRule="auto"/>
        <w:jc w:val="left"/>
        <w:sectPr>
          <w:pgSz w:w="11910" w:h="16840"/>
          <w:pgMar w:header="747" w:footer="982" w:top="1060" w:bottom="1180" w:left="980" w:right="940"/>
        </w:sectPr>
      </w:pPr>
    </w:p>
    <w:p>
      <w:pPr>
        <w:spacing w:line="240" w:lineRule="auto" w:before="1"/>
        <w:rPr>
          <w:rFonts w:ascii="宋体" w:hAnsi="宋体" w:cs="宋体" w:eastAsia="宋体" w:hint="default"/>
          <w:sz w:val="25"/>
          <w:szCs w:val="25"/>
        </w:rPr>
      </w:pPr>
    </w:p>
    <w:p>
      <w:pPr>
        <w:pStyle w:val="Heading5"/>
        <w:spacing w:line="240" w:lineRule="auto" w:before="38"/>
        <w:ind w:right="0"/>
        <w:jc w:val="both"/>
        <w:rPr>
          <w:b w:val="0"/>
          <w:bCs w:val="0"/>
        </w:rPr>
      </w:pPr>
      <w:r>
        <w:rPr/>
        <w:t>（</w:t>
      </w:r>
      <w:r>
        <w:rPr>
          <w:rFonts w:ascii="Times New Roman" w:hAnsi="Times New Roman" w:cs="Times New Roman" w:eastAsia="Times New Roman" w:hint="default"/>
        </w:rPr>
        <w:t>5</w:t>
      </w:r>
      <w:r>
        <w:rPr/>
        <w:t>）深圳市瑞柏泰电子有限公司（以下简称</w:t>
      </w:r>
      <w:r>
        <w:rPr>
          <w:rFonts w:ascii="Times New Roman" w:hAnsi="Times New Roman" w:cs="Times New Roman" w:eastAsia="Times New Roman" w:hint="default"/>
        </w:rPr>
        <w:t>“</w:t>
      </w:r>
      <w:r>
        <w:rPr/>
        <w:t>瑞柏泰</w:t>
      </w:r>
      <w:r>
        <w:rPr>
          <w:rFonts w:ascii="Times New Roman" w:hAnsi="Times New Roman" w:cs="Times New Roman" w:eastAsia="Times New Roman" w:hint="default"/>
        </w:rPr>
        <w:t>”</w:t>
      </w:r>
      <w:r>
        <w:rPr/>
        <w:t>）</w:t>
      </w:r>
      <w:r>
        <w:rPr>
          <w:b w:val="0"/>
          <w:bCs w:val="0"/>
        </w:rPr>
      </w:r>
    </w:p>
    <w:p>
      <w:pPr>
        <w:pStyle w:val="BodyText"/>
        <w:spacing w:line="300" w:lineRule="auto" w:before="171"/>
        <w:ind w:left="153" w:right="153" w:firstLine="243"/>
        <w:jc w:val="left"/>
      </w:pPr>
      <w:r>
        <w:rPr/>
        <w:t>瑞柏泰成立日期：</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w:t>
      </w:r>
      <w:r>
        <w:rPr/>
        <w:t>日，注册资本：</w:t>
      </w:r>
      <w:r>
        <w:rPr>
          <w:rFonts w:ascii="Times New Roman" w:hAnsi="Times New Roman" w:cs="Times New Roman" w:eastAsia="Times New Roman" w:hint="default"/>
        </w:rPr>
        <w:t>1052.63</w:t>
      </w:r>
      <w:r>
        <w:rPr/>
        <w:t>万元，经营范围是：主要从事金融</w:t>
      </w:r>
      <w:r>
        <w:rPr>
          <w:rFonts w:ascii="Times New Roman" w:hAnsi="Times New Roman" w:cs="Times New Roman" w:eastAsia="Times New Roman" w:hint="default"/>
        </w:rPr>
        <w:t>POS</w:t>
      </w:r>
      <w:r>
        <w:rPr/>
        <w:t>机、多媒体自助终端等电子 支付受理设备软硬件及其配套设备的技术开发、销售。</w:t>
      </w:r>
    </w:p>
    <w:p>
      <w:pPr>
        <w:pStyle w:val="BodyText"/>
        <w:spacing w:line="300" w:lineRule="auto" w:before="151"/>
        <w:ind w:left="153" w:right="151" w:firstLine="420"/>
        <w:jc w:val="both"/>
      </w:pP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11</w:t>
      </w:r>
      <w:r>
        <w:rPr>
          <w:spacing w:val="-1"/>
        </w:rPr>
        <w:t>日，瑞柏泰完成工商登记变更手续。变更后，瑞柏泰的股东为蔡敏女士和新国都股份，其中蔡敏女士持股</w:t>
      </w:r>
      <w:r>
        <w:rPr/>
        <w:t> 占比</w:t>
      </w:r>
      <w:r>
        <w:rPr>
          <w:rFonts w:ascii="Times New Roman" w:hAnsi="Times New Roman" w:cs="Times New Roman" w:eastAsia="Times New Roman" w:hint="default"/>
        </w:rPr>
        <w:t>80%</w:t>
      </w:r>
      <w:r>
        <w:rPr/>
        <w:t>，新国都股份持股占比</w:t>
      </w:r>
      <w:r>
        <w:rPr>
          <w:rFonts w:ascii="Times New Roman" w:hAnsi="Times New Roman" w:cs="Times New Roman" w:eastAsia="Times New Roman" w:hint="default"/>
        </w:rPr>
        <w:t>20%</w:t>
      </w:r>
      <w:r>
        <w:rPr/>
        <w:t>。</w:t>
      </w:r>
    </w:p>
    <w:p>
      <w:pPr>
        <w:pStyle w:val="BodyText"/>
        <w:spacing w:line="300" w:lineRule="auto" w:before="13"/>
        <w:ind w:left="153" w:right="141" w:firstLine="420"/>
        <w:jc w:val="left"/>
      </w:pPr>
      <w:r>
        <w:rPr/>
        <w:t>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日，瑞柏泰总资产</w:t>
      </w:r>
      <w:r>
        <w:rPr>
          <w:rFonts w:ascii="Times New Roman" w:hAnsi="Times New Roman" w:cs="Times New Roman" w:eastAsia="Times New Roman" w:hint="default"/>
        </w:rPr>
        <w:t>79,877,962.61</w:t>
      </w:r>
      <w:r>
        <w:rPr/>
        <w:t>元</w:t>
      </w:r>
      <w:r>
        <w:rPr>
          <w:rFonts w:ascii="Times New Roman" w:hAnsi="Times New Roman" w:cs="Times New Roman" w:eastAsia="Times New Roman" w:hint="default"/>
        </w:rPr>
        <w:t>,</w:t>
      </w:r>
      <w:r>
        <w:rPr/>
        <w:t>净资产</w:t>
      </w:r>
      <w:r>
        <w:rPr>
          <w:rFonts w:ascii="Times New Roman" w:hAnsi="Times New Roman" w:cs="Times New Roman" w:eastAsia="Times New Roman" w:hint="default"/>
        </w:rPr>
        <w:t>63,368,267.98</w:t>
      </w:r>
      <w:r>
        <w:rPr/>
        <w:t>元</w:t>
      </w:r>
      <w:r>
        <w:rPr>
          <w:rFonts w:ascii="Times New Roman" w:hAnsi="Times New Roman" w:cs="Times New Roman" w:eastAsia="Times New Roman" w:hint="default"/>
        </w:rPr>
        <w:t>,</w:t>
      </w:r>
      <w:r>
        <w:rPr/>
        <w:t>较年初分别增长</w:t>
      </w:r>
      <w:r>
        <w:rPr>
          <w:rFonts w:ascii="Times New Roman" w:hAnsi="Times New Roman" w:cs="Times New Roman" w:eastAsia="Times New Roman" w:hint="default"/>
        </w:rPr>
        <w:t>10.08%</w:t>
      </w:r>
      <w:r>
        <w:rPr/>
        <w:t>、</w:t>
      </w:r>
      <w:r>
        <w:rPr>
          <w:rFonts w:ascii="Times New Roman" w:hAnsi="Times New Roman" w:cs="Times New Roman" w:eastAsia="Times New Roman" w:hint="default"/>
        </w:rPr>
        <w:t>26.29%</w:t>
      </w:r>
      <w:r>
        <w:rPr/>
        <w:t>。</w:t>
      </w:r>
      <w:r>
        <w:rPr>
          <w:rFonts w:ascii="Times New Roman" w:hAnsi="Times New Roman" w:cs="Times New Roman" w:eastAsia="Times New Roman" w:hint="default"/>
        </w:rPr>
        <w:t>2014</w:t>
      </w:r>
      <w:r>
        <w:rPr/>
        <w:t>年 实现营业收入</w:t>
      </w:r>
      <w:r>
        <w:rPr>
          <w:rFonts w:ascii="Times New Roman" w:hAnsi="Times New Roman" w:cs="Times New Roman" w:eastAsia="Times New Roman" w:hint="default"/>
        </w:rPr>
        <w:t>33,450,773.43</w:t>
      </w:r>
      <w:r>
        <w:rPr/>
        <w:t>元</w:t>
      </w:r>
      <w:r>
        <w:rPr>
          <w:rFonts w:ascii="Times New Roman" w:hAnsi="Times New Roman" w:cs="Times New Roman" w:eastAsia="Times New Roman" w:hint="default"/>
        </w:rPr>
        <w:t>,</w:t>
      </w:r>
      <w:r>
        <w:rPr/>
        <w:t>较上年同期增长</w:t>
      </w:r>
      <w:r>
        <w:rPr>
          <w:rFonts w:ascii="Times New Roman" w:hAnsi="Times New Roman" w:cs="Times New Roman" w:eastAsia="Times New Roman" w:hint="default"/>
        </w:rPr>
        <w:t>8.01%;</w:t>
      </w:r>
      <w:r>
        <w:rPr/>
        <w:t>营业利润为</w:t>
      </w:r>
      <w:r>
        <w:rPr>
          <w:rFonts w:ascii="Times New Roman" w:hAnsi="Times New Roman" w:cs="Times New Roman" w:eastAsia="Times New Roman" w:hint="default"/>
        </w:rPr>
        <w:t>12,022,435.48</w:t>
      </w:r>
      <w:r>
        <w:rPr/>
        <w:t>元</w:t>
      </w:r>
      <w:r>
        <w:rPr>
          <w:rFonts w:ascii="Times New Roman" w:hAnsi="Times New Roman" w:cs="Times New Roman" w:eastAsia="Times New Roman" w:hint="default"/>
        </w:rPr>
        <w:t>,</w:t>
      </w:r>
      <w:r>
        <w:rPr/>
        <w:t>较上年同期增长</w:t>
      </w:r>
      <w:r>
        <w:rPr>
          <w:rFonts w:ascii="Times New Roman" w:hAnsi="Times New Roman" w:cs="Times New Roman" w:eastAsia="Times New Roman" w:hint="default"/>
        </w:rPr>
        <w:t>6.62%;</w:t>
      </w:r>
      <w:r>
        <w:rPr/>
        <w:t>净利润为 </w:t>
      </w:r>
      <w:r>
        <w:rPr>
          <w:rFonts w:ascii="Times New Roman" w:hAnsi="Times New Roman" w:cs="Times New Roman" w:eastAsia="Times New Roman" w:hint="default"/>
        </w:rPr>
        <w:t>13,161,783.63</w:t>
      </w:r>
      <w:r>
        <w:rPr/>
        <w:t>元，同比增长</w:t>
      </w:r>
      <w:r>
        <w:rPr>
          <w:rFonts w:ascii="Times New Roman" w:hAnsi="Times New Roman" w:cs="Times New Roman" w:eastAsia="Times New Roman" w:hint="default"/>
        </w:rPr>
        <w:t>21.39%</w:t>
      </w:r>
      <w:r>
        <w:rPr/>
        <w:t>。</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BodyText"/>
        <w:spacing w:line="240" w:lineRule="auto" w:before="0"/>
        <w:ind w:left="153" w:right="0"/>
        <w:jc w:val="both"/>
      </w:pPr>
      <w:r>
        <w:rPr/>
        <w:t>报告期内取得和处置子公司的情况</w:t>
      </w:r>
    </w:p>
    <w:p>
      <w:pPr>
        <w:pStyle w:val="BodyText"/>
        <w:spacing w:line="240" w:lineRule="auto" w:before="116"/>
        <w:ind w:left="153"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both"/>
        <w:rPr>
          <w:b w:val="0"/>
          <w:bCs w:val="0"/>
        </w:rPr>
      </w:pPr>
      <w:r>
        <w:rPr/>
        <w:t>（</w:t>
      </w:r>
      <w:r>
        <w:rPr>
          <w:rFonts w:ascii="Times New Roman" w:hAnsi="Times New Roman" w:cs="Times New Roman" w:eastAsia="Times New Roman" w:hint="default"/>
        </w:rPr>
        <w:t>7</w:t>
      </w:r>
      <w:r>
        <w:rPr/>
        <w:t>）公司控制的特殊目的主体情况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r>
        <w:rPr/>
        <w:t>二、公司未来发展的展望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1</w:t>
      </w:r>
      <w:r>
        <w:rPr/>
        <w:t>、时代发展与机遇使公司战略随之转型调整</w:t>
      </w:r>
    </w:p>
    <w:p>
      <w:pPr>
        <w:pStyle w:val="BodyText"/>
        <w:spacing w:line="316" w:lineRule="auto" w:before="63"/>
        <w:ind w:left="573" w:right="139"/>
        <w:jc w:val="left"/>
      </w:pPr>
      <w:r>
        <w:rPr/>
        <w:t>（1）全球支付行业持续保持增长态势，商业支付数字化进程加速 </w:t>
      </w:r>
      <w:r>
        <w:rPr>
          <w:spacing w:val="-1"/>
        </w:rPr>
        <w:t>全球支付行业在经历了2008年国际金融危机之后的短暂停滞回归每年8%的速度增长，预计到2018年将达到2.3万亿美元</w:t>
      </w:r>
    </w:p>
    <w:p>
      <w:pPr>
        <w:pStyle w:val="BodyText"/>
        <w:spacing w:line="316" w:lineRule="auto" w:before="19"/>
        <w:ind w:left="153" w:right="151"/>
        <w:jc w:val="both"/>
      </w:pPr>
      <w:r>
        <w:rPr>
          <w:spacing w:val="-2"/>
        </w:rPr>
        <w:t>的规模。而占全球支付收入比重最高的亚太地区将继续成为增长引擎，预计中国将做出主要的贡献。互联网为代表的新一轮</w:t>
      </w:r>
      <w:r>
        <w:rPr>
          <w:spacing w:val="-66"/>
        </w:rPr>
        <w:t> </w:t>
      </w:r>
      <w:r>
        <w:rPr>
          <w:spacing w:val="-66"/>
        </w:rPr>
      </w:r>
      <w:r>
        <w:rPr/>
        <w:t>信息化浪潮在我国方兴未艾，2014年中国网民增长的宏观因素包括：1）政府更加重视网络安全消除网民上网的安全顾虑， 推动传统媒体与新媒体融合，使渗透力度持续扩大，进一步推动互联网宽带的建设和普及；2）中国运营商的4G商用进程全 面启动，大力推广“固网宽带＋移动通信”模式的产品，虚拟运营商加入市场竞争，推动行业变革；3）京东、阿里巴巴等 </w:t>
      </w:r>
      <w:r>
        <w:rPr>
          <w:spacing w:val="-2"/>
        </w:rPr>
        <w:t>知名互联网企业纷纷赴美上市，使互联网应用传播更为广泛和频繁，一系列创新模式，如比特币、互联网理财，极大拓宽了</w:t>
      </w:r>
      <w:r>
        <w:rPr>
          <w:spacing w:val="-66"/>
        </w:rPr>
        <w:t> </w:t>
      </w:r>
      <w:r>
        <w:rPr>
          <w:spacing w:val="-66"/>
        </w:rPr>
      </w:r>
      <w:r>
        <w:rPr/>
        <w:t>对互联网的认知渠道和方式。</w:t>
      </w:r>
    </w:p>
    <w:p>
      <w:pPr>
        <w:pStyle w:val="BodyText"/>
        <w:spacing w:line="316" w:lineRule="auto" w:before="19"/>
        <w:ind w:left="153" w:right="151" w:firstLine="420"/>
        <w:jc w:val="both"/>
      </w:pPr>
      <w:r>
        <w:rPr/>
        <w:t>新型数字技术和解决方案的带动下，未来支付将变得更加便捷，基础设施的升级、智能设备的普及拉近了线上与线上 的距离，也为支付手段的创新创造了条件，移动支付、无卡化支付、P2P网络贷款、众筹融资、网络金融机构等等如雨后春 </w:t>
      </w:r>
      <w:r>
        <w:rPr>
          <w:spacing w:val="-2"/>
        </w:rPr>
        <w:t>笋，都使得支付产业的价值链从相对封闭走向逐步开放，进一步促进商业支付的数量与规模呈几何级数的增长。这对于整个</w:t>
      </w:r>
      <w:r>
        <w:rPr>
          <w:spacing w:val="-66"/>
        </w:rPr>
        <w:t> </w:t>
      </w:r>
      <w:r>
        <w:rPr>
          <w:spacing w:val="-66"/>
        </w:rPr>
      </w:r>
      <w:r>
        <w:rPr>
          <w:spacing w:val="-2"/>
        </w:rPr>
        <w:t>支付体系，都带来了巨大的变革与挑战，不得不转变以往较为单一的处理数据和获取盈利的方式，转而用更加开放和更多维</w:t>
      </w:r>
      <w:r>
        <w:rPr>
          <w:spacing w:val="-66"/>
        </w:rPr>
        <w:t> </w:t>
      </w:r>
      <w:r>
        <w:rPr>
          <w:spacing w:val="-66"/>
        </w:rPr>
      </w:r>
      <w:r>
        <w:rPr/>
        <w:t>度的眼光来对待。</w:t>
      </w:r>
    </w:p>
    <w:p>
      <w:pPr>
        <w:pStyle w:val="BodyText"/>
        <w:spacing w:line="316" w:lineRule="auto" w:before="19"/>
        <w:ind w:left="573" w:right="139"/>
        <w:jc w:val="left"/>
      </w:pPr>
      <w:r>
        <w:rPr/>
        <w:t>（2）移动互联网持续深入影响支付体系，乃至重塑行业格局和商业形态 </w:t>
      </w:r>
      <w:r>
        <w:rPr>
          <w:spacing w:val="-1"/>
        </w:rPr>
        <w:t>根据联合国国际电信联盟（ITU）最新研究显示，2014年全球互联网使用增长率为6.6%，全球网民已经突破30亿，其中</w:t>
      </w:r>
    </w:p>
    <w:p>
      <w:pPr>
        <w:pStyle w:val="BodyText"/>
        <w:spacing w:line="240" w:lineRule="auto" w:before="19"/>
        <w:ind w:left="153" w:right="0"/>
        <w:jc w:val="both"/>
      </w:pPr>
      <w:r>
        <w:rPr/>
        <w:t>2009年至2014年五年间，发展中国家互联网用户数量增加一倍，占全球总数的三分之二。截止2014年末，全球手机用户达到</w:t>
      </w:r>
    </w:p>
    <w:p>
      <w:pPr>
        <w:pStyle w:val="BodyText"/>
        <w:spacing w:line="240" w:lineRule="auto" w:before="76"/>
        <w:ind w:left="153" w:right="0"/>
        <w:jc w:val="both"/>
      </w:pPr>
      <w:r>
        <w:rPr/>
        <w:t>70亿规模。</w:t>
      </w:r>
    </w:p>
    <w:p>
      <w:pPr>
        <w:pStyle w:val="BodyText"/>
        <w:spacing w:line="316" w:lineRule="auto" w:before="76"/>
        <w:ind w:left="153" w:right="151" w:firstLine="420"/>
        <w:jc w:val="both"/>
      </w:pPr>
      <w:r>
        <w:rPr>
          <w:spacing w:val="-1"/>
        </w:rPr>
        <w:t>根据中国互联网络信息中心（CNNIC）《中国互联网络发展状况统计报告》显示，截至2014年12月，我国网民规模已达</w:t>
      </w:r>
      <w:r>
        <w:rPr/>
        <w:t> 6.49亿人，互联网普及率为47.9%，较2013年底提升2.1%，手机网民规模达5.57亿人，较2013年底增加5672万人。2014年中 </w:t>
      </w:r>
      <w:r>
        <w:rPr>
          <w:spacing w:val="-2"/>
        </w:rPr>
        <w:t>国网民的上网设备选择上，手机使用率达到83.4%，首次超过传统PC的使用率80.9%，中国真正迈入移动互联网时代。而移动</w:t>
      </w:r>
      <w:r>
        <w:rPr>
          <w:spacing w:val="-54"/>
        </w:rPr>
        <w:t> </w:t>
      </w:r>
      <w:r>
        <w:rPr>
          <w:spacing w:val="-54"/>
        </w:rPr>
      </w:r>
      <w:r>
        <w:rPr>
          <w:spacing w:val="-2"/>
        </w:rPr>
        <w:t>互联网的迅速发展，也为线上线下的各种商业形态注入了新的活力。报告中涉及的诸多细分应用中，包括手机网购、手机支</w:t>
      </w:r>
      <w:r>
        <w:rPr>
          <w:spacing w:val="-66"/>
        </w:rPr>
        <w:t> </w:t>
      </w:r>
      <w:r>
        <w:rPr>
          <w:spacing w:val="-66"/>
        </w:rPr>
      </w:r>
      <w:r>
        <w:rPr/>
        <w:t>付和手机银行等在内的移动商务应用表现最为亮眼，其用户年增长分别达到了63.5%、73.2%和69.2%，远超其他手机应用增 长幅度，也高于传统PC端相同业务的增长速度。移动商务的蓬勃发展，来自于第三方网络支付和银行卡支付共同发力。</w:t>
      </w:r>
    </w:p>
    <w:p>
      <w:pPr>
        <w:pStyle w:val="BodyText"/>
        <w:spacing w:line="240" w:lineRule="auto" w:before="19"/>
        <w:ind w:left="573" w:right="0"/>
        <w:jc w:val="left"/>
      </w:pPr>
      <w:r>
        <w:rPr/>
        <w:t>移动互联网的普及也让网络购物体现出新的面貌，带来新的增量。来自中国互联网络信息中心的研究结果显示，手机</w:t>
      </w:r>
    </w:p>
    <w:p>
      <w:pPr>
        <w:spacing w:after="0" w:line="240" w:lineRule="auto"/>
        <w:jc w:val="left"/>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316" w:lineRule="auto"/>
        <w:ind w:left="153" w:right="101"/>
        <w:jc w:val="both"/>
      </w:pPr>
      <w:r>
        <w:rPr>
          <w:spacing w:val="-4"/>
        </w:rPr>
        <w:t>购物并非PC购物的替代，而是在移动环境下产生的增量消费，并且重塑线下商业形态促成交易。以如火如荼的“红包大战”、</w:t>
      </w:r>
      <w:r>
        <w:rPr>
          <w:spacing w:val="-40"/>
        </w:rPr>
        <w:t> </w:t>
      </w:r>
      <w:r>
        <w:rPr>
          <w:spacing w:val="-40"/>
        </w:rPr>
      </w:r>
      <w:r>
        <w:rPr>
          <w:spacing w:val="-2"/>
        </w:rPr>
        <w:t>“手机叫车”为代表，纵观2014年全年，一线城市较高的消费能力和互联网应用水平促使大量网民已经转化为深度O2O用户，</w:t>
      </w:r>
      <w:r>
        <w:rPr>
          <w:spacing w:val="-58"/>
        </w:rPr>
        <w:t> </w:t>
      </w:r>
      <w:r>
        <w:rPr>
          <w:spacing w:val="-58"/>
        </w:rPr>
      </w:r>
      <w:r>
        <w:rPr/>
        <w:t>进入从增量向提质转变的阶段，而二三线城市则还在培养用户消费习惯的阶段，未来迅速拓展用户规模仍是发展的重点。</w:t>
      </w:r>
    </w:p>
    <w:p>
      <w:pPr>
        <w:pStyle w:val="BodyText"/>
        <w:spacing w:line="316" w:lineRule="auto" w:before="19"/>
        <w:ind w:left="153" w:right="191" w:firstLine="420"/>
        <w:jc w:val="both"/>
      </w:pPr>
      <w:r>
        <w:rPr/>
        <w:t>根据艾瑞咨询发布的数据显示，2014年中国网络购物市场交易规模达到2.8万亿，增长48.7%。根据国家统计局2014年 </w:t>
      </w:r>
      <w:r>
        <w:rPr>
          <w:spacing w:val="-2"/>
        </w:rPr>
        <w:t>全年社会消费品零售总额数据，网络购物交易额大致相当于社会消费品零售总额的10.7%，年度线上渗透率首次突破10%。随</w:t>
      </w:r>
      <w:r>
        <w:rPr>
          <w:spacing w:val="-58"/>
        </w:rPr>
        <w:t> </w:t>
      </w:r>
      <w:r>
        <w:rPr>
          <w:spacing w:val="-58"/>
        </w:rPr>
      </w:r>
      <w:r>
        <w:rPr/>
        <w:t>着移动购物市场的飞速发展、典型电商企业向三四线城市扩张以及国际化战略布局，未来中国网购市场将继续保持25%以上 的复合增长率，继续冲击线下传统消费市场。</w:t>
      </w:r>
    </w:p>
    <w:p>
      <w:pPr>
        <w:pStyle w:val="BodyText"/>
        <w:spacing w:line="316" w:lineRule="auto" w:before="19"/>
        <w:ind w:left="153" w:right="191" w:firstLine="420"/>
        <w:jc w:val="both"/>
      </w:pPr>
      <w:r>
        <w:rPr/>
        <w:t>互联网继续改造传统行业及企业，随着电子商务进程的加深及网络销售商品品类的不断扩充，除了电子商务先发品类 </w:t>
      </w:r>
      <w:r>
        <w:rPr>
          <w:spacing w:val="-2"/>
        </w:rPr>
        <w:t>如服装、3C家电、化妆品等线上渗透率不断提升之外，偏服务及体验的产品如商旅、保险、基金等产品的线上发展水平也在</w:t>
      </w:r>
      <w:r>
        <w:rPr>
          <w:spacing w:val="-64"/>
        </w:rPr>
        <w:t> </w:t>
      </w:r>
      <w:r>
        <w:rPr>
          <w:spacing w:val="-64"/>
        </w:rPr>
      </w:r>
      <w:r>
        <w:rPr/>
        <w:t>不断提升。此外，家装、医药、餐饮也相继迈入了O2O大军。</w:t>
      </w:r>
    </w:p>
    <w:p>
      <w:pPr>
        <w:pStyle w:val="BodyText"/>
        <w:spacing w:line="316" w:lineRule="auto" w:before="19"/>
        <w:ind w:left="573" w:right="211"/>
        <w:jc w:val="left"/>
      </w:pPr>
      <w:r>
        <w:rPr/>
        <w:t>（3）电子支付领域的业务模式和竞争格局发生重大转变 支付结算是所有交易活动的核心，随着移动互联网对传统商业模式的改造，电子支付产品和服务的流程也随之发生变</w:t>
      </w:r>
    </w:p>
    <w:p>
      <w:pPr>
        <w:pStyle w:val="BodyText"/>
        <w:spacing w:line="316" w:lineRule="auto" w:before="19"/>
        <w:ind w:left="573" w:right="174" w:hanging="420"/>
        <w:jc w:val="left"/>
      </w:pPr>
      <w:r>
        <w:rPr/>
        <w:t>化，从而导致电子支付领域的业务模式和竞争格局发生转变。 </w:t>
      </w:r>
      <w:r>
        <w:rPr>
          <w:spacing w:val="-1"/>
        </w:rPr>
        <w:t>根据中国人民银行每年的《中国支付体系发展报告》数据显示，近年来电子支付每年的笔数和金额均以年均30%的幅度</w:t>
      </w:r>
    </w:p>
    <w:p>
      <w:pPr>
        <w:pStyle w:val="BodyText"/>
        <w:spacing w:line="316" w:lineRule="auto" w:before="19"/>
        <w:ind w:left="153" w:right="91"/>
        <w:jc w:val="left"/>
      </w:pPr>
      <w:r>
        <w:rPr/>
        <w:t>增长，其中移动支付更是实现了年均近200%的增长速度。从电子支付交易结构分析来看，网上支付目前占据绝对主导地位， </w:t>
      </w:r>
      <w:r>
        <w:rPr>
          <w:spacing w:val="-2"/>
        </w:rPr>
        <w:t>而移动支付也从无到有，占比虽小但从2010年的0.11%上升到了2014年的1.60%，短短五年间翻了15倍。移动支付已经毫无悬</w:t>
      </w:r>
      <w:r>
        <w:rPr>
          <w:spacing w:val="-46"/>
        </w:rPr>
        <w:t> </w:t>
      </w:r>
      <w:r>
        <w:rPr>
          <w:spacing w:val="-46"/>
        </w:rPr>
      </w:r>
      <w:r>
        <w:rPr>
          <w:spacing w:val="-2"/>
        </w:rPr>
        <w:t>念地成为电子支付的发展趋势，将成为继4G网络和智能终端之后的移动互联网第三块基石。一旦大规模发展移动支付的条件</w:t>
      </w:r>
      <w:r>
        <w:rPr>
          <w:spacing w:val="-62"/>
        </w:rPr>
        <w:t> </w:t>
      </w:r>
      <w:r>
        <w:rPr>
          <w:spacing w:val="-62"/>
        </w:rPr>
      </w:r>
      <w:r>
        <w:rPr/>
        <w:t>成熟，其普及速度将前所未有。</w:t>
      </w:r>
    </w:p>
    <w:p>
      <w:pPr>
        <w:pStyle w:val="BodyText"/>
        <w:spacing w:line="316" w:lineRule="auto" w:before="19"/>
        <w:ind w:left="153" w:right="91" w:firstLine="420"/>
        <w:jc w:val="left"/>
      </w:pPr>
      <w:r>
        <w:rPr/>
        <w:t>2014年伴随最新一代iPhone6的推出，苹果结合日渐成熟的指纹识别系统，通过和中国金融机构的合作，发布了其移动 支付解决方案“Apple</w:t>
      </w:r>
      <w:r>
        <w:rPr>
          <w:spacing w:val="-59"/>
        </w:rPr>
        <w:t> </w:t>
      </w:r>
      <w:r>
        <w:rPr/>
        <w:t>Pay”。作为全球智能手机市场份额第一的公司三星，也收购了另一家移动支付公司LoopPay，拟推出</w:t>
      </w:r>
      <w:r>
        <w:rPr/>
        <w:t> 自己的移动支付系统。新一轮移动支付大战刚刚拉开序幕，将会对整个支付领域的业务模式产生巨大的冲击和深远的影响。 新国都作为一家生产、研发和销售金融POS机并向客户和商户提供电子支付综合解决方案的企业，顺应市场和客户的需求， 加快了适应互联网业务环境、特别是移动业务环境、支持O2O模式下的新产品、新技术的研发，并积极向互联网业务、移动 支付业务拓展。</w:t>
      </w:r>
    </w:p>
    <w:p>
      <w:pPr>
        <w:pStyle w:val="BodyText"/>
        <w:spacing w:line="240" w:lineRule="auto" w:before="19"/>
        <w:ind w:left="153" w:right="0"/>
        <w:jc w:val="both"/>
      </w:pPr>
      <w:r>
        <w:rPr/>
        <w:t>2、电子支付行业的宏观发展趋势</w:t>
      </w:r>
    </w:p>
    <w:p>
      <w:pPr>
        <w:pStyle w:val="BodyText"/>
        <w:spacing w:line="316" w:lineRule="auto" w:before="76"/>
        <w:ind w:left="573" w:right="6601"/>
        <w:jc w:val="left"/>
      </w:pPr>
      <w:r>
        <w:rPr/>
        <w:t>（1）公司所处行业的宏观发展趋势 1）电子支付市场继续保持快速增长</w:t>
      </w:r>
    </w:p>
    <w:p>
      <w:pPr>
        <w:pStyle w:val="BodyText"/>
        <w:spacing w:line="316" w:lineRule="auto" w:before="19"/>
        <w:ind w:left="153" w:right="89" w:firstLine="420"/>
        <w:jc w:val="left"/>
      </w:pPr>
      <w:r>
        <w:rPr/>
        <w:t>宏观经济稳定、技术快速发展以及消费能力提升三大要素将成为支付产业发展的主要动力。2014年，银行卡刷卡业务 继续保持快速增长，传统金融POS机为主的电子支付受理终端设备市场仍然保持持续快速增长。根据中国人民银行每季度发 </w:t>
      </w:r>
      <w:r>
        <w:rPr>
          <w:spacing w:val="-7"/>
        </w:rPr>
        <w:t>布的《支付体系运行总体情况》显示，截至2014年第四季度，银行卡发卡量稳步增长，累计发行49.36亿张，渗透率实现47.71%；</w:t>
      </w:r>
      <w:r>
        <w:rPr>
          <w:spacing w:val="-88"/>
        </w:rPr>
        <w:t> </w:t>
      </w:r>
      <w:r>
        <w:rPr>
          <w:spacing w:val="-88"/>
        </w:rPr>
      </w:r>
      <w:r>
        <w:rPr>
          <w:spacing w:val="-6"/>
        </w:rPr>
        <w:t>受理环境不断改善，银行卡跨行支付系统联网商户达到1203.4万户，联网POS机具1593.5万台，同比分别增加439.9万户、530.3</w:t>
      </w:r>
      <w:r>
        <w:rPr>
          <w:spacing w:val="-34"/>
        </w:rPr>
        <w:t> </w:t>
      </w:r>
      <w:r>
        <w:rPr>
          <w:spacing w:val="-34"/>
        </w:rPr>
      </w:r>
      <w:r>
        <w:rPr>
          <w:spacing w:val="-2"/>
        </w:rPr>
        <w:t>万台；银行卡交易量持续增长，银行卡消费业务增长显著。截至2014年末，每台POS机对应的银行卡数量为310张，同比减少</w:t>
      </w:r>
      <w:r>
        <w:rPr>
          <w:spacing w:val="-56"/>
        </w:rPr>
        <w:t> </w:t>
      </w:r>
      <w:r>
        <w:rPr>
          <w:spacing w:val="-56"/>
        </w:rPr>
      </w:r>
      <w:r>
        <w:rPr/>
        <w:t>21.71%。此外，报告中详细披露了电子支付的构成，2014年全国共发生电子支付业务333.33亿笔，金额1404.65万亿元，同 比分别增长29.28%和30.65%。其中，网上支付业务285.75亿笔，金额1376.01万亿元，同比分别增长20.70%和29.72%；移动 支付业务45.24亿笔，金额22.58万亿元，同比分别增长170.25%和134.23%。</w:t>
      </w:r>
    </w:p>
    <w:p>
      <w:pPr>
        <w:pStyle w:val="BodyText"/>
        <w:spacing w:line="316" w:lineRule="auto" w:before="19"/>
        <w:ind w:left="573" w:right="176"/>
        <w:jc w:val="left"/>
      </w:pPr>
      <w:r>
        <w:rPr/>
        <w:t>2）电子支付行业的变化趋势 </w:t>
      </w:r>
      <w:r>
        <w:rPr>
          <w:spacing w:val="-1"/>
        </w:rPr>
        <w:t>中国人民银行于2015年1月13日印发了《关于推动移动金融技术创新健康发展的指导意见》，强调移动金融是丰富金融</w:t>
      </w:r>
    </w:p>
    <w:p>
      <w:pPr>
        <w:pStyle w:val="BodyText"/>
        <w:spacing w:line="316" w:lineRule="auto" w:before="19"/>
        <w:ind w:left="153" w:right="108"/>
        <w:jc w:val="both"/>
      </w:pPr>
      <w:r>
        <w:rPr/>
        <w:t>服务渠道、创新金融产品和服务模式、发展普惠金融的有效途径和方法，明确了移动金融技术创新健康发展的方向性原则， 即遵循安全可控原则、秉承便民利民理念、坚持继承式创新发展、注重服务融合发展。移动金融大发展的前景已逐渐清晰。 未来，支付产业发展的主要趋势是：网络支付将保持较高增长，跨界融合趋势更为明显；移动支付有望实现全方位的提升， 迎来从量变到质变的飞跃；跨境支付需求增长强劲，同时市场开放程度将不断提高。</w:t>
      </w:r>
    </w:p>
    <w:p>
      <w:pPr>
        <w:pStyle w:val="BodyText"/>
        <w:spacing w:line="316" w:lineRule="auto" w:before="19"/>
        <w:ind w:left="153" w:right="101" w:firstLine="420"/>
        <w:jc w:val="both"/>
      </w:pPr>
      <w:r>
        <w:rPr/>
        <w:t>开放化：整个支付市场的进一步开放是大势所趋，除了银行卡收单市场将继续扩大开放以外，发卡和转接市场也将会 </w:t>
      </w:r>
      <w:r>
        <w:rPr>
          <w:spacing w:val="-2"/>
        </w:rPr>
        <w:t>陆续开放，参与主体将进一步多样化。监管框架逐步完善，监管重点将围绕参与主体的准入、经营审慎性和合规性，而减少</w:t>
      </w:r>
      <w:r>
        <w:rPr>
          <w:spacing w:val="-66"/>
        </w:rPr>
        <w:t> </w:t>
      </w:r>
      <w:r>
        <w:rPr>
          <w:spacing w:val="-66"/>
        </w:rPr>
      </w:r>
      <w:r>
        <w:rPr>
          <w:spacing w:val="-2"/>
        </w:rPr>
        <w:t>对具体业务的干预。随着市场规模扩大和参与者增多，收单行业的产业链分工将会出现质的变化，交易处理商(Processor)、</w:t>
      </w:r>
    </w:p>
    <w:p>
      <w:pPr>
        <w:spacing w:after="0" w:line="316" w:lineRule="auto"/>
        <w:jc w:val="both"/>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6" w:lineRule="auto"/>
        <w:ind w:left="153" w:right="951"/>
        <w:jc w:val="left"/>
      </w:pPr>
      <w:r>
        <w:rPr/>
        <w:t>独立销售组织(ISO)、现场服务商(MerchantSiteInspections)、机具租赁商(EquipmentLeasing)、反欺诈服务商 (FraudDetectionServices)等专业机构将从收单机构中分离出来。</w:t>
      </w:r>
    </w:p>
    <w:p>
      <w:pPr>
        <w:pStyle w:val="BodyText"/>
        <w:spacing w:line="316" w:lineRule="auto" w:before="19"/>
        <w:ind w:left="153" w:right="150" w:firstLine="420"/>
        <w:jc w:val="both"/>
      </w:pPr>
      <w:r>
        <w:rPr/>
        <w:t>移动化：在移动互联网加速发展的今天，移动支付因其掌握着移动互联网变现的重要战略位置，成为兵家必争之地。 </w:t>
      </w:r>
      <w:r>
        <w:rPr>
          <w:spacing w:val="-2"/>
        </w:rPr>
        <w:t>未来现金及卡交易将逐步被移动支付所取代已基本可以预见。广适用性受理设备、支付终端系统集成设备已经成为电子支付</w:t>
      </w:r>
      <w:r>
        <w:rPr>
          <w:spacing w:val="-64"/>
        </w:rPr>
        <w:t> </w:t>
      </w:r>
      <w:r>
        <w:rPr>
          <w:spacing w:val="-64"/>
        </w:rPr>
      </w:r>
      <w:r>
        <w:rPr>
          <w:spacing w:val="-5"/>
        </w:rPr>
        <w:t>受理设备的主要发展方向。从全球移动支付发展的情况来看，2014年全球移动支付交易值将达到3,250亿美元，与2013年2,354</w:t>
      </w:r>
      <w:r>
        <w:rPr>
          <w:spacing w:val="-34"/>
        </w:rPr>
        <w:t> </w:t>
      </w:r>
      <w:r>
        <w:rPr>
          <w:spacing w:val="-34"/>
        </w:rPr>
      </w:r>
      <w:r>
        <w:rPr/>
        <w:t>亿美元的交易价值相比，增长达38%，而在可预见的未来，全球移动支付市场仍将维持在40%左右的复合增速持续快跑。</w:t>
      </w:r>
    </w:p>
    <w:p>
      <w:pPr>
        <w:pStyle w:val="BodyText"/>
        <w:spacing w:line="316" w:lineRule="auto" w:before="19"/>
        <w:ind w:left="153" w:right="150" w:firstLine="420"/>
        <w:jc w:val="both"/>
      </w:pPr>
      <w:r>
        <w:rPr/>
        <w:t>融合化：技术进步和消费者行为变迁，将会使得不同支付场景之间的界限越来越模糊。传统的因为近场与远程、线下 </w:t>
      </w:r>
      <w:r>
        <w:rPr>
          <w:spacing w:val="-2"/>
        </w:rPr>
        <w:t>与线上支付场景不同而造成的差别将会逐步融合。而且收单业务的行业特点决定了并购所带来的协同效应非常明显，全球支</w:t>
      </w:r>
      <w:r>
        <w:rPr>
          <w:spacing w:val="-64"/>
        </w:rPr>
        <w:t> </w:t>
      </w:r>
      <w:r>
        <w:rPr>
          <w:spacing w:val="-64"/>
        </w:rPr>
      </w:r>
      <w:r>
        <w:rPr/>
        <w:t>付市场都是并购活动非常活跃的领域。</w:t>
      </w:r>
    </w:p>
    <w:p>
      <w:pPr>
        <w:pStyle w:val="BodyText"/>
        <w:spacing w:line="316" w:lineRule="auto" w:before="19"/>
        <w:ind w:left="153" w:right="150" w:firstLine="420"/>
        <w:jc w:val="both"/>
      </w:pPr>
      <w:r>
        <w:rPr/>
        <w:t>智能化：我们认为，商业环境和市场深刻而快速的变化，驱动了整个电子支付行业的创新，在传统的服务于商业交易 </w:t>
      </w:r>
      <w:r>
        <w:rPr>
          <w:spacing w:val="-2"/>
        </w:rPr>
        <w:t>的基础上有条件地实现创造新的商业交易。而电子支付受理设备的产品形态将继续向移动化、小型化、智能化、易携带方向</w:t>
      </w:r>
      <w:r>
        <w:rPr>
          <w:spacing w:val="-66"/>
        </w:rPr>
        <w:t> </w:t>
      </w:r>
      <w:r>
        <w:rPr>
          <w:spacing w:val="-66"/>
        </w:rPr>
      </w:r>
      <w:r>
        <w:rPr/>
        <w:t>发展，如市场上MPOS（基于移动终端的POS）的推出就迎合了行业趋势，既可以采集加密银联卡相关信息，又可以连接至手 机、PAD等移动智能设备进行交易处理，形态小巧、携带便利，高性价比的特点让其迅速得到了市场的认可。</w:t>
      </w:r>
    </w:p>
    <w:p>
      <w:pPr>
        <w:pStyle w:val="BodyText"/>
        <w:spacing w:line="316" w:lineRule="auto" w:before="19"/>
        <w:ind w:left="573" w:right="171"/>
        <w:jc w:val="left"/>
      </w:pPr>
      <w:r>
        <w:rPr/>
        <w:t>3）竞争对手情况 国内线下支付领域，与公司能够形成有效市场竞争威胁的电子支付受理终端设备的主要品牌有百富、联迪、惠尔丰、</w:t>
      </w:r>
    </w:p>
    <w:p>
      <w:pPr>
        <w:pStyle w:val="BodyText"/>
        <w:spacing w:line="316" w:lineRule="auto" w:before="19"/>
        <w:ind w:left="153" w:right="150"/>
        <w:jc w:val="both"/>
      </w:pPr>
      <w:r>
        <w:rPr>
          <w:spacing w:val="-2"/>
        </w:rPr>
        <w:t>新大陆。随着线上支付向线下的不断渗透，互联网支付服务巨头“财付通”、“支付宝”，手机生产商苹果、三星，零售商</w:t>
      </w:r>
      <w:r>
        <w:rPr>
          <w:spacing w:val="-70"/>
        </w:rPr>
        <w:t> </w:t>
      </w:r>
      <w:r>
        <w:rPr>
          <w:spacing w:val="-70"/>
        </w:rPr>
      </w:r>
      <w:r>
        <w:rPr>
          <w:spacing w:val="-2"/>
        </w:rPr>
        <w:t>沃尔玛等也正在进入支付领域，短期他们为终端市场注入了新的需求，但不排除未来他们也将成为了支付受理终端设备厂商</w:t>
      </w:r>
      <w:r>
        <w:rPr>
          <w:spacing w:val="-64"/>
        </w:rPr>
        <w:t> </w:t>
      </w:r>
      <w:r>
        <w:rPr>
          <w:spacing w:val="-64"/>
        </w:rPr>
      </w:r>
      <w:r>
        <w:rPr/>
        <w:t>的强大竞争对手。</w:t>
      </w:r>
    </w:p>
    <w:p>
      <w:pPr>
        <w:pStyle w:val="BodyText"/>
        <w:spacing w:line="316" w:lineRule="auto" w:before="19"/>
        <w:ind w:left="153" w:right="188" w:firstLine="420"/>
        <w:jc w:val="both"/>
      </w:pPr>
      <w:r>
        <w:rPr/>
        <w:t>国外市场，目前惠尔丰、安智两大品牌在欧美地区占据着绝对的优势，百富、瑞柏等品牌则在东南亚地区占据着较明 显的优势，新国都在国外市场上的影响力则相对来说较弱，但也在2014年实现了突破。</w:t>
      </w:r>
    </w:p>
    <w:p>
      <w:pPr>
        <w:pStyle w:val="BodyText"/>
        <w:spacing w:line="316" w:lineRule="auto" w:before="19"/>
        <w:ind w:left="153" w:right="188" w:firstLine="420"/>
        <w:jc w:val="both"/>
      </w:pPr>
      <w:r>
        <w:rPr/>
        <w:t>从竞争结果来看，由于新的竞争对手的加入，使得整个电子支付受理市场的原有生态环境极有可能发生重大变化，新 的技术、新的产品的研发和创新，将在主流设备厂商之间掀起新一轮的技术和产品革新。</w:t>
      </w:r>
    </w:p>
    <w:p>
      <w:pPr>
        <w:pStyle w:val="BodyText"/>
        <w:spacing w:line="316" w:lineRule="auto" w:before="19"/>
        <w:ind w:left="573" w:right="171"/>
        <w:jc w:val="left"/>
      </w:pPr>
      <w:r>
        <w:rPr/>
        <w:t>4）小结 从上述分析可以看出，电子支付服务行业已经迎来全新的发展机遇和挑战，对于传统的电子支付受理终端设备供应商</w:t>
      </w:r>
    </w:p>
    <w:p>
      <w:pPr>
        <w:pStyle w:val="BodyText"/>
        <w:spacing w:line="240" w:lineRule="auto" w:before="19"/>
        <w:ind w:left="153" w:right="0"/>
        <w:jc w:val="both"/>
      </w:pPr>
      <w:r>
        <w:rPr/>
        <w:t>来说，如何把握住市场的变化，抓住未来市场发展的主流趋势，成为摆在所有市场参与者眼前共同的挑战与机会。</w:t>
      </w:r>
    </w:p>
    <w:p>
      <w:pPr>
        <w:pStyle w:val="BodyText"/>
        <w:spacing w:line="316" w:lineRule="auto" w:before="76"/>
        <w:ind w:left="573" w:right="7101"/>
        <w:jc w:val="left"/>
      </w:pPr>
      <w:r>
        <w:rPr/>
        <w:t>（2）公司的主要优势与困难 1）公司的主要优势</w:t>
      </w:r>
    </w:p>
    <w:p>
      <w:pPr>
        <w:pStyle w:val="BodyText"/>
        <w:spacing w:line="316" w:lineRule="auto" w:before="19"/>
        <w:ind w:left="153" w:right="188" w:firstLine="420"/>
        <w:jc w:val="both"/>
      </w:pPr>
      <w:r>
        <w:rPr/>
        <w:t>在互联网和移动互联网业务大发展的背景下，电子支付服务和流程已经开始发生重大变化的情况下，相比其他竞争对 手来说，新国都的主要竞争优势体现在以下几个方面：</w:t>
      </w:r>
    </w:p>
    <w:p>
      <w:pPr>
        <w:pStyle w:val="BodyText"/>
        <w:spacing w:line="316" w:lineRule="auto" w:before="19"/>
        <w:ind w:left="153" w:right="188" w:firstLine="420"/>
        <w:jc w:val="both"/>
      </w:pPr>
      <w:r>
        <w:rPr/>
        <w:t>一是，拥有完善的产品研发体系、市场营销体系、生产制造体系、质量管控体系、人力资源体系，有利于整合各个业 务链的资源，控制生产成本和产品质量的同时进行产品和商业模式创新。</w:t>
      </w:r>
    </w:p>
    <w:p>
      <w:pPr>
        <w:pStyle w:val="BodyText"/>
        <w:spacing w:line="316" w:lineRule="auto" w:before="19"/>
        <w:ind w:left="153" w:right="148" w:firstLine="420"/>
        <w:jc w:val="both"/>
      </w:pPr>
      <w:r>
        <w:rPr/>
        <w:t>二是，经过三年的努力，公司在自身管理能力建设方面取得了长足的进展，主要体现在战略梳理、业绩与考核、预算 </w:t>
      </w:r>
      <w:r>
        <w:rPr>
          <w:spacing w:val="-2"/>
        </w:rPr>
        <w:t>管理、经营计划拆解与落实、流程化管理、信息化管理、精细化管理等方面，公司已经初步具备了对外输出管理的能力，为</w:t>
      </w:r>
      <w:r>
        <w:rPr>
          <w:spacing w:val="-67"/>
        </w:rPr>
        <w:t> </w:t>
      </w:r>
      <w:r>
        <w:rPr>
          <w:spacing w:val="-67"/>
        </w:rPr>
      </w:r>
      <w:r>
        <w:rPr/>
        <w:t>公司加快战略转型和业务扩张提供了一定的能力保障。</w:t>
      </w:r>
    </w:p>
    <w:p>
      <w:pPr>
        <w:pStyle w:val="BodyText"/>
        <w:spacing w:line="316" w:lineRule="auto" w:before="19"/>
        <w:ind w:left="153" w:right="150" w:firstLine="420"/>
        <w:jc w:val="both"/>
      </w:pPr>
      <w:r>
        <w:rPr/>
        <w:t>三是，新国都在创业板成功上市后，目前仍是国内电子支付行业少数拥有资本市场支持的公司之一，国内资本市场的 改革，尤其是A股上市公司再融资制度的不断完善，能够为公司未来的业务发展和战略实施提供资金保障，公司将围绕未来 </w:t>
      </w:r>
      <w:r>
        <w:rPr>
          <w:spacing w:val="-2"/>
        </w:rPr>
        <w:t>战略发展规划，充分发挥公司资本市场优势，以市值促进产业发展，以产业发展夯实市值基础的方式，将公司推入一个产融</w:t>
      </w:r>
      <w:r>
        <w:rPr>
          <w:spacing w:val="-66"/>
        </w:rPr>
        <w:t> </w:t>
      </w:r>
      <w:r>
        <w:rPr>
          <w:spacing w:val="-66"/>
        </w:rPr>
      </w:r>
      <w:r>
        <w:rPr/>
        <w:t>结合、快速扩张的良性发展通道。</w:t>
      </w:r>
    </w:p>
    <w:p>
      <w:pPr>
        <w:pStyle w:val="BodyText"/>
        <w:spacing w:line="316" w:lineRule="auto" w:before="19"/>
        <w:ind w:left="573" w:right="7191"/>
        <w:jc w:val="left"/>
      </w:pPr>
      <w:r>
        <w:rPr/>
        <w:t>2）公司的主要困难 公司目前的主要困难在于：</w:t>
      </w:r>
    </w:p>
    <w:p>
      <w:pPr>
        <w:pStyle w:val="BodyText"/>
        <w:spacing w:line="316" w:lineRule="auto" w:before="19"/>
        <w:ind w:left="153" w:right="188" w:firstLine="420"/>
        <w:jc w:val="both"/>
      </w:pPr>
      <w:r>
        <w:rPr/>
        <w:t>在竞争格局中，目前在产品、客户群结构、技术储备等方面相比传统一线强势竞争品牌，仍然存在一定的差距，由于 专注于国内市场而海外市场的开拓时间较晚，海外市场业务的经验较少。</w:t>
      </w:r>
    </w:p>
    <w:p>
      <w:pPr>
        <w:pStyle w:val="BodyText"/>
        <w:spacing w:line="316" w:lineRule="auto" w:before="19"/>
        <w:ind w:left="153" w:right="188" w:firstLine="420"/>
        <w:jc w:val="both"/>
      </w:pPr>
      <w:r>
        <w:rPr/>
        <w:t>在公司战略方面，缺乏深刻理解和把握电子支付行业变化趋势、互联网市场机会的技术、市场和管理人才团队，成为 制约公司市场创新、产品和技术创新、管理创新的关键因素。</w:t>
      </w:r>
    </w:p>
    <w:p>
      <w:pPr>
        <w:spacing w:after="0" w:line="316" w:lineRule="auto"/>
        <w:jc w:val="both"/>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316" w:lineRule="auto"/>
        <w:ind w:right="210" w:firstLine="420"/>
        <w:jc w:val="left"/>
      </w:pPr>
      <w:r>
        <w:rPr/>
        <w:t>在企业管理方面，虽在系统化建设当中，但仍与其在业务上的发展有一定差距，尤其是互联网业务与传统生产制造业 的业务流程存在明显差异，且在输出企业管理能力不足，成为公司未来发展过程中不可忽视的制约。 </w:t>
      </w:r>
      <w:r>
        <w:rPr>
          <w:rFonts w:ascii="Times New Roman" w:hAnsi="Times New Roman" w:cs="Times New Roman" w:eastAsia="Times New Roman" w:hint="default"/>
        </w:rPr>
        <w:t>3</w:t>
      </w:r>
      <w:r>
        <w:rPr/>
        <w:t>、公司未来的发展战略及经营计划，及对其实现产生不利影响的风险因素分析</w:t>
      </w:r>
    </w:p>
    <w:p>
      <w:pPr>
        <w:pStyle w:val="BodyText"/>
        <w:spacing w:line="316" w:lineRule="auto" w:before="0"/>
        <w:ind w:left="574" w:right="5340"/>
        <w:jc w:val="left"/>
      </w:pPr>
      <w:r>
        <w:rPr/>
        <w:t>（1）公司未来的发展战略 1）继续深化“互联网+金融+大数据分析”战略模式</w:t>
      </w:r>
    </w:p>
    <w:p>
      <w:pPr>
        <w:pStyle w:val="BodyText"/>
        <w:spacing w:line="240" w:lineRule="auto" w:before="19"/>
        <w:ind w:left="574" w:right="91"/>
        <w:jc w:val="left"/>
      </w:pPr>
      <w:r>
        <w:rPr/>
        <w:t>根据公司互联网战略拓展规划，结合市场的变化趋势，公司继续围绕电子支付业务向交易以及交易相关的一系列业务</w:t>
      </w:r>
    </w:p>
    <w:p>
      <w:pPr>
        <w:pStyle w:val="BodyText"/>
        <w:spacing w:line="316" w:lineRule="auto" w:before="76"/>
        <w:ind w:right="90"/>
        <w:jc w:val="left"/>
      </w:pPr>
      <w:r>
        <w:rPr/>
        <w:t>（如金融）拓展，建设基于云计算、云存储技术的交易数据处理和存储能力，基于交易数据的分析能力和社会化运营能力。 </w:t>
      </w:r>
      <w:r>
        <w:rPr>
          <w:spacing w:val="-2"/>
        </w:rPr>
        <w:t>围绕这些核心业务能力，以互联网金融为突破口，打造交易平台、会员平台、资金平台及风控平台，贯通支付产业链上下游</w:t>
      </w:r>
      <w:r>
        <w:rPr>
          <w:spacing w:val="-66"/>
        </w:rPr>
        <w:t> </w:t>
      </w:r>
      <w:r>
        <w:rPr>
          <w:spacing w:val="-66"/>
        </w:rPr>
      </w:r>
      <w:r>
        <w:rPr>
          <w:spacing w:val="-2"/>
        </w:rPr>
        <w:t>核心资源，为广大客户和商户提供涵盖支付智能终端设备、线上线下支付技术运营服务等一站式综合支付服务解决方案。除</w:t>
      </w:r>
      <w:r>
        <w:rPr>
          <w:spacing w:val="-66"/>
        </w:rPr>
        <w:t> </w:t>
      </w:r>
      <w:r>
        <w:rPr>
          <w:spacing w:val="-66"/>
        </w:rPr>
      </w:r>
      <w:r>
        <w:rPr>
          <w:spacing w:val="-4"/>
        </w:rPr>
        <w:t>此之外，公司还将基于上述核心业务能力拓展企业的服务范围，为广大客户、商户提供交易数据存储和分析服务，协助客户、</w:t>
      </w:r>
      <w:r>
        <w:rPr>
          <w:spacing w:val="-46"/>
        </w:rPr>
        <w:t> </w:t>
      </w:r>
      <w:r>
        <w:rPr>
          <w:spacing w:val="-46"/>
        </w:rPr>
      </w:r>
      <w:r>
        <w:rPr/>
        <w:t>商户做好业务经营风险控制，提供精准营销的数据分析和决策支持信息。</w:t>
      </w:r>
    </w:p>
    <w:p>
      <w:pPr>
        <w:pStyle w:val="BodyText"/>
        <w:spacing w:line="316" w:lineRule="auto" w:before="19"/>
        <w:ind w:right="198" w:firstLine="420"/>
        <w:jc w:val="both"/>
      </w:pPr>
      <w:r>
        <w:rPr/>
        <w:t>公司将继续加强大数据处理和研究能力，以尽快实现云计算、云存储技术、海量交易数据处理、存储和分析等核心技 术能力的积累与应用。此外，公司在互联网技术应用方面也已经有了一定的经验积累，公司未来的移动智能POS都能结合互 联网应用，可实现线上线下各类支付服务的无缝链接。</w:t>
      </w:r>
    </w:p>
    <w:p>
      <w:pPr>
        <w:pStyle w:val="BodyText"/>
        <w:spacing w:line="316" w:lineRule="auto" w:before="19"/>
        <w:ind w:left="574" w:right="210"/>
        <w:jc w:val="left"/>
      </w:pPr>
      <w:r>
        <w:rPr/>
        <w:t>2）围绕公司主业及未来战略进行积极的收购兼并，打造自有商业生态圈 支付是线上线下实现交易的重要环节，具有较强的延展性和金融属性，围绕支付公司将积极打造生态圈。只有掌握了</w:t>
      </w:r>
    </w:p>
    <w:p>
      <w:pPr>
        <w:pStyle w:val="BodyText"/>
        <w:spacing w:line="316" w:lineRule="auto" w:before="19"/>
        <w:ind w:right="90"/>
        <w:jc w:val="left"/>
      </w:pPr>
      <w:r>
        <w:rPr/>
        <w:t>交易支付环节并拥有大数据处理能力才能够对海量消费行为实现跟踪、记录、分析和预测，才能够进一步实现互联网金融。 </w:t>
      </w:r>
      <w:r>
        <w:rPr>
          <w:spacing w:val="-2"/>
        </w:rPr>
        <w:t>公司管理层根据对自身能力的认识以及对互联网发展趋势的理解，将通过积极开展基于互联网的电子支付技术、产品和业务</w:t>
      </w:r>
      <w:r>
        <w:rPr>
          <w:spacing w:val="-64"/>
        </w:rPr>
        <w:t> </w:t>
      </w:r>
      <w:r>
        <w:rPr>
          <w:spacing w:val="-64"/>
        </w:rPr>
      </w:r>
      <w:r>
        <w:rPr>
          <w:spacing w:val="-2"/>
        </w:rPr>
        <w:t>模式的创新，使公司现有电子支付设备终端业务更加适应互联网时代的需求，并借助互联网的手段来改善公司的管理，提升</w:t>
      </w:r>
      <w:r>
        <w:rPr>
          <w:spacing w:val="-66"/>
        </w:rPr>
        <w:t> </w:t>
      </w:r>
      <w:r>
        <w:rPr>
          <w:spacing w:val="-66"/>
        </w:rPr>
      </w:r>
      <w:r>
        <w:rPr>
          <w:spacing w:val="-2"/>
        </w:rPr>
        <w:t>公司运营效率，为客户、公司的业务经营降低成本开支，提升用户体验，加强基于支付信息和大数据分析的金融服务，打造</w:t>
      </w:r>
      <w:r>
        <w:rPr>
          <w:spacing w:val="-66"/>
        </w:rPr>
        <w:t> </w:t>
      </w:r>
      <w:r>
        <w:rPr>
          <w:spacing w:val="-66"/>
        </w:rPr>
      </w:r>
      <w:r>
        <w:rPr/>
        <w:t>流畅、高效、安全的电子支付综合服务体验。</w:t>
      </w:r>
    </w:p>
    <w:p>
      <w:pPr>
        <w:pStyle w:val="BodyText"/>
        <w:spacing w:line="316" w:lineRule="auto" w:before="19"/>
        <w:ind w:right="210" w:firstLine="420"/>
        <w:jc w:val="left"/>
      </w:pPr>
      <w:r>
        <w:rPr/>
        <w:t>为了建立自有商业生态圈、分享互联网未来的大发展，公司在提升内生增长能力之外，还将通过主动收购来实现在新 型支付手段、支付模式以及互联网金融领域的业务拓展。</w:t>
      </w:r>
    </w:p>
    <w:p>
      <w:pPr>
        <w:pStyle w:val="BodyText"/>
        <w:spacing w:line="316" w:lineRule="auto" w:before="19"/>
        <w:ind w:left="574" w:right="5970"/>
        <w:jc w:val="left"/>
      </w:pPr>
      <w:r>
        <w:rPr/>
        <w:t>（2）2015年度公司的经营计划 2014年，公司的经营计划回顾，具体如下：</w:t>
      </w:r>
    </w:p>
    <w:p>
      <w:pPr>
        <w:pStyle w:val="BodyText"/>
        <w:spacing w:line="316" w:lineRule="auto" w:before="19"/>
        <w:ind w:right="174" w:firstLine="420"/>
        <w:jc w:val="left"/>
      </w:pPr>
      <w:r>
        <w:rPr>
          <w:spacing w:val="-1"/>
        </w:rPr>
        <w:t>1)推行科学化管理，推广全流程创新：公司完成了104项管理体系和流程的细化工作，涵盖研发、营销、生产、采购和</w:t>
      </w:r>
      <w:r>
        <w:rPr/>
        <w:t> 职能部门。</w:t>
      </w:r>
    </w:p>
    <w:p>
      <w:pPr>
        <w:pStyle w:val="BodyText"/>
        <w:spacing w:line="316" w:lineRule="auto" w:before="19"/>
        <w:ind w:right="210" w:firstLine="420"/>
        <w:jc w:val="left"/>
      </w:pPr>
      <w:r>
        <w:rPr/>
        <w:t>2)全力开拓国内外市场销售渠道，提高市场占有率：国内市场实现了建设银行的首次招标入围突破，商业银行的销售 金额稳步提升，但第三方支付客户受到重视不足，提升不明显；海外市场销售工作取得长足进步，订单金额占营业收入的 6.33%。</w:t>
      </w:r>
    </w:p>
    <w:p>
      <w:pPr>
        <w:pStyle w:val="BodyText"/>
        <w:spacing w:line="316" w:lineRule="auto" w:before="19"/>
        <w:ind w:right="83" w:firstLine="420"/>
        <w:jc w:val="left"/>
      </w:pPr>
      <w:r>
        <w:rPr>
          <w:spacing w:val="-1"/>
        </w:rPr>
        <w:t>3)加大研发管理投入，重点投入基于互联网业务模式的新技术、新产品开发与创新，探索基于互联网的运营模式创新：</w:t>
      </w:r>
      <w:r>
        <w:rPr/>
        <w:t> 进一步落实了研发管理流程，重点开发基于国际上最高支付安全认证技术PCI4.0的POS产品和基于O2O商业模式的互联网POS </w:t>
      </w:r>
      <w:r>
        <w:rPr>
          <w:spacing w:val="-2"/>
        </w:rPr>
        <w:t>产品；重点投入人力、物力进行交易结算平台系统的开发项目，构建基于云平台、云存储技术的交易大数据平台，并根据平</w:t>
      </w:r>
      <w:r>
        <w:rPr>
          <w:spacing w:val="-66"/>
        </w:rPr>
        <w:t> </w:t>
      </w:r>
      <w:r>
        <w:rPr>
          <w:spacing w:val="-66"/>
        </w:rPr>
      </w:r>
      <w:r>
        <w:rPr/>
        <w:t>台数据尝试新的运营业务，协助客户开展带有互联网金融服务特点的创新业务。</w:t>
      </w:r>
    </w:p>
    <w:p>
      <w:pPr>
        <w:pStyle w:val="BodyText"/>
        <w:spacing w:line="316" w:lineRule="auto" w:before="19"/>
        <w:ind w:right="210" w:firstLine="420"/>
        <w:jc w:val="left"/>
      </w:pPr>
      <w:r>
        <w:rPr/>
        <w:t>4)加大高端人才引进力度，提升人均效能：公司人才学历结构进一步优化，本科以上学历人才占比达到72.42%，研究 生以上学历人才占比达到5.44%，公司人均效能得到提升，人均产出50.98万元，相比去年同期增长5.43%。</w:t>
      </w:r>
    </w:p>
    <w:p>
      <w:pPr>
        <w:pStyle w:val="BodyText"/>
        <w:spacing w:line="316" w:lineRule="auto" w:before="19"/>
        <w:ind w:right="210" w:firstLine="420"/>
        <w:jc w:val="left"/>
      </w:pPr>
      <w:r>
        <w:rPr/>
        <w:t>5)加强投资者关系建设：加强与投资者的沟通与互动，及时回复投资者互动平台的问题，及时组织投资者交流会，与 投资者进行积极沟通，有效提高了机构投资者在公司股权结构的占比。</w:t>
      </w:r>
    </w:p>
    <w:p>
      <w:pPr>
        <w:pStyle w:val="BodyText"/>
        <w:spacing w:line="316" w:lineRule="auto" w:before="19"/>
        <w:ind w:left="574" w:right="210"/>
        <w:jc w:val="left"/>
      </w:pPr>
      <w:r>
        <w:rPr/>
        <w:t>综上可见，2014年公司经营计划执行情况良好，达到了预期目标。 2015年，公司将继续密切关注移动互联网和电子支付行业的发展趋势，以帮助客户降低支付运营业务综合成本、提升</w:t>
      </w:r>
    </w:p>
    <w:p>
      <w:pPr>
        <w:pStyle w:val="BodyText"/>
        <w:spacing w:line="316" w:lineRule="auto" w:before="19"/>
        <w:ind w:right="189"/>
        <w:jc w:val="both"/>
      </w:pPr>
      <w:r>
        <w:rPr>
          <w:spacing w:val="-2"/>
        </w:rPr>
        <w:t>客户运营效率为目标，主动积累电子支付产业链上下游的核心技术资源，以产品和服务覆盖商户交易活动全流程；积极研究</w:t>
      </w:r>
      <w:r>
        <w:rPr>
          <w:spacing w:val="-66"/>
        </w:rPr>
        <w:t> </w:t>
      </w:r>
      <w:r>
        <w:rPr>
          <w:spacing w:val="-66"/>
        </w:rPr>
      </w:r>
      <w:r>
        <w:rPr>
          <w:spacing w:val="-2"/>
        </w:rPr>
        <w:t>电子支付交易新场景和产品新形态；围绕移动互联网的发展趋势，继续加大互联网运营模式的探索，布局符合未来移动互联</w:t>
      </w:r>
      <w:r>
        <w:rPr>
          <w:spacing w:val="-66"/>
        </w:rPr>
        <w:t> </w:t>
      </w:r>
      <w:r>
        <w:rPr>
          <w:spacing w:val="-66"/>
        </w:rPr>
      </w:r>
      <w:r>
        <w:rPr>
          <w:spacing w:val="-2"/>
        </w:rPr>
        <w:t>网需求的新产品、新技术和新服务；以提升输出管理能力和投融资管理水平为核心，积极打造上市公司投融资平台功能，实</w:t>
      </w:r>
      <w:r>
        <w:rPr>
          <w:spacing w:val="-66"/>
        </w:rPr>
        <w:t> </w:t>
      </w:r>
      <w:r>
        <w:rPr>
          <w:spacing w:val="-66"/>
        </w:rPr>
      </w:r>
      <w:r>
        <w:rPr/>
        <w:t>现公司综合实力的跨越式大发展。2015年，公司的经营计划将主要围绕以下几个方面开展：</w:t>
      </w:r>
    </w:p>
    <w:p>
      <w:pPr>
        <w:spacing w:after="0" w:line="316" w:lineRule="auto"/>
        <w:jc w:val="both"/>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240" w:lineRule="auto"/>
        <w:ind w:left="574" w:right="660"/>
        <w:jc w:val="left"/>
      </w:pPr>
      <w:r>
        <w:rPr/>
        <w:t>1）主动积累电子支付产业链上下游的核心技术资源</w:t>
      </w:r>
    </w:p>
    <w:p>
      <w:pPr>
        <w:pStyle w:val="BodyText"/>
        <w:spacing w:line="316" w:lineRule="auto" w:before="76"/>
        <w:ind w:right="191" w:firstLine="420"/>
        <w:jc w:val="both"/>
      </w:pPr>
      <w:r>
        <w:rPr>
          <w:spacing w:val="-1"/>
        </w:rPr>
        <w:t>2015年，公司将继续围绕电子支付产业，积极开展基于金融POS终端产品和软件平台技术为核心的产业链上下游技术资</w:t>
      </w:r>
      <w:r>
        <w:rPr/>
        <w:t> </w:t>
      </w:r>
      <w:r>
        <w:rPr>
          <w:spacing w:val="-2"/>
        </w:rPr>
        <w:t>源，以产品和服务覆盖商户交易活动的全流程，重视交易数据的收集、沉淀和分析，结合互联网金融业务模式的发展，研究</w:t>
      </w:r>
      <w:r>
        <w:rPr>
          <w:spacing w:val="-66"/>
        </w:rPr>
        <w:t> </w:t>
      </w:r>
      <w:r>
        <w:rPr>
          <w:spacing w:val="-66"/>
        </w:rPr>
      </w:r>
      <w:r>
        <w:rPr/>
        <w:t>符合金融业务逻辑的产品分析模型，为电子支付运营、互联网金融业务提供技术和产品支持。</w:t>
      </w:r>
    </w:p>
    <w:p>
      <w:pPr>
        <w:pStyle w:val="BodyText"/>
        <w:spacing w:line="240" w:lineRule="auto" w:before="19"/>
        <w:ind w:left="574" w:right="91"/>
        <w:jc w:val="left"/>
      </w:pPr>
      <w:r>
        <w:rPr/>
        <w:t>2）继续保持主营业务的稳步增长，加大关键销售渠道的建设，研发重点新产品，争抢电子支付市场未来发展的主动权</w:t>
      </w:r>
    </w:p>
    <w:p>
      <w:pPr>
        <w:pStyle w:val="BodyText"/>
        <w:spacing w:line="316" w:lineRule="auto" w:before="76"/>
        <w:ind w:right="189" w:firstLine="420"/>
        <w:jc w:val="both"/>
      </w:pPr>
      <w:r>
        <w:rPr/>
        <w:t>2015年，公司将继续深耕国内电子支付受理终端市场，继续保持并扩大在主流客户如银联、通联、主要商业银行的采 </w:t>
      </w:r>
      <w:r>
        <w:rPr>
          <w:spacing w:val="-2"/>
        </w:rPr>
        <w:t>购份额，积极参与第三方支付市场，抓住市场新变化，继续保持市场领先地位；国外市场，公司将加强海外市场售后服务体</w:t>
      </w:r>
      <w:r>
        <w:rPr>
          <w:spacing w:val="-66"/>
        </w:rPr>
        <w:t> </w:t>
      </w:r>
      <w:r>
        <w:rPr>
          <w:spacing w:val="-66"/>
        </w:rPr>
      </w:r>
      <w:r>
        <w:rPr>
          <w:spacing w:val="-2"/>
        </w:rPr>
        <w:t>系建设投入，巩固已有市场订单，开拓新市场业务。优化公司资源的投入产出比，相比2014年，公司2015年的市场和研发工</w:t>
      </w:r>
      <w:r>
        <w:rPr>
          <w:spacing w:val="-58"/>
        </w:rPr>
        <w:t> </w:t>
      </w:r>
      <w:r>
        <w:rPr>
          <w:spacing w:val="-58"/>
        </w:rPr>
      </w:r>
      <w:r>
        <w:rPr>
          <w:spacing w:val="-2"/>
        </w:rPr>
        <w:t>作策略以突出重点、突出关键为鲜明特色，即通过重点开展重要商业银行的招投标入围工作、产品销售落地工作，重点深入</w:t>
      </w:r>
      <w:r>
        <w:rPr>
          <w:spacing w:val="-66"/>
        </w:rPr>
        <w:t> </w:t>
      </w:r>
      <w:r>
        <w:rPr>
          <w:spacing w:val="-66"/>
        </w:rPr>
      </w:r>
      <w:r>
        <w:rPr>
          <w:spacing w:val="-2"/>
        </w:rPr>
        <w:t>国外已有订单市场；保障主流产品的供货，研发关键性新产品；通过突出重点和关键，聚焦优势资源，力争实现公司营业收</w:t>
      </w:r>
      <w:r>
        <w:rPr>
          <w:spacing w:val="-66"/>
        </w:rPr>
        <w:t> </w:t>
      </w:r>
      <w:r>
        <w:rPr>
          <w:spacing w:val="-66"/>
        </w:rPr>
      </w:r>
      <w:r>
        <w:rPr/>
        <w:t>入平稳较快增长的前提下，抢占电子支付市场未来发展的主动权。</w:t>
      </w:r>
    </w:p>
    <w:p>
      <w:pPr>
        <w:pStyle w:val="BodyText"/>
        <w:spacing w:line="316" w:lineRule="auto" w:before="19"/>
        <w:ind w:left="574" w:right="210"/>
        <w:jc w:val="left"/>
      </w:pPr>
      <w:r>
        <w:rPr/>
        <w:t>3）加大基于移动互联网的电子支付技术运营模式的探索，探索基于移动互联网的自有核心业务生态圈 公司将继续加大基于移动互联网的电子支付技术运营模式的探索，围绕电子支付技术服务的核心业务，构建自有核心</w:t>
      </w:r>
    </w:p>
    <w:p>
      <w:pPr>
        <w:pStyle w:val="BodyText"/>
        <w:spacing w:line="316" w:lineRule="auto" w:before="19"/>
        <w:ind w:left="574" w:right="210" w:hanging="420"/>
        <w:jc w:val="left"/>
      </w:pPr>
      <w:r>
        <w:rPr/>
        <w:t>业务生态圈，建设平台型、多业务领域互相支撑的业务体系。 公司已经开始着手征信牌照申请工作，将结合电子支付技术服务，以征信业务为手段，促进公司电子支付技术运营模</w:t>
      </w:r>
    </w:p>
    <w:p>
      <w:pPr>
        <w:pStyle w:val="BodyText"/>
        <w:spacing w:line="316" w:lineRule="auto" w:before="19"/>
        <w:ind w:left="574" w:right="5130" w:hanging="420"/>
        <w:jc w:val="left"/>
      </w:pPr>
      <w:r>
        <w:rPr/>
        <w:t>式的完善和发展，有利于公司建设自有核心业务生态系统。 4）进一步提高公司管理水平，打造平台型公司</w:t>
      </w:r>
    </w:p>
    <w:p>
      <w:pPr>
        <w:pStyle w:val="BodyText"/>
        <w:spacing w:line="316" w:lineRule="auto" w:before="19"/>
        <w:ind w:right="228" w:firstLine="420"/>
        <w:jc w:val="both"/>
      </w:pPr>
      <w:r>
        <w:rPr/>
        <w:t>为了支撑公司的未来战略发展，使上市公司充分发挥其资本优势，公司将在2015年尝试引入市值管理战略，通过将业 务发展与市值发展有机结合，促进公司战略转型，使公司成为具备管理输出能力、专业投融资管理能力的平台型公司。</w:t>
      </w:r>
    </w:p>
    <w:p>
      <w:pPr>
        <w:pStyle w:val="BodyText"/>
        <w:spacing w:line="316" w:lineRule="auto" w:before="19"/>
        <w:ind w:right="189" w:firstLine="420"/>
        <w:jc w:val="both"/>
      </w:pPr>
      <w:r>
        <w:rPr>
          <w:spacing w:val="-1"/>
        </w:rPr>
        <w:t>2015年，公司将在继IBM、德勤等咨询管理服务项目后，继续投入预算资金，聘请专业管理咨询机构，重点对公司的中</w:t>
      </w:r>
      <w:r>
        <w:rPr/>
        <w:t> </w:t>
      </w:r>
      <w:r>
        <w:rPr>
          <w:spacing w:val="-2"/>
        </w:rPr>
        <w:t>高层管理团队开展基于业务管理能力、团队领导能力等方面的管理咨询服务；公司还将加强内部风控体系的建设，围绕财务</w:t>
      </w:r>
      <w:r>
        <w:rPr>
          <w:spacing w:val="-66"/>
        </w:rPr>
        <w:t> </w:t>
      </w:r>
      <w:r>
        <w:rPr>
          <w:spacing w:val="-66"/>
        </w:rPr>
      </w:r>
      <w:r>
        <w:rPr>
          <w:spacing w:val="-2"/>
        </w:rPr>
        <w:t>风险管理、法务风险管理、审计管理等三大核心风控模块，进一步完善公司内控制度体系建设，为提升公司资产管理水平与</w:t>
      </w:r>
      <w:r>
        <w:rPr>
          <w:spacing w:val="-66"/>
        </w:rPr>
        <w:t> </w:t>
      </w:r>
      <w:r>
        <w:rPr>
          <w:spacing w:val="-66"/>
        </w:rPr>
      </w:r>
      <w:r>
        <w:rPr/>
        <w:t>能力打下管理基础。</w:t>
      </w:r>
    </w:p>
    <w:p>
      <w:pPr>
        <w:pStyle w:val="BodyText"/>
        <w:spacing w:line="240" w:lineRule="auto" w:before="19"/>
        <w:ind w:left="574" w:right="660"/>
        <w:jc w:val="left"/>
      </w:pPr>
      <w:r>
        <w:rPr/>
        <w:t>5）加强品牌体系建设</w:t>
      </w:r>
    </w:p>
    <w:p>
      <w:pPr>
        <w:pStyle w:val="BodyText"/>
        <w:spacing w:line="316" w:lineRule="auto" w:before="76"/>
        <w:ind w:right="228" w:firstLine="420"/>
        <w:jc w:val="both"/>
      </w:pPr>
      <w:r>
        <w:rPr/>
        <w:t>2015年，公司将加强品牌体系建设工作，根据公司的业务发展需要，理顺现有品牌关系，建设多品牌并行不悖的品牌 管理体系。</w:t>
      </w:r>
    </w:p>
    <w:p>
      <w:pPr>
        <w:pStyle w:val="BodyText"/>
        <w:spacing w:line="316" w:lineRule="auto" w:before="19"/>
        <w:ind w:right="189" w:firstLine="420"/>
        <w:jc w:val="both"/>
      </w:pPr>
      <w:r>
        <w:rPr/>
        <w:t>通过重新打造自有媒体平台，结合社会媒体的宣传推广，更精准、更充分的描述公司业务模式、产品情况和战略发展 </w:t>
      </w:r>
      <w:r>
        <w:rPr>
          <w:spacing w:val="-2"/>
        </w:rPr>
        <w:t>思路，切实提升公众对上市公司的了解和认同，树立清晰的上市公司品牌形象；进一步加强与投资者的沟通与交流工作，有</w:t>
      </w:r>
      <w:r>
        <w:rPr>
          <w:spacing w:val="-66"/>
        </w:rPr>
        <w:t> </w:t>
      </w:r>
      <w:r>
        <w:rPr>
          <w:spacing w:val="-66"/>
        </w:rPr>
      </w:r>
      <w:r>
        <w:rPr/>
        <w:t>效提升公司投资者关系工作质量。</w:t>
      </w:r>
    </w:p>
    <w:p>
      <w:pPr>
        <w:pStyle w:val="BodyText"/>
        <w:spacing w:line="316" w:lineRule="auto" w:before="19"/>
        <w:ind w:left="574" w:right="660"/>
        <w:jc w:val="left"/>
      </w:pPr>
      <w:r>
        <w:rPr/>
        <w:t>（3）对公司未来的发展战略及经营计划的实现产生不利影响的风险因素分析 1）个人征信牌照存在无法正常申请获得的重大风险，导致公司可能无法按照现有战略设想完成商业模式的落地</w:t>
      </w:r>
    </w:p>
    <w:p>
      <w:pPr>
        <w:pStyle w:val="BodyText"/>
        <w:spacing w:line="316" w:lineRule="auto" w:before="19"/>
        <w:ind w:right="198" w:firstLine="420"/>
        <w:jc w:val="both"/>
      </w:pPr>
      <w:r>
        <w:rPr/>
        <w:t>2015年1月5日，中国人民银行已经公示芝麻信用、腾讯征信、拉卡拉信用、深圳前海征信中心、鹏元征信、中诚信、 中智诚征信及北京华道征信等八家企业做好开展个人征信工作的准备，准备期间为6个月。尽管该八家机构其个人征信牌照 已经公示，但其个人征信业务仍处于准备期。</w:t>
      </w:r>
    </w:p>
    <w:p>
      <w:pPr>
        <w:pStyle w:val="BodyText"/>
        <w:spacing w:line="316" w:lineRule="auto" w:before="19"/>
        <w:ind w:right="189" w:firstLine="420"/>
        <w:jc w:val="both"/>
      </w:pPr>
      <w:r>
        <w:rPr>
          <w:spacing w:val="-1"/>
        </w:rPr>
        <w:t>2015年1月27日，公司已经公告成立全资征信子公司，负责个人征信牌照的申请工作，并按照公司的战略安排，探索个</w:t>
      </w:r>
      <w:r>
        <w:rPr/>
        <w:t> </w:t>
      </w:r>
      <w:r>
        <w:rPr>
          <w:spacing w:val="-2"/>
        </w:rPr>
        <w:t>人征信业务商业模式，将个人征信业务与支付大数据相结合，协助客户设计新的风险评估模型、金融服务产品，协助客户将</w:t>
      </w:r>
      <w:r>
        <w:rPr>
          <w:spacing w:val="-66"/>
        </w:rPr>
        <w:t> </w:t>
      </w:r>
      <w:r>
        <w:rPr>
          <w:spacing w:val="-66"/>
        </w:rPr>
      </w:r>
      <w:r>
        <w:rPr>
          <w:spacing w:val="-2"/>
        </w:rPr>
        <w:t>互联网金融服务业务落地。尽管目前公司正在积极推进个人征信牌照申请工作，但公司最终是否能够成功申请到个人征信牌</w:t>
      </w:r>
      <w:r>
        <w:rPr>
          <w:spacing w:val="-64"/>
        </w:rPr>
        <w:t> </w:t>
      </w:r>
      <w:r>
        <w:rPr>
          <w:spacing w:val="-64"/>
        </w:rPr>
      </w:r>
      <w:r>
        <w:rPr/>
        <w:t>照，并按照预计的商业模式开展业务，存在重大不确定性风险。</w:t>
      </w:r>
    </w:p>
    <w:p>
      <w:pPr>
        <w:pStyle w:val="BodyText"/>
        <w:spacing w:line="240" w:lineRule="auto" w:before="19"/>
        <w:ind w:left="574" w:right="660"/>
        <w:jc w:val="left"/>
      </w:pPr>
      <w:r>
        <w:rPr/>
        <w:t>2）应收账款回收风险</w:t>
      </w:r>
    </w:p>
    <w:p>
      <w:pPr>
        <w:pStyle w:val="BodyText"/>
        <w:spacing w:line="316" w:lineRule="auto" w:before="76"/>
        <w:ind w:right="108" w:firstLine="420"/>
        <w:jc w:val="both"/>
      </w:pPr>
      <w:r>
        <w:rPr/>
        <w:t>2014年，公司应收账款总额为人民币31,918.80万元，相比去年同期增长61.72%，其中，第三方支付客户的应收账款为 人民币7,668.59万元，占公司总应收账款的24.03%。第三方客户的的资金实力参差不齐，该部分的应收账款回收风险较高。</w:t>
      </w:r>
    </w:p>
    <w:p>
      <w:pPr>
        <w:pStyle w:val="BodyText"/>
        <w:spacing w:line="316" w:lineRule="auto" w:before="19"/>
        <w:ind w:right="188" w:firstLine="420"/>
        <w:jc w:val="both"/>
      </w:pPr>
      <w:r>
        <w:rPr>
          <w:spacing w:val="-1"/>
        </w:rPr>
        <w:t>针对该风险，公司已按照会计准则的要求，计提了坏账准备，计提比例为6.29%。此外，在2015年，公司将进一步加强</w:t>
      </w:r>
      <w:r>
        <w:rPr/>
        <w:t> </w:t>
      </w:r>
      <w:r>
        <w:rPr>
          <w:spacing w:val="-2"/>
        </w:rPr>
        <w:t>落实客户信用风险管控制度，调整业务部门销售提成考核指标，将货款的回收作为计提业务奖金的重要依据之一，以加强应</w:t>
      </w:r>
      <w:r>
        <w:rPr>
          <w:spacing w:val="-66"/>
        </w:rPr>
        <w:t> </w:t>
      </w:r>
      <w:r>
        <w:rPr>
          <w:spacing w:val="-66"/>
        </w:rPr>
      </w:r>
      <w:r>
        <w:rPr/>
        <w:t>收账款风险的催收和管理工作，提升公司业务资金回款速度，缓解主营业务的资金需求压力。</w:t>
      </w:r>
    </w:p>
    <w:p>
      <w:pPr>
        <w:spacing w:after="0" w:line="316" w:lineRule="auto"/>
        <w:jc w:val="both"/>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6" w:lineRule="auto"/>
        <w:ind w:left="574" w:right="210"/>
        <w:jc w:val="left"/>
      </w:pPr>
      <w:r>
        <w:rPr/>
        <w:t>3）无法把握移动互联网的发展趋势，产品、技术和服务等不能满足市场需求的风险 公司已经积极开展基于移动互联网的产品、技术和服务的创新探索，但由于电子支付行业的复杂性，线下电子支付业</w:t>
      </w:r>
    </w:p>
    <w:p>
      <w:pPr>
        <w:pStyle w:val="BodyText"/>
        <w:spacing w:line="316" w:lineRule="auto" w:before="19"/>
        <w:ind w:right="198"/>
        <w:jc w:val="both"/>
      </w:pPr>
      <w:r>
        <w:rPr/>
        <w:t>务产品和服务运营仍属于国内全新的业务领域，业内暂未有成功案例,仍需要公司进行不断的探讨和研究。另一方面，移动 互联网的发展趋势虽已日益明晰，但具体的实现路径仍然存在诸多不清楚的地方。</w:t>
      </w:r>
    </w:p>
    <w:p>
      <w:pPr>
        <w:pStyle w:val="BodyText"/>
        <w:spacing w:line="316" w:lineRule="auto" w:before="19"/>
        <w:ind w:right="108" w:firstLine="420"/>
        <w:jc w:val="both"/>
      </w:pPr>
      <w:r>
        <w:rPr/>
        <w:t>公司现有高级管理层人员均未有从事基于移动互联网的业务运营经验，有可能出现对移动互联网的业务判断失误的风 险，从而导致公司的产品、技术、服务不能满足市场需求的风险，进而影响公司的战略落地，影响公司未来的综合竞争力。</w:t>
      </w:r>
    </w:p>
    <w:p>
      <w:pPr>
        <w:pStyle w:val="BodyText"/>
        <w:spacing w:line="316" w:lineRule="auto" w:before="19"/>
        <w:ind w:right="228" w:firstLine="420"/>
        <w:jc w:val="both"/>
      </w:pPr>
      <w:r>
        <w:rPr/>
        <w:t>针对该风险，公司将采取积极引进高端人才的策略，尤其是引进有过成功的基于移动互联网运营、产品和技术开发的 高端人才，以提高公司对未来业务的把握能力。</w:t>
      </w:r>
    </w:p>
    <w:p>
      <w:pPr>
        <w:pStyle w:val="BodyText"/>
        <w:spacing w:line="240" w:lineRule="auto" w:before="19"/>
        <w:ind w:left="574" w:right="660"/>
        <w:jc w:val="left"/>
      </w:pPr>
      <w:r>
        <w:rPr/>
        <w:t>4）海外市场开拓低于预期的风险</w:t>
      </w:r>
    </w:p>
    <w:p>
      <w:pPr>
        <w:pStyle w:val="BodyText"/>
        <w:spacing w:line="316" w:lineRule="auto" w:before="76"/>
        <w:ind w:right="189" w:firstLine="420"/>
        <w:jc w:val="both"/>
      </w:pPr>
      <w:r>
        <w:rPr/>
        <w:t>2014年，公司海外市场订单取得长足的进展，2015年，公司将进一步加大国际市场的拓展力度，逐步完善海外售后服 </w:t>
      </w:r>
      <w:r>
        <w:rPr>
          <w:spacing w:val="-2"/>
        </w:rPr>
        <w:t>务体系。尽管海外市场发展空间巨大，但受到国际政治局势、经济发展不平衡等因素影响，导致公司国外市场开拓的不确定</w:t>
      </w:r>
      <w:r>
        <w:rPr>
          <w:spacing w:val="-66"/>
        </w:rPr>
        <w:t> </w:t>
      </w:r>
      <w:r>
        <w:rPr>
          <w:spacing w:val="-66"/>
        </w:rPr>
      </w:r>
      <w:r>
        <w:rPr/>
        <w:t>因素增加。</w:t>
      </w:r>
    </w:p>
    <w:p>
      <w:pPr>
        <w:pStyle w:val="BodyText"/>
        <w:spacing w:line="316" w:lineRule="auto" w:before="19"/>
        <w:ind w:right="228" w:firstLine="420"/>
        <w:jc w:val="both"/>
      </w:pPr>
      <w:r>
        <w:rPr/>
        <w:t>针对该风险，公司将对已经出批量订单的市场区域继续加大力度深耕，争取把当地市场工作做得更扎实，加大品牌宣 传力度，重点提高订单覆盖区域售后服务水平，以点带面，降低国外市场开拓失败的风险。</w:t>
      </w:r>
    </w:p>
    <w:p>
      <w:pPr>
        <w:pStyle w:val="BodyText"/>
        <w:spacing w:line="316" w:lineRule="auto" w:before="19"/>
        <w:ind w:left="574" w:right="210"/>
        <w:jc w:val="left"/>
      </w:pPr>
      <w:r>
        <w:rPr/>
        <w:t>5）管理团队不能适应公司发展需求的风险 公司未来的战略规划和业务发展将主要围绕移动互联网领域开展，但公司现有中高层管理人员、员工团队并不具备移</w:t>
      </w:r>
    </w:p>
    <w:p>
      <w:pPr>
        <w:pStyle w:val="BodyText"/>
        <w:spacing w:line="316" w:lineRule="auto" w:before="19"/>
        <w:ind w:right="189"/>
        <w:jc w:val="both"/>
      </w:pPr>
      <w:r>
        <w:rPr>
          <w:spacing w:val="-2"/>
        </w:rPr>
        <w:t>动互联网业务经验，不能很好的适应公司未来发展需求。人才是公司未来战略实施的核心要素，因此，公司如果不能加大互</w:t>
      </w:r>
      <w:r>
        <w:rPr>
          <w:spacing w:val="-66"/>
        </w:rPr>
        <w:t> </w:t>
      </w:r>
      <w:r>
        <w:rPr>
          <w:spacing w:val="-66"/>
        </w:rPr>
      </w:r>
      <w:r>
        <w:rPr/>
        <w:t>联网业务和管理人才的引进力度，则有可能导致公司战略转型的失败。</w:t>
      </w:r>
    </w:p>
    <w:p>
      <w:pPr>
        <w:pStyle w:val="BodyText"/>
        <w:spacing w:line="316" w:lineRule="auto" w:before="19"/>
        <w:ind w:right="91" w:firstLine="420"/>
        <w:jc w:val="left"/>
      </w:pPr>
      <w:r>
        <w:rPr>
          <w:spacing w:val="-2"/>
        </w:rPr>
        <w:t>针对该风险，公司已经开始根据业务需求，有意识的进行人才结构优化工作，调整岗位，裁汰冗员，并通过主动收购，</w:t>
      </w:r>
      <w:r>
        <w:rPr/>
        <w:t> 吸收优秀的互联网业务团队加入，逐步为公司的管理团队引入互联网业务经营人才队伍。 </w:t>
      </w:r>
      <w:r>
        <w:rPr>
          <w:rFonts w:ascii="Times New Roman" w:hAnsi="Times New Roman" w:cs="Times New Roman" w:eastAsia="Times New Roman" w:hint="default"/>
        </w:rPr>
        <w:t>4</w:t>
      </w:r>
      <w:r>
        <w:rPr/>
        <w:t>、管理层所关注的发展机遇和挑战</w:t>
      </w:r>
    </w:p>
    <w:p>
      <w:pPr>
        <w:pStyle w:val="BodyText"/>
        <w:spacing w:line="316" w:lineRule="auto" w:before="0"/>
        <w:ind w:left="574" w:right="172"/>
        <w:jc w:val="left"/>
      </w:pPr>
      <w:r>
        <w:rPr/>
        <w:t>（1）机遇 </w:t>
      </w:r>
      <w:r>
        <w:rPr>
          <w:spacing w:val="-1"/>
        </w:rPr>
        <w:t>1）随着移动互联网在我国的快速发展，信息化浪潮已经开始冲击我国经济领域的各行各业，我国社会生活正在不断的</w:t>
      </w:r>
    </w:p>
    <w:p>
      <w:pPr>
        <w:pStyle w:val="BodyText"/>
        <w:spacing w:line="316" w:lineRule="auto" w:before="19"/>
        <w:ind w:right="191"/>
        <w:jc w:val="both"/>
      </w:pPr>
      <w:r>
        <w:rPr>
          <w:spacing w:val="-2"/>
        </w:rPr>
        <w:t>被移动互联网进行深入的改造。电子支付作为移动互联网时代下，经济活动中最核心的环节，在经济活动和商业生态圈里开</w:t>
      </w:r>
      <w:r>
        <w:rPr>
          <w:spacing w:val="-66"/>
        </w:rPr>
        <w:t> </w:t>
      </w:r>
      <w:r>
        <w:rPr>
          <w:spacing w:val="-66"/>
        </w:rPr>
      </w:r>
      <w:r>
        <w:rPr/>
        <w:t>始扮演越来越重要的角色，它将成为O2O线上线下无缝对接的商业模式的核心一环，电子支付受理终端设备日益成为线上线 下企业大力抢占的商业大数据运营端口。</w:t>
      </w:r>
    </w:p>
    <w:p>
      <w:pPr>
        <w:pStyle w:val="BodyText"/>
        <w:spacing w:line="316" w:lineRule="auto" w:before="19"/>
        <w:ind w:right="138" w:firstLine="420"/>
        <w:jc w:val="both"/>
      </w:pPr>
      <w:r>
        <w:rPr/>
        <w:t>2）电子支付受理终端市场作为交易数据的交换设备，天然与商户日常经营活动有着密切的关联性，交易数据的沉淀， </w:t>
      </w:r>
      <w:r>
        <w:rPr>
          <w:spacing w:val="-2"/>
        </w:rPr>
        <w:t>可以有效提高商户经营风险的识别度，并且电子支付直接处理的是商户资金业务，是的电子支付受理终端设备及其后台软件</w:t>
      </w:r>
      <w:r>
        <w:rPr>
          <w:spacing w:val="-64"/>
        </w:rPr>
        <w:t> </w:t>
      </w:r>
      <w:r>
        <w:rPr>
          <w:spacing w:val="-64"/>
        </w:rPr>
      </w:r>
      <w:r>
        <w:rPr/>
        <w:t>与金融业务存在着天然的关联性，进而为促进我国金融服务改革提供IT技术上的变革力量。</w:t>
      </w:r>
    </w:p>
    <w:p>
      <w:pPr>
        <w:pStyle w:val="BodyText"/>
        <w:spacing w:line="316" w:lineRule="auto" w:before="19"/>
        <w:ind w:right="228" w:firstLine="420"/>
        <w:jc w:val="both"/>
      </w:pPr>
      <w:r>
        <w:rPr/>
        <w:t>3）根据WTO规定，我国电子支付行业将在2015年迎来对外开放的契机，海外银行卡组织将开始陆续登陆国内电子支付 市场，他们将对我国电子支付市场带来新的主体和机会。</w:t>
      </w:r>
    </w:p>
    <w:p>
      <w:pPr>
        <w:pStyle w:val="BodyText"/>
        <w:spacing w:line="316" w:lineRule="auto" w:before="19"/>
        <w:ind w:right="101" w:firstLine="420"/>
        <w:jc w:val="both"/>
      </w:pPr>
      <w:r>
        <w:rPr/>
        <w:t>4）物联网技术、互联网技术、生物识别技术和智能设备的快速发展，将对电子支付技术、产品进行重大变革，电子支 </w:t>
      </w:r>
      <w:r>
        <w:rPr>
          <w:spacing w:val="-2"/>
        </w:rPr>
        <w:t>付受理终端设备的智能化、联网化成为必然趋势，新产品的更新换代需求持续旺盛。电子支付收单服务模式面临着改造与革</w:t>
      </w:r>
      <w:r>
        <w:rPr>
          <w:spacing w:val="-66"/>
        </w:rPr>
        <w:t> </w:t>
      </w:r>
      <w:r>
        <w:rPr>
          <w:spacing w:val="-66"/>
        </w:rPr>
      </w:r>
      <w:r>
        <w:rPr>
          <w:spacing w:val="-4"/>
        </w:rPr>
        <w:t>新，以降低运营成本、提高服务效率为核心的设备、技术改造与升级，将逐步打破行业内格局，为公司带来良好的发展机遇。</w:t>
      </w:r>
    </w:p>
    <w:p>
      <w:pPr>
        <w:pStyle w:val="BodyText"/>
        <w:spacing w:line="316" w:lineRule="auto" w:before="19"/>
        <w:ind w:left="574" w:right="6780"/>
        <w:jc w:val="left"/>
      </w:pPr>
      <w:r>
        <w:rPr/>
        <w:t>（2）挑战 1）市场价格竞争更加激烈的挑战</w:t>
      </w:r>
    </w:p>
    <w:p>
      <w:pPr>
        <w:pStyle w:val="BodyText"/>
        <w:spacing w:line="316" w:lineRule="auto" w:before="19"/>
        <w:ind w:right="189" w:firstLine="420"/>
        <w:jc w:val="both"/>
      </w:pPr>
      <w:r>
        <w:rPr/>
        <w:t>随着我国信息化浪潮的兴起，移动互联网的发展为电子支付服务市场带来了全新的发展机遇，互联网巨头们纷纷将电 </w:t>
      </w:r>
      <w:r>
        <w:rPr>
          <w:spacing w:val="-2"/>
        </w:rPr>
        <w:t>子支付作为其核心业务环节，大肆争夺移动互联网时代的另一个数据入口。这为电子支付受理终端设备厂商带来新的市场采</w:t>
      </w:r>
      <w:r>
        <w:rPr>
          <w:spacing w:val="-64"/>
        </w:rPr>
        <w:t> </w:t>
      </w:r>
      <w:r>
        <w:rPr>
          <w:spacing w:val="-64"/>
        </w:rPr>
      </w:r>
      <w:r>
        <w:rPr>
          <w:spacing w:val="-2"/>
        </w:rPr>
        <w:t>购机会，但另一方面，传统银行卡支付运营商的短期经营压力剧增，间接导致市场价格竞争更加激烈，给所有设备厂商带来</w:t>
      </w:r>
      <w:r>
        <w:rPr>
          <w:spacing w:val="-66"/>
        </w:rPr>
        <w:t> </w:t>
      </w:r>
      <w:r>
        <w:rPr>
          <w:spacing w:val="-66"/>
        </w:rPr>
      </w:r>
      <w:r>
        <w:rPr/>
        <w:t>经营业绩压力。</w:t>
      </w:r>
    </w:p>
    <w:p>
      <w:pPr>
        <w:pStyle w:val="BodyText"/>
        <w:spacing w:line="316" w:lineRule="auto" w:before="19"/>
        <w:ind w:right="228" w:firstLine="420"/>
        <w:jc w:val="both"/>
      </w:pPr>
      <w:r>
        <w:rPr/>
        <w:t>2015年，公司进一步加大对新技术、新产品的研发投入，加强预算管理，优化产品组合，力争稳定公司盈利能力。同 时，积极营造围绕电子支付技术为核心的商业生态圈，为公司的长期、持续、稳健经营打下坚实基础。</w:t>
      </w:r>
    </w:p>
    <w:p>
      <w:pPr>
        <w:pStyle w:val="BodyText"/>
        <w:spacing w:line="316" w:lineRule="auto" w:before="19"/>
        <w:ind w:left="574" w:right="210"/>
        <w:jc w:val="left"/>
      </w:pPr>
      <w:r>
        <w:rPr/>
        <w:t>2）公司管理架构不能适应公司业务发展的挑战 公司现有管理架构的建设主要是深度结合电子支付终端设备生产业务发展起来的，其管理思维、管理体系都有着传统</w:t>
      </w:r>
    </w:p>
    <w:p>
      <w:pPr>
        <w:spacing w:after="0" w:line="316"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6" w:lineRule="auto"/>
        <w:ind w:left="153" w:right="91"/>
        <w:jc w:val="left"/>
      </w:pPr>
      <w:r>
        <w:rPr>
          <w:spacing w:val="-2"/>
        </w:rPr>
        <w:t>制造业企业的深刻烙印。随着公司新的业务模式逐步建立，公司现有管理架构必须进行调整，加大职能机构、风控机构的建</w:t>
      </w:r>
      <w:r>
        <w:rPr>
          <w:spacing w:val="-66"/>
        </w:rPr>
        <w:t> </w:t>
      </w:r>
      <w:r>
        <w:rPr>
          <w:spacing w:val="-66"/>
        </w:rPr>
      </w:r>
      <w:r>
        <w:rPr/>
        <w:t>设，尽快使公司具备对外输出管理能力的能力。</w:t>
      </w:r>
    </w:p>
    <w:p>
      <w:pPr>
        <w:pStyle w:val="BodyText"/>
        <w:spacing w:line="316" w:lineRule="auto" w:before="19"/>
        <w:ind w:left="153" w:right="188" w:firstLine="420"/>
        <w:jc w:val="both"/>
      </w:pPr>
      <w:r>
        <w:rPr/>
        <w:t>2015年，公司将在专业管理咨询机构的辅助下，加强以财务管理、法务管理和审计管理为核心的内部风险控制体系建 </w:t>
      </w:r>
      <w:r>
        <w:rPr>
          <w:spacing w:val="-2"/>
        </w:rPr>
        <w:t>设，加大对外输出管理能力的建设，优化组织结构，以企业IT建设为手段，提高公司管理信息化水平，打造协同高效、科学</w:t>
      </w:r>
      <w:r>
        <w:rPr>
          <w:spacing w:val="-66"/>
        </w:rPr>
        <w:t> </w:t>
      </w:r>
      <w:r>
        <w:rPr>
          <w:spacing w:val="-66"/>
        </w:rPr>
      </w:r>
      <w:r>
        <w:rPr/>
        <w:t>精确、风险可控的管理体系，全面提升公司的综合管理能力。</w:t>
      </w:r>
    </w:p>
    <w:p>
      <w:pPr>
        <w:pStyle w:val="BodyText"/>
        <w:spacing w:line="316" w:lineRule="auto" w:before="19"/>
        <w:ind w:left="573" w:right="211"/>
        <w:jc w:val="left"/>
      </w:pPr>
      <w:r>
        <w:rPr/>
        <w:t>3）对高端人才的持续需求 在行业发展形势一片大好的情况下，公司急需了解业务、精通管理的中高端人才加入，加速公司业务的发展，而市场</w:t>
      </w:r>
    </w:p>
    <w:p>
      <w:pPr>
        <w:pStyle w:val="BodyText"/>
        <w:spacing w:line="316" w:lineRule="auto" w:before="19"/>
        <w:ind w:left="153" w:right="91"/>
        <w:jc w:val="left"/>
      </w:pPr>
      <w:r>
        <w:rPr>
          <w:spacing w:val="-2"/>
        </w:rPr>
        <w:t>上人才的竞争日益激烈，综合素质高的关键性人才资源更是稀缺，已经成为是制约公司市场创新、产品和技术创新、管理创</w:t>
      </w:r>
      <w:r>
        <w:rPr>
          <w:spacing w:val="-66"/>
        </w:rPr>
        <w:t> </w:t>
      </w:r>
      <w:r>
        <w:rPr>
          <w:spacing w:val="-66"/>
        </w:rPr>
      </w:r>
      <w:r>
        <w:rPr/>
        <w:t>新的关键性因素。</w:t>
      </w:r>
    </w:p>
    <w:p>
      <w:pPr>
        <w:pStyle w:val="BodyText"/>
        <w:spacing w:line="316" w:lineRule="auto" w:before="19"/>
        <w:ind w:left="573" w:right="211"/>
        <w:jc w:val="left"/>
      </w:pPr>
      <w:r>
        <w:rPr/>
        <w:t>4）市场环境快速变化的情况下，公司要稳中求变 我国电子支付收单市场正在经历着巨大的变更时期，机遇与风险并存，市场参与主体越来越丰富，监管日益完善，市</w:t>
      </w:r>
    </w:p>
    <w:p>
      <w:pPr>
        <w:pStyle w:val="BodyText"/>
        <w:spacing w:line="316" w:lineRule="auto" w:before="19"/>
        <w:ind w:left="153" w:right="188"/>
        <w:jc w:val="both"/>
      </w:pPr>
      <w:r>
        <w:rPr>
          <w:spacing w:val="-2"/>
        </w:rPr>
        <w:t>场环境瞬息万变，公司面临着很多机会和选择。在这种情况下，一方面，公司将积极应对新的市场变化，另一方面，公司更</w:t>
      </w:r>
      <w:r>
        <w:rPr>
          <w:spacing w:val="-68"/>
        </w:rPr>
        <w:t> </w:t>
      </w:r>
      <w:r>
        <w:rPr>
          <w:spacing w:val="-68"/>
        </w:rPr>
      </w:r>
      <w:r>
        <w:rPr>
          <w:spacing w:val="-2"/>
        </w:rPr>
        <w:t>需要发挥公司在电子支付领域现有的优势和长处，稳中求变，寻找多赢的商业模式，维持公司持续、健康发展，为公司持续</w:t>
      </w:r>
      <w:r>
        <w:rPr>
          <w:spacing w:val="-66"/>
        </w:rPr>
        <w:t> </w:t>
      </w:r>
      <w:r>
        <w:rPr>
          <w:spacing w:val="-66"/>
        </w:rPr>
      </w:r>
      <w:r>
        <w:rPr/>
        <w:t>赢得稳固的市场地位。</w:t>
      </w:r>
    </w:p>
    <w:p>
      <w:pPr>
        <w:pStyle w:val="BodyText"/>
        <w:spacing w:line="316" w:lineRule="auto" w:before="19"/>
        <w:ind w:left="573" w:right="180"/>
        <w:jc w:val="left"/>
      </w:pPr>
      <w:r>
        <w:rPr/>
        <w:t>5、公司未来发展战略规划所需资金需求和使用计划 </w:t>
      </w:r>
      <w:r>
        <w:rPr>
          <w:spacing w:val="-1"/>
        </w:rPr>
        <w:t>公司首次公开发行A股后募集资金净额646,334,934.33元，公司将严格按照中国证监会和深交所各项规定管好和用好募</w:t>
      </w:r>
    </w:p>
    <w:p>
      <w:pPr>
        <w:pStyle w:val="BodyText"/>
        <w:spacing w:line="316" w:lineRule="auto" w:before="19"/>
        <w:ind w:left="573" w:right="91" w:hanging="420"/>
        <w:jc w:val="left"/>
      </w:pPr>
      <w:r>
        <w:rPr>
          <w:spacing w:val="-4"/>
        </w:rPr>
        <w:t>集资金、超募资金，严格执行审批程序，积极推进募投项目建设和制订并实施超募资金使用方案，努力提高资金的使用效率。</w:t>
      </w:r>
      <w:r>
        <w:rPr>
          <w:spacing w:val="-46"/>
        </w:rPr>
        <w:t> </w:t>
      </w:r>
      <w:r>
        <w:rPr>
          <w:spacing w:val="-46"/>
        </w:rPr>
      </w:r>
      <w:r>
        <w:rPr/>
        <w:t>公司将根据实际业务需求，合理安排自有资金，适时开展再融资业务，确保公司未来发展资金需求，为公司的长远发</w:t>
      </w:r>
    </w:p>
    <w:p>
      <w:pPr>
        <w:pStyle w:val="BodyText"/>
        <w:spacing w:line="240" w:lineRule="auto" w:before="19"/>
        <w:ind w:left="153" w:right="660"/>
        <w:jc w:val="left"/>
      </w:pPr>
      <w:r>
        <w:rPr/>
        <w:t>展奠定基础，为股东创造最大效益。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3"/>
          <w:szCs w:val="13"/>
        </w:rPr>
      </w:pPr>
    </w:p>
    <w:p>
      <w:pPr>
        <w:pStyle w:val="Heading2"/>
        <w:spacing w:line="240" w:lineRule="auto"/>
        <w:ind w:right="660"/>
        <w:jc w:val="left"/>
        <w:rPr>
          <w:b w:val="0"/>
          <w:bCs w:val="0"/>
        </w:rPr>
      </w:pPr>
      <w:r>
        <w:rPr/>
        <w:t>三、董事会、监事会对会计师事务所本报告期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before="0"/>
        <w:ind w:right="6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660"/>
        <w:jc w:val="left"/>
        <w:rPr>
          <w:b w:val="0"/>
          <w:bCs w:val="0"/>
        </w:rPr>
      </w:pPr>
      <w:r>
        <w:rPr/>
        <w:t>四、董事会关于报告期会计政策、会计估计变更或重要前期差错更正的说明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6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660"/>
        <w:jc w:val="left"/>
        <w:rPr>
          <w:b w:val="0"/>
          <w:bCs w:val="0"/>
        </w:rPr>
      </w:pPr>
      <w:r>
        <w:rPr/>
        <w:t>五、公司利润分配及分红派息情况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660"/>
        <w:jc w:val="left"/>
      </w:pPr>
      <w:r>
        <w:rPr/>
        <w:t>报告期内利润分配政策特别是现金分红政策的制定、执行或调整情况</w:t>
      </w:r>
    </w:p>
    <w:p>
      <w:pPr>
        <w:pStyle w:val="BodyText"/>
        <w:spacing w:line="319" w:lineRule="auto" w:before="117"/>
        <w:ind w:right="1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一、</w:t>
      </w:r>
      <w:r>
        <w:rPr>
          <w:rFonts w:ascii="Times New Roman" w:hAnsi="Times New Roman" w:cs="Times New Roman" w:eastAsia="Times New Roman" w:hint="default"/>
          <w:spacing w:val="-2"/>
        </w:rPr>
        <w:t>2012</w:t>
      </w:r>
      <w:r>
        <w:rPr>
          <w:spacing w:val="-2"/>
        </w:rPr>
        <w:t>年，公司根据深圳证监局相关要求，制定了公司关于贯彻落实现金分红有关事项的工作方案，明确每年以现金方式</w:t>
      </w:r>
      <w:r>
        <w:rPr>
          <w:spacing w:val="-62"/>
        </w:rPr>
        <w:t> </w:t>
      </w:r>
      <w:r>
        <w:rPr>
          <w:spacing w:val="-62"/>
        </w:rPr>
      </w:r>
      <w:r>
        <w:rPr/>
        <w:t>分配利润的比例，形成了公司利润分配政策及未来三年股东回报规划（</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-2014</w:t>
      </w:r>
      <w:r>
        <w:rPr/>
        <w:t>年）。 </w:t>
      </w:r>
      <w:r>
        <w:rPr>
          <w:spacing w:val="-2"/>
        </w:rPr>
        <w:t>公司应实施积极的利润分配政策，利润分配政策保持连续性和稳定性，最近三年以现金方式累计分配的利润不少于最近三年</w:t>
      </w:r>
      <w:r>
        <w:rPr>
          <w:spacing w:val="-64"/>
        </w:rPr>
        <w:t> </w:t>
      </w:r>
      <w:r>
        <w:rPr>
          <w:spacing w:val="-64"/>
        </w:rPr>
      </w:r>
      <w:r>
        <w:rPr>
          <w:spacing w:val="-2"/>
        </w:rPr>
        <w:t>实现的年均可分配利润的百分之三十；在有条件的情况下，公司可以进行中期现金分红。公司应保持利润分配政策的连续性</w:t>
      </w:r>
      <w:r>
        <w:rPr>
          <w:spacing w:val="-66"/>
        </w:rPr>
        <w:t> </w:t>
      </w:r>
      <w:r>
        <w:rPr>
          <w:spacing w:val="-66"/>
        </w:rPr>
      </w:r>
      <w:r>
        <w:rPr/>
        <w:t>与稳定性，在满足现金分红的条件下，每年以现金方式分配的利润应不低于当年实现的可分配利润的</w:t>
      </w:r>
      <w:r>
        <w:rPr>
          <w:rFonts w:ascii="Times New Roman" w:hAnsi="Times New Roman" w:cs="Times New Roman" w:eastAsia="Times New Roman" w:hint="default"/>
        </w:rPr>
        <w:t>10%</w:t>
      </w:r>
      <w:r>
        <w:rPr/>
        <w:t>。 </w:t>
      </w:r>
      <w:r>
        <w:rPr>
          <w:spacing w:val="-2"/>
        </w:rPr>
        <w:t>二、</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5</w:t>
      </w:r>
      <w:r>
        <w:rPr>
          <w:spacing w:val="-2"/>
        </w:rPr>
        <w:t>日，公司召开</w:t>
      </w:r>
      <w:r>
        <w:rPr>
          <w:rFonts w:ascii="Times New Roman" w:hAnsi="Times New Roman" w:cs="Times New Roman" w:eastAsia="Times New Roman" w:hint="default"/>
          <w:spacing w:val="-2"/>
        </w:rPr>
        <w:t>2013</w:t>
      </w:r>
      <w:r>
        <w:rPr>
          <w:spacing w:val="-2"/>
        </w:rPr>
        <w:t>年年度股东大会审议通过</w:t>
      </w:r>
      <w:r>
        <w:rPr>
          <w:rFonts w:ascii="Times New Roman" w:hAnsi="Times New Roman" w:cs="Times New Roman" w:eastAsia="Times New Roman" w:hint="default"/>
          <w:spacing w:val="-2"/>
        </w:rPr>
        <w:t>2013</w:t>
      </w:r>
      <w:r>
        <w:rPr>
          <w:spacing w:val="-2"/>
        </w:rPr>
        <w:t>年度利润分配方案，公司以总股本</w:t>
      </w:r>
      <w:r>
        <w:rPr>
          <w:rFonts w:ascii="Times New Roman" w:hAnsi="Times New Roman" w:cs="Times New Roman" w:eastAsia="Times New Roman" w:hint="default"/>
          <w:spacing w:val="-2"/>
        </w:rPr>
        <w:t>114,300,000</w:t>
      </w:r>
      <w:r>
        <w:rPr>
          <w:spacing w:val="-2"/>
        </w:rPr>
        <w:t>股为基数，向</w:t>
      </w:r>
      <w:r>
        <w:rPr>
          <w:spacing w:val="-42"/>
        </w:rPr>
        <w:t> </w:t>
      </w:r>
      <w:r>
        <w:rPr>
          <w:spacing w:val="-42"/>
        </w:rPr>
      </w:r>
      <w:r>
        <w:rPr/>
        <w:t>全体股东每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1.00</w:t>
      </w:r>
      <w:r>
        <w:rPr/>
        <w:t>元（含税），共分配现金股利</w:t>
      </w:r>
      <w:r>
        <w:rPr>
          <w:rFonts w:ascii="Times New Roman" w:hAnsi="Times New Roman" w:cs="Times New Roman" w:eastAsia="Times New Roman" w:hint="default"/>
        </w:rPr>
        <w:t>11,430</w:t>
      </w:r>
      <w:r>
        <w:rPr/>
        <w:t>万元。</w:t>
      </w:r>
      <w:r>
        <w:rPr>
          <w:rFonts w:ascii="Times New Roman" w:hAnsi="Times New Roman" w:cs="Times New Roman" w:eastAsia="Times New Roman" w:hint="default"/>
        </w:rPr>
        <w:t>2013</w:t>
      </w:r>
      <w:r>
        <w:rPr/>
        <w:t>年度公司未进行资本公积金转增股</w:t>
      </w:r>
      <w:r>
        <w:rPr>
          <w:spacing w:val="-85"/>
        </w:rPr>
        <w:t> </w:t>
      </w:r>
      <w:r>
        <w:rPr>
          <w:spacing w:val="-85"/>
        </w:rPr>
      </w:r>
      <w:r>
        <w:rPr/>
        <w:t>本。上述方案已于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25</w:t>
      </w:r>
      <w:r>
        <w:rPr/>
        <w:t>日实施完毕。</w:t>
      </w:r>
    </w:p>
    <w:p>
      <w:pPr>
        <w:spacing w:line="240" w:lineRule="auto" w:before="3"/>
        <w:rPr>
          <w:rFonts w:ascii="宋体" w:hAnsi="宋体" w:cs="宋体" w:eastAsia="宋体" w:hint="default"/>
          <w:sz w:val="26"/>
          <w:szCs w:val="26"/>
        </w:rPr>
      </w:pPr>
    </w:p>
    <w:p>
      <w:pPr>
        <w:spacing w:line="402" w:lineRule="exact"/>
        <w:ind w:left="154"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478.4pt;height:20.1pt;mso-position-horizontal-relative:char;mso-position-vertical-relative:line" type="#_x0000_t202" filled="true" fillcolor="#d3d3d3" stroked="true" strokeweight=".47998pt" strokecolor="#000000">
            <w10:anchorlock/>
            <v:textbox inset="0,0,0,0">
              <w:txbxContent>
                <w:p>
                  <w:pPr>
                    <w:pStyle w:val="BodyText"/>
                    <w:spacing w:line="240" w:lineRule="auto" w:before="51"/>
                    <w:ind w:left="0" w:right="1"/>
                    <w:jc w:val="center"/>
                  </w:pPr>
                  <w:r>
                    <w:rPr/>
                    <w:t>现金分红政策的专项说明</w:t>
                  </w:r>
                </w:p>
              </w:txbxContent>
            </v:textbox>
            <v:fill type="solid"/>
          </v:shape>
        </w:pict>
      </w:r>
      <w:r>
        <w:rPr>
          <w:rFonts w:ascii="宋体" w:hAnsi="宋体" w:cs="宋体" w:eastAsia="宋体" w:hint="default"/>
          <w:position w:val="-7"/>
          <w:sz w:val="20"/>
          <w:szCs w:val="20"/>
        </w:rPr>
      </w:r>
    </w:p>
    <w:p>
      <w:pPr>
        <w:spacing w:after="0" w:line="402" w:lineRule="exact"/>
        <w:rPr>
          <w:rFonts w:ascii="宋体" w:hAnsi="宋体" w:cs="宋体" w:eastAsia="宋体" w:hint="default"/>
          <w:sz w:val="20"/>
          <w:szCs w:val="20"/>
        </w:rPr>
        <w:sectPr>
          <w:pgSz w:w="11910" w:h="16840"/>
          <w:pgMar w:header="747"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报告期内，公司现金分红政策未进行调整或变更。</w:t>
            </w:r>
          </w:p>
        </w:tc>
      </w:tr>
    </w:tbl>
    <w:p>
      <w:pPr>
        <w:pStyle w:val="BodyText"/>
        <w:spacing w:line="240" w:lineRule="auto" w:before="51"/>
        <w:ind w:right="660"/>
        <w:jc w:val="left"/>
      </w:pPr>
      <w:r>
        <w:rPr/>
        <w:t>公司报告期利润分配预案及资本公积金转增股本预案与公司章程和分红管理办法等的相关规定一致</w:t>
      </w:r>
    </w:p>
    <w:p>
      <w:pPr>
        <w:pStyle w:val="BodyText"/>
        <w:spacing w:line="348" w:lineRule="auto" w:before="117"/>
        <w:ind w:right="333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公司报告期利润分配预案及资本公积金转增股本预案符合公司章程等的相关规定。 本年度利润分配及资本公积金转增股本预案</w:t>
      </w:r>
    </w:p>
    <w:tbl>
      <w:tblPr>
        <w:tblW w:w="0" w:type="auto"/>
        <w:jc w:val="left"/>
        <w:tblInd w:w="149" w:type="dxa"/>
        <w:tblLayout w:type="fixed"/>
        <w:tblCellMar>
          <w:top w:w="0" w:type="dxa"/>
          <w:left w:w="0" w:type="dxa"/>
          <w:bottom w:w="0" w:type="dxa"/>
          <w:right w:w="0" w:type="dxa"/>
        </w:tblCellMar>
        <w:tblLook w:val="01E0"/>
      </w:tblPr>
      <w:tblGrid>
        <w:gridCol w:w="3718"/>
        <w:gridCol w:w="5850"/>
      </w:tblGrid>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114,300,000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5,715,000.00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105,904,359.79</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026"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以公司总股本</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14,300,000  </w:t>
            </w:r>
            <w:r>
              <w:rPr>
                <w:rFonts w:ascii="宋体" w:hAnsi="宋体" w:cs="宋体" w:eastAsia="宋体" w:hint="default"/>
                <w:spacing w:val="-2"/>
                <w:sz w:val="18"/>
                <w:szCs w:val="18"/>
              </w:rPr>
              <w:t>股</w:t>
            </w:r>
            <w:r>
              <w:rPr>
                <w:rFonts w:ascii="宋体" w:hAnsi="宋体" w:cs="宋体" w:eastAsia="宋体" w:hint="default"/>
                <w:sz w:val="18"/>
                <w:szCs w:val="18"/>
              </w:rPr>
              <w:t>为基数</w:t>
            </w:r>
            <w:r>
              <w:rPr>
                <w:rFonts w:ascii="宋体" w:hAnsi="宋体" w:cs="宋体" w:eastAsia="宋体" w:hint="default"/>
                <w:spacing w:val="-5"/>
                <w:sz w:val="18"/>
                <w:szCs w:val="18"/>
              </w:rPr>
              <w:t>，</w:t>
            </w:r>
            <w:r>
              <w:rPr>
                <w:rFonts w:ascii="宋体" w:hAnsi="宋体" w:cs="宋体" w:eastAsia="宋体" w:hint="default"/>
                <w:sz w:val="18"/>
                <w:szCs w:val="18"/>
              </w:rPr>
              <w:t>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股派发现金股利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元人民</w:t>
            </w:r>
            <w:r>
              <w:rPr>
                <w:rFonts w:ascii="宋体" w:hAnsi="宋体" w:cs="宋体" w:eastAsia="宋体" w:hint="default"/>
                <w:spacing w:val="-5"/>
                <w:sz w:val="18"/>
                <w:szCs w:val="18"/>
              </w:rPr>
              <w:t>币</w:t>
            </w:r>
            <w:r>
              <w:rPr>
                <w:rFonts w:ascii="宋体" w:hAnsi="宋体" w:cs="宋体" w:eastAsia="宋体" w:hint="default"/>
                <w:sz w:val="18"/>
                <w:szCs w:val="18"/>
              </w:rPr>
              <w:t>（含税</w:t>
            </w:r>
            <w:r>
              <w:rPr>
                <w:rFonts w:ascii="宋体" w:hAnsi="宋体" w:cs="宋体" w:eastAsia="宋体" w:hint="default"/>
                <w:spacing w:val="-90"/>
                <w:sz w:val="18"/>
                <w:szCs w:val="18"/>
              </w:rPr>
              <w:t>）</w:t>
            </w:r>
            <w:r>
              <w:rPr>
                <w:rFonts w:ascii="宋体" w:hAnsi="宋体" w:cs="宋体" w:eastAsia="宋体" w:hint="default"/>
                <w:spacing w:val="-5"/>
                <w:sz w:val="18"/>
                <w:szCs w:val="18"/>
              </w:rPr>
              <w:t>。</w:t>
            </w:r>
            <w:r>
              <w:rPr>
                <w:rFonts w:ascii="宋体" w:hAnsi="宋体" w:cs="宋体" w:eastAsia="宋体" w:hint="default"/>
                <w:sz w:val="18"/>
                <w:szCs w:val="18"/>
              </w:rPr>
              <w:t>同时</w:t>
            </w:r>
            <w:r>
              <w:rPr>
                <w:rFonts w:ascii="宋体" w:hAnsi="宋体" w:cs="宋体" w:eastAsia="宋体" w:hint="default"/>
                <w:spacing w:val="-6"/>
                <w:sz w:val="18"/>
                <w:szCs w:val="18"/>
              </w:rPr>
              <w:t>，</w:t>
            </w:r>
            <w:r>
              <w:rPr>
                <w:rFonts w:ascii="宋体" w:hAnsi="宋体" w:cs="宋体" w:eastAsia="宋体" w:hint="default"/>
                <w:sz w:val="18"/>
                <w:szCs w:val="18"/>
              </w:rPr>
              <w:t>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日公司总股本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114,300,000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为基数，由资本公积金向全体股东每</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股转增</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股，合计转增股本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114,300,000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股，转增股本</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完成后，公司总股本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228,600,000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Style w:val="BodyText"/>
        <w:spacing w:line="316" w:lineRule="auto" w:before="34"/>
        <w:ind w:left="574" w:right="184"/>
        <w:jc w:val="left"/>
      </w:pPr>
      <w:r>
        <w:rPr/>
        <w:t>公司近3年（含报告期）的利润分配方案及资本公积金转增股本方案情况 </w:t>
      </w:r>
      <w:r>
        <w:rPr>
          <w:spacing w:val="-1"/>
        </w:rPr>
        <w:t>1.2012年4月26日，公司召开2011年年度股东大会审议通过2011年度权益分配方案，公司以2011年12月31日公司总股本</w:t>
      </w:r>
    </w:p>
    <w:p>
      <w:pPr>
        <w:pStyle w:val="BodyText"/>
        <w:spacing w:line="240" w:lineRule="auto" w:before="19"/>
        <w:ind w:right="91"/>
        <w:jc w:val="left"/>
      </w:pPr>
      <w:r>
        <w:rPr/>
        <w:t>11,430万股为基数，按每10股派发现金股利1.00元（含税），共分配现金股利1,143万元，剩余未分配利润结转以后年度。</w:t>
      </w:r>
    </w:p>
    <w:p>
      <w:pPr>
        <w:pStyle w:val="BodyText"/>
        <w:spacing w:line="316" w:lineRule="auto" w:before="76"/>
        <w:ind w:right="120" w:firstLine="420"/>
        <w:jc w:val="left"/>
      </w:pPr>
      <w:r>
        <w:rPr/>
        <w:t>2.2013年4月26日，公司召开2012年年度股东大会审议通过2012年度权益分配方案，公司以总股本11,430万股为基数， 向全体股东每10股派发现金股利0.5元人民币（含税），共分配现金股利571.5万元。</w:t>
      </w:r>
    </w:p>
    <w:p>
      <w:pPr>
        <w:pStyle w:val="BodyText"/>
        <w:spacing w:line="316" w:lineRule="auto" w:before="19"/>
        <w:ind w:right="91" w:firstLine="420"/>
        <w:jc w:val="left"/>
      </w:pPr>
      <w:r>
        <w:rPr>
          <w:spacing w:val="-3"/>
        </w:rPr>
        <w:t>3.2014年5月5日，公司召开2013年年度股东大会审议通过2013年度利润分配方案，公司以总股本114,300,000股为基数，</w:t>
      </w:r>
      <w:r>
        <w:rPr/>
        <w:t> </w:t>
      </w:r>
      <w:r>
        <w:rPr>
          <w:spacing w:val="-2"/>
        </w:rPr>
        <w:t>向全体股东每10股派发现金股利人民币1.00元（含税），共分配现金股利11,430万元。2013年度公司未进行资本公积金转增</w:t>
      </w:r>
      <w:r>
        <w:rPr>
          <w:spacing w:val="-50"/>
        </w:rPr>
        <w:t> </w:t>
      </w:r>
      <w:r>
        <w:rPr>
          <w:spacing w:val="-50"/>
        </w:rPr>
      </w:r>
      <w:r>
        <w:rPr/>
        <w:t>股本。</w:t>
      </w:r>
    </w:p>
    <w:p>
      <w:pPr>
        <w:pStyle w:val="BodyText"/>
        <w:spacing w:line="316" w:lineRule="auto" w:before="19"/>
        <w:ind w:right="191" w:firstLine="420"/>
        <w:jc w:val="both"/>
      </w:pPr>
      <w:r>
        <w:rPr/>
        <w:t>4.公司董事会制定了2014年度利润分配预案：向全体股东每10 股派发现金股利0.5元人民币（含税）。同时，以2014 </w:t>
      </w:r>
      <w:r>
        <w:rPr>
          <w:spacing w:val="-2"/>
        </w:rPr>
        <w:t>年12月31日公司总股本114,300,000为基数，由资本公积金向全体股东每10股转增10股，合计转增股本114,300,000股，转增</w:t>
      </w:r>
      <w:r>
        <w:rPr>
          <w:spacing w:val="-36"/>
        </w:rPr>
        <w:t> </w:t>
      </w:r>
      <w:r>
        <w:rPr>
          <w:spacing w:val="-36"/>
        </w:rPr>
      </w:r>
      <w:r>
        <w:rPr/>
        <w:t>股本完成后，公司总股本228,600,000股。</w:t>
      </w:r>
    </w:p>
    <w:p>
      <w:pPr>
        <w:pStyle w:val="BodyText"/>
        <w:spacing w:line="240" w:lineRule="auto" w:before="19"/>
        <w:ind w:left="573" w:right="660"/>
        <w:jc w:val="left"/>
      </w:pPr>
      <w:r>
        <w:rPr/>
        <w:t>本次利润分配预案尚需提交公司2014年年度股东大会审议。</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BodyText"/>
        <w:spacing w:line="240" w:lineRule="auto" w:before="0"/>
        <w:ind w:right="660"/>
        <w:jc w:val="left"/>
      </w:pPr>
      <w:r>
        <w:rPr/>
        <w:t>公司近三年现金分红情况表</w:t>
      </w:r>
    </w:p>
    <w:p>
      <w:pPr>
        <w:spacing w:after="0" w:line="240" w:lineRule="auto"/>
        <w:jc w:val="left"/>
        <w:sectPr>
          <w:pgSz w:w="11910" w:h="16840"/>
          <w:pgMar w:header="747" w:footer="982" w:top="1060" w:bottom="1180" w:left="980" w:right="940"/>
        </w:sectPr>
      </w:pPr>
    </w:p>
    <w:p>
      <w:pPr>
        <w:spacing w:line="240" w:lineRule="auto" w:before="13"/>
        <w:rPr>
          <w:rFonts w:ascii="宋体" w:hAnsi="宋体" w:cs="宋体" w:eastAsia="宋体" w:hint="default"/>
          <w:sz w:val="25"/>
          <w:szCs w:val="25"/>
        </w:rPr>
      </w:pPr>
    </w:p>
    <w:p>
      <w:pPr>
        <w:pStyle w:val="BodyText"/>
        <w:spacing w:line="240" w:lineRule="auto"/>
        <w:ind w:left="0" w:right="19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318" w:hRule="exact"/>
        </w:trPr>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91"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110" w:right="109"/>
              <w:jc w:val="center"/>
              <w:rPr>
                <w:rFonts w:ascii="宋体" w:hAnsi="宋体" w:cs="宋体" w:eastAsia="宋体" w:hint="default"/>
                <w:sz w:val="18"/>
                <w:szCs w:val="18"/>
              </w:rPr>
            </w:pPr>
            <w:r>
              <w:rPr>
                <w:rFonts w:ascii="宋体" w:hAnsi="宋体" w:cs="宋体" w:eastAsia="宋体" w:hint="default"/>
                <w:sz w:val="18"/>
                <w:szCs w:val="18"/>
              </w:rPr>
              <w:t>分红年度合并报表中归属于 上市公司普通股股东的净利 润</w:t>
            </w: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110" w:right="109"/>
              <w:jc w:val="center"/>
              <w:rPr>
                <w:rFonts w:ascii="宋体" w:hAnsi="宋体" w:cs="宋体" w:eastAsia="宋体" w:hint="default"/>
                <w:sz w:val="18"/>
                <w:szCs w:val="18"/>
              </w:rPr>
            </w:pPr>
            <w:r>
              <w:rPr>
                <w:rFonts w:ascii="宋体" w:hAnsi="宋体" w:cs="宋体" w:eastAsia="宋体" w:hint="default"/>
                <w:sz w:val="18"/>
                <w:szCs w:val="18"/>
              </w:rPr>
              <w:t>占合并报表中归属于上市公 司普通股股东的净利润的比 率</w:t>
            </w:r>
          </w:p>
        </w:tc>
      </w:tr>
      <w:tr>
        <w:trPr>
          <w:trHeight w:val="391" w:hRule="exact"/>
        </w:trPr>
        <w:tc>
          <w:tcPr>
            <w:tcW w:w="23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393" w:type="dxa"/>
            <w:vMerge/>
            <w:tcBorders>
              <w:left w:val="single" w:sz="4" w:space="0" w:color="000000"/>
              <w:right w:val="single" w:sz="4" w:space="0" w:color="000000"/>
            </w:tcBorders>
            <w:shd w:val="clear" w:color="auto" w:fill="D3D3D3"/>
          </w:tcPr>
          <w:p>
            <w:pPr/>
          </w:p>
        </w:tc>
        <w:tc>
          <w:tcPr>
            <w:tcW w:w="2392" w:type="dxa"/>
            <w:vMerge/>
            <w:tcBorders>
              <w:left w:val="single" w:sz="4" w:space="0" w:color="000000"/>
              <w:right w:val="single" w:sz="4" w:space="0" w:color="000000"/>
            </w:tcBorders>
            <w:shd w:val="clear" w:color="auto" w:fill="D3D3D3"/>
          </w:tcPr>
          <w:p>
            <w:pPr/>
          </w:p>
        </w:tc>
        <w:tc>
          <w:tcPr>
            <w:tcW w:w="2392" w:type="dxa"/>
            <w:vMerge/>
            <w:tcBorders>
              <w:left w:val="single" w:sz="4" w:space="0" w:color="000000"/>
              <w:right w:val="single" w:sz="4" w:space="0" w:color="000000"/>
            </w:tcBorders>
            <w:shd w:val="clear" w:color="auto" w:fill="D3D3D3"/>
          </w:tcPr>
          <w:p>
            <w:pPr/>
          </w:p>
        </w:tc>
      </w:tr>
      <w:tr>
        <w:trPr>
          <w:trHeight w:val="317" w:hRule="exact"/>
        </w:trPr>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3" w:type="dxa"/>
            <w:vMerge/>
            <w:tcBorders>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5,715,000.00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79,581,385.94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7.18%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11,430,000.00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54,940,058.49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20.80%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5,715,000.00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60,160,444.91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9.50%</w:t>
            </w:r>
          </w:p>
        </w:tc>
      </w:tr>
    </w:tbl>
    <w:p>
      <w:pPr>
        <w:pStyle w:val="BodyText"/>
        <w:spacing w:line="240" w:lineRule="auto" w:before="51"/>
        <w:ind w:right="0"/>
        <w:jc w:val="both"/>
      </w:pPr>
      <w:r>
        <w:rPr/>
        <w:t>公司报告期内盈利且母公司未分配利润为正但未提出现金红利分配预案</w:t>
      </w:r>
    </w:p>
    <w:p>
      <w:pPr>
        <w:pStyle w:val="BodyText"/>
        <w:spacing w:line="240" w:lineRule="auto" w:before="116"/>
        <w:ind w:left="153"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r>
        <w:rPr/>
        <w:t>六、内幕信息知情人管理制度的建立和执行情况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before="0"/>
        <w:ind w:right="90"/>
        <w:jc w:val="left"/>
      </w:pPr>
      <w:r>
        <w:rPr/>
        <w:t>1、内幕信息知情人管理制度的建设情况 </w:t>
      </w:r>
      <w:r>
        <w:rPr>
          <w:spacing w:val="-2"/>
        </w:rPr>
        <w:t>为加强内幕信息保密工作，维护公司信息披露的公开、公平、公正原则，公司董事会于2010年12月15日召开第一届董事会第</w:t>
      </w:r>
      <w:r>
        <w:rPr>
          <w:spacing w:val="-58"/>
        </w:rPr>
        <w:t> </w:t>
      </w:r>
      <w:r>
        <w:rPr>
          <w:spacing w:val="-58"/>
        </w:rPr>
      </w:r>
      <w:r>
        <w:rPr/>
        <w:t>十二次会议，审议通过：《内幕信息知情人管理制度》、《外部信息使用人管理制度》和《重大信息内部报告和保密制度》 多项制度，从制度层面加强内幕信息的管理。</w:t>
      </w:r>
    </w:p>
    <w:p>
      <w:pPr>
        <w:pStyle w:val="BodyText"/>
        <w:spacing w:line="240" w:lineRule="auto" w:before="19"/>
        <w:ind w:right="0"/>
        <w:jc w:val="both"/>
      </w:pPr>
      <w:r>
        <w:rPr/>
        <w:t>2、内幕信息知情人管理制度的执行情况</w:t>
      </w:r>
    </w:p>
    <w:p>
      <w:pPr>
        <w:pStyle w:val="BodyText"/>
        <w:spacing w:line="316" w:lineRule="auto" w:before="76"/>
        <w:ind w:left="573" w:right="211"/>
        <w:jc w:val="left"/>
      </w:pPr>
      <w:r>
        <w:rPr/>
        <w:t>（1）定期报告披露期间的信息保密工作 报告期内，公司严格执行内幕信息保密制度，严格规范信息传递流程，在定期报告披露期间，对于未公开信息，公司</w:t>
      </w:r>
    </w:p>
    <w:p>
      <w:pPr>
        <w:pStyle w:val="BodyText"/>
        <w:spacing w:line="316" w:lineRule="auto" w:before="19"/>
        <w:ind w:right="191"/>
        <w:jc w:val="both"/>
      </w:pPr>
      <w:r>
        <w:rPr>
          <w:spacing w:val="-2"/>
        </w:rPr>
        <w:t>证券事务部都会严格控制知情人范围并组织相关内幕信息知情人填写《内幕信息知情人登记表》，如实且完整地记录上述信</w:t>
      </w:r>
      <w:r>
        <w:rPr>
          <w:spacing w:val="-66"/>
        </w:rPr>
        <w:t> </w:t>
      </w:r>
      <w:r>
        <w:rPr>
          <w:spacing w:val="-66"/>
        </w:rPr>
      </w:r>
      <w:r>
        <w:rPr>
          <w:spacing w:val="-2"/>
        </w:rPr>
        <w:t>息在公开前的所有内幕信息知情人名单，以及知情人知悉内幕信息的时间。经公司证券事务部核实无误后，按照相关法规规</w:t>
      </w:r>
      <w:r>
        <w:rPr>
          <w:spacing w:val="-66"/>
        </w:rPr>
        <w:t> </w:t>
      </w:r>
      <w:r>
        <w:rPr>
          <w:spacing w:val="-66"/>
        </w:rPr>
      </w:r>
      <w:r>
        <w:rPr/>
        <w:t>定再向证监局和深圳证券交易所报备内幕信息知情人登记情况。</w:t>
      </w:r>
    </w:p>
    <w:p>
      <w:pPr>
        <w:pStyle w:val="BodyText"/>
        <w:spacing w:line="316" w:lineRule="auto" w:before="19"/>
        <w:ind w:left="573" w:right="211"/>
        <w:jc w:val="left"/>
      </w:pPr>
      <w:r>
        <w:rPr/>
        <w:t>（2）投资者调研期间的信息保密工作 在定期报告及重大事项披露期间，公司则避免接待投资者的调研，努力做好定期报告及重大事项披露期间的信息保密</w:t>
      </w:r>
    </w:p>
    <w:p>
      <w:pPr>
        <w:pStyle w:val="BodyText"/>
        <w:spacing w:line="316" w:lineRule="auto" w:before="19"/>
        <w:ind w:right="189"/>
        <w:jc w:val="both"/>
      </w:pPr>
      <w:r>
        <w:rPr>
          <w:spacing w:val="-2"/>
        </w:rPr>
        <w:t>工作。在日常接待投资者调研时，公司证券事务部负责履行相关的信息保密工作程序。在进行调研前，先对调研人员的个人</w:t>
      </w:r>
      <w:r>
        <w:rPr>
          <w:spacing w:val="-66"/>
        </w:rPr>
        <w:t> </w:t>
      </w:r>
      <w:r>
        <w:rPr>
          <w:spacing w:val="-66"/>
        </w:rPr>
      </w:r>
      <w:r>
        <w:rPr>
          <w:spacing w:val="-2"/>
        </w:rPr>
        <w:t>信息进行备案，同时要求签署投资者调研登记表与保密承诺书，并承诺在对外出具报告前需经公司证券事务部认可。在调研</w:t>
      </w:r>
      <w:r>
        <w:rPr>
          <w:spacing w:val="-66"/>
        </w:rPr>
        <w:t> </w:t>
      </w:r>
      <w:r>
        <w:rPr>
          <w:spacing w:val="-66"/>
        </w:rPr>
      </w:r>
      <w:r>
        <w:rPr/>
        <w:t>过程中，证券事务部人员认真做好相关会议记录，并按照相关法规规定向深圳证券交易所报备。</w:t>
      </w:r>
    </w:p>
    <w:p>
      <w:pPr>
        <w:pStyle w:val="BodyText"/>
        <w:spacing w:line="316" w:lineRule="auto" w:before="19"/>
        <w:ind w:left="573" w:right="83"/>
        <w:jc w:val="left"/>
      </w:pPr>
      <w:r>
        <w:rPr/>
        <w:t>（3）重大资产重组期间的信息保密工作 </w:t>
      </w:r>
      <w:r>
        <w:rPr>
          <w:spacing w:val="-1"/>
        </w:rPr>
        <w:t>在重大资产重组期间，公司及相关信息披露义务人及时统计全体内幕知情人名单，采取保密措施，签订相关保密协议，</w:t>
      </w:r>
    </w:p>
    <w:p>
      <w:pPr>
        <w:pStyle w:val="BodyText"/>
        <w:spacing w:line="240" w:lineRule="auto" w:before="19"/>
        <w:ind w:right="0"/>
        <w:jc w:val="both"/>
      </w:pPr>
      <w:r>
        <w:rPr/>
        <w:t>保证信息处于可控范围。</w:t>
      </w:r>
    </w:p>
    <w:p>
      <w:pPr>
        <w:pStyle w:val="BodyText"/>
        <w:spacing w:line="316" w:lineRule="auto" w:before="76"/>
        <w:ind w:left="573" w:right="83"/>
        <w:jc w:val="left"/>
      </w:pPr>
      <w:r>
        <w:rPr/>
        <w:t>（4）其他重大事件的信息保密工作 </w:t>
      </w:r>
      <w:r>
        <w:rPr>
          <w:spacing w:val="-1"/>
        </w:rPr>
        <w:t>在其他重大事项未披露前，公司及相关信息披露义务人采取保密措施，签订相关保密协议，以保证信息处于可控范围。</w:t>
      </w:r>
    </w:p>
    <w:p>
      <w:pPr>
        <w:pStyle w:val="BodyText"/>
        <w:spacing w:line="316" w:lineRule="auto" w:before="19"/>
        <w:ind w:left="573" w:right="211" w:hanging="420"/>
        <w:jc w:val="left"/>
      </w:pPr>
      <w:r>
        <w:rPr/>
        <w:t>3、报告期内自查内幕信息知情人涉嫌内幕交易以及监管部门的查处和整改情况 报告期内，公司董事、监事及高级管理人员和其他相关知情人严格遵守了内幕信息知情人管理制度，未发现有内幕信</w:t>
      </w:r>
    </w:p>
    <w:p>
      <w:pPr>
        <w:pStyle w:val="BodyText"/>
        <w:spacing w:line="240" w:lineRule="auto" w:before="19"/>
        <w:ind w:left="153" w:right="0"/>
        <w:jc w:val="both"/>
      </w:pPr>
      <w:r>
        <w:rPr/>
        <w:t>息知情人利用内幕信息买卖本公司股份的情况。报告期内公司也未发生受到监管部门查处和整改的情形。</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3"/>
          <w:szCs w:val="13"/>
        </w:rPr>
      </w:pPr>
    </w:p>
    <w:p>
      <w:pPr>
        <w:pStyle w:val="Heading2"/>
        <w:spacing w:line="240" w:lineRule="auto"/>
        <w:ind w:right="0"/>
        <w:jc w:val="both"/>
        <w:rPr>
          <w:b w:val="0"/>
          <w:bCs w:val="0"/>
        </w:rPr>
      </w:pPr>
      <w:r>
        <w:rPr/>
        <w:t>七、报告期内接待调研、沟通、采访等活动登记表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94"/>
        <w:gridCol w:w="1498"/>
        <w:gridCol w:w="1496"/>
        <w:gridCol w:w="1498"/>
        <w:gridCol w:w="1496"/>
        <w:gridCol w:w="2087"/>
      </w:tblGrid>
      <w:tr>
        <w:trPr>
          <w:trHeight w:val="714" w:hRule="exact"/>
        </w:trPr>
        <w:tc>
          <w:tcPr>
            <w:tcW w:w="1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14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58" w:right="47" w:hanging="810"/>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bl>
    <w:p>
      <w:pPr>
        <w:spacing w:after="0" w:line="316" w:lineRule="auto"/>
        <w:jc w:val="left"/>
        <w:rPr>
          <w:rFonts w:ascii="宋体" w:hAnsi="宋体" w:cs="宋体" w:eastAsia="宋体" w:hint="default"/>
          <w:sz w:val="18"/>
          <w:szCs w:val="18"/>
        </w:rPr>
        <w:sectPr>
          <w:pgSz w:w="11910" w:h="16840"/>
          <w:pgMar w:header="747" w:footer="982" w:top="1060" w:bottom="118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94"/>
        <w:gridCol w:w="1498"/>
        <w:gridCol w:w="1496"/>
        <w:gridCol w:w="1498"/>
        <w:gridCol w:w="1496"/>
        <w:gridCol w:w="2087"/>
      </w:tblGrid>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重组进度及公司营业情况</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重组并购、大股东及前十 大股东持股情况</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并购项目目前情况</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公司基本面情况、并购项 目进展</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重组项目进展</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重组基本情况</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公司基本面情况</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公司半年度业绩情况及披 露情况</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重组项目进展情况</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重组项目情况</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公司基本面情况</w:t>
            </w:r>
          </w:p>
        </w:tc>
      </w:tr>
      <w:tr>
        <w:trPr>
          <w:trHeight w:val="1650"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酒店会议室</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长城证券、华创证 券、广发证券、招 商证券、摩根士丹 利华鑫基金等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家单位</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72"/>
              <w:jc w:val="left"/>
              <w:rPr>
                <w:rFonts w:ascii="宋体" w:hAnsi="宋体" w:cs="宋体" w:eastAsia="宋体" w:hint="default"/>
                <w:sz w:val="18"/>
                <w:szCs w:val="18"/>
              </w:rPr>
            </w:pPr>
            <w:r>
              <w:rPr>
                <w:rFonts w:ascii="宋体" w:hAnsi="宋体" w:cs="宋体" w:eastAsia="宋体" w:hint="default"/>
                <w:sz w:val="18"/>
                <w:szCs w:val="18"/>
              </w:rPr>
              <w:t>公司主营发展趋势及相关 情况、并购项目相关情况</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公司三季度预告相关情况</w:t>
            </w:r>
          </w:p>
        </w:tc>
      </w:tr>
      <w:tr>
        <w:trPr>
          <w:trHeight w:val="1338"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摩根士丹利华鑫基 金、中银基金、博 时基金、华夏基金 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家单位</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72"/>
              <w:jc w:val="left"/>
              <w:rPr>
                <w:rFonts w:ascii="宋体" w:hAnsi="宋体" w:cs="宋体" w:eastAsia="宋体" w:hint="default"/>
                <w:sz w:val="18"/>
                <w:szCs w:val="18"/>
              </w:rPr>
            </w:pPr>
            <w:r>
              <w:rPr>
                <w:rFonts w:ascii="宋体" w:hAnsi="宋体" w:cs="宋体" w:eastAsia="宋体" w:hint="default"/>
                <w:sz w:val="18"/>
                <w:szCs w:val="18"/>
              </w:rPr>
              <w:t>公司的发展战略、产品创 新、互联网思路部署</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重组情况沟通</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公司基本面情况</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苏州控股子公司的项目情 况</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公司基本面情况</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公司基本面情况</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公司基本面情况</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right="2421"/>
        <w:jc w:val="center"/>
        <w:rPr>
          <w:b w:val="0"/>
          <w:bCs w:val="0"/>
        </w:rPr>
      </w:pPr>
      <w:bookmarkStart w:name="_TOC_250005" w:id="5"/>
      <w:r>
        <w:rPr/>
        <w:t>第五节</w:t>
      </w:r>
      <w:r>
        <w:rPr>
          <w:spacing w:val="-5"/>
        </w:rPr>
        <w:t> </w:t>
      </w:r>
      <w:r>
        <w:rPr/>
        <w:t>重要事项</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340" w:lineRule="auto" w:before="0"/>
        <w:ind w:right="68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本年度公司无重大诉讼、仲裁事项。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r>
        <w:rPr/>
        <w:t>二、上市公司发生控股股东及其关联方非经营性占用资金情况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36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公司报告期不存在上市公司发生控股股东及其关联方非经营性占用资金情况。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三、破产重整相关事项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67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四、资产交易事项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、收购资产情况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77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公司报告期未收购资产。</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、出售资产情况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77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公司报告期未出售资产。</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、企业合并情况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70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公司报告期未发生企业合并情况。</w:t>
      </w:r>
    </w:p>
    <w:p>
      <w:pPr>
        <w:spacing w:line="240" w:lineRule="auto" w:before="12"/>
        <w:rPr>
          <w:rFonts w:ascii="宋体" w:hAnsi="宋体" w:cs="宋体" w:eastAsia="宋体" w:hint="default"/>
          <w:sz w:val="20"/>
          <w:szCs w:val="20"/>
        </w:rPr>
      </w:pPr>
    </w:p>
    <w:p>
      <w:pPr>
        <w:pStyle w:val="Heading3"/>
        <w:spacing w:line="259" w:lineRule="auto"/>
        <w:ind w:right="0"/>
        <w:jc w:val="left"/>
        <w:rPr>
          <w:b w:val="0"/>
          <w:bCs w:val="0"/>
        </w:rPr>
      </w:pPr>
      <w:r>
        <w:rPr>
          <w:rFonts w:ascii="Times New Roman" w:hAnsi="Times New Roman" w:cs="Times New Roman" w:eastAsia="Times New Roman" w:hint="default"/>
        </w:rPr>
        <w:t>4</w:t>
      </w:r>
      <w:r>
        <w:rPr/>
        <w:t>、自资产重组报告书或收购出售资产公告刊登后，该事项的进展情况及对报告期经营成果与财务状况的</w:t>
      </w:r>
      <w:r>
        <w:rPr>
          <w:spacing w:val="-74"/>
        </w:rPr>
        <w:t> </w:t>
      </w:r>
      <w:r>
        <w:rPr>
          <w:spacing w:val="-74"/>
        </w:rPr>
      </w:r>
      <w:r>
        <w:rPr/>
        <w:t>影响</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316" w:lineRule="auto" w:before="101"/>
        <w:ind w:right="135" w:firstLine="420"/>
        <w:jc w:val="left"/>
      </w:pPr>
      <w:r>
        <w:rPr>
          <w:spacing w:val="-1"/>
        </w:rPr>
        <w:t>2014年2月20日，公司召开了第二届董事会第十八次会议，审议通过了公司本次重大资产重组的相关议案，经向深圳证</w:t>
      </w:r>
      <w:r>
        <w:rPr/>
        <w:t> 券交易所申请，公司于2014年2月21日披露本次重大资产重组的相关预案内容，同时公司股票恢复交易。</w:t>
      </w:r>
    </w:p>
    <w:p>
      <w:pPr>
        <w:pStyle w:val="BodyText"/>
        <w:spacing w:line="316" w:lineRule="auto" w:before="19"/>
        <w:ind w:right="135" w:firstLine="420"/>
        <w:jc w:val="left"/>
      </w:pPr>
      <w:r>
        <w:rPr>
          <w:spacing w:val="-1"/>
        </w:rPr>
        <w:t>2014年8月19日，公司召开了第三届董事会第四次会议，审议通过了《关于公司符合向特定对象非公开发行股份及支付</w:t>
      </w:r>
      <w:r>
        <w:rPr/>
        <w:t> </w:t>
      </w:r>
      <w:r>
        <w:rPr>
          <w:spacing w:val="-2"/>
        </w:rPr>
        <w:t>现金购买资产并募集配套资金暨关联交易条件的议案》等与重组相关的议案，并公告了《发行股份及支付现金购买资产并募</w:t>
      </w:r>
    </w:p>
    <w:p>
      <w:pPr>
        <w:spacing w:after="0" w:line="316" w:lineRule="auto"/>
        <w:jc w:val="left"/>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316" w:lineRule="auto"/>
        <w:ind w:left="573" w:right="2551" w:hanging="420"/>
        <w:jc w:val="left"/>
      </w:pPr>
      <w:r>
        <w:rPr/>
        <w:t>集配套资金暨关联交易报告书（草案）》等相关文件。 2014年9月4日，公司召开了2014年第三次临时股东大会，审议通过了重组的相关议案。</w:t>
      </w:r>
    </w:p>
    <w:p>
      <w:pPr>
        <w:pStyle w:val="BodyText"/>
        <w:spacing w:line="240" w:lineRule="auto" w:before="19"/>
        <w:ind w:left="573" w:right="660"/>
        <w:jc w:val="left"/>
      </w:pPr>
      <w:r>
        <w:rPr/>
        <w:t>2014年9月23日，公司收到中国证监会出具的《中国证监会行政许可申请受理通知书》。</w:t>
      </w:r>
    </w:p>
    <w:p>
      <w:pPr>
        <w:pStyle w:val="BodyText"/>
        <w:spacing w:line="316" w:lineRule="auto" w:before="76"/>
        <w:ind w:left="153" w:right="228" w:firstLine="420"/>
        <w:jc w:val="both"/>
      </w:pPr>
      <w:r>
        <w:rPr/>
        <w:t>2014年10月27日，公司收到中国证监会出具的《中国证监会行政许可项目审查一次反馈意见通知书》（以下简称“反 馈意见”）。</w:t>
      </w:r>
    </w:p>
    <w:p>
      <w:pPr>
        <w:pStyle w:val="BodyText"/>
        <w:spacing w:line="316" w:lineRule="auto" w:before="19"/>
        <w:ind w:left="153" w:right="188" w:firstLine="420"/>
        <w:jc w:val="both"/>
      </w:pPr>
      <w:r>
        <w:rPr>
          <w:spacing w:val="-1"/>
        </w:rPr>
        <w:t>2014年12月4日，公司向中国证监会申请延期报送反馈意见，公司发布了《关于延期报送重大资产重组申请材料反馈意</w:t>
      </w:r>
      <w:r>
        <w:rPr/>
        <w:t> 见回复的公告》</w:t>
      </w:r>
    </w:p>
    <w:p>
      <w:pPr>
        <w:pStyle w:val="BodyText"/>
        <w:spacing w:line="316" w:lineRule="auto" w:before="19"/>
        <w:ind w:left="153" w:right="191" w:firstLine="420"/>
        <w:jc w:val="both"/>
      </w:pPr>
      <w:r>
        <w:rPr/>
        <w:t>2014年12月10日，经公司核查，重组交易的交易对象李秀文、郭闫闫、林华润、杜展扬、周杨从范特西公司离职，该 </w:t>
      </w:r>
      <w:r>
        <w:rPr>
          <w:spacing w:val="-2"/>
        </w:rPr>
        <w:t>事件对重组交易构成重大影响，公司当日申请紧急停牌及发布了《紧急停牌公告》，并积极组织相关机构就公司与范特西的</w:t>
      </w:r>
      <w:r>
        <w:rPr>
          <w:spacing w:val="-66"/>
        </w:rPr>
        <w:t> </w:t>
      </w:r>
      <w:r>
        <w:rPr>
          <w:spacing w:val="-66"/>
        </w:rPr>
      </w:r>
      <w:r>
        <w:rPr/>
        <w:t>合作事宜进行紧急磋商。</w:t>
      </w:r>
    </w:p>
    <w:p>
      <w:pPr>
        <w:pStyle w:val="BodyText"/>
        <w:spacing w:line="316" w:lineRule="auto" w:before="19"/>
        <w:ind w:left="153" w:right="190" w:firstLine="420"/>
        <w:jc w:val="both"/>
      </w:pPr>
      <w:r>
        <w:rPr/>
        <w:t>公司于2014年12月15日召开的第三届董事会第六次会议及2015年1月5日召开的2015年第一次临时股东大会，审议通过 </w:t>
      </w:r>
      <w:r>
        <w:rPr>
          <w:spacing w:val="-2"/>
        </w:rPr>
        <w:t>了《关于终止重大资产重组事项的议案》、《关于公司拟向中国证券监督管理委员会申请撤回重大资产重组行政审批申请材</w:t>
      </w:r>
      <w:r>
        <w:rPr>
          <w:spacing w:val="-65"/>
        </w:rPr>
        <w:t> </w:t>
      </w:r>
      <w:r>
        <w:rPr>
          <w:spacing w:val="-65"/>
        </w:rPr>
      </w:r>
      <w:r>
        <w:rPr/>
        <w:t>料的议案》。</w:t>
      </w:r>
    </w:p>
    <w:p>
      <w:pPr>
        <w:pStyle w:val="BodyText"/>
        <w:spacing w:line="316" w:lineRule="auto" w:before="19"/>
        <w:ind w:left="153" w:right="108" w:firstLine="420"/>
        <w:jc w:val="both"/>
      </w:pPr>
      <w:r>
        <w:rPr/>
        <w:t>标的公司系游戏开发公司，核心技术团队及管理团队对公司的经营至关重要。鉴于标的公司的核心技术及管理团队出 </w:t>
      </w:r>
      <w:r>
        <w:rPr>
          <w:spacing w:val="-2"/>
        </w:rPr>
        <w:t>现重大变化，导致重组的根本目的不能实现，致使重组交易无法正常进行。为保护广大中小股东的利益，根据《中国证券监</w:t>
      </w:r>
      <w:r>
        <w:rPr>
          <w:spacing w:val="-66"/>
        </w:rPr>
        <w:t> </w:t>
      </w:r>
      <w:r>
        <w:rPr>
          <w:spacing w:val="-66"/>
        </w:rPr>
      </w:r>
      <w:r>
        <w:rPr/>
        <w:t>督管理委员会行政许可实施程序规定》，公司决定终止重组交易并向中国证监会申请撤回重大资产重组行政审批申请材料。</w:t>
      </w:r>
    </w:p>
    <w:p>
      <w:pPr>
        <w:pStyle w:val="BodyText"/>
        <w:spacing w:line="316" w:lineRule="auto" w:before="19"/>
        <w:ind w:right="191" w:firstLine="420"/>
        <w:jc w:val="both"/>
      </w:pPr>
      <w:r>
        <w:rPr/>
        <w:t>公司于2015年1月21日收到中国证监会出具的《中国证监会行政许可申请终止审查通知书》（【2015】5</w:t>
      </w:r>
      <w:r>
        <w:rPr>
          <w:spacing w:val="-36"/>
        </w:rPr>
        <w:t> </w:t>
      </w:r>
      <w:r>
        <w:rPr>
          <w:spacing w:val="-3"/>
        </w:rPr>
        <w:t>号），并于同</w:t>
      </w:r>
      <w:r>
        <w:rPr/>
        <w:t> 日发布了关于收到《中国证监会行政许可申请终止审查通知书》的公告。</w:t>
      </w:r>
    </w:p>
    <w:p>
      <w:pPr>
        <w:pStyle w:val="BodyText"/>
        <w:spacing w:line="316" w:lineRule="auto" w:before="19"/>
        <w:ind w:right="228" w:firstLine="420"/>
        <w:jc w:val="both"/>
      </w:pPr>
      <w:r>
        <w:rPr/>
        <w:t>至此，公司正式终止此次收购行动，该事项对公司报告期内经营成果及财务状况未产生影响，且未影响公司在主营业 务上的投入及布局。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4"/>
          <w:szCs w:val="14"/>
        </w:rPr>
      </w:pPr>
    </w:p>
    <w:p>
      <w:pPr>
        <w:pStyle w:val="Heading2"/>
        <w:spacing w:line="240" w:lineRule="auto"/>
        <w:ind w:right="660"/>
        <w:jc w:val="left"/>
        <w:rPr>
          <w:b w:val="0"/>
          <w:bCs w:val="0"/>
        </w:rPr>
      </w:pPr>
      <w:r>
        <w:rPr/>
        <w:t>五、公司股权激励的实施情况及其影响</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6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316" w:lineRule="auto" w:before="101"/>
        <w:ind w:right="188" w:firstLine="420"/>
        <w:jc w:val="both"/>
      </w:pPr>
      <w:r>
        <w:rPr/>
        <w:t>为了进一步促进公司建立健全长期激励与约束机制，充分调动公司激励对象的积极性与创造性，以促进公司</w:t>
      </w:r>
      <w:r>
        <w:rPr>
          <w:spacing w:val="-29"/>
        </w:rPr>
        <w:t> </w:t>
      </w:r>
      <w:r>
        <w:rPr>
          <w:spacing w:val="-5"/>
        </w:rPr>
        <w:t>健康、持</w:t>
      </w:r>
      <w:r>
        <w:rPr/>
        <w:t> 续、快速 发展，在充分保障股东利润的前提下，遵循收益与贡献对等原则，根据《公司法》、《证券法》、《上市公司股 </w:t>
      </w:r>
      <w:r>
        <w:rPr>
          <w:spacing w:val="-2"/>
        </w:rPr>
        <w:t>权激励管理办法（试行）》、《股权激励有关事项备忘录1号》、《股权激励有关事项备忘录2号》、《股权激励有关事项备</w:t>
      </w:r>
      <w:r>
        <w:rPr>
          <w:spacing w:val="-68"/>
        </w:rPr>
        <w:t> </w:t>
      </w:r>
      <w:r>
        <w:rPr>
          <w:spacing w:val="-68"/>
        </w:rPr>
      </w:r>
      <w:r>
        <w:rPr/>
        <w:t>忘录3号》等有关法律、法规和规范性文件以及《公司章程》的规定，公司制定了《深圳市新国都技术股份有限公司2014年 股票期权激励计划（草案修订稿）》。</w:t>
      </w:r>
    </w:p>
    <w:p>
      <w:pPr>
        <w:spacing w:line="240" w:lineRule="auto" w:before="4"/>
        <w:rPr>
          <w:rFonts w:ascii="宋体" w:hAnsi="宋体" w:cs="宋体" w:eastAsia="宋体" w:hint="default"/>
          <w:sz w:val="25"/>
          <w:szCs w:val="25"/>
        </w:rPr>
      </w:pPr>
    </w:p>
    <w:p>
      <w:pPr>
        <w:pStyle w:val="BodyText"/>
        <w:spacing w:line="316" w:lineRule="auto" w:before="0"/>
        <w:ind w:left="574" w:right="176"/>
        <w:jc w:val="left"/>
      </w:pPr>
      <w:r>
        <w:rPr/>
        <w:t>股票激励计划已履行的相关审批程序 </w:t>
      </w:r>
      <w:r>
        <w:rPr>
          <w:spacing w:val="-1"/>
        </w:rPr>
        <w:t>1、公司于2014年2月20日召开第二届董事会第十八次会议及第二届监事会第十六次会议审议通过了《关于&lt;深圳市新国</w:t>
      </w:r>
    </w:p>
    <w:p>
      <w:pPr>
        <w:pStyle w:val="BodyText"/>
        <w:spacing w:line="316" w:lineRule="auto" w:before="19"/>
        <w:ind w:right="180"/>
        <w:jc w:val="left"/>
      </w:pPr>
      <w:r>
        <w:rPr/>
        <w:t>都技术股份有限公司2014年股票期权激励计划（草案）及摘要&gt;的议案》，公司独立董事对股票期权激励计划发表了明确同 意的独立意见。</w:t>
      </w:r>
    </w:p>
    <w:p>
      <w:pPr>
        <w:pStyle w:val="BodyText"/>
        <w:spacing w:line="316" w:lineRule="auto" w:before="19"/>
        <w:ind w:right="191" w:firstLine="420"/>
        <w:jc w:val="both"/>
      </w:pPr>
      <w:r>
        <w:rPr>
          <w:spacing w:val="-1"/>
        </w:rPr>
        <w:t>2、根据中国证监会的反馈意见，公司对股票期权激励计划（草案）及摘要进行了相应修订，并于2014年4月9日召开公</w:t>
      </w:r>
      <w:r>
        <w:rPr/>
        <w:t> 司第二届董事会第十九次会议及第二届监事会第十七次会议审议通过了《关于&lt;深圳市新国都技术股份有限公司2014年股票 期权激励计划（草案修订稿）及摘要&gt;的议案》，公司独立董事对此发表了明确同意的独立意见。该激励计划经中国证监会 备案无异议。</w:t>
      </w:r>
    </w:p>
    <w:p>
      <w:pPr>
        <w:pStyle w:val="BodyText"/>
        <w:spacing w:line="316" w:lineRule="auto" w:before="19"/>
        <w:ind w:right="191" w:firstLine="420"/>
        <w:jc w:val="both"/>
      </w:pPr>
      <w:r>
        <w:rPr>
          <w:spacing w:val="-1"/>
        </w:rPr>
        <w:t>3、公司于2014年4月29日召开2014年第二次临时股东大会审议通过了《关于&lt;深圳市新国都技术股份有限公司2014年股</w:t>
      </w:r>
      <w:r>
        <w:rPr/>
        <w:t> </w:t>
      </w:r>
      <w:r>
        <w:rPr>
          <w:spacing w:val="-2"/>
        </w:rPr>
        <w:t>票期权激励计划（草案修订稿）及摘要&gt;的议案》、《关于&lt;深圳市新国都技术股份有限公司股票期权激励计划实施考核办法</w:t>
      </w:r>
      <w:r>
        <w:rPr>
          <w:spacing w:val="-64"/>
        </w:rPr>
        <w:t> </w:t>
      </w:r>
      <w:r>
        <w:rPr>
          <w:spacing w:val="-64"/>
        </w:rPr>
      </w:r>
      <w:r>
        <w:rPr/>
        <w:t>的议案》、《关于&lt;深圳市新国都技术股份有限公司股票期权激励计划管理办法的议案》以及《关于提请股东大会授权董事 </w:t>
      </w:r>
      <w:r>
        <w:rPr>
          <w:spacing w:val="-2"/>
        </w:rPr>
        <w:t>会办理公司股票期权激励计划相关事宜的议案》，董事会被授权确认激励对象参与股权激励计划的资格和条件，确定激励对</w:t>
      </w:r>
    </w:p>
    <w:p>
      <w:pPr>
        <w:spacing w:after="0" w:line="316" w:lineRule="auto"/>
        <w:jc w:val="both"/>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6" w:lineRule="auto"/>
        <w:ind w:left="153" w:right="91"/>
        <w:jc w:val="left"/>
      </w:pPr>
      <w:r>
        <w:rPr>
          <w:spacing w:val="-2"/>
        </w:rPr>
        <w:t>象名单及其授予数量，确定标的股权的授予价格；在激励对象符合条件时向激励对象授予股票并办理授予股票和解锁股票所</w:t>
      </w:r>
      <w:r>
        <w:rPr>
          <w:spacing w:val="-64"/>
        </w:rPr>
        <w:t> </w:t>
      </w:r>
      <w:r>
        <w:rPr>
          <w:spacing w:val="-64"/>
        </w:rPr>
      </w:r>
      <w:r>
        <w:rPr/>
        <w:t>必需的全部事宜。</w:t>
      </w:r>
    </w:p>
    <w:p>
      <w:pPr>
        <w:pStyle w:val="BodyText"/>
        <w:spacing w:line="316" w:lineRule="auto" w:before="19"/>
        <w:ind w:left="153" w:right="91" w:firstLine="420"/>
        <w:jc w:val="left"/>
      </w:pPr>
      <w:r>
        <w:rPr/>
        <w:t>4、公司于2014年5月9日召开第三届董事会第二次会议审议通过了《关于调整股票期权激励计划激励对象名单及授予数 </w:t>
      </w:r>
      <w:r>
        <w:rPr>
          <w:spacing w:val="-2"/>
        </w:rPr>
        <w:t>量的议案》和《关于向激励对象授予股票期权的议案》，并于当日召开第三届监事会第二次会议，审议通过了《关于核实公</w:t>
      </w:r>
      <w:r>
        <w:rPr>
          <w:spacing w:val="-68"/>
        </w:rPr>
        <w:t> </w:t>
      </w:r>
      <w:r>
        <w:rPr>
          <w:spacing w:val="-68"/>
        </w:rPr>
      </w:r>
      <w:r>
        <w:rPr>
          <w:spacing w:val="-4"/>
        </w:rPr>
        <w:t>司股票期权激励计划激励对象名单的议案》。公司独立董事对此发表了独立意见，认为激励对象主体资格确认办法合法有效，</w:t>
      </w:r>
      <w:r>
        <w:rPr>
          <w:spacing w:val="-44"/>
        </w:rPr>
        <w:t> </w:t>
      </w:r>
      <w:r>
        <w:rPr>
          <w:spacing w:val="-44"/>
        </w:rPr>
      </w:r>
      <w:r>
        <w:rPr/>
        <w:t>确定的授权日符合相关规定。</w:t>
      </w:r>
    </w:p>
    <w:p>
      <w:pPr>
        <w:pStyle w:val="BodyText"/>
        <w:spacing w:line="316" w:lineRule="auto" w:before="19"/>
        <w:ind w:left="153" w:right="188" w:firstLine="420"/>
        <w:jc w:val="both"/>
      </w:pPr>
      <w:r>
        <w:rPr>
          <w:spacing w:val="-1"/>
        </w:rPr>
        <w:t>5、2014年7月3日，公司于中国证监会指定创业板信息披露媒体巨潮资讯网公告了《关于股票期权激励计划首次授予完</w:t>
      </w:r>
      <w:r>
        <w:rPr/>
        <w:t> 成登记的公告》。</w:t>
      </w:r>
    </w:p>
    <w:p>
      <w:pPr>
        <w:pStyle w:val="BodyText"/>
        <w:spacing w:line="316" w:lineRule="auto" w:before="19"/>
        <w:ind w:left="153" w:right="191" w:firstLine="420"/>
        <w:jc w:val="both"/>
      </w:pPr>
      <w:r>
        <w:rPr/>
        <w:t>6、公司于2015年1月26日召开第三届董事会第七次会议及第三届监事会第七次会议审议通过了《关于注销部分已获授 </w:t>
      </w:r>
      <w:r>
        <w:rPr>
          <w:spacing w:val="-2"/>
        </w:rPr>
        <w:t>但尚未行权的股票期权的议案》，公司独立董事对此发表了独立意见，认为公司本次注销部分已不符合激励条件的激励对象</w:t>
      </w:r>
      <w:r>
        <w:rPr>
          <w:spacing w:val="-66"/>
        </w:rPr>
        <w:t> </w:t>
      </w:r>
      <w:r>
        <w:rPr>
          <w:spacing w:val="-66"/>
        </w:rPr>
      </w:r>
      <w:r>
        <w:rPr/>
        <w:t>已获授但尚未行权股票期权，符合《上市公司股权激励管理办法》、《股权激励备忘录 1-3 号》及公司《股票期权与限制 性股票激励计划》等的相关规定，程序合法合规，不会对公司的财务状况和经营成果产生实质性影响。</w:t>
      </w:r>
    </w:p>
    <w:p>
      <w:pPr>
        <w:pStyle w:val="BodyText"/>
        <w:spacing w:line="316" w:lineRule="auto" w:before="19"/>
        <w:ind w:left="153" w:right="191" w:firstLine="420"/>
        <w:jc w:val="both"/>
      </w:pPr>
      <w:r>
        <w:rPr>
          <w:spacing w:val="-1"/>
        </w:rPr>
        <w:t>7、2015年2月2日，经中国证券登记结算有限责任公司深圳分公司审核确认，第三届董事会第七次会议审议通过的《关</w:t>
      </w:r>
      <w:r>
        <w:rPr/>
        <w:t> </w:t>
      </w:r>
      <w:r>
        <w:rPr>
          <w:spacing w:val="-2"/>
        </w:rPr>
        <w:t>于注销部分已获授但尚未行权的股票期权的议案》中五名离职人员的股票期权注销事宜已办理完毕，公司同日披露了《关于</w:t>
      </w:r>
      <w:r>
        <w:rPr>
          <w:spacing w:val="-66"/>
        </w:rPr>
        <w:t> </w:t>
      </w:r>
      <w:r>
        <w:rPr>
          <w:spacing w:val="-66"/>
        </w:rPr>
      </w:r>
      <w:r>
        <w:rPr/>
        <w:t>部分已授予股票期权注销完成的公告》。</w:t>
      </w:r>
    </w:p>
    <w:p>
      <w:pPr>
        <w:spacing w:line="240" w:lineRule="auto" w:before="4"/>
        <w:rPr>
          <w:rFonts w:ascii="宋体" w:hAnsi="宋体" w:cs="宋体" w:eastAsia="宋体" w:hint="default"/>
          <w:sz w:val="25"/>
          <w:szCs w:val="25"/>
        </w:rPr>
      </w:pPr>
    </w:p>
    <w:p>
      <w:pPr>
        <w:pStyle w:val="BodyText"/>
        <w:spacing w:line="240" w:lineRule="auto" w:before="0"/>
        <w:ind w:left="153" w:right="660"/>
        <w:jc w:val="left"/>
      </w:pPr>
      <w:r>
        <w:rPr/>
        <w:t>股权激励事项临时报告披露网站查询</w:t>
      </w:r>
    </w:p>
    <w:p>
      <w:pPr>
        <w:spacing w:line="240" w:lineRule="auto" w:before="12"/>
        <w:rPr>
          <w:rFonts w:ascii="宋体" w:hAnsi="宋体" w:cs="宋体" w:eastAsia="宋体" w:hint="default"/>
          <w:sz w:val="28"/>
          <w:szCs w:val="28"/>
        </w:rPr>
      </w:pPr>
    </w:p>
    <w:tbl>
      <w:tblPr>
        <w:tblW w:w="0" w:type="auto"/>
        <w:jc w:val="left"/>
        <w:tblInd w:w="137" w:type="dxa"/>
        <w:tblLayout w:type="fixed"/>
        <w:tblCellMar>
          <w:top w:w="0" w:type="dxa"/>
          <w:left w:w="0" w:type="dxa"/>
          <w:bottom w:w="0" w:type="dxa"/>
          <w:right w:w="0" w:type="dxa"/>
        </w:tblCellMar>
        <w:tblLook w:val="01E0"/>
      </w:tblPr>
      <w:tblGrid>
        <w:gridCol w:w="3217"/>
        <w:gridCol w:w="3221"/>
        <w:gridCol w:w="3220"/>
      </w:tblGrid>
      <w:tr>
        <w:trPr>
          <w:trHeight w:val="347" w:hRule="exact"/>
        </w:trPr>
        <w:tc>
          <w:tcPr>
            <w:tcW w:w="3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临时公告名称</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临时公告披露索引</w:t>
            </w:r>
          </w:p>
        </w:tc>
      </w:tr>
      <w:tr>
        <w:trPr>
          <w:trHeight w:val="347" w:hRule="exact"/>
        </w:trPr>
        <w:tc>
          <w:tcPr>
            <w:tcW w:w="3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第二届董事会第十八次会议决议公告</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2014/2/21</w:t>
            </w:r>
          </w:p>
        </w:tc>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2014-016</w:t>
            </w:r>
          </w:p>
        </w:tc>
      </w:tr>
      <w:tr>
        <w:trPr>
          <w:trHeight w:val="347" w:hRule="exact"/>
        </w:trPr>
        <w:tc>
          <w:tcPr>
            <w:tcW w:w="3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第二届监事会第十六次会议决议公告</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2014/2/21</w:t>
            </w:r>
          </w:p>
        </w:tc>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2014-017</w:t>
            </w:r>
          </w:p>
        </w:tc>
      </w:tr>
      <w:tr>
        <w:trPr>
          <w:trHeight w:val="348" w:hRule="exact"/>
        </w:trPr>
        <w:tc>
          <w:tcPr>
            <w:tcW w:w="3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2014年股票期权激励计划（草案）</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2014/2/21</w:t>
            </w:r>
          </w:p>
        </w:tc>
        <w:tc>
          <w:tcPr>
            <w:tcW w:w="322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2014年股票期权激励计划（草案）摘要</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sz w:val="18"/>
              </w:rPr>
              <w:t>2014/2/21</w:t>
            </w:r>
          </w:p>
        </w:tc>
        <w:tc>
          <w:tcPr>
            <w:tcW w:w="3220"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321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pacing w:val="-3"/>
                <w:sz w:val="18"/>
                <w:szCs w:val="18"/>
              </w:rPr>
              <w:t>北京市盈科（深圳）律师事务所关于公司</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股票期权激励计划的法律意见书</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2014/2/21</w:t>
            </w:r>
          </w:p>
        </w:tc>
        <w:tc>
          <w:tcPr>
            <w:tcW w:w="3220"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321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0"/>
              <w:jc w:val="left"/>
              <w:rPr>
                <w:rFonts w:ascii="宋体" w:hAnsi="宋体" w:cs="宋体" w:eastAsia="宋体" w:hint="default"/>
                <w:sz w:val="18"/>
                <w:szCs w:val="18"/>
              </w:rPr>
            </w:pPr>
            <w:r>
              <w:rPr>
                <w:rFonts w:ascii="宋体" w:hAnsi="宋体" w:cs="宋体" w:eastAsia="宋体" w:hint="default"/>
                <w:spacing w:val="-3"/>
                <w:sz w:val="18"/>
                <w:szCs w:val="18"/>
              </w:rPr>
              <w:t>独立董事关于公司《2014年度股票期权激</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励计划（草案）》的独立意见</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2014/2/21</w:t>
            </w:r>
          </w:p>
        </w:tc>
        <w:tc>
          <w:tcPr>
            <w:tcW w:w="322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股票期权激励计划管理办法</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2014/2/21</w:t>
            </w:r>
          </w:p>
        </w:tc>
        <w:tc>
          <w:tcPr>
            <w:tcW w:w="322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股票期权激励计划激励对象名单</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2014/2/21</w:t>
            </w:r>
          </w:p>
        </w:tc>
        <w:tc>
          <w:tcPr>
            <w:tcW w:w="322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股票期权激励计划实施考核办法</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2014/2/21</w:t>
            </w:r>
          </w:p>
        </w:tc>
        <w:tc>
          <w:tcPr>
            <w:tcW w:w="3220"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321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38"/>
              <w:jc w:val="left"/>
              <w:rPr>
                <w:rFonts w:ascii="宋体" w:hAnsi="宋体" w:cs="宋体" w:eastAsia="宋体" w:hint="default"/>
                <w:sz w:val="18"/>
                <w:szCs w:val="18"/>
              </w:rPr>
            </w:pPr>
            <w:r>
              <w:rPr>
                <w:rFonts w:ascii="宋体" w:hAnsi="宋体" w:cs="宋体" w:eastAsia="宋体" w:hint="default"/>
                <w:sz w:val="18"/>
                <w:szCs w:val="18"/>
              </w:rPr>
              <w:t>关于本次股票期权激励计划激励对象合 理性的说明</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sz w:val="18"/>
              </w:rPr>
              <w:t>2014/2/21</w:t>
            </w:r>
          </w:p>
        </w:tc>
        <w:tc>
          <w:tcPr>
            <w:tcW w:w="3220"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321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38"/>
              <w:jc w:val="left"/>
              <w:rPr>
                <w:rFonts w:ascii="宋体" w:hAnsi="宋体" w:cs="宋体" w:eastAsia="宋体" w:hint="default"/>
                <w:sz w:val="18"/>
                <w:szCs w:val="18"/>
              </w:rPr>
            </w:pPr>
            <w:r>
              <w:rPr>
                <w:rFonts w:ascii="宋体" w:hAnsi="宋体" w:cs="宋体" w:eastAsia="宋体" w:hint="default"/>
                <w:sz w:val="18"/>
                <w:szCs w:val="18"/>
              </w:rPr>
              <w:t>监事会关于本次股票期权激励计划对象 名单和核实意见</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2014/2/21</w:t>
            </w:r>
          </w:p>
        </w:tc>
        <w:tc>
          <w:tcPr>
            <w:tcW w:w="3220"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321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38"/>
              <w:jc w:val="left"/>
              <w:rPr>
                <w:rFonts w:ascii="宋体" w:hAnsi="宋体" w:cs="宋体" w:eastAsia="宋体" w:hint="default"/>
                <w:sz w:val="18"/>
                <w:szCs w:val="18"/>
              </w:rPr>
            </w:pPr>
            <w:r>
              <w:rPr>
                <w:rFonts w:ascii="宋体" w:hAnsi="宋体" w:cs="宋体" w:eastAsia="宋体" w:hint="default"/>
                <w:sz w:val="18"/>
                <w:szCs w:val="18"/>
              </w:rPr>
              <w:t>关于股票期权激励计划获得中国证监会 备案无异议的公告</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2014/4/8</w:t>
            </w:r>
          </w:p>
        </w:tc>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2014-035</w:t>
            </w:r>
          </w:p>
        </w:tc>
      </w:tr>
      <w:tr>
        <w:trPr>
          <w:trHeight w:val="347" w:hRule="exact"/>
        </w:trPr>
        <w:tc>
          <w:tcPr>
            <w:tcW w:w="3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第二届董事会第十九次会议决议公告</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2014/4/10</w:t>
            </w:r>
          </w:p>
        </w:tc>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2014-037</w:t>
            </w:r>
          </w:p>
        </w:tc>
      </w:tr>
      <w:tr>
        <w:trPr>
          <w:trHeight w:val="347" w:hRule="exact"/>
        </w:trPr>
        <w:tc>
          <w:tcPr>
            <w:tcW w:w="3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第二届监事会第十七次会议决议公告</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2014/4/10</w:t>
            </w:r>
          </w:p>
        </w:tc>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2014-038</w:t>
            </w:r>
          </w:p>
        </w:tc>
      </w:tr>
      <w:tr>
        <w:trPr>
          <w:trHeight w:val="348" w:hRule="exact"/>
        </w:trPr>
        <w:tc>
          <w:tcPr>
            <w:tcW w:w="3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19"/>
              <w:jc w:val="left"/>
              <w:rPr>
                <w:rFonts w:ascii="宋体" w:hAnsi="宋体" w:cs="宋体" w:eastAsia="宋体" w:hint="default"/>
                <w:sz w:val="18"/>
                <w:szCs w:val="18"/>
              </w:rPr>
            </w:pPr>
            <w:r>
              <w:rPr>
                <w:rFonts w:ascii="宋体" w:hAnsi="宋体" w:cs="宋体" w:eastAsia="宋体" w:hint="default"/>
                <w:spacing w:val="-2"/>
                <w:sz w:val="18"/>
                <w:szCs w:val="18"/>
              </w:rPr>
              <w:t>2014年股票期权激励计划（草案修订稿）</w:t>
            </w:r>
            <w:r>
              <w:rPr>
                <w:rFonts w:ascii="宋体" w:hAnsi="宋体" w:cs="宋体" w:eastAsia="宋体" w:hint="default"/>
                <w:sz w:val="18"/>
                <w:szCs w:val="18"/>
              </w:rPr>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2014/4/10</w:t>
            </w:r>
          </w:p>
        </w:tc>
        <w:tc>
          <w:tcPr>
            <w:tcW w:w="3220"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321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9"/>
              <w:jc w:val="left"/>
              <w:rPr>
                <w:rFonts w:ascii="宋体" w:hAnsi="宋体" w:cs="宋体" w:eastAsia="宋体" w:hint="default"/>
                <w:sz w:val="18"/>
                <w:szCs w:val="18"/>
              </w:rPr>
            </w:pPr>
            <w:r>
              <w:rPr>
                <w:rFonts w:ascii="宋体" w:hAnsi="宋体" w:cs="宋体" w:eastAsia="宋体" w:hint="default"/>
                <w:spacing w:val="-2"/>
                <w:sz w:val="18"/>
                <w:szCs w:val="18"/>
              </w:rPr>
              <w:t>2014年股票期权激励计划（草案修订稿）</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摘要</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sz w:val="18"/>
              </w:rPr>
              <w:t>2014/4/10</w:t>
            </w:r>
          </w:p>
        </w:tc>
        <w:tc>
          <w:tcPr>
            <w:tcW w:w="322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pacing w:val="-3"/>
                <w:sz w:val="18"/>
                <w:szCs w:val="18"/>
              </w:rPr>
              <w:t>北京市盈科（深圳）律师事务所关于公司</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2014/4/10</w:t>
            </w:r>
          </w:p>
        </w:tc>
        <w:tc>
          <w:tcPr>
            <w:tcW w:w="322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982" w:top="1060" w:bottom="118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7" w:type="dxa"/>
        <w:tblLayout w:type="fixed"/>
        <w:tblCellMar>
          <w:top w:w="0" w:type="dxa"/>
          <w:left w:w="0" w:type="dxa"/>
          <w:bottom w:w="0" w:type="dxa"/>
          <w:right w:w="0" w:type="dxa"/>
        </w:tblCellMar>
        <w:tblLook w:val="01E0"/>
      </w:tblPr>
      <w:tblGrid>
        <w:gridCol w:w="3217"/>
        <w:gridCol w:w="3221"/>
        <w:gridCol w:w="3220"/>
      </w:tblGrid>
      <w:tr>
        <w:trPr>
          <w:trHeight w:val="659" w:hRule="exact"/>
        </w:trPr>
        <w:tc>
          <w:tcPr>
            <w:tcW w:w="321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pacing w:val="-3"/>
                <w:sz w:val="18"/>
                <w:szCs w:val="18"/>
              </w:rPr>
              <w:t>股票期权激励计划（草案修订稿）的法律</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意见书</w:t>
            </w:r>
          </w:p>
        </w:tc>
        <w:tc>
          <w:tcPr>
            <w:tcW w:w="3221" w:type="dxa"/>
            <w:tcBorders>
              <w:top w:val="single" w:sz="6" w:space="0" w:color="000000"/>
              <w:left w:val="single" w:sz="6" w:space="0" w:color="000000"/>
              <w:bottom w:val="single" w:sz="6" w:space="0" w:color="000000"/>
              <w:right w:val="single" w:sz="6" w:space="0" w:color="000000"/>
            </w:tcBorders>
          </w:tcPr>
          <w:p>
            <w:pPr/>
          </w:p>
        </w:tc>
        <w:tc>
          <w:tcPr>
            <w:tcW w:w="3220"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321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0"/>
              <w:jc w:val="left"/>
              <w:rPr>
                <w:rFonts w:ascii="宋体" w:hAnsi="宋体" w:cs="宋体" w:eastAsia="宋体" w:hint="default"/>
                <w:sz w:val="18"/>
                <w:szCs w:val="18"/>
              </w:rPr>
            </w:pPr>
            <w:r>
              <w:rPr>
                <w:rFonts w:ascii="宋体" w:hAnsi="宋体" w:cs="宋体" w:eastAsia="宋体" w:hint="default"/>
                <w:spacing w:val="-3"/>
                <w:sz w:val="18"/>
                <w:szCs w:val="18"/>
              </w:rPr>
              <w:t>独立董事关于公司《2014年股票期权激励</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计划（草案修订稿）》的独立意见</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2014/4/10</w:t>
            </w:r>
          </w:p>
        </w:tc>
        <w:tc>
          <w:tcPr>
            <w:tcW w:w="3220"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321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pacing w:val="-3"/>
                <w:sz w:val="18"/>
                <w:szCs w:val="18"/>
              </w:rPr>
              <w:t>股票期权激励计划（草案修订稿）修订前</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后对照说明</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2014/4/10</w:t>
            </w:r>
          </w:p>
        </w:tc>
        <w:tc>
          <w:tcPr>
            <w:tcW w:w="3220"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321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38"/>
              <w:jc w:val="left"/>
              <w:rPr>
                <w:rFonts w:ascii="宋体" w:hAnsi="宋体" w:cs="宋体" w:eastAsia="宋体" w:hint="default"/>
                <w:sz w:val="18"/>
                <w:szCs w:val="18"/>
              </w:rPr>
            </w:pPr>
            <w:r>
              <w:rPr>
                <w:rFonts w:ascii="宋体" w:hAnsi="宋体" w:cs="宋体" w:eastAsia="宋体" w:hint="default"/>
                <w:sz w:val="18"/>
                <w:szCs w:val="18"/>
              </w:rPr>
              <w:t>股票期权激励计划激励对象名单（调整 后）</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2014/4/10</w:t>
            </w:r>
          </w:p>
        </w:tc>
        <w:tc>
          <w:tcPr>
            <w:tcW w:w="3220"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321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38"/>
              <w:jc w:val="left"/>
              <w:rPr>
                <w:rFonts w:ascii="宋体" w:hAnsi="宋体" w:cs="宋体" w:eastAsia="宋体" w:hint="default"/>
                <w:sz w:val="18"/>
                <w:szCs w:val="18"/>
              </w:rPr>
            </w:pPr>
            <w:r>
              <w:rPr>
                <w:rFonts w:ascii="宋体" w:hAnsi="宋体" w:cs="宋体" w:eastAsia="宋体" w:hint="default"/>
                <w:sz w:val="18"/>
                <w:szCs w:val="18"/>
              </w:rPr>
              <w:t>监事会关于本次股票期权激励计划对象 名单（调整后）的核实意见</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sz w:val="18"/>
              </w:rPr>
              <w:t>2014/4/10</w:t>
            </w:r>
          </w:p>
        </w:tc>
        <w:tc>
          <w:tcPr>
            <w:tcW w:w="322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第三届董事会第二次会议决议</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2014/5/12</w:t>
            </w:r>
          </w:p>
        </w:tc>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2014-069</w:t>
            </w:r>
          </w:p>
        </w:tc>
      </w:tr>
      <w:tr>
        <w:trPr>
          <w:trHeight w:val="347" w:hRule="exact"/>
        </w:trPr>
        <w:tc>
          <w:tcPr>
            <w:tcW w:w="3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第三届监事会第二次会议决议</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2014/5/12</w:t>
            </w:r>
          </w:p>
        </w:tc>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2014-072</w:t>
            </w:r>
          </w:p>
        </w:tc>
      </w:tr>
      <w:tr>
        <w:trPr>
          <w:trHeight w:val="971" w:hRule="exact"/>
        </w:trPr>
        <w:tc>
          <w:tcPr>
            <w:tcW w:w="321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pacing w:val="-3"/>
                <w:sz w:val="18"/>
                <w:szCs w:val="18"/>
              </w:rPr>
              <w:t>北京市盈科（深圳）律师事务所关于公司</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股票期权激励计划授予股票期权的法律 意见书</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2014/5/12</w:t>
            </w:r>
          </w:p>
        </w:tc>
        <w:tc>
          <w:tcPr>
            <w:tcW w:w="3220"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321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38"/>
              <w:jc w:val="left"/>
              <w:rPr>
                <w:rFonts w:ascii="宋体" w:hAnsi="宋体" w:cs="宋体" w:eastAsia="宋体" w:hint="default"/>
                <w:sz w:val="18"/>
                <w:szCs w:val="18"/>
              </w:rPr>
            </w:pPr>
            <w:r>
              <w:rPr>
                <w:rFonts w:ascii="宋体" w:hAnsi="宋体" w:cs="宋体" w:eastAsia="宋体" w:hint="default"/>
                <w:sz w:val="18"/>
                <w:szCs w:val="18"/>
              </w:rPr>
              <w:t>调整股票期权激励计划激励对象名单及 授予数量的公告</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2014/5/12</w:t>
            </w:r>
          </w:p>
        </w:tc>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2014-071</w:t>
            </w:r>
          </w:p>
        </w:tc>
      </w:tr>
      <w:tr>
        <w:trPr>
          <w:trHeight w:val="660" w:hRule="exact"/>
        </w:trPr>
        <w:tc>
          <w:tcPr>
            <w:tcW w:w="321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38"/>
              <w:jc w:val="left"/>
              <w:rPr>
                <w:rFonts w:ascii="宋体" w:hAnsi="宋体" w:cs="宋体" w:eastAsia="宋体" w:hint="default"/>
                <w:sz w:val="18"/>
                <w:szCs w:val="18"/>
              </w:rPr>
            </w:pPr>
            <w:r>
              <w:rPr>
                <w:rFonts w:ascii="宋体" w:hAnsi="宋体" w:cs="宋体" w:eastAsia="宋体" w:hint="default"/>
                <w:sz w:val="18"/>
                <w:szCs w:val="18"/>
              </w:rPr>
              <w:t>股票期权激励计划激励对象名单（调整 后）</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2014/5/12</w:t>
            </w:r>
          </w:p>
        </w:tc>
        <w:tc>
          <w:tcPr>
            <w:tcW w:w="322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关于向激励对象授予股票期权的公告</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sz w:val="18"/>
              </w:rPr>
              <w:t>2014/5/12</w:t>
            </w:r>
          </w:p>
        </w:tc>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2014-070</w:t>
            </w:r>
          </w:p>
        </w:tc>
      </w:tr>
      <w:tr>
        <w:trPr>
          <w:trHeight w:val="659" w:hRule="exact"/>
        </w:trPr>
        <w:tc>
          <w:tcPr>
            <w:tcW w:w="321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38"/>
              <w:jc w:val="left"/>
              <w:rPr>
                <w:rFonts w:ascii="宋体" w:hAnsi="宋体" w:cs="宋体" w:eastAsia="宋体" w:hint="default"/>
                <w:sz w:val="18"/>
                <w:szCs w:val="18"/>
              </w:rPr>
            </w:pPr>
            <w:r>
              <w:rPr>
                <w:rFonts w:ascii="宋体" w:hAnsi="宋体" w:cs="宋体" w:eastAsia="宋体" w:hint="default"/>
                <w:sz w:val="18"/>
                <w:szCs w:val="18"/>
              </w:rPr>
              <w:t>独立董事对本次股票期权授予事项的独 立意见</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2014/5/12</w:t>
            </w:r>
          </w:p>
        </w:tc>
        <w:tc>
          <w:tcPr>
            <w:tcW w:w="3220"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321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38"/>
              <w:jc w:val="left"/>
              <w:rPr>
                <w:rFonts w:ascii="宋体" w:hAnsi="宋体" w:cs="宋体" w:eastAsia="宋体" w:hint="default"/>
                <w:sz w:val="18"/>
                <w:szCs w:val="18"/>
              </w:rPr>
            </w:pPr>
            <w:r>
              <w:rPr>
                <w:rFonts w:ascii="宋体" w:hAnsi="宋体" w:cs="宋体" w:eastAsia="宋体" w:hint="default"/>
                <w:sz w:val="18"/>
                <w:szCs w:val="18"/>
              </w:rPr>
              <w:t>关于股票期权激励计划首次授予完成登 记的公告</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2014/7/3</w:t>
            </w:r>
          </w:p>
        </w:tc>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2014-085</w:t>
            </w:r>
          </w:p>
        </w:tc>
      </w:tr>
      <w:tr>
        <w:trPr>
          <w:trHeight w:val="659" w:hRule="exact"/>
        </w:trPr>
        <w:tc>
          <w:tcPr>
            <w:tcW w:w="321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38"/>
              <w:jc w:val="left"/>
              <w:rPr>
                <w:rFonts w:ascii="宋体" w:hAnsi="宋体" w:cs="宋体" w:eastAsia="宋体" w:hint="default"/>
                <w:sz w:val="18"/>
                <w:szCs w:val="18"/>
              </w:rPr>
            </w:pPr>
            <w:r>
              <w:rPr>
                <w:rFonts w:ascii="宋体" w:hAnsi="宋体" w:cs="宋体" w:eastAsia="宋体" w:hint="default"/>
                <w:sz w:val="18"/>
                <w:szCs w:val="18"/>
              </w:rPr>
              <w:t>独立董事关于公司第三届董事会第七次 会议相关事项的独立意见</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2015/1/27</w:t>
            </w:r>
          </w:p>
        </w:tc>
        <w:tc>
          <w:tcPr>
            <w:tcW w:w="322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第三届董事会第七次会议决议公告</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2015/1/27</w:t>
            </w:r>
          </w:p>
        </w:tc>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2015-010</w:t>
            </w:r>
          </w:p>
        </w:tc>
      </w:tr>
      <w:tr>
        <w:trPr>
          <w:trHeight w:val="348" w:hRule="exact"/>
        </w:trPr>
        <w:tc>
          <w:tcPr>
            <w:tcW w:w="3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第三届监事会第七次会议决议公告</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2015/1/27</w:t>
            </w:r>
          </w:p>
        </w:tc>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2015-011</w:t>
            </w:r>
          </w:p>
        </w:tc>
      </w:tr>
      <w:tr>
        <w:trPr>
          <w:trHeight w:val="659" w:hRule="exact"/>
        </w:trPr>
        <w:tc>
          <w:tcPr>
            <w:tcW w:w="321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38"/>
              <w:jc w:val="left"/>
              <w:rPr>
                <w:rFonts w:ascii="宋体" w:hAnsi="宋体" w:cs="宋体" w:eastAsia="宋体" w:hint="default"/>
                <w:sz w:val="18"/>
                <w:szCs w:val="18"/>
              </w:rPr>
            </w:pPr>
            <w:r>
              <w:rPr>
                <w:rFonts w:ascii="宋体" w:hAnsi="宋体" w:cs="宋体" w:eastAsia="宋体" w:hint="default"/>
                <w:sz w:val="18"/>
                <w:szCs w:val="18"/>
              </w:rPr>
              <w:t>独立董事关于公司第三届董事会第七次 会议相关事项的独立意见</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sz w:val="18"/>
              </w:rPr>
              <w:t>2015/1/27</w:t>
            </w:r>
          </w:p>
        </w:tc>
        <w:tc>
          <w:tcPr>
            <w:tcW w:w="3220"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321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38"/>
              <w:jc w:val="left"/>
              <w:rPr>
                <w:rFonts w:ascii="宋体" w:hAnsi="宋体" w:cs="宋体" w:eastAsia="宋体" w:hint="default"/>
                <w:sz w:val="18"/>
                <w:szCs w:val="18"/>
              </w:rPr>
            </w:pPr>
            <w:r>
              <w:rPr>
                <w:rFonts w:ascii="宋体" w:hAnsi="宋体" w:cs="宋体" w:eastAsia="宋体" w:hint="default"/>
                <w:sz w:val="18"/>
                <w:szCs w:val="18"/>
              </w:rPr>
              <w:t>股票期权激励计划激励对象名单（调整 后）</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2015/1/27</w:t>
            </w:r>
          </w:p>
        </w:tc>
        <w:tc>
          <w:tcPr>
            <w:tcW w:w="3220"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321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38"/>
              <w:jc w:val="left"/>
              <w:rPr>
                <w:rFonts w:ascii="宋体" w:hAnsi="宋体" w:cs="宋体" w:eastAsia="宋体" w:hint="default"/>
                <w:sz w:val="18"/>
                <w:szCs w:val="18"/>
              </w:rPr>
            </w:pPr>
            <w:r>
              <w:rPr>
                <w:rFonts w:ascii="宋体" w:hAnsi="宋体" w:cs="宋体" w:eastAsia="宋体" w:hint="default"/>
                <w:sz w:val="18"/>
                <w:szCs w:val="18"/>
              </w:rPr>
              <w:t>关于注销部分股权激励对象已授予股票 期权的公告</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2015/1/27</w:t>
            </w:r>
          </w:p>
        </w:tc>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2015-009</w:t>
            </w:r>
          </w:p>
        </w:tc>
      </w:tr>
      <w:tr>
        <w:trPr>
          <w:trHeight w:val="971" w:hRule="exact"/>
        </w:trPr>
        <w:tc>
          <w:tcPr>
            <w:tcW w:w="321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pacing w:val="-3"/>
                <w:sz w:val="18"/>
                <w:szCs w:val="18"/>
              </w:rPr>
              <w:t>北京市中银（深圳）律师事务所关于公司</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注销部分股权激励对象已授予股票期权 的法律意见书</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2015/1/27</w:t>
            </w:r>
          </w:p>
        </w:tc>
        <w:tc>
          <w:tcPr>
            <w:tcW w:w="3220"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321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38"/>
              <w:jc w:val="left"/>
              <w:rPr>
                <w:rFonts w:ascii="宋体" w:hAnsi="宋体" w:cs="宋体" w:eastAsia="宋体" w:hint="default"/>
                <w:sz w:val="18"/>
                <w:szCs w:val="18"/>
              </w:rPr>
            </w:pPr>
            <w:r>
              <w:rPr>
                <w:rFonts w:ascii="宋体" w:hAnsi="宋体" w:cs="宋体" w:eastAsia="宋体" w:hint="default"/>
                <w:sz w:val="18"/>
                <w:szCs w:val="18"/>
              </w:rPr>
              <w:t>关于部分已授予股票期权注销完成的公 告</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2015/2/2</w:t>
            </w:r>
          </w:p>
        </w:tc>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2015-016</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11"/>
        <w:rPr>
          <w:rFonts w:ascii="Times New Roman" w:hAnsi="Times New Roman" w:cs="Times New Roman" w:eastAsia="Times New Roman" w:hint="default"/>
          <w:sz w:val="26"/>
          <w:szCs w:val="26"/>
        </w:rPr>
      </w:pPr>
    </w:p>
    <w:p>
      <w:pPr>
        <w:pStyle w:val="Heading2"/>
        <w:spacing w:line="240" w:lineRule="auto" w:before="26"/>
        <w:ind w:right="0"/>
        <w:jc w:val="left"/>
        <w:rPr>
          <w:b w:val="0"/>
          <w:bCs w:val="0"/>
        </w:rPr>
      </w:pPr>
      <w:r>
        <w:rPr/>
        <w:t>六、重大关联交易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right="59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、资产收购、出售发生的关联交易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59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公司报告期未发生资产收购、出售的关联交易。</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、共同对外投资的重大关联交易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公司报告期未发生共同对外投资的重大关联交易。</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67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70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公司报告期无其他重大关联交易。</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七、重大合同及其履行情况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74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公司报告期不存在托管情况。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74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公司报告期不存在承包情况。</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after="0" w:line="240" w:lineRule="auto"/>
        <w:jc w:val="left"/>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ind w:left="153" w:right="0"/>
        <w:jc w:val="left"/>
      </w:pPr>
      <w:r>
        <w:rPr/>
        <w:t>公司报告期不存在租赁情况。</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、担保情况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74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公司报告期不存在担保情况。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、委托理财、衍生品投资和委托贷款情况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74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公司报告期不存在委托理财。</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）衍生品投资情况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72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公司报告期不存在衍生品投资。</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）委托贷款情况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74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公司报告期不存在委托贷款。</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70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公司报告期不存在其他重大合同。</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八、承诺事项履行情况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、公司或持股</w:t>
      </w:r>
      <w:r>
        <w:rPr>
          <w:spacing w:val="-62"/>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4"/>
        <w:gridCol w:w="1273"/>
        <w:gridCol w:w="1278"/>
        <w:gridCol w:w="1277"/>
        <w:gridCol w:w="1277"/>
        <w:gridCol w:w="126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1"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4"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3"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3"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273"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 诺</w:t>
            </w:r>
          </w:p>
        </w:tc>
        <w:tc>
          <w:tcPr>
            <w:tcW w:w="1273" w:type="dxa"/>
            <w:tcBorders>
              <w:top w:val="single" w:sz="4" w:space="0" w:color="000000"/>
              <w:left w:val="single" w:sz="13" w:space="0" w:color="D3D3D3"/>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73"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452" w:hRule="exact"/>
        </w:trPr>
        <w:tc>
          <w:tcPr>
            <w:tcW w:w="31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27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0"/>
              <w:jc w:val="both"/>
              <w:rPr>
                <w:rFonts w:ascii="宋体" w:hAnsi="宋体" w:cs="宋体" w:eastAsia="宋体" w:hint="default"/>
                <w:sz w:val="18"/>
                <w:szCs w:val="18"/>
              </w:rPr>
            </w:pPr>
            <w:r>
              <w:rPr>
                <w:rFonts w:ascii="宋体" w:hAnsi="宋体" w:cs="宋体" w:eastAsia="宋体" w:hint="default"/>
                <w:spacing w:val="-7"/>
                <w:sz w:val="18"/>
                <w:szCs w:val="18"/>
              </w:rPr>
              <w:t>刘祥、江汉、汪</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7"/>
                <w:sz w:val="18"/>
                <w:szCs w:val="18"/>
              </w:rPr>
              <w:t>洋、韦余红、李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林杰、栾承岚、</w:t>
            </w:r>
          </w:p>
        </w:tc>
        <w:tc>
          <w:tcPr>
            <w:tcW w:w="1278"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16"/>
              <w:jc w:val="left"/>
              <w:rPr>
                <w:rFonts w:ascii="宋体" w:hAnsi="宋体" w:cs="宋体" w:eastAsia="宋体" w:hint="default"/>
                <w:sz w:val="18"/>
                <w:szCs w:val="18"/>
              </w:rPr>
            </w:pPr>
            <w:r>
              <w:rPr>
                <w:rFonts w:ascii="宋体" w:hAnsi="宋体" w:cs="宋体" w:eastAsia="宋体" w:hint="default"/>
                <w:sz w:val="18"/>
                <w:szCs w:val="18"/>
              </w:rPr>
              <w:t>在其本人及关 联方担任董事、 </w:t>
            </w:r>
            <w:r>
              <w:rPr>
                <w:rFonts w:ascii="宋体" w:hAnsi="宋体" w:cs="宋体" w:eastAsia="宋体" w:hint="default"/>
                <w:spacing w:val="-6"/>
                <w:sz w:val="18"/>
                <w:szCs w:val="18"/>
              </w:rPr>
              <w:t>监事、高级管理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人员职务期间，</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26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5"/>
              <w:jc w:val="left"/>
              <w:rPr>
                <w:rFonts w:ascii="宋体" w:hAnsi="宋体" w:cs="宋体" w:eastAsia="宋体" w:hint="default"/>
                <w:sz w:val="18"/>
                <w:szCs w:val="18"/>
              </w:rPr>
            </w:pPr>
            <w:r>
              <w:rPr>
                <w:rFonts w:ascii="宋体" w:hAnsi="宋体" w:cs="宋体" w:eastAsia="宋体" w:hint="default"/>
                <w:sz w:val="18"/>
                <w:szCs w:val="18"/>
              </w:rPr>
              <w:t>截至本报告期 </w:t>
            </w:r>
            <w:r>
              <w:rPr>
                <w:rFonts w:ascii="宋体" w:hAnsi="宋体" w:cs="宋体" w:eastAsia="宋体" w:hint="default"/>
                <w:spacing w:val="-7"/>
                <w:sz w:val="18"/>
                <w:szCs w:val="18"/>
              </w:rPr>
              <w:t>末，所有承诺人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严格信守承诺， 未有违反承诺</w:t>
            </w:r>
          </w:p>
        </w:tc>
      </w:tr>
      <w:tr>
        <w:trPr>
          <w:trHeight w:val="392"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273" w:type="dxa"/>
            <w:vMerge/>
            <w:tcBorders>
              <w:left w:val="single" w:sz="4" w:space="0" w:color="000000"/>
              <w:right w:val="single" w:sz="4" w:space="0" w:color="000000"/>
            </w:tcBorders>
          </w:tcPr>
          <w:p>
            <w:pPr/>
          </w:p>
        </w:tc>
        <w:tc>
          <w:tcPr>
            <w:tcW w:w="1278"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454" w:hRule="exact"/>
        </w:trPr>
        <w:tc>
          <w:tcPr>
            <w:tcW w:w="31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273" w:type="dxa"/>
            <w:vMerge/>
            <w:tcBorders>
              <w:left w:val="single" w:sz="4" w:space="0" w:color="000000"/>
              <w:bottom w:val="single" w:sz="4" w:space="0" w:color="000000"/>
              <w:right w:val="single" w:sz="4" w:space="0" w:color="000000"/>
            </w:tcBorders>
          </w:tcPr>
          <w:p>
            <w:pPr/>
          </w:p>
        </w:tc>
        <w:tc>
          <w:tcPr>
            <w:tcW w:w="1278"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68"/>
      </w:tblGrid>
      <w:tr>
        <w:trPr>
          <w:trHeight w:val="318" w:hRule="exact"/>
        </w:trPr>
        <w:tc>
          <w:tcPr>
            <w:tcW w:w="3194" w:type="dxa"/>
            <w:vMerge w:val="restart"/>
            <w:tcBorders>
              <w:top w:val="single" w:sz="4" w:space="0" w:color="000000"/>
              <w:left w:val="single" w:sz="4" w:space="0" w:color="000000"/>
              <w:right w:val="single" w:sz="4" w:space="0" w:color="000000"/>
            </w:tcBorders>
            <w:shd w:val="clear" w:color="auto" w:fill="D3D3D3"/>
          </w:tcPr>
          <w:p>
            <w:pPr/>
          </w:p>
        </w:tc>
        <w:tc>
          <w:tcPr>
            <w:tcW w:w="127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赵辉</w:t>
            </w:r>
          </w:p>
        </w:tc>
        <w:tc>
          <w:tcPr>
            <w:tcW w:w="12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每年转让的公</w:t>
            </w:r>
          </w:p>
        </w:tc>
        <w:tc>
          <w:tcPr>
            <w:tcW w:w="1277" w:type="dxa"/>
            <w:vMerge w:val="restart"/>
            <w:tcBorders>
              <w:top w:val="single" w:sz="4" w:space="0" w:color="000000"/>
              <w:left w:val="single" w:sz="4" w:space="0" w:color="000000"/>
              <w:right w:val="single" w:sz="4" w:space="0" w:color="000000"/>
            </w:tcBorders>
          </w:tcPr>
          <w:p>
            <w:pPr>
              <w:pStyle w:val="TableParagraph"/>
              <w:spacing w:line="1372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63.4pt;height:686.4pt;mso-position-horizontal-relative:char;mso-position-vertical-relative:line" coordorigin="0,0" coordsize="1268,13728">
                  <v:group style="position:absolute;left:0;top:0;width:1268;height:13728" coordorigin="0,0" coordsize="1268,13728">
                    <v:shape style="position:absolute;left:0;top:0;width:1268;height:13728" coordorigin="0,0" coordsize="1268,13728" path="m0,13728l1267,13728,1267,0,0,0,0,13728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277" w:type="dxa"/>
            <w:vMerge w:val="restart"/>
            <w:tcBorders>
              <w:top w:val="single" w:sz="4" w:space="0" w:color="000000"/>
              <w:left w:val="single" w:sz="4" w:space="0" w:color="000000"/>
              <w:right w:val="single" w:sz="4" w:space="0" w:color="000000"/>
            </w:tcBorders>
          </w:tcPr>
          <w:p>
            <w:pPr/>
          </w:p>
        </w:tc>
        <w:tc>
          <w:tcPr>
            <w:tcW w:w="12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的情况发生。</w:t>
            </w:r>
          </w:p>
        </w:tc>
      </w:tr>
      <w:tr>
        <w:trPr>
          <w:trHeight w:val="311"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司股份不超过</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其所持有的股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31"/>
              <w:jc w:val="left"/>
              <w:rPr>
                <w:rFonts w:ascii="宋体" w:hAnsi="宋体" w:cs="宋体" w:eastAsia="宋体" w:hint="default"/>
                <w:sz w:val="18"/>
                <w:szCs w:val="18"/>
              </w:rPr>
            </w:pPr>
            <w:r>
              <w:rPr>
                <w:rFonts w:ascii="宋体" w:hAnsi="宋体" w:cs="宋体" w:eastAsia="宋体" w:hint="default"/>
                <w:sz w:val="18"/>
                <w:szCs w:val="18"/>
              </w:rPr>
              <w:t>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离职后半年内</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不转让其所持</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有的公司的股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份；在申报离任</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六个月后的十</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二月内通过证</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券交易所挂牌</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交易出售公司</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股票数量占其</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所持有公司股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票总数的比例</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不超过百分之</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五十。</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 </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月，在公司</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担任董事、监</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事、高级管理人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6"/>
              <w:jc w:val="left"/>
              <w:rPr>
                <w:rFonts w:ascii="宋体" w:hAnsi="宋体" w:cs="宋体" w:eastAsia="宋体" w:hint="default"/>
                <w:sz w:val="18"/>
                <w:szCs w:val="18"/>
              </w:rPr>
            </w:pPr>
            <w:r>
              <w:rPr>
                <w:rFonts w:ascii="宋体" w:hAnsi="宋体" w:cs="宋体" w:eastAsia="宋体" w:hint="default"/>
                <w:sz w:val="18"/>
                <w:szCs w:val="18"/>
              </w:rPr>
              <w:t>员的股东刘祥、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江汉、汪洋、韦</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6"/>
              <w:jc w:val="left"/>
              <w:rPr>
                <w:rFonts w:ascii="宋体" w:hAnsi="宋体" w:cs="宋体" w:eastAsia="宋体" w:hint="default"/>
                <w:sz w:val="18"/>
                <w:szCs w:val="18"/>
              </w:rPr>
            </w:pPr>
            <w:r>
              <w:rPr>
                <w:rFonts w:ascii="宋体" w:hAnsi="宋体" w:cs="宋体" w:eastAsia="宋体" w:hint="default"/>
                <w:sz w:val="18"/>
                <w:szCs w:val="18"/>
              </w:rPr>
              <w:t>余红、李林杰、</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栾承岚、赵辉补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充承诺：</w:t>
            </w:r>
            <w:r>
              <w:rPr>
                <w:rFonts w:ascii="Times New Roman" w:hAnsi="Times New Roman" w:cs="Times New Roman" w:eastAsia="Times New Roman" w:hint="default"/>
                <w:sz w:val="18"/>
                <w:szCs w:val="18"/>
              </w:rPr>
              <w:t>“</w:t>
            </w:r>
            <w:r>
              <w:rPr>
                <w:rFonts w:ascii="宋体" w:hAnsi="宋体" w:cs="宋体" w:eastAsia="宋体" w:hint="default"/>
                <w:sz w:val="18"/>
                <w:szCs w:val="18"/>
              </w:rPr>
              <w:t>若在</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首次公开发行</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股票上市之日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起六个月内（含</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第六个月）申报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离职，将自申报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离职之日起十</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八个月（含第十</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八个月）内不转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让本人直接持</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有的本公司股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份；本人若在首</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次公开发行股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票上市之日起</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第七个月至第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十二个月（含第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七个月、第十二</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个月）之间申报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离职，将自申报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3194" w:type="dxa"/>
            <w:vMerge/>
            <w:tcBorders>
              <w:left w:val="single" w:sz="4" w:space="0" w:color="000000"/>
              <w:bottom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2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离职之日起十</w:t>
            </w: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68"/>
      </w:tblGrid>
      <w:tr>
        <w:trPr>
          <w:trHeight w:val="317" w:hRule="exact"/>
        </w:trPr>
        <w:tc>
          <w:tcPr>
            <w:tcW w:w="3194" w:type="dxa"/>
            <w:vMerge w:val="restart"/>
            <w:tcBorders>
              <w:top w:val="single" w:sz="4" w:space="0" w:color="000000"/>
              <w:left w:val="single" w:sz="4" w:space="0" w:color="000000"/>
              <w:right w:val="single" w:sz="4" w:space="0" w:color="000000"/>
            </w:tcBorders>
            <w:shd w:val="clear" w:color="auto" w:fill="D3D3D3"/>
          </w:tcPr>
          <w:p>
            <w:pPr/>
          </w:p>
        </w:tc>
        <w:tc>
          <w:tcPr>
            <w:tcW w:w="1274" w:type="dxa"/>
            <w:vMerge w:val="restart"/>
            <w:tcBorders>
              <w:top w:val="single" w:sz="4" w:space="0" w:color="000000"/>
              <w:left w:val="single" w:sz="4" w:space="0" w:color="000000"/>
              <w:right w:val="single" w:sz="4" w:space="0" w:color="000000"/>
            </w:tcBorders>
          </w:tcPr>
          <w:p>
            <w:pPr/>
          </w:p>
        </w:tc>
        <w:tc>
          <w:tcPr>
            <w:tcW w:w="12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二个月内（含第</w:t>
            </w:r>
          </w:p>
        </w:tc>
        <w:tc>
          <w:tcPr>
            <w:tcW w:w="1277"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268" w:type="dxa"/>
            <w:vMerge w:val="restart"/>
            <w:tcBorders>
              <w:top w:val="single" w:sz="4" w:space="0" w:color="000000"/>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十二个月）不转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让本人直接持</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有的本公司股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份。因上市公司</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进行权益分派</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等导致本人直</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接持有本公司</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股份发生变化</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3" w:hRule="exact"/>
        </w:trPr>
        <w:tc>
          <w:tcPr>
            <w:tcW w:w="3194"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的，本人仍遵守</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57" w:hRule="exact"/>
        </w:trPr>
        <w:tc>
          <w:tcPr>
            <w:tcW w:w="3194"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bottom w:val="single" w:sz="4" w:space="0" w:color="000000"/>
              <w:right w:val="single" w:sz="4" w:space="0" w:color="000000"/>
            </w:tcBorders>
          </w:tcPr>
          <w:p>
            <w:pPr/>
          </w:p>
        </w:tc>
        <w:tc>
          <w:tcPr>
            <w:tcW w:w="12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前款承诺</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8" w:type="dxa"/>
            <w:vMerge/>
            <w:tcBorders>
              <w:left w:val="single" w:sz="4" w:space="0" w:color="000000"/>
              <w:bottom w:val="single" w:sz="4" w:space="0" w:color="000000"/>
              <w:right w:val="single" w:sz="4" w:space="0" w:color="000000"/>
            </w:tcBorders>
          </w:tcPr>
          <w:p>
            <w:pPr/>
          </w:p>
        </w:tc>
      </w:tr>
      <w:tr>
        <w:trPr>
          <w:trHeight w:val="357" w:hRule="exact"/>
        </w:trPr>
        <w:tc>
          <w:tcPr>
            <w:tcW w:w="3194" w:type="dxa"/>
            <w:vMerge/>
            <w:tcBorders>
              <w:left w:val="single" w:sz="4" w:space="0" w:color="000000"/>
              <w:right w:val="single" w:sz="4" w:space="0" w:color="000000"/>
            </w:tcBorders>
            <w:shd w:val="clear" w:color="auto" w:fill="D3D3D3"/>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2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为避免同业竞</w:t>
            </w:r>
          </w:p>
        </w:tc>
        <w:tc>
          <w:tcPr>
            <w:tcW w:w="127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6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争损害公司及</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其他股东的利</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益，公司实际控</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制人刘祥及持</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6"/>
                <w:sz w:val="18"/>
                <w:szCs w:val="18"/>
              </w:rPr>
              <w:t>东刘亚、江汉共</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同做出了以下</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承诺：</w:t>
            </w:r>
            <w:r>
              <w:rPr>
                <w:rFonts w:ascii="Times New Roman" w:hAnsi="Times New Roman" w:cs="Times New Roman" w:eastAsia="Times New Roman" w:hint="default"/>
                <w:sz w:val="18"/>
                <w:szCs w:val="18"/>
              </w:rPr>
              <w:t>1</w:t>
            </w:r>
            <w:r>
              <w:rPr>
                <w:rFonts w:ascii="宋体" w:hAnsi="宋体" w:cs="宋体" w:eastAsia="宋体" w:hint="default"/>
                <w:sz w:val="18"/>
                <w:szCs w:val="18"/>
              </w:rPr>
              <w:t>、不以</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16"/>
              <w:jc w:val="left"/>
              <w:rPr>
                <w:rFonts w:ascii="宋体" w:hAnsi="宋体" w:cs="宋体" w:eastAsia="宋体" w:hint="default"/>
                <w:sz w:val="18"/>
                <w:szCs w:val="18"/>
              </w:rPr>
            </w:pPr>
            <w:r>
              <w:rPr>
                <w:rFonts w:ascii="宋体" w:hAnsi="宋体" w:cs="宋体" w:eastAsia="宋体" w:hint="default"/>
                <w:sz w:val="18"/>
                <w:szCs w:val="18"/>
              </w:rPr>
              <w:t>自营或以合资、</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合作等方式经</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营任何与发行</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人现从事的业</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务有竞争的业</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pacing w:val="-6"/>
                <w:sz w:val="18"/>
                <w:szCs w:val="18"/>
              </w:rPr>
              <w:t>务，刘祥、刘亚</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截至本报告期</w:t>
            </w:r>
          </w:p>
        </w:tc>
      </w:tr>
      <w:tr>
        <w:trPr>
          <w:trHeight w:val="937"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319" w:lineRule="auto" w:before="157"/>
              <w:ind w:left="23" w:right="23"/>
              <w:jc w:val="left"/>
              <w:rPr>
                <w:rFonts w:ascii="宋体" w:hAnsi="宋体" w:cs="宋体" w:eastAsia="宋体" w:hint="default"/>
                <w:sz w:val="18"/>
                <w:szCs w:val="18"/>
              </w:rPr>
            </w:pPr>
            <w:r>
              <w:rPr>
                <w:rFonts w:ascii="宋体" w:hAnsi="宋体" w:cs="宋体" w:eastAsia="宋体" w:hint="default"/>
                <w:spacing w:val="-7"/>
                <w:sz w:val="18"/>
                <w:szCs w:val="18"/>
              </w:rPr>
              <w:t>刘祥、刘亚、江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汉</w:t>
            </w: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3" w:right="20"/>
              <w:jc w:val="left"/>
              <w:rPr>
                <w:rFonts w:ascii="宋体" w:hAnsi="宋体" w:cs="宋体" w:eastAsia="宋体" w:hint="default"/>
                <w:sz w:val="18"/>
                <w:szCs w:val="18"/>
              </w:rPr>
            </w:pPr>
            <w:r>
              <w:rPr>
                <w:rFonts w:ascii="宋体" w:hAnsi="宋体" w:cs="宋体" w:eastAsia="宋体" w:hint="default"/>
                <w:sz w:val="18"/>
                <w:szCs w:val="18"/>
              </w:rPr>
              <w:t>及江汉现有的 或将来成立的 </w:t>
            </w:r>
            <w:r>
              <w:rPr>
                <w:rFonts w:ascii="宋体" w:hAnsi="宋体" w:cs="宋体" w:eastAsia="宋体" w:hint="default"/>
                <w:spacing w:val="-6"/>
                <w:sz w:val="18"/>
                <w:szCs w:val="18"/>
              </w:rPr>
              <w:t>全资子公司、控</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2" w:right="-25"/>
              <w:jc w:val="both"/>
              <w:rPr>
                <w:rFonts w:ascii="宋体" w:hAnsi="宋体" w:cs="宋体" w:eastAsia="宋体" w:hint="default"/>
                <w:sz w:val="18"/>
                <w:szCs w:val="18"/>
              </w:rPr>
            </w:pPr>
            <w:r>
              <w:rPr>
                <w:rFonts w:ascii="宋体" w:hAnsi="宋体" w:cs="宋体" w:eastAsia="宋体" w:hint="default"/>
                <w:spacing w:val="-7"/>
                <w:sz w:val="18"/>
                <w:szCs w:val="18"/>
              </w:rPr>
              <w:t>末，所有承诺人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严格信守承诺， 未有违反承诺</w:t>
            </w:r>
          </w:p>
        </w:tc>
      </w:tr>
      <w:tr>
        <w:trPr>
          <w:trHeight w:val="321"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股子公司以及</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的情况发生。</w:t>
            </w: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其他受刘祥、刘</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亚及江汉控制</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的企业亦不会</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经营与发行人</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现从事的业务</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6"/>
              <w:jc w:val="left"/>
              <w:rPr>
                <w:rFonts w:ascii="宋体" w:hAnsi="宋体" w:cs="宋体" w:eastAsia="宋体" w:hint="default"/>
                <w:sz w:val="18"/>
                <w:szCs w:val="18"/>
              </w:rPr>
            </w:pPr>
            <w:r>
              <w:rPr>
                <w:rFonts w:ascii="宋体" w:hAnsi="宋体" w:cs="宋体" w:eastAsia="宋体" w:hint="default"/>
                <w:sz w:val="18"/>
                <w:szCs w:val="18"/>
              </w:rPr>
              <w:t>有竞争的业务。</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、如违反上述</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6"/>
                <w:sz w:val="18"/>
                <w:szCs w:val="18"/>
              </w:rPr>
              <w:t>承诺，刘祥、刘</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亚及江汉同意</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承担给发行人</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造成的全部损</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失。</w:t>
            </w:r>
            <w:r>
              <w:rPr>
                <w:rFonts w:ascii="Times New Roman" w:hAnsi="Times New Roman" w:cs="Times New Roman" w:eastAsia="Times New Roman" w:hint="default"/>
                <w:sz w:val="18"/>
                <w:szCs w:val="18"/>
              </w:rPr>
              <w:t>3</w:t>
            </w:r>
            <w:r>
              <w:rPr>
                <w:rFonts w:ascii="宋体" w:hAnsi="宋体" w:cs="宋体" w:eastAsia="宋体" w:hint="default"/>
                <w:sz w:val="18"/>
                <w:szCs w:val="18"/>
              </w:rPr>
              <w:t>、本承诺</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自出具之日起</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3194" w:type="dxa"/>
            <w:vMerge/>
            <w:tcBorders>
              <w:left w:val="single" w:sz="4" w:space="0" w:color="000000"/>
              <w:bottom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2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生效，并在刘</w:t>
            </w:r>
          </w:p>
        </w:tc>
        <w:tc>
          <w:tcPr>
            <w:tcW w:w="127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6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68"/>
      </w:tblGrid>
      <w:tr>
        <w:trPr>
          <w:trHeight w:val="317" w:hRule="exact"/>
        </w:trPr>
        <w:tc>
          <w:tcPr>
            <w:tcW w:w="3194" w:type="dxa"/>
            <w:vMerge w:val="restart"/>
            <w:tcBorders>
              <w:top w:val="single" w:sz="4" w:space="0" w:color="000000"/>
              <w:left w:val="single" w:sz="4" w:space="0" w:color="000000"/>
              <w:right w:val="single" w:sz="4" w:space="0" w:color="000000"/>
            </w:tcBorders>
            <w:shd w:val="clear" w:color="auto" w:fill="D3D3D3"/>
          </w:tcPr>
          <w:p>
            <w:pPr/>
          </w:p>
        </w:tc>
        <w:tc>
          <w:tcPr>
            <w:tcW w:w="1274" w:type="dxa"/>
            <w:vMerge w:val="restart"/>
            <w:tcBorders>
              <w:top w:val="single" w:sz="4" w:space="0" w:color="000000"/>
              <w:left w:val="single" w:sz="4" w:space="0" w:color="000000"/>
              <w:right w:val="single" w:sz="4" w:space="0" w:color="000000"/>
            </w:tcBorders>
          </w:tcPr>
          <w:p>
            <w:pPr/>
          </w:p>
        </w:tc>
        <w:tc>
          <w:tcPr>
            <w:tcW w:w="12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祥、刘亚及江汉</w:t>
            </w:r>
          </w:p>
        </w:tc>
        <w:tc>
          <w:tcPr>
            <w:tcW w:w="1277"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268" w:type="dxa"/>
            <w:vMerge w:val="restart"/>
            <w:tcBorders>
              <w:top w:val="single" w:sz="4" w:space="0" w:color="000000"/>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作为发行人股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东或关联方的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3" w:hRule="exact"/>
        </w:trPr>
        <w:tc>
          <w:tcPr>
            <w:tcW w:w="3194"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整个期间持续</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57" w:hRule="exact"/>
        </w:trPr>
        <w:tc>
          <w:tcPr>
            <w:tcW w:w="3194"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bottom w:val="single" w:sz="4" w:space="0" w:color="000000"/>
              <w:right w:val="single" w:sz="4" w:space="0" w:color="000000"/>
            </w:tcBorders>
          </w:tcPr>
          <w:p>
            <w:pPr/>
          </w:p>
        </w:tc>
        <w:tc>
          <w:tcPr>
            <w:tcW w:w="12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有效。</w:t>
            </w: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8" w:type="dxa"/>
            <w:vMerge/>
            <w:tcBorders>
              <w:left w:val="single" w:sz="4" w:space="0" w:color="000000"/>
              <w:bottom w:val="single" w:sz="4" w:space="0" w:color="000000"/>
              <w:right w:val="single" w:sz="4" w:space="0" w:color="000000"/>
            </w:tcBorders>
          </w:tcPr>
          <w:p>
            <w:pPr/>
          </w:p>
        </w:tc>
      </w:tr>
      <w:tr>
        <w:trPr>
          <w:trHeight w:val="362" w:hRule="exact"/>
        </w:trPr>
        <w:tc>
          <w:tcPr>
            <w:tcW w:w="3194" w:type="dxa"/>
            <w:vMerge/>
            <w:tcBorders>
              <w:left w:val="single" w:sz="4" w:space="0" w:color="000000"/>
              <w:right w:val="single" w:sz="4" w:space="0" w:color="000000"/>
            </w:tcBorders>
            <w:shd w:val="clear" w:color="auto" w:fill="D3D3D3"/>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2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如公司</w:t>
            </w:r>
            <w:r>
              <w:rPr>
                <w:rFonts w:ascii="Times New Roman" w:hAnsi="Times New Roman" w:cs="Times New Roman" w:eastAsia="Times New Roman" w:hint="default"/>
                <w:sz w:val="18"/>
                <w:szCs w:val="18"/>
              </w:rPr>
              <w:t>(</w:t>
            </w:r>
            <w:r>
              <w:rPr>
                <w:rFonts w:ascii="宋体" w:hAnsi="宋体" w:cs="宋体" w:eastAsia="宋体" w:hint="default"/>
                <w:sz w:val="18"/>
                <w:szCs w:val="18"/>
              </w:rPr>
              <w:t>含下属</w:t>
            </w:r>
          </w:p>
        </w:tc>
        <w:tc>
          <w:tcPr>
            <w:tcW w:w="127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6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因任何</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1867"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pacing w:val="-7"/>
                <w:sz w:val="18"/>
                <w:szCs w:val="18"/>
              </w:rPr>
              <w:t>刘祥、刘亚、江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汉</w:t>
            </w: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16"/>
              <w:jc w:val="left"/>
              <w:rPr>
                <w:rFonts w:ascii="宋体" w:hAnsi="宋体" w:cs="宋体" w:eastAsia="宋体" w:hint="default"/>
                <w:sz w:val="18"/>
                <w:szCs w:val="18"/>
              </w:rPr>
            </w:pPr>
            <w:r>
              <w:rPr>
                <w:rFonts w:ascii="宋体" w:hAnsi="宋体" w:cs="宋体" w:eastAsia="宋体" w:hint="default"/>
                <w:sz w:val="18"/>
                <w:szCs w:val="18"/>
              </w:rPr>
              <w:t>违反税收征管 </w:t>
            </w:r>
            <w:r>
              <w:rPr>
                <w:rFonts w:ascii="宋体" w:hAnsi="宋体" w:cs="宋体" w:eastAsia="宋体" w:hint="default"/>
                <w:spacing w:val="-6"/>
                <w:sz w:val="18"/>
                <w:szCs w:val="18"/>
              </w:rPr>
              <w:t>的法律、法规而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遭受税务主管 机关追讨欠税 并处罚的情况， 本人同意全额</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25"/>
              <w:jc w:val="left"/>
              <w:rPr>
                <w:rFonts w:ascii="宋体" w:hAnsi="宋体" w:cs="宋体" w:eastAsia="宋体" w:hint="default"/>
                <w:sz w:val="18"/>
                <w:szCs w:val="18"/>
              </w:rPr>
            </w:pPr>
            <w:r>
              <w:rPr>
                <w:rFonts w:ascii="宋体" w:hAnsi="宋体" w:cs="宋体" w:eastAsia="宋体" w:hint="default"/>
                <w:sz w:val="18"/>
                <w:szCs w:val="18"/>
              </w:rPr>
              <w:t>截至本报告期 </w:t>
            </w:r>
            <w:r>
              <w:rPr>
                <w:rFonts w:ascii="宋体" w:hAnsi="宋体" w:cs="宋体" w:eastAsia="宋体" w:hint="default"/>
                <w:spacing w:val="-7"/>
                <w:sz w:val="18"/>
                <w:szCs w:val="18"/>
              </w:rPr>
              <w:t>末，所有承诺人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严格信守承诺， 未有违反承诺 的情况发生。</w:t>
            </w:r>
          </w:p>
        </w:tc>
      </w:tr>
      <w:tr>
        <w:trPr>
          <w:trHeight w:val="313"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承担相关的责</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2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任。</w:t>
            </w:r>
          </w:p>
        </w:tc>
        <w:tc>
          <w:tcPr>
            <w:tcW w:w="127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68"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3194" w:type="dxa"/>
            <w:vMerge/>
            <w:tcBorders>
              <w:left w:val="single" w:sz="4" w:space="0" w:color="000000"/>
              <w:right w:val="single" w:sz="4" w:space="0" w:color="000000"/>
            </w:tcBorders>
            <w:shd w:val="clear" w:color="auto" w:fill="D3D3D3"/>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2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如今后公司因</w:t>
            </w:r>
          </w:p>
        </w:tc>
        <w:tc>
          <w:tcPr>
            <w:tcW w:w="127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6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上市前执行住</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房公积金政策</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1872"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pacing w:val="-7"/>
                <w:sz w:val="18"/>
                <w:szCs w:val="18"/>
              </w:rPr>
              <w:t>刘祥、刘亚、江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汉</w:t>
            </w: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6"/>
              <w:jc w:val="left"/>
              <w:rPr>
                <w:rFonts w:ascii="宋体" w:hAnsi="宋体" w:cs="宋体" w:eastAsia="宋体" w:hint="default"/>
                <w:sz w:val="18"/>
                <w:szCs w:val="18"/>
              </w:rPr>
            </w:pPr>
            <w:r>
              <w:rPr>
                <w:rFonts w:ascii="宋体" w:hAnsi="宋体" w:cs="宋体" w:eastAsia="宋体" w:hint="default"/>
                <w:sz w:val="18"/>
                <w:szCs w:val="18"/>
              </w:rPr>
              <w:t>事宜被要求补 缴住房公积金、 缴纳罚款或因 此而遭受任何 </w:t>
            </w:r>
            <w:r>
              <w:rPr>
                <w:rFonts w:ascii="宋体" w:hAnsi="宋体" w:cs="宋体" w:eastAsia="宋体" w:hint="default"/>
                <w:spacing w:val="-6"/>
                <w:sz w:val="18"/>
                <w:szCs w:val="18"/>
              </w:rPr>
              <w:t>损失时，我们将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及时、无条件、</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25"/>
              <w:jc w:val="left"/>
              <w:rPr>
                <w:rFonts w:ascii="宋体" w:hAnsi="宋体" w:cs="宋体" w:eastAsia="宋体" w:hint="default"/>
                <w:sz w:val="18"/>
                <w:szCs w:val="18"/>
              </w:rPr>
            </w:pPr>
            <w:r>
              <w:rPr>
                <w:rFonts w:ascii="宋体" w:hAnsi="宋体" w:cs="宋体" w:eastAsia="宋体" w:hint="default"/>
                <w:sz w:val="18"/>
                <w:szCs w:val="18"/>
              </w:rPr>
              <w:t>截至本报告期 </w:t>
            </w:r>
            <w:r>
              <w:rPr>
                <w:rFonts w:ascii="宋体" w:hAnsi="宋体" w:cs="宋体" w:eastAsia="宋体" w:hint="default"/>
                <w:spacing w:val="-7"/>
                <w:sz w:val="18"/>
                <w:szCs w:val="18"/>
              </w:rPr>
              <w:t>末，所有承诺人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严格信守承诺， 未有违反承诺 的情况发生。</w:t>
            </w: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全额补偿贵司</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由此遭受的一</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2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切损失。</w:t>
            </w:r>
          </w:p>
        </w:tc>
        <w:tc>
          <w:tcPr>
            <w:tcW w:w="127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68"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3194" w:type="dxa"/>
            <w:vMerge/>
            <w:tcBorders>
              <w:left w:val="single" w:sz="4" w:space="0" w:color="000000"/>
              <w:right w:val="single" w:sz="4" w:space="0" w:color="000000"/>
            </w:tcBorders>
            <w:shd w:val="clear" w:color="auto" w:fill="D3D3D3"/>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2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在中国证监会</w:t>
            </w:r>
          </w:p>
        </w:tc>
        <w:tc>
          <w:tcPr>
            <w:tcW w:w="127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6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核准发行人本</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次发行股票并</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上市，且发行人</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公开发行的股</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1872"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319" w:lineRule="auto"/>
              <w:ind w:left="23" w:right="23"/>
              <w:jc w:val="left"/>
              <w:rPr>
                <w:rFonts w:ascii="宋体" w:hAnsi="宋体" w:cs="宋体" w:eastAsia="宋体" w:hint="default"/>
                <w:sz w:val="18"/>
                <w:szCs w:val="18"/>
              </w:rPr>
            </w:pPr>
            <w:r>
              <w:rPr>
                <w:rFonts w:ascii="宋体" w:hAnsi="宋体" w:cs="宋体" w:eastAsia="宋体" w:hint="default"/>
                <w:spacing w:val="-7"/>
                <w:sz w:val="18"/>
                <w:szCs w:val="18"/>
              </w:rPr>
              <w:t>刘祥、刘亚、江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汉</w:t>
            </w: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6"/>
              <w:jc w:val="left"/>
              <w:rPr>
                <w:rFonts w:ascii="宋体" w:hAnsi="宋体" w:cs="宋体" w:eastAsia="宋体" w:hint="default"/>
                <w:sz w:val="18"/>
                <w:szCs w:val="18"/>
              </w:rPr>
            </w:pPr>
            <w:r>
              <w:rPr>
                <w:rFonts w:ascii="宋体" w:hAnsi="宋体" w:cs="宋体" w:eastAsia="宋体" w:hint="default"/>
                <w:sz w:val="18"/>
                <w:szCs w:val="18"/>
              </w:rPr>
              <w:t>票在证券交易 所正式挂牌后， 若因公司租赁 厂房的产权瑕 疵导致发行人 被迫搬迁生产</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319" w:lineRule="auto" w:before="147"/>
              <w:ind w:left="22" w:right="-25"/>
              <w:jc w:val="left"/>
              <w:rPr>
                <w:rFonts w:ascii="宋体" w:hAnsi="宋体" w:cs="宋体" w:eastAsia="宋体" w:hint="default"/>
                <w:sz w:val="18"/>
                <w:szCs w:val="18"/>
              </w:rPr>
            </w:pPr>
            <w:r>
              <w:rPr>
                <w:rFonts w:ascii="宋体" w:hAnsi="宋体" w:cs="宋体" w:eastAsia="宋体" w:hint="default"/>
                <w:sz w:val="18"/>
                <w:szCs w:val="18"/>
              </w:rPr>
              <w:t>截至本报告期 </w:t>
            </w:r>
            <w:r>
              <w:rPr>
                <w:rFonts w:ascii="宋体" w:hAnsi="宋体" w:cs="宋体" w:eastAsia="宋体" w:hint="default"/>
                <w:spacing w:val="-7"/>
                <w:sz w:val="18"/>
                <w:szCs w:val="18"/>
              </w:rPr>
              <w:t>末，所有承诺人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严格信守承诺， 未有违反承诺 的情况发生。</w:t>
            </w: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场地，承诺人将</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以连带责任方</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式全额承担补</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偿深圳市新国</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3194" w:type="dxa"/>
            <w:vMerge/>
            <w:tcBorders>
              <w:left w:val="single" w:sz="4" w:space="0" w:color="000000"/>
              <w:bottom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2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都技术股份有</w:t>
            </w:r>
          </w:p>
        </w:tc>
        <w:tc>
          <w:tcPr>
            <w:tcW w:w="127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6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68"/>
      </w:tblGrid>
      <w:tr>
        <w:trPr>
          <w:trHeight w:val="1298"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62"/>
              <w:jc w:val="both"/>
              <w:rPr>
                <w:rFonts w:ascii="宋体" w:hAnsi="宋体" w:cs="宋体" w:eastAsia="宋体" w:hint="default"/>
                <w:sz w:val="18"/>
                <w:szCs w:val="18"/>
              </w:rPr>
            </w:pPr>
            <w:r>
              <w:rPr>
                <w:rFonts w:ascii="宋体" w:hAnsi="宋体" w:cs="宋体" w:eastAsia="宋体" w:hint="default"/>
                <w:sz w:val="18"/>
                <w:szCs w:val="18"/>
              </w:rPr>
              <w:t>限公司的搬迁 费用和因生产 停滞所造成的 损失。</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5394"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刘祥</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将目前所持有 的公司限售股 锁定期限延长 </w:t>
            </w:r>
            <w:r>
              <w:rPr>
                <w:rFonts w:ascii="宋体" w:hAnsi="宋体" w:cs="宋体" w:eastAsia="宋体" w:hint="default"/>
                <w:spacing w:val="-6"/>
                <w:sz w:val="18"/>
                <w:szCs w:val="18"/>
              </w:rPr>
              <w:t>十二个月，即限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售期由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8"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日延</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长至</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w:t>
            </w:r>
          </w:p>
          <w:p>
            <w:pPr>
              <w:pStyle w:val="TableParagraph"/>
              <w:spacing w:line="316" w:lineRule="auto" w:before="63"/>
              <w:ind w:left="23" w:right="-16"/>
              <w:jc w:val="left"/>
              <w:rPr>
                <w:rFonts w:ascii="宋体" w:hAnsi="宋体" w:cs="宋体" w:eastAsia="宋体"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日。本次 承诺不涉及最 </w:t>
            </w:r>
            <w:r>
              <w:rPr>
                <w:rFonts w:ascii="宋体" w:hAnsi="宋体" w:cs="宋体" w:eastAsia="宋体" w:hint="default"/>
                <w:spacing w:val="-6"/>
                <w:sz w:val="18"/>
                <w:szCs w:val="18"/>
              </w:rPr>
              <w:t>低减持价格。在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锁定期间若违 反承诺减持该 </w:t>
            </w:r>
            <w:r>
              <w:rPr>
                <w:rFonts w:ascii="宋体" w:hAnsi="宋体" w:cs="宋体" w:eastAsia="宋体" w:hint="default"/>
                <w:spacing w:val="-6"/>
                <w:sz w:val="18"/>
                <w:szCs w:val="18"/>
              </w:rPr>
              <w:t>部分股份，减持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全部所得上缴 </w:t>
            </w:r>
            <w:r>
              <w:rPr>
                <w:rFonts w:ascii="宋体" w:hAnsi="宋体" w:cs="宋体" w:eastAsia="宋体" w:hint="default"/>
                <w:spacing w:val="-6"/>
                <w:sz w:val="18"/>
                <w:szCs w:val="18"/>
              </w:rPr>
              <w:t>上市公司，并承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担由此引发的 一切法律责任。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18</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日至</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截至本报告期 </w:t>
            </w:r>
            <w:r>
              <w:rPr>
                <w:rFonts w:ascii="宋体" w:hAnsi="宋体" w:cs="宋体" w:eastAsia="宋体" w:hint="default"/>
                <w:spacing w:val="-7"/>
                <w:sz w:val="18"/>
                <w:szCs w:val="18"/>
              </w:rPr>
              <w:t>末，承诺人严格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信守承诺，未有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违反承诺的情 况发生。</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未完成履行的具体原因及下一步计划</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九、聘任、解聘会计师事务所情况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现聘任的会计事务所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45</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五年</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刘高科、曾星</w:t>
            </w:r>
          </w:p>
        </w:tc>
      </w:tr>
    </w:tbl>
    <w:p>
      <w:pPr>
        <w:pStyle w:val="BodyText"/>
        <w:spacing w:line="240" w:lineRule="auto" w:before="51"/>
        <w:ind w:right="0"/>
        <w:jc w:val="left"/>
      </w:pPr>
      <w:r>
        <w:rPr/>
        <w:t>是否改聘会计师事务所</w:t>
      </w:r>
    </w:p>
    <w:p>
      <w:pPr>
        <w:pStyle w:val="BodyText"/>
        <w:spacing w:line="240" w:lineRule="auto" w:before="116"/>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w:t>
      </w:r>
    </w:p>
    <w:p>
      <w:pPr>
        <w:spacing w:after="0" w:line="240" w:lineRule="auto"/>
        <w:jc w:val="left"/>
        <w:sectPr>
          <w:pgSz w:w="11910" w:h="16840"/>
          <w:pgMar w:header="747" w:footer="982"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left="153" w:right="133"/>
        <w:jc w:val="left"/>
        <w:rPr>
          <w:b w:val="0"/>
          <w:bCs w:val="0"/>
        </w:rPr>
      </w:pPr>
      <w:r>
        <w:rPr/>
        <w:t>十、上市公司及其董事、监事、高级管理人员、公司股东、实际控制人和收购人处罚及整改</w:t>
      </w:r>
      <w:r>
        <w:rPr>
          <w:spacing w:val="1"/>
          <w:w w:val="99"/>
        </w:rPr>
        <w:t> </w:t>
      </w:r>
      <w:r>
        <w:rPr/>
        <w:t>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before="0"/>
        <w:ind w:right="45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上市公司及其子公司是否被列入环保部门公布的污染严重企业名单</w:t>
      </w:r>
    </w:p>
    <w:p>
      <w:pPr>
        <w:pStyle w:val="BodyText"/>
        <w:spacing w:line="338" w:lineRule="auto" w:before="43"/>
        <w:ind w:right="563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上市公司及其子公司是否存在其他重大社会安全问题</w:t>
      </w:r>
    </w:p>
    <w:p>
      <w:pPr>
        <w:pStyle w:val="BodyText"/>
        <w:spacing w:line="340" w:lineRule="auto" w:before="42"/>
        <w:ind w:right="779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报告期内是否被行政处罚</w:t>
      </w:r>
    </w:p>
    <w:p>
      <w:pPr>
        <w:pStyle w:val="BodyText"/>
        <w:spacing w:line="240" w:lineRule="auto" w:before="4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十一、公司股东及其一致行动人在报告期提出或实施股份增持计划的情况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before="0"/>
        <w:ind w:right="45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公司股东及其一致行动人在报告期内未提出或实施股份增持计划。</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r>
        <w:rPr/>
        <w:t>十二、董事、监事、高级管理人员、持股</w:t>
      </w:r>
      <w:r>
        <w:rPr>
          <w:spacing w:val="-62"/>
        </w:rPr>
        <w:t> </w:t>
      </w:r>
      <w:r>
        <w:rPr>
          <w:rFonts w:ascii="Times New Roman" w:hAnsi="Times New Roman" w:cs="Times New Roman" w:eastAsia="Times New Roman" w:hint="default"/>
        </w:rPr>
        <w:t>5%</w:t>
      </w:r>
      <w:r>
        <w:rPr/>
        <w:t>以上的股东违规买卖公司股票情况</w:t>
      </w:r>
      <w:r>
        <w:rPr>
          <w:b w:val="0"/>
          <w:bCs w:val="0"/>
        </w:rPr>
      </w:r>
    </w:p>
    <w:p>
      <w:pPr>
        <w:spacing w:line="240" w:lineRule="auto" w:before="4"/>
        <w:rPr>
          <w:rFonts w:ascii="宋体" w:hAnsi="宋体" w:cs="宋体" w:eastAsia="宋体" w:hint="default"/>
          <w:b/>
          <w:bCs/>
          <w:sz w:val="25"/>
          <w:szCs w:val="25"/>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十三、年度报告披露后面临暂停上市和终止上市情况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十四、其他重大事项的说明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307" w:lineRule="auto" w:before="101"/>
        <w:ind w:right="151" w:firstLine="420"/>
        <w:jc w:val="both"/>
      </w:pPr>
      <w:r>
        <w:rPr/>
        <w:t>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日召开了公司第三届董事会第六次会议，审议通过了《关于公司终止重大资产重组项目的议案》 </w:t>
      </w:r>
      <w:r>
        <w:rPr>
          <w:spacing w:val="-2"/>
        </w:rPr>
        <w:t>及《关于公司拟向中国证券监督管理委员会申请撤回重大资产重组行政审批申请材料的议案》。公司于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18</w:t>
      </w:r>
      <w:r>
        <w:rPr>
          <w:spacing w:val="-2"/>
        </w:rPr>
        <w:t>日于巨</w:t>
      </w:r>
      <w:r>
        <w:rPr>
          <w:spacing w:val="-58"/>
        </w:rPr>
        <w:t> </w:t>
      </w:r>
      <w:r>
        <w:rPr>
          <w:spacing w:val="-2"/>
        </w:rPr>
        <w:t>潮资讯网发布了《关于终止重大资产重组事项并撤回申请暨股票复牌的公告》，公司终止了重大资产重组并撤回此次重组申</w:t>
      </w:r>
      <w:r>
        <w:rPr>
          <w:spacing w:val="-66"/>
        </w:rPr>
        <w:t> </w:t>
      </w:r>
      <w:r>
        <w:rPr>
          <w:spacing w:val="-66"/>
        </w:rPr>
      </w:r>
      <w:r>
        <w:rPr/>
        <w:t>请文件，以下为重组事项预案发布后的主要历程：</w:t>
      </w:r>
    </w:p>
    <w:p>
      <w:pPr>
        <w:pStyle w:val="BodyText"/>
        <w:spacing w:line="316" w:lineRule="auto" w:before="26"/>
        <w:ind w:right="148" w:firstLine="420"/>
        <w:jc w:val="both"/>
      </w:pPr>
      <w:r>
        <w:rPr>
          <w:spacing w:val="-1"/>
        </w:rPr>
        <w:t>2014年2月20日，公司召开了第二届董事会第十八次会议，审议通过了公司重大资产重组的相关议案，经向深圳证券交</w:t>
      </w:r>
      <w:r>
        <w:rPr/>
        <w:t> 易所申请，公司于2014年2月21日披露本次重大资产重组的相关预案内容，同时公司股票恢复交易。</w:t>
      </w:r>
    </w:p>
    <w:p>
      <w:pPr>
        <w:pStyle w:val="BodyText"/>
        <w:spacing w:line="316" w:lineRule="auto" w:before="19"/>
        <w:ind w:right="148" w:firstLine="420"/>
        <w:jc w:val="both"/>
      </w:pPr>
      <w:r>
        <w:rPr>
          <w:spacing w:val="-1"/>
        </w:rPr>
        <w:t>2014年8月19日，公司召开了第三届董事会第四次会议，审议通过了《关于公司符合向特定对象非公开发行股份及支付</w:t>
      </w:r>
      <w:r>
        <w:rPr/>
        <w:t> </w:t>
      </w:r>
      <w:r>
        <w:rPr>
          <w:spacing w:val="-2"/>
        </w:rPr>
        <w:t>现金购买资产并募集配套资金暨关联交易条件的议案》等与重组相关的议案，并公告了《发行股份及支付现金购买资产并募</w:t>
      </w:r>
      <w:r>
        <w:rPr>
          <w:spacing w:val="-66"/>
        </w:rPr>
        <w:t> </w:t>
      </w:r>
      <w:r>
        <w:rPr>
          <w:spacing w:val="-66"/>
        </w:rPr>
      </w:r>
      <w:r>
        <w:rPr/>
        <w:t>集配套资金暨关联交易报告书（草案）》等相关文件。</w:t>
      </w:r>
    </w:p>
    <w:p>
      <w:pPr>
        <w:pStyle w:val="BodyText"/>
        <w:spacing w:line="240" w:lineRule="auto" w:before="19"/>
        <w:ind w:left="574" w:right="0"/>
        <w:jc w:val="left"/>
      </w:pPr>
      <w:r>
        <w:rPr/>
        <w:t>2014年9月4日，公司召开了2014年第三次临时股东大会，审议通过了本次重组的相关议案。</w:t>
      </w:r>
    </w:p>
    <w:p>
      <w:pPr>
        <w:pStyle w:val="BodyText"/>
        <w:spacing w:line="240" w:lineRule="auto" w:before="76"/>
        <w:ind w:left="574" w:right="0"/>
        <w:jc w:val="left"/>
      </w:pPr>
      <w:r>
        <w:rPr/>
        <w:t>2014年9月23日，公司收到中国证监会出具的《中国证监会行政许可申请受理通知书》。</w:t>
      </w:r>
    </w:p>
    <w:p>
      <w:pPr>
        <w:pStyle w:val="BodyText"/>
        <w:spacing w:line="316" w:lineRule="auto" w:before="76"/>
        <w:ind w:right="188" w:firstLine="420"/>
        <w:jc w:val="both"/>
      </w:pPr>
      <w:r>
        <w:rPr/>
        <w:t>2014年10月27日，公司收到中国证监会出具的《中国证监会行政许可项目审查一次反馈意见通知书》（以下简称“反 馈意见”）。</w:t>
      </w:r>
    </w:p>
    <w:p>
      <w:pPr>
        <w:pStyle w:val="BodyText"/>
        <w:spacing w:line="316" w:lineRule="auto" w:before="19"/>
        <w:ind w:right="148" w:firstLine="420"/>
        <w:jc w:val="both"/>
      </w:pPr>
      <w:r>
        <w:rPr>
          <w:spacing w:val="-1"/>
        </w:rPr>
        <w:t>2014年12月4日，公司向中国证监会申请延期报送反馈意见，公司发布了《关于延期报送重大资产重组申请材料反馈意</w:t>
      </w:r>
      <w:r>
        <w:rPr/>
        <w:t> 见回复的公告》</w:t>
      </w:r>
    </w:p>
    <w:p>
      <w:pPr>
        <w:pStyle w:val="BodyText"/>
        <w:spacing w:line="240" w:lineRule="auto" w:before="19"/>
        <w:ind w:left="574" w:right="0"/>
        <w:jc w:val="left"/>
      </w:pPr>
      <w:r>
        <w:rPr/>
        <w:t>2014年12月10日，公司向深圳证券交易所申请公司股票因重大事项自2014年12月10日开市起停牌。</w:t>
      </w:r>
    </w:p>
    <w:p>
      <w:pPr>
        <w:pStyle w:val="BodyText"/>
        <w:spacing w:line="240" w:lineRule="auto" w:before="76"/>
        <w:ind w:left="574" w:right="0"/>
        <w:jc w:val="left"/>
      </w:pPr>
      <w:r>
        <w:rPr/>
        <w:t>2014年12月15日，公司召开了第三届董事会第六次会议，审议并通过了《关于公司终止重大资产重组项目的议案》、</w:t>
      </w:r>
    </w:p>
    <w:p>
      <w:pPr>
        <w:spacing w:after="0" w:line="240" w:lineRule="auto"/>
        <w:jc w:val="left"/>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316" w:lineRule="auto"/>
        <w:ind w:left="153" w:right="91"/>
        <w:jc w:val="left"/>
      </w:pPr>
      <w:r>
        <w:rPr>
          <w:spacing w:val="-2"/>
        </w:rPr>
        <w:t>《关于公司拟向中国证券监督管理委员会申请撤回重大资产重组行政审批申请材料的议案》，决定终止重大资产重组项目并</w:t>
      </w:r>
      <w:r>
        <w:rPr>
          <w:spacing w:val="-64"/>
        </w:rPr>
        <w:t> </w:t>
      </w:r>
      <w:r>
        <w:rPr>
          <w:spacing w:val="-64"/>
        </w:rPr>
      </w:r>
      <w:r>
        <w:rPr/>
        <w:t>向中国证券监督管理委员会申请撤回重大资产重组行政审批申请材料。</w:t>
      </w:r>
    </w:p>
    <w:p>
      <w:pPr>
        <w:pStyle w:val="BodyText"/>
        <w:spacing w:line="316" w:lineRule="auto" w:before="19"/>
        <w:ind w:left="153" w:right="91" w:firstLine="420"/>
        <w:jc w:val="left"/>
      </w:pPr>
      <w:r>
        <w:rPr/>
        <w:t>公司已向交易对方送达《关于终止非公开发行股份及支付现金购买深圳市范特西科技有限公司全部股权的通知》，汤 克云、深圳市零零伍科技有限公司、深圳市禅游科技有限公司、张波、李秀文、杜展扬、林华润、郭闫闫、周杨、罗维燕、 </w:t>
      </w:r>
      <w:r>
        <w:rPr>
          <w:spacing w:val="-2"/>
        </w:rPr>
        <w:t>陈剑锋、陈兰芳、孙煌、张春红等交易对方已向公司出具书面《确认书》，确认同意终止本次交易事项，并且互不承担违约</w:t>
      </w:r>
      <w:r>
        <w:rPr>
          <w:spacing w:val="-65"/>
        </w:rPr>
        <w:t> </w:t>
      </w:r>
      <w:r>
        <w:rPr>
          <w:spacing w:val="-65"/>
        </w:rPr>
      </w:r>
      <w:r>
        <w:rPr/>
        <w:t>责任。</w:t>
      </w:r>
    </w:p>
    <w:p>
      <w:pPr>
        <w:pStyle w:val="BodyText"/>
        <w:spacing w:line="316" w:lineRule="auto" w:before="19"/>
        <w:ind w:left="153" w:right="211" w:firstLine="420"/>
        <w:jc w:val="left"/>
      </w:pPr>
      <w:r>
        <w:rPr/>
        <w:t>2014年12月18日发布了《关于终止重大资产重组事项并撤回申请暨股票复牌的公告》等相关公告，详情请登陆巨潮资 讯网查看相关信息。</w:t>
      </w:r>
    </w:p>
    <w:p>
      <w:pPr>
        <w:spacing w:line="240" w:lineRule="auto" w:before="10"/>
        <w:rPr>
          <w:rFonts w:ascii="宋体" w:hAnsi="宋体" w:cs="宋体" w:eastAsia="宋体" w:hint="default"/>
          <w:sz w:val="20"/>
          <w:szCs w:val="20"/>
        </w:rPr>
      </w:pPr>
    </w:p>
    <w:p>
      <w:pPr>
        <w:pStyle w:val="Heading2"/>
        <w:spacing w:line="240" w:lineRule="auto"/>
        <w:ind w:right="660"/>
        <w:jc w:val="left"/>
        <w:rPr>
          <w:b w:val="0"/>
          <w:bCs w:val="0"/>
        </w:rPr>
      </w:pPr>
      <w:r>
        <w:rPr/>
        <w:t>十五、控股子公司重要事项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6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240" w:lineRule="auto" w:before="101"/>
        <w:ind w:left="574" w:right="660"/>
        <w:jc w:val="left"/>
      </w:pPr>
      <w:r>
        <w:rPr/>
        <w:t>截止至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月，苏州电子支付研发基地项目建筑主体施工完毕，目前处于装修阶段，预计</w:t>
      </w:r>
      <w:r>
        <w:rPr>
          <w:rFonts w:ascii="Times New Roman" w:hAnsi="Times New Roman" w:cs="Times New Roman" w:eastAsia="Times New Roman" w:hint="default"/>
        </w:rPr>
        <w:t>2015</w:t>
      </w:r>
      <w:r>
        <w:rPr/>
        <w:t>年竣工。</w:t>
      </w:r>
    </w:p>
    <w:p>
      <w:pPr>
        <w:spacing w:after="0" w:line="240" w:lineRule="auto"/>
        <w:jc w:val="left"/>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5" w:right="0"/>
        <w:jc w:val="left"/>
        <w:rPr>
          <w:b w:val="0"/>
          <w:bCs w:val="0"/>
        </w:rPr>
      </w:pPr>
      <w:bookmarkStart w:name="_TOC_250004" w:id="6"/>
      <w:r>
        <w:rPr/>
        <w:t>第六节</w:t>
      </w:r>
      <w:r>
        <w:rPr>
          <w:spacing w:val="-10"/>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32"/>
        <w:gridCol w:w="845"/>
        <w:gridCol w:w="844"/>
        <w:gridCol w:w="844"/>
        <w:gridCol w:w="844"/>
        <w:gridCol w:w="842"/>
        <w:gridCol w:w="844"/>
        <w:gridCol w:w="842"/>
        <w:gridCol w:w="815"/>
        <w:gridCol w:w="814"/>
      </w:tblGrid>
      <w:tr>
        <w:trPr>
          <w:trHeight w:val="402" w:hRule="exact"/>
        </w:trPr>
        <w:tc>
          <w:tcPr>
            <w:tcW w:w="2032" w:type="dxa"/>
            <w:vMerge w:val="restart"/>
            <w:tcBorders>
              <w:top w:val="single" w:sz="4" w:space="0" w:color="000000"/>
              <w:left w:val="single" w:sz="4" w:space="0" w:color="000000"/>
              <w:right w:val="single" w:sz="4" w:space="0" w:color="000000"/>
            </w:tcBorders>
            <w:shd w:val="clear" w:color="auto" w:fill="D3D3D3"/>
          </w:tcPr>
          <w:p>
            <w:pPr/>
          </w:p>
        </w:tc>
        <w:tc>
          <w:tcPr>
            <w:tcW w:w="16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0"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6"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12"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4" w:hRule="exact"/>
        </w:trPr>
        <w:tc>
          <w:tcPr>
            <w:tcW w:w="2032" w:type="dxa"/>
            <w:vMerge/>
            <w:tcBorders>
              <w:left w:val="single" w:sz="4" w:space="0" w:color="000000"/>
              <w:bottom w:val="single" w:sz="4" w:space="0" w:color="000000"/>
              <w:right w:val="single" w:sz="4" w:space="0" w:color="000000"/>
            </w:tcBorders>
            <w:shd w:val="clear" w:color="auto" w:fill="D3D3D3"/>
          </w:tcPr>
          <w:p>
            <w:pPr/>
          </w:p>
        </w:tc>
        <w:tc>
          <w:tcPr>
            <w:tcW w:w="8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26" w:right="54"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714"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50,692,50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44.36%</w:t>
            </w: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-10,091,25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-10,091,25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40,601,25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center"/>
              <w:rPr>
                <w:rFonts w:ascii="Times New Roman" w:hAnsi="Times New Roman" w:cs="Times New Roman" w:eastAsia="Times New Roman" w:hint="default"/>
                <w:sz w:val="18"/>
                <w:szCs w:val="18"/>
              </w:rPr>
            </w:pPr>
            <w:r>
              <w:rPr>
                <w:rFonts w:ascii="Times New Roman"/>
                <w:sz w:val="18"/>
              </w:rPr>
              <w:t>35.52%</w:t>
            </w:r>
          </w:p>
        </w:tc>
      </w:tr>
      <w:tr>
        <w:trPr>
          <w:trHeight w:val="714"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50,692,50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44.36%</w:t>
            </w: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-10,091,25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-10,091,25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40,601,25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center"/>
              <w:rPr>
                <w:rFonts w:ascii="Times New Roman" w:hAnsi="Times New Roman" w:cs="Times New Roman" w:eastAsia="Times New Roman" w:hint="default"/>
                <w:sz w:val="18"/>
                <w:szCs w:val="18"/>
              </w:rPr>
            </w:pPr>
            <w:r>
              <w:rPr>
                <w:rFonts w:ascii="Times New Roman"/>
                <w:sz w:val="18"/>
              </w:rPr>
              <w:t>35.52%</w:t>
            </w:r>
          </w:p>
        </w:tc>
      </w:tr>
      <w:tr>
        <w:trPr>
          <w:trHeight w:val="714"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50,692,50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44.36%</w:t>
            </w: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-10,091,25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-10,091,25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40,601,25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center"/>
              <w:rPr>
                <w:rFonts w:ascii="Times New Roman" w:hAnsi="Times New Roman" w:cs="Times New Roman" w:eastAsia="Times New Roman" w:hint="default"/>
                <w:sz w:val="18"/>
                <w:szCs w:val="18"/>
              </w:rPr>
            </w:pPr>
            <w:r>
              <w:rPr>
                <w:rFonts w:ascii="Times New Roman"/>
                <w:sz w:val="18"/>
              </w:rPr>
              <w:t>35.52%</w:t>
            </w:r>
          </w:p>
        </w:tc>
      </w:tr>
      <w:tr>
        <w:trPr>
          <w:trHeight w:val="714"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63,607,50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55.64%</w:t>
            </w: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10,091,25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10,091,25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73,698,75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center"/>
              <w:rPr>
                <w:rFonts w:ascii="Times New Roman" w:hAnsi="Times New Roman" w:cs="Times New Roman" w:eastAsia="Times New Roman" w:hint="default"/>
                <w:sz w:val="18"/>
                <w:szCs w:val="18"/>
              </w:rPr>
            </w:pPr>
            <w:r>
              <w:rPr>
                <w:rFonts w:ascii="Times New Roman"/>
                <w:sz w:val="18"/>
              </w:rPr>
              <w:t>64.48%</w:t>
            </w:r>
          </w:p>
        </w:tc>
      </w:tr>
      <w:tr>
        <w:trPr>
          <w:trHeight w:val="714"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63,607,50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55.64%</w:t>
            </w: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10,091,25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10,091,25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73,698,75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center"/>
              <w:rPr>
                <w:rFonts w:ascii="Times New Roman" w:hAnsi="Times New Roman" w:cs="Times New Roman" w:eastAsia="Times New Roman" w:hint="default"/>
                <w:sz w:val="18"/>
                <w:szCs w:val="18"/>
              </w:rPr>
            </w:pPr>
            <w:r>
              <w:rPr>
                <w:rFonts w:ascii="Times New Roman"/>
                <w:sz w:val="18"/>
              </w:rPr>
              <w:t>64.48%</w:t>
            </w:r>
          </w:p>
        </w:tc>
      </w:tr>
      <w:tr>
        <w:trPr>
          <w:trHeight w:val="714"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114,300,0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114,300,0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center"/>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0"/>
        <w:jc w:val="left"/>
      </w:pPr>
      <w:r>
        <w:rPr/>
        <w:t>股份变动的原因</w:t>
      </w:r>
    </w:p>
    <w:p>
      <w:pPr>
        <w:pStyle w:val="BodyText"/>
        <w:spacing w:line="319"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10</w:t>
      </w:r>
      <w:r>
        <w:rPr>
          <w:spacing w:val="-1"/>
        </w:rPr>
        <w:t>月，公司股东刘祥申请解除限售股份数量为</w:t>
      </w:r>
      <w:r>
        <w:rPr>
          <w:rFonts w:ascii="Times New Roman" w:hAnsi="Times New Roman" w:cs="Times New Roman" w:eastAsia="Times New Roman" w:hint="default"/>
          <w:spacing w:val="-1"/>
        </w:rPr>
        <w:t>38,070,000</w:t>
      </w:r>
      <w:r>
        <w:rPr>
          <w:spacing w:val="-1"/>
        </w:rPr>
        <w:t>股，占公司股本总额的比例约为</w:t>
      </w:r>
      <w:r>
        <w:rPr>
          <w:rFonts w:ascii="Times New Roman" w:hAnsi="Times New Roman" w:cs="Times New Roman" w:eastAsia="Times New Roman" w:hint="default"/>
          <w:spacing w:val="-1"/>
        </w:rPr>
        <w:t>33.31%</w:t>
      </w:r>
      <w:r>
        <w:rPr>
          <w:spacing w:val="-1"/>
        </w:rPr>
        <w:t>；实际可上市流通股</w:t>
      </w:r>
      <w:r>
        <w:rPr>
          <w:spacing w:val="-38"/>
        </w:rPr>
        <w:t> </w:t>
      </w:r>
      <w:r>
        <w:rPr>
          <w:spacing w:val="-38"/>
        </w:rPr>
      </w:r>
      <w:r>
        <w:rPr/>
        <w:t>份数量为</w:t>
      </w:r>
      <w:r>
        <w:rPr>
          <w:rFonts w:ascii="Times New Roman" w:hAnsi="Times New Roman" w:cs="Times New Roman" w:eastAsia="Times New Roman" w:hint="default"/>
        </w:rPr>
        <w:t>9,517,500</w:t>
      </w:r>
      <w:r>
        <w:rPr/>
        <w:t>股，占公司股本总额的比例约为</w:t>
      </w:r>
      <w:r>
        <w:rPr>
          <w:rFonts w:ascii="Times New Roman" w:hAnsi="Times New Roman" w:cs="Times New Roman" w:eastAsia="Times New Roman" w:hint="default"/>
        </w:rPr>
        <w:t>8.33%</w:t>
      </w:r>
      <w:r>
        <w:rPr/>
        <w:t>。本次解除限售股份可上市流通日为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29</w:t>
      </w:r>
      <w:r>
        <w:rPr/>
        <w:t>日。</w:t>
      </w:r>
    </w:p>
    <w:p>
      <w:pPr>
        <w:spacing w:line="240" w:lineRule="auto" w:before="10"/>
        <w:rPr>
          <w:rFonts w:ascii="宋体" w:hAnsi="宋体" w:cs="宋体" w:eastAsia="宋体" w:hint="default"/>
          <w:sz w:val="26"/>
          <w:szCs w:val="26"/>
        </w:rPr>
      </w:pPr>
    </w:p>
    <w:p>
      <w:pPr>
        <w:pStyle w:val="BodyText"/>
        <w:spacing w:line="240" w:lineRule="auto" w:before="0"/>
        <w:ind w:right="0"/>
        <w:jc w:val="left"/>
      </w:pPr>
      <w:r>
        <w:rPr/>
        <w:t>股份变动的批准情况</w:t>
      </w:r>
    </w:p>
    <w:p>
      <w:pPr>
        <w:pStyle w:val="BodyText"/>
        <w:spacing w:line="319" w:lineRule="auto" w:before="117"/>
        <w:ind w:right="1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月，公司股东刘祥申请解除限售股份数量为</w:t>
      </w:r>
      <w:r>
        <w:rPr>
          <w:rFonts w:ascii="Times New Roman" w:hAnsi="Times New Roman" w:cs="Times New Roman" w:eastAsia="Times New Roman" w:hint="default"/>
        </w:rPr>
        <w:t>38,070,000</w:t>
      </w:r>
      <w:r>
        <w:rPr/>
        <w:t>股，公司于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18</w:t>
      </w:r>
      <w:r>
        <w:rPr/>
        <w:t>日披露了《首次公开发行前已发行 </w:t>
      </w:r>
      <w:r>
        <w:rPr>
          <w:spacing w:val="-1"/>
        </w:rPr>
        <w:t>股份上市流通的提示性公告》（公告编号：</w:t>
      </w:r>
      <w:r>
        <w:rPr>
          <w:rFonts w:ascii="Times New Roman" w:hAnsi="Times New Roman" w:cs="Times New Roman" w:eastAsia="Times New Roman" w:hint="default"/>
          <w:spacing w:val="-1"/>
        </w:rPr>
        <w:t>2014-108</w:t>
      </w:r>
      <w:r>
        <w:rPr>
          <w:spacing w:val="-1"/>
        </w:rPr>
        <w:t>），中信证券出具了《中信证券股份有限公司关于公司有限售条件流通</w:t>
      </w:r>
    </w:p>
    <w:p>
      <w:pPr>
        <w:pStyle w:val="BodyText"/>
        <w:spacing w:line="360" w:lineRule="auto" w:before="0"/>
        <w:ind w:right="7430"/>
        <w:jc w:val="left"/>
      </w:pPr>
      <w:r>
        <w:rPr/>
        <w:t>股上市流通之核查意见书》。 股份变动的过户情况</w:t>
      </w:r>
    </w:p>
    <w:p>
      <w:pPr>
        <w:pStyle w:val="BodyText"/>
        <w:spacing w:line="338" w:lineRule="auto" w:before="27"/>
        <w:ind w:right="4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338" w:lineRule="auto" w:before="43"/>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公司认为必要或证券监管机构要求披露的其他内容</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240" w:lineRule="auto" w:before="102"/>
        <w:ind w:left="0" w:right="151"/>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87"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87"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38,070,000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9,517,500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28,552,500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汪洋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栾承岚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9,517,500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9,517,500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李林杰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168,750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506,250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韦余红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50,692,500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10,091,250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40,601,250</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、报告期内证券发行情况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三、股东和实际控制人情况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47"/>
        <w:gridCol w:w="1386"/>
        <w:gridCol w:w="876"/>
        <w:gridCol w:w="809"/>
        <w:gridCol w:w="809"/>
        <w:gridCol w:w="808"/>
        <w:gridCol w:w="862"/>
        <w:gridCol w:w="1160"/>
        <w:gridCol w:w="227"/>
        <w:gridCol w:w="1385"/>
      </w:tblGrid>
      <w:tr>
        <w:trPr>
          <w:trHeight w:val="402" w:hRule="exact"/>
        </w:trPr>
        <w:tc>
          <w:tcPr>
            <w:tcW w:w="263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报告期末股东总数</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7,076</w:t>
            </w:r>
          </w:p>
        </w:tc>
        <w:tc>
          <w:tcPr>
            <w:tcW w:w="363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6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6,991</w:t>
            </w:r>
          </w:p>
        </w:tc>
      </w:tr>
      <w:tr>
        <w:trPr>
          <w:trHeight w:val="402" w:hRule="exact"/>
        </w:trPr>
        <w:tc>
          <w:tcPr>
            <w:tcW w:w="9568"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r>
        <w:trPr>
          <w:trHeight w:val="402" w:hRule="exact"/>
        </w:trPr>
        <w:tc>
          <w:tcPr>
            <w:tcW w:w="124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7"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7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2"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0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8" w:right="38"/>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809"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38" w:right="38"/>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0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38" w:right="37"/>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6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65" w:right="65"/>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77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247" w:type="dxa"/>
            <w:vMerge/>
            <w:tcBorders>
              <w:left w:val="single" w:sz="4" w:space="0" w:color="000000"/>
              <w:bottom w:val="single" w:sz="4" w:space="0" w:color="000000"/>
              <w:right w:val="single" w:sz="4" w:space="0" w:color="000000"/>
            </w:tcBorders>
            <w:shd w:val="clear" w:color="auto" w:fill="D3D3D3"/>
          </w:tcPr>
          <w:p>
            <w:pPr/>
          </w:p>
        </w:tc>
        <w:tc>
          <w:tcPr>
            <w:tcW w:w="1386" w:type="dxa"/>
            <w:vMerge/>
            <w:tcBorders>
              <w:left w:val="single" w:sz="4" w:space="0" w:color="000000"/>
              <w:bottom w:val="single" w:sz="4" w:space="0" w:color="000000"/>
              <w:right w:val="single" w:sz="4" w:space="0" w:color="000000"/>
            </w:tcBorders>
            <w:shd w:val="clear" w:color="auto" w:fill="D3D3D3"/>
          </w:tcPr>
          <w:p>
            <w:pPr/>
          </w:p>
        </w:tc>
        <w:tc>
          <w:tcPr>
            <w:tcW w:w="876" w:type="dxa"/>
            <w:vMerge/>
            <w:tcBorders>
              <w:left w:val="single" w:sz="4" w:space="0" w:color="000000"/>
              <w:bottom w:val="single" w:sz="4" w:space="0" w:color="000000"/>
              <w:right w:val="single" w:sz="4" w:space="0" w:color="000000"/>
            </w:tcBorders>
            <w:shd w:val="clear" w:color="auto" w:fill="D3D3D3"/>
          </w:tcPr>
          <w:p>
            <w:pPr/>
          </w:p>
        </w:tc>
        <w:tc>
          <w:tcPr>
            <w:tcW w:w="809" w:type="dxa"/>
            <w:vMerge/>
            <w:tcBorders>
              <w:left w:val="single" w:sz="4" w:space="0" w:color="000000"/>
              <w:bottom w:val="single" w:sz="4" w:space="0" w:color="000000"/>
              <w:right w:val="single" w:sz="4" w:space="0" w:color="000000"/>
            </w:tcBorders>
            <w:shd w:val="clear" w:color="auto" w:fill="D3D3D3"/>
          </w:tcPr>
          <w:p>
            <w:pPr/>
          </w:p>
        </w:tc>
        <w:tc>
          <w:tcPr>
            <w:tcW w:w="809" w:type="dxa"/>
            <w:vMerge/>
            <w:tcBorders>
              <w:left w:val="single" w:sz="4" w:space="0" w:color="000000"/>
              <w:bottom w:val="single" w:sz="4" w:space="0" w:color="000000"/>
              <w:right w:val="single" w:sz="4" w:space="0" w:color="000000"/>
            </w:tcBorders>
            <w:shd w:val="clear" w:color="auto" w:fill="D3D3D3"/>
          </w:tcPr>
          <w:p>
            <w:pPr/>
          </w:p>
        </w:tc>
        <w:tc>
          <w:tcPr>
            <w:tcW w:w="808" w:type="dxa"/>
            <w:vMerge/>
            <w:tcBorders>
              <w:left w:val="single" w:sz="4" w:space="0" w:color="000000"/>
              <w:bottom w:val="single" w:sz="4" w:space="0" w:color="000000"/>
              <w:right w:val="single" w:sz="4" w:space="0" w:color="000000"/>
            </w:tcBorders>
            <w:shd w:val="clear" w:color="auto" w:fill="D3D3D3"/>
          </w:tcPr>
          <w:p>
            <w:pPr/>
          </w:p>
        </w:tc>
        <w:tc>
          <w:tcPr>
            <w:tcW w:w="862" w:type="dxa"/>
            <w:vMerge/>
            <w:tcBorders>
              <w:left w:val="single" w:sz="4" w:space="0" w:color="000000"/>
              <w:bottom w:val="single" w:sz="4" w:space="0" w:color="000000"/>
              <w:right w:val="single" w:sz="4" w:space="0" w:color="000000"/>
            </w:tcBorders>
            <w:shd w:val="clear" w:color="auto" w:fill="D3D3D3"/>
          </w:tcPr>
          <w:p>
            <w:pPr/>
          </w:p>
        </w:tc>
        <w:tc>
          <w:tcPr>
            <w:tcW w:w="13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刘祥</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33.31%</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38,070,00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c>
          <w:tcPr>
            <w:tcW w:w="809"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28,552,50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9,517,500</w:t>
            </w:r>
          </w:p>
        </w:tc>
        <w:tc>
          <w:tcPr>
            <w:tcW w:w="1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3,500,000</w:t>
            </w:r>
          </w:p>
        </w:tc>
      </w:tr>
      <w:tr>
        <w:trPr>
          <w:trHeight w:val="714"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江汉</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11.10%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12,690,00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09"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9,517,500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3,172,500</w:t>
            </w:r>
          </w:p>
        </w:tc>
        <w:tc>
          <w:tcPr>
            <w:tcW w:w="1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11,848,430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155.399704pt;margin-top:404.880005pt;width:379.45pt;height:50.85pt;mso-position-horizontal-relative:page;mso-position-vertical-relative:page;z-index:-82621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6"/>
                    <w:ind w:left="0" w:right="0"/>
                    <w:jc w:val="left"/>
                  </w:pPr>
                  <w:r>
                    <w:rPr/>
                    <w:t>（如有）</w:t>
                  </w:r>
                </w:p>
              </w:txbxContent>
            </v:textbox>
            <w10:wrap type="none"/>
          </v:shape>
        </w:pict>
      </w:r>
      <w:r>
        <w:rPr/>
        <w:pict>
          <v:group style="position:absolute;margin-left:188.580002pt;margin-top:440.100006pt;width:346.3pt;height:15.6pt;mso-position-horizontal-relative:page;mso-position-vertical-relative:page;z-index:-826192" coordorigin="3772,8802" coordsize="6926,312">
            <v:shape style="position:absolute;left:3772;top:8802;width:6926;height:312" coordorigin="3772,8802" coordsize="6926,312" path="m3772,9114l10697,9114,10697,8802,3772,8802,3772,9114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47"/>
        <w:gridCol w:w="1386"/>
        <w:gridCol w:w="876"/>
        <w:gridCol w:w="809"/>
        <w:gridCol w:w="809"/>
        <w:gridCol w:w="808"/>
        <w:gridCol w:w="862"/>
        <w:gridCol w:w="1387"/>
        <w:gridCol w:w="1385"/>
      </w:tblGrid>
      <w:tr>
        <w:trPr>
          <w:trHeight w:val="714"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刘亚</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11.10%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12,690,00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809"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12,690,00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38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2"/>
              <w:jc w:val="both"/>
              <w:rPr>
                <w:rFonts w:ascii="宋体" w:hAnsi="宋体" w:cs="宋体" w:eastAsia="宋体" w:hint="default"/>
                <w:sz w:val="18"/>
                <w:szCs w:val="18"/>
              </w:rPr>
            </w:pPr>
            <w:r>
              <w:rPr>
                <w:rFonts w:ascii="宋体" w:hAnsi="宋体" w:cs="宋体" w:eastAsia="宋体" w:hint="default"/>
                <w:sz w:val="18"/>
                <w:szCs w:val="18"/>
              </w:rPr>
              <w:t>中国光大银行 股份有限公司</w:t>
            </w:r>
          </w:p>
          <w:p>
            <w:pPr>
              <w:pStyle w:val="TableParagraph"/>
              <w:spacing w:line="319" w:lineRule="auto" w:before="19"/>
              <w:ind w:left="22" w:right="132"/>
              <w:jc w:val="both"/>
              <w:rPr>
                <w:rFonts w:ascii="宋体" w:hAnsi="宋体" w:cs="宋体" w:eastAsia="宋体" w:hint="default"/>
                <w:sz w:val="18"/>
                <w:szCs w:val="18"/>
              </w:rPr>
            </w:pPr>
            <w:r>
              <w:rPr>
                <w:rFonts w:ascii="宋体" w:hAnsi="宋体" w:cs="宋体" w:eastAsia="宋体" w:hint="default"/>
                <w:sz w:val="18"/>
                <w:szCs w:val="18"/>
              </w:rPr>
              <w:t>－摩根士丹利 华鑫资源优选 混合型证券投 资基金</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2.46%</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2,809,072</w:t>
            </w:r>
          </w:p>
        </w:tc>
        <w:tc>
          <w:tcPr>
            <w:tcW w:w="809"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2,809,072</w:t>
            </w:r>
          </w:p>
        </w:tc>
        <w:tc>
          <w:tcPr>
            <w:tcW w:w="138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2"/>
              <w:jc w:val="both"/>
              <w:rPr>
                <w:rFonts w:ascii="宋体" w:hAnsi="宋体" w:cs="宋体" w:eastAsia="宋体" w:hint="default"/>
                <w:sz w:val="18"/>
                <w:szCs w:val="18"/>
              </w:rPr>
            </w:pPr>
            <w:r>
              <w:rPr>
                <w:rFonts w:ascii="宋体" w:hAnsi="宋体" w:cs="宋体" w:eastAsia="宋体" w:hint="default"/>
                <w:sz w:val="18"/>
                <w:szCs w:val="18"/>
              </w:rPr>
              <w:t>中国建设银行 股份有限公司</w:t>
            </w:r>
          </w:p>
          <w:p>
            <w:pPr>
              <w:pStyle w:val="TableParagraph"/>
              <w:spacing w:line="319" w:lineRule="auto" w:before="19"/>
              <w:ind w:left="22" w:right="132"/>
              <w:jc w:val="both"/>
              <w:rPr>
                <w:rFonts w:ascii="宋体" w:hAnsi="宋体" w:cs="宋体" w:eastAsia="宋体" w:hint="default"/>
                <w:sz w:val="18"/>
                <w:szCs w:val="18"/>
              </w:rPr>
            </w:pPr>
            <w:r>
              <w:rPr>
                <w:rFonts w:ascii="宋体" w:hAnsi="宋体" w:cs="宋体" w:eastAsia="宋体" w:hint="default"/>
                <w:sz w:val="18"/>
                <w:szCs w:val="18"/>
              </w:rPr>
              <w:t>－摩根士丹利 华鑫消费领航 混合型证券投 资基金</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1.19%</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1,361,223</w:t>
            </w:r>
          </w:p>
        </w:tc>
        <w:tc>
          <w:tcPr>
            <w:tcW w:w="809"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1,361,223</w:t>
            </w:r>
          </w:p>
        </w:tc>
        <w:tc>
          <w:tcPr>
            <w:tcW w:w="138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栾承岚</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0.94%</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1,080,000</w:t>
            </w:r>
          </w:p>
        </w:tc>
        <w:tc>
          <w:tcPr>
            <w:tcW w:w="809"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810,000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270,000</w:t>
            </w:r>
          </w:p>
        </w:tc>
        <w:tc>
          <w:tcPr>
            <w:tcW w:w="138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李俊</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0.94%</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1,080,000</w:t>
            </w:r>
          </w:p>
        </w:tc>
        <w:tc>
          <w:tcPr>
            <w:tcW w:w="809"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1,080,000</w:t>
            </w:r>
          </w:p>
        </w:tc>
        <w:tc>
          <w:tcPr>
            <w:tcW w:w="138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周芹</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0.91%</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1,040,000</w:t>
            </w:r>
          </w:p>
        </w:tc>
        <w:tc>
          <w:tcPr>
            <w:tcW w:w="809"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1,040,000</w:t>
            </w:r>
          </w:p>
        </w:tc>
        <w:tc>
          <w:tcPr>
            <w:tcW w:w="138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徐兴春</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0.87%</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990,000</w:t>
            </w:r>
          </w:p>
        </w:tc>
        <w:tc>
          <w:tcPr>
            <w:tcW w:w="809"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990,000</w:t>
            </w:r>
          </w:p>
        </w:tc>
        <w:tc>
          <w:tcPr>
            <w:tcW w:w="138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李林杰</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0.59%</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675,000</w:t>
            </w:r>
          </w:p>
        </w:tc>
        <w:tc>
          <w:tcPr>
            <w:tcW w:w="809"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506,250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168,750</w:t>
            </w:r>
          </w:p>
        </w:tc>
        <w:tc>
          <w:tcPr>
            <w:tcW w:w="138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63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名股东的情况</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935" w:type="dxa"/>
            <w:gridSpan w:val="7"/>
            <w:tcBorders>
              <w:top w:val="single" w:sz="4" w:space="0" w:color="000000"/>
              <w:left w:val="single" w:sz="9" w:space="0" w:color="D3D3D3"/>
              <w:bottom w:val="single" w:sz="4" w:space="0" w:color="000000"/>
              <w:right w:val="single" w:sz="4" w:space="0" w:color="000000"/>
            </w:tcBorders>
          </w:tcPr>
          <w:p>
            <w:pPr>
              <w:pStyle w:val="TableParagraph"/>
              <w:spacing w:line="312" w:lineRule="exact"/>
              <w:ind w:left="-7"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346.3pt;height:15.6pt;mso-position-horizontal-relative:char;mso-position-vertical-relative:line" coordorigin="0,0" coordsize="6926,312">
                  <v:group style="position:absolute;left:0;top:0;width:6926;height:312" coordorigin="0,0" coordsize="6926,312">
                    <v:shape style="position:absolute;left:0;top:0;width:6926;height:312" coordorigin="0,0" coordsize="6926,312" path="m0,312l6925,312,6925,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2633"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6935" w:type="dxa"/>
            <w:gridSpan w:val="7"/>
            <w:vMerge w:val="restart"/>
            <w:tcBorders>
              <w:top w:val="single" w:sz="4" w:space="0" w:color="000000"/>
              <w:left w:val="single" w:sz="4" w:space="0" w:color="000000"/>
              <w:right w:val="single" w:sz="4" w:space="0" w:color="000000"/>
            </w:tcBorders>
          </w:tcPr>
          <w:p>
            <w:pPr>
              <w:pStyle w:val="TableParagraph"/>
              <w:spacing w:line="319" w:lineRule="auto" w:before="51"/>
              <w:ind w:left="22" w:right="60"/>
              <w:jc w:val="both"/>
              <w:rPr>
                <w:rFonts w:ascii="宋体" w:hAnsi="宋体" w:cs="宋体" w:eastAsia="宋体" w:hint="default"/>
                <w:sz w:val="18"/>
                <w:szCs w:val="18"/>
              </w:rPr>
            </w:pPr>
            <w:r>
              <w:rPr>
                <w:rFonts w:ascii="宋体" w:hAnsi="宋体" w:cs="宋体" w:eastAsia="宋体" w:hint="default"/>
                <w:sz w:val="18"/>
                <w:szCs w:val="18"/>
              </w:rPr>
              <w:t>刘亚先生为刘祥先生弟弟，江汉先生为刘祥先生妹妹之配偶；除此之外，未发现公司股 东之间存在关联关系或属于《上市公司股东持股变动信息披露管理办法》规定的一致行 动人。</w:t>
            </w:r>
          </w:p>
        </w:tc>
      </w:tr>
      <w:tr>
        <w:trPr>
          <w:trHeight w:val="704" w:hRule="exact"/>
        </w:trPr>
        <w:tc>
          <w:tcPr>
            <w:tcW w:w="2633"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935" w:type="dxa"/>
            <w:gridSpan w:val="7"/>
            <w:vMerge/>
            <w:tcBorders>
              <w:left w:val="single" w:sz="4" w:space="0" w:color="000000"/>
              <w:right w:val="single" w:sz="4" w:space="0" w:color="000000"/>
            </w:tcBorders>
          </w:tcPr>
          <w:p>
            <w:pPr/>
          </w:p>
        </w:tc>
      </w:tr>
      <w:tr>
        <w:trPr>
          <w:trHeight w:val="161" w:hRule="exact"/>
        </w:trPr>
        <w:tc>
          <w:tcPr>
            <w:tcW w:w="2633"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6935" w:type="dxa"/>
            <w:gridSpan w:val="7"/>
            <w:vMerge/>
            <w:tcBorders>
              <w:left w:val="single" w:sz="4" w:space="0" w:color="000000"/>
              <w:bottom w:val="single" w:sz="4" w:space="0" w:color="000000"/>
              <w:right w:val="single" w:sz="4" w:space="0" w:color="000000"/>
            </w:tcBorders>
          </w:tcPr>
          <w:p>
            <w:pPr/>
          </w:p>
        </w:tc>
      </w:tr>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633"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4163" w:type="dxa"/>
            <w:gridSpan w:val="5"/>
            <w:tcBorders>
              <w:top w:val="single" w:sz="4" w:space="0" w:color="000000"/>
              <w:left w:val="single" w:sz="4" w:space="0" w:color="000000"/>
              <w:bottom w:val="nil" w:sz="6" w:space="0" w:color="auto"/>
              <w:right w:val="single" w:sz="4" w:space="0" w:color="000000"/>
            </w:tcBorders>
            <w:shd w:val="clear" w:color="auto" w:fill="D3D3D3"/>
          </w:tcPr>
          <w:p>
            <w:pPr/>
          </w:p>
        </w:tc>
        <w:tc>
          <w:tcPr>
            <w:tcW w:w="277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6" w:hRule="exact"/>
        </w:trPr>
        <w:tc>
          <w:tcPr>
            <w:tcW w:w="2633"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63" w:type="dxa"/>
            <w:gridSpan w:val="5"/>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726"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72" w:type="dxa"/>
            <w:gridSpan w:val="2"/>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2633" w:type="dxa"/>
            <w:gridSpan w:val="2"/>
            <w:vMerge/>
            <w:tcBorders>
              <w:left w:val="single" w:sz="4" w:space="0" w:color="000000"/>
              <w:bottom w:val="nil" w:sz="6" w:space="0" w:color="auto"/>
              <w:right w:val="single" w:sz="4" w:space="0" w:color="000000"/>
            </w:tcBorders>
            <w:shd w:val="clear" w:color="auto" w:fill="D3D3D3"/>
          </w:tcPr>
          <w:p>
            <w:pPr/>
          </w:p>
        </w:tc>
        <w:tc>
          <w:tcPr>
            <w:tcW w:w="4163" w:type="dxa"/>
            <w:gridSpan w:val="5"/>
            <w:vMerge/>
            <w:tcBorders>
              <w:left w:val="single" w:sz="4" w:space="0" w:color="000000"/>
              <w:bottom w:val="nil" w:sz="6" w:space="0" w:color="auto"/>
              <w:right w:val="single" w:sz="4" w:space="0" w:color="000000"/>
            </w:tcBorders>
            <w:shd w:val="clear" w:color="auto" w:fill="D3D3D3"/>
          </w:tcPr>
          <w:p>
            <w:pPr/>
          </w:p>
        </w:tc>
        <w:tc>
          <w:tcPr>
            <w:tcW w:w="138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2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8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633"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4163" w:type="dxa"/>
            <w:gridSpan w:val="5"/>
            <w:tcBorders>
              <w:top w:val="nil" w:sz="6" w:space="0" w:color="auto"/>
              <w:left w:val="single" w:sz="4" w:space="0" w:color="000000"/>
              <w:bottom w:val="single" w:sz="4" w:space="0" w:color="000000"/>
              <w:right w:val="single" w:sz="4" w:space="0" w:color="000000"/>
            </w:tcBorders>
            <w:shd w:val="clear" w:color="auto" w:fill="D3D3D3"/>
          </w:tcPr>
          <w:p>
            <w:pPr/>
          </w:p>
        </w:tc>
        <w:tc>
          <w:tcPr>
            <w:tcW w:w="1387" w:type="dxa"/>
            <w:vMerge/>
            <w:tcBorders>
              <w:left w:val="single" w:sz="4" w:space="0" w:color="000000"/>
              <w:bottom w:val="single" w:sz="4" w:space="0" w:color="000000"/>
              <w:right w:val="single" w:sz="4" w:space="0" w:color="000000"/>
            </w:tcBorders>
            <w:shd w:val="clear" w:color="auto" w:fill="D3D3D3"/>
          </w:tcPr>
          <w:p>
            <w:pPr/>
          </w:p>
        </w:tc>
        <w:tc>
          <w:tcPr>
            <w:tcW w:w="138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刘亚</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12,690,000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12,690,000</w:t>
            </w:r>
          </w:p>
        </w:tc>
      </w:tr>
      <w:tr>
        <w:trPr>
          <w:trHeight w:val="402"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刘祥</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9,517,500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9,517,500</w:t>
            </w:r>
          </w:p>
        </w:tc>
      </w:tr>
      <w:tr>
        <w:trPr>
          <w:trHeight w:val="402"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江汉</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3,172,500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3,172,500</w:t>
            </w:r>
          </w:p>
        </w:tc>
      </w:tr>
      <w:tr>
        <w:trPr>
          <w:trHeight w:val="1026"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both"/>
              <w:rPr>
                <w:rFonts w:ascii="宋体" w:hAnsi="宋体" w:cs="宋体" w:eastAsia="宋体" w:hint="default"/>
                <w:sz w:val="18"/>
                <w:szCs w:val="18"/>
              </w:rPr>
            </w:pPr>
            <w:r>
              <w:rPr>
                <w:rFonts w:ascii="宋体" w:hAnsi="宋体" w:cs="宋体" w:eastAsia="宋体" w:hint="default"/>
                <w:sz w:val="18"/>
                <w:szCs w:val="18"/>
              </w:rPr>
              <w:t>中国光大银行股份有限公司－摩 根士丹利华鑫资源优选混合型证 券投资基金</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2,809,072</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2,809,072</w:t>
            </w:r>
          </w:p>
        </w:tc>
      </w:tr>
      <w:tr>
        <w:trPr>
          <w:trHeight w:val="1026"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both"/>
              <w:rPr>
                <w:rFonts w:ascii="宋体" w:hAnsi="宋体" w:cs="宋体" w:eastAsia="宋体" w:hint="default"/>
                <w:sz w:val="18"/>
                <w:szCs w:val="18"/>
              </w:rPr>
            </w:pPr>
            <w:r>
              <w:rPr>
                <w:rFonts w:ascii="宋体" w:hAnsi="宋体" w:cs="宋体" w:eastAsia="宋体" w:hint="default"/>
                <w:sz w:val="18"/>
                <w:szCs w:val="18"/>
              </w:rPr>
              <w:t>中国建设银行股份有限公司－摩 根士丹利华鑫消费领航混合型证 券投资基金</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1,361,223</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1,361,223</w:t>
            </w:r>
          </w:p>
        </w:tc>
      </w:tr>
      <w:tr>
        <w:trPr>
          <w:trHeight w:val="402"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李俊</w:t>
            </w:r>
          </w:p>
        </w:tc>
        <w:tc>
          <w:tcPr>
            <w:tcW w:w="41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1,080,000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633"/>
        <w:gridCol w:w="4163"/>
        <w:gridCol w:w="1387"/>
        <w:gridCol w:w="1385"/>
      </w:tblGrid>
      <w:tr>
        <w:trPr>
          <w:trHeight w:val="402"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周芹</w:t>
            </w:r>
          </w:p>
        </w:tc>
        <w:tc>
          <w:tcPr>
            <w:tcW w:w="4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1,040,000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1,040,000</w:t>
            </w:r>
          </w:p>
        </w:tc>
      </w:tr>
      <w:tr>
        <w:trPr>
          <w:trHeight w:val="402"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徐兴春</w:t>
            </w:r>
          </w:p>
        </w:tc>
        <w:tc>
          <w:tcPr>
            <w:tcW w:w="4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990,000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990,000</w:t>
            </w:r>
          </w:p>
        </w:tc>
      </w:tr>
      <w:tr>
        <w:trPr>
          <w:trHeight w:val="402"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李立群</w:t>
            </w:r>
          </w:p>
        </w:tc>
        <w:tc>
          <w:tcPr>
            <w:tcW w:w="4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660,900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660,900</w:t>
            </w:r>
          </w:p>
        </w:tc>
      </w:tr>
      <w:tr>
        <w:trPr>
          <w:trHeight w:val="402"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孙卫群</w:t>
            </w:r>
          </w:p>
        </w:tc>
        <w:tc>
          <w:tcPr>
            <w:tcW w:w="4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634,300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634,300</w:t>
            </w:r>
          </w:p>
        </w:tc>
      </w:tr>
      <w:tr>
        <w:trPr>
          <w:trHeight w:val="1338" w:hRule="exact"/>
        </w:trPr>
        <w:tc>
          <w:tcPr>
            <w:tcW w:w="2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1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名无限售流通股股东和</w:t>
            </w:r>
          </w:p>
          <w:p>
            <w:pPr>
              <w:pStyle w:val="TableParagraph"/>
              <w:spacing w:line="302" w:lineRule="auto" w:before="63"/>
              <w:ind w:left="22" w:right="22"/>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名股东之间关联关系或一致 行动的说明</w:t>
            </w:r>
          </w:p>
        </w:tc>
        <w:tc>
          <w:tcPr>
            <w:tcW w:w="69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60"/>
              <w:jc w:val="both"/>
              <w:rPr>
                <w:rFonts w:ascii="宋体" w:hAnsi="宋体" w:cs="宋体" w:eastAsia="宋体" w:hint="default"/>
                <w:sz w:val="18"/>
                <w:szCs w:val="18"/>
              </w:rPr>
            </w:pPr>
            <w:r>
              <w:rPr>
                <w:rFonts w:ascii="宋体" w:hAnsi="宋体" w:cs="宋体" w:eastAsia="宋体" w:hint="default"/>
                <w:sz w:val="18"/>
                <w:szCs w:val="18"/>
              </w:rPr>
              <w:t>刘亚先生为刘祥先生弟弟，江汉先生为刘祥先生妹妹之配偶；除此之外，未发现公司股 东之间存在关联关系或属于《上市公司股东持股变动信息披露管理办法》规定的一致行 动人。</w:t>
            </w:r>
          </w:p>
        </w:tc>
      </w:tr>
      <w:tr>
        <w:trPr>
          <w:trHeight w:val="714" w:hRule="exact"/>
        </w:trPr>
        <w:tc>
          <w:tcPr>
            <w:tcW w:w="2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0"/>
                <w:sz w:val="18"/>
                <w:szCs w:val="18"/>
              </w:rPr>
              <w:t>）</w:t>
            </w: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9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公司股东李立群通过国泰君安证券股份有限公司客户信用交易担保证券账户持有</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660,900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Style w:val="BodyText"/>
        <w:spacing w:line="240" w:lineRule="auto" w:before="51"/>
        <w:ind w:right="0"/>
        <w:jc w:val="left"/>
      </w:pPr>
      <w:r>
        <w:rPr/>
        <w:t>公司股东在报告期内是否进行约定购回交易</w:t>
      </w:r>
    </w:p>
    <w:p>
      <w:pPr>
        <w:pStyle w:val="BodyText"/>
        <w:spacing w:line="338" w:lineRule="auto" w:before="117"/>
        <w:ind w:right="635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公司股东在报告期内未进行约定购回交易。</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自然人</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35"/>
        <w:gridCol w:w="2057"/>
        <w:gridCol w:w="4176"/>
      </w:tblGrid>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刘祥</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5"/>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年创建深圳市新国都技术有限公司，现任本公司董事长兼总经理。现兼任 山南格立创业投资有限公司执行董事，深圳市泰德信实业有限公司董事。</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right="0"/>
        <w:jc w:val="left"/>
      </w:pPr>
      <w:r>
        <w:rPr/>
        <w:t>控股股东报告期内变更</w:t>
      </w:r>
    </w:p>
    <w:p>
      <w:pPr>
        <w:pStyle w:val="BodyText"/>
        <w:spacing w:line="338" w:lineRule="auto" w:before="117"/>
        <w:ind w:right="70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公司报告期控股股东未发生变更。</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自然人</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18"/>
        <w:gridCol w:w="2029"/>
        <w:gridCol w:w="4121"/>
      </w:tblGrid>
      <w:tr>
        <w:trPr>
          <w:trHeight w:val="401"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7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刘祥</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年创建深圳市新国都技术有限公司，现任本公司董事长兼总经理。现兼任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山南格立创业投资有限公司执行董事，深圳市泰德信实业有限公司董事。</w:t>
            </w:r>
          </w:p>
        </w:tc>
      </w:tr>
      <w:tr>
        <w:trPr>
          <w:trHeight w:val="403"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right="0"/>
        <w:jc w:val="left"/>
      </w:pPr>
      <w:r>
        <w:rPr/>
        <w:t>实际控制人报告期内变更</w:t>
      </w:r>
    </w:p>
    <w:p>
      <w:pPr>
        <w:pStyle w:val="BodyText"/>
        <w:spacing w:line="348" w:lineRule="auto" w:before="116"/>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after="0" w:line="348"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spacing w:line="1953" w:lineRule="exact"/>
        <w:ind w:left="2729" w:right="0" w:firstLine="0"/>
        <w:rPr>
          <w:rFonts w:ascii="宋体" w:hAnsi="宋体" w:cs="宋体" w:eastAsia="宋体" w:hint="default"/>
          <w:sz w:val="20"/>
          <w:szCs w:val="20"/>
        </w:rPr>
      </w:pPr>
      <w:r>
        <w:rPr>
          <w:rFonts w:ascii="宋体" w:hAnsi="宋体" w:cs="宋体" w:eastAsia="宋体" w:hint="default"/>
          <w:position w:val="-38"/>
          <w:sz w:val="20"/>
          <w:szCs w:val="20"/>
        </w:rPr>
        <w:drawing>
          <wp:inline distT="0" distB="0" distL="0" distR="0">
            <wp:extent cx="2847481" cy="1240154"/>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4" cstate="print"/>
                    <a:stretch>
                      <a:fillRect/>
                    </a:stretch>
                  </pic:blipFill>
                  <pic:spPr>
                    <a:xfrm>
                      <a:off x="0" y="0"/>
                      <a:ext cx="2847481" cy="1240154"/>
                    </a:xfrm>
                    <a:prstGeom prst="rect">
                      <a:avLst/>
                    </a:prstGeom>
                  </pic:spPr>
                </pic:pic>
              </a:graphicData>
            </a:graphic>
          </wp:inline>
        </w:drawing>
      </w:r>
      <w:r>
        <w:rPr>
          <w:rFonts w:ascii="宋体" w:hAnsi="宋体" w:cs="宋体" w:eastAsia="宋体" w:hint="default"/>
          <w:position w:val="-38"/>
          <w:sz w:val="20"/>
          <w:szCs w:val="20"/>
        </w:rPr>
      </w:r>
    </w:p>
    <w:p>
      <w:pPr>
        <w:spacing w:line="240" w:lineRule="auto" w:before="9"/>
        <w:rPr>
          <w:rFonts w:ascii="宋体" w:hAnsi="宋体" w:cs="宋体" w:eastAsia="宋体" w:hint="default"/>
          <w:sz w:val="21"/>
          <w:szCs w:val="21"/>
        </w:rPr>
      </w:pPr>
    </w:p>
    <w:p>
      <w:pPr>
        <w:pStyle w:val="BodyText"/>
        <w:spacing w:line="240" w:lineRule="auto"/>
        <w:ind w:right="0"/>
        <w:jc w:val="left"/>
      </w:pPr>
      <w:r>
        <w:rPr/>
        <w:t>实际控制人通过信托或其他资产管理方式控制公司</w:t>
      </w:r>
    </w:p>
    <w:p>
      <w:pPr>
        <w:pStyle w:val="BodyText"/>
        <w:spacing w:line="240" w:lineRule="auto" w:before="116"/>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、其他持股在</w:t>
      </w:r>
      <w:r>
        <w:rPr>
          <w:spacing w:val="-58"/>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5</w:t>
      </w:r>
      <w:r>
        <w:rPr/>
        <w:t>、前</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名限售条件股东持股数量及限售条件</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限售条件股东名称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91" w:right="50" w:hanging="540"/>
              <w:jc w:val="left"/>
              <w:rPr>
                <w:rFonts w:ascii="宋体" w:hAnsi="宋体" w:cs="宋体" w:eastAsia="宋体" w:hint="default"/>
                <w:sz w:val="18"/>
                <w:szCs w:val="18"/>
              </w:rPr>
            </w:pPr>
            <w:r>
              <w:rPr>
                <w:rFonts w:ascii="宋体" w:hAnsi="宋体" w:cs="宋体" w:eastAsia="宋体" w:hint="default"/>
                <w:sz w:val="18"/>
                <w:szCs w:val="18"/>
              </w:rPr>
              <w:t>持有的限售条件股份数 量（股）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可上市交易时间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91" w:right="50" w:hanging="540"/>
              <w:jc w:val="left"/>
              <w:rPr>
                <w:rFonts w:ascii="宋体" w:hAnsi="宋体" w:cs="宋体" w:eastAsia="宋体" w:hint="default"/>
                <w:sz w:val="18"/>
                <w:szCs w:val="18"/>
              </w:rPr>
            </w:pPr>
            <w:r>
              <w:rPr>
                <w:rFonts w:ascii="宋体" w:hAnsi="宋体" w:cs="宋体" w:eastAsia="宋体" w:hint="default"/>
                <w:sz w:val="18"/>
                <w:szCs w:val="18"/>
              </w:rPr>
              <w:t>新增可上市交易股份数 量（股）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限售条件</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28,552,500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0" w:right="0"/>
              <w:jc w:val="left"/>
              <w:rPr>
                <w:rFonts w:ascii="Times New Roman" w:hAnsi="Times New Roman" w:cs="Times New Roman" w:eastAsia="Times New Roman" w:hint="default"/>
                <w:sz w:val="18"/>
                <w:szCs w:val="18"/>
              </w:rPr>
            </w:pPr>
            <w:r>
              <w:rPr>
                <w:rFonts w:ascii="Times New Roman"/>
                <w:sz w:val="18"/>
              </w:rPr>
              <w:t>9,517,500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江汉</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9,517,500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栾承岚</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李林杰</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506,250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韦余红</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405,000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汪洋</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405,000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赵辉</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405,000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1680" w:right="0"/>
        <w:jc w:val="left"/>
        <w:rPr>
          <w:b w:val="0"/>
          <w:bCs w:val="0"/>
        </w:rPr>
      </w:pPr>
      <w:bookmarkStart w:name="_TOC_250003" w:id="7"/>
      <w:r>
        <w:rPr/>
        <w:t>第七节</w:t>
      </w:r>
      <w:r>
        <w:rPr>
          <w:spacing w:val="-17"/>
        </w:rPr>
        <w:t> </w:t>
      </w:r>
      <w:r>
        <w:rPr/>
        <w:t>董事、监事、高级管理人员和员工情况</w:t>
      </w:r>
      <w:bookmarkEnd w:id="7"/>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0"/>
        <w:jc w:val="left"/>
        <w:rPr>
          <w:b w:val="0"/>
          <w:bCs w:val="0"/>
        </w:rPr>
      </w:pPr>
      <w:r>
        <w:rPr/>
        <w:t>一、董事、监事和高级管理人员持股变动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04"/>
        <w:gridCol w:w="557"/>
        <w:gridCol w:w="683"/>
        <w:gridCol w:w="684"/>
        <w:gridCol w:w="683"/>
        <w:gridCol w:w="683"/>
        <w:gridCol w:w="684"/>
        <w:gridCol w:w="683"/>
        <w:gridCol w:w="684"/>
        <w:gridCol w:w="684"/>
        <w:gridCol w:w="684"/>
        <w:gridCol w:w="684"/>
        <w:gridCol w:w="684"/>
        <w:gridCol w:w="684"/>
      </w:tblGrid>
      <w:tr>
        <w:trPr>
          <w:trHeight w:val="2274" w:hRule="exact"/>
        </w:trPr>
        <w:tc>
          <w:tcPr>
            <w:tcW w:w="8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55"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57"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46" w:right="65" w:hanging="180"/>
              <w:jc w:val="left"/>
              <w:rPr>
                <w:rFonts w:ascii="宋体" w:hAnsi="宋体" w:cs="宋体" w:eastAsia="宋体" w:hint="default"/>
                <w:sz w:val="18"/>
                <w:szCs w:val="18"/>
              </w:rPr>
            </w:pPr>
            <w:r>
              <w:rPr>
                <w:rFonts w:ascii="宋体" w:hAnsi="宋体" w:cs="宋体" w:eastAsia="宋体" w:hint="default"/>
                <w:sz w:val="18"/>
                <w:szCs w:val="18"/>
              </w:rPr>
              <w:t>任职状 态</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55" w:right="65" w:hanging="90"/>
              <w:jc w:val="left"/>
              <w:rPr>
                <w:rFonts w:ascii="宋体" w:hAnsi="宋体" w:cs="宋体" w:eastAsia="宋体" w:hint="default"/>
                <w:sz w:val="18"/>
                <w:szCs w:val="18"/>
              </w:rPr>
            </w:pPr>
            <w:r>
              <w:rPr>
                <w:rFonts w:ascii="宋体" w:hAnsi="宋体" w:cs="宋体" w:eastAsia="宋体" w:hint="default"/>
                <w:sz w:val="18"/>
                <w:szCs w:val="18"/>
              </w:rPr>
              <w:t>期初持 股数</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65" w:right="66"/>
              <w:jc w:val="both"/>
              <w:rPr>
                <w:rFonts w:ascii="宋体" w:hAnsi="宋体" w:cs="宋体" w:eastAsia="宋体" w:hint="default"/>
                <w:sz w:val="18"/>
                <w:szCs w:val="18"/>
              </w:rPr>
            </w:pPr>
            <w:r>
              <w:rPr>
                <w:rFonts w:ascii="宋体" w:hAnsi="宋体" w:cs="宋体" w:eastAsia="宋体" w:hint="default"/>
                <w:sz w:val="18"/>
                <w:szCs w:val="18"/>
              </w:rPr>
              <w:t>本期增 持股份 数量</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65" w:right="65"/>
              <w:jc w:val="both"/>
              <w:rPr>
                <w:rFonts w:ascii="宋体" w:hAnsi="宋体" w:cs="宋体" w:eastAsia="宋体" w:hint="default"/>
                <w:sz w:val="18"/>
                <w:szCs w:val="18"/>
              </w:rPr>
            </w:pPr>
            <w:r>
              <w:rPr>
                <w:rFonts w:ascii="宋体" w:hAnsi="宋体" w:cs="宋体" w:eastAsia="宋体" w:hint="default"/>
                <w:sz w:val="18"/>
                <w:szCs w:val="18"/>
              </w:rPr>
              <w:t>本期减 持股份 数量</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56" w:right="66" w:hanging="90"/>
              <w:jc w:val="left"/>
              <w:rPr>
                <w:rFonts w:ascii="宋体" w:hAnsi="宋体" w:cs="宋体" w:eastAsia="宋体" w:hint="default"/>
                <w:sz w:val="18"/>
                <w:szCs w:val="18"/>
              </w:rPr>
            </w:pPr>
            <w:r>
              <w:rPr>
                <w:rFonts w:ascii="宋体" w:hAnsi="宋体" w:cs="宋体" w:eastAsia="宋体" w:hint="default"/>
                <w:sz w:val="18"/>
                <w:szCs w:val="18"/>
              </w:rPr>
              <w:t>期末持 股数</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5" w:right="66"/>
              <w:jc w:val="center"/>
              <w:rPr>
                <w:rFonts w:ascii="宋体" w:hAnsi="宋体" w:cs="宋体" w:eastAsia="宋体" w:hint="default"/>
                <w:sz w:val="18"/>
                <w:szCs w:val="18"/>
              </w:rPr>
            </w:pPr>
            <w:r>
              <w:rPr>
                <w:rFonts w:ascii="宋体" w:hAnsi="宋体" w:cs="宋体" w:eastAsia="宋体" w:hint="default"/>
                <w:sz w:val="18"/>
                <w:szCs w:val="18"/>
              </w:rPr>
              <w:t>期初持 有的股 权激励 获授予 限制性 股票数 量</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6" w:right="66"/>
              <w:jc w:val="both"/>
              <w:rPr>
                <w:rFonts w:ascii="宋体" w:hAnsi="宋体" w:cs="宋体" w:eastAsia="宋体" w:hint="default"/>
                <w:sz w:val="18"/>
                <w:szCs w:val="18"/>
              </w:rPr>
            </w:pPr>
            <w:r>
              <w:rPr>
                <w:rFonts w:ascii="宋体" w:hAnsi="宋体" w:cs="宋体" w:eastAsia="宋体" w:hint="default"/>
                <w:sz w:val="18"/>
                <w:szCs w:val="18"/>
              </w:rPr>
              <w:t>本期获 授予的 股权激 励限制 性股票 数量</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6" w:right="66"/>
              <w:jc w:val="both"/>
              <w:rPr>
                <w:rFonts w:ascii="宋体" w:hAnsi="宋体" w:cs="宋体" w:eastAsia="宋体" w:hint="default"/>
                <w:sz w:val="18"/>
                <w:szCs w:val="18"/>
              </w:rPr>
            </w:pPr>
            <w:r>
              <w:rPr>
                <w:rFonts w:ascii="宋体" w:hAnsi="宋体" w:cs="宋体" w:eastAsia="宋体" w:hint="default"/>
                <w:sz w:val="18"/>
                <w:szCs w:val="18"/>
              </w:rPr>
              <w:t>本期被 注销的 股权激 励限制 性股票 数量</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5" w:right="66"/>
              <w:jc w:val="center"/>
              <w:rPr>
                <w:rFonts w:ascii="宋体" w:hAnsi="宋体" w:cs="宋体" w:eastAsia="宋体" w:hint="default"/>
                <w:sz w:val="18"/>
                <w:szCs w:val="18"/>
              </w:rPr>
            </w:pPr>
            <w:r>
              <w:rPr>
                <w:rFonts w:ascii="宋体" w:hAnsi="宋体" w:cs="宋体" w:eastAsia="宋体" w:hint="default"/>
                <w:sz w:val="18"/>
                <w:szCs w:val="18"/>
              </w:rPr>
              <w:t>期末持 有的股 权激励 获授予 限制性 股票数 量</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66" w:right="66"/>
              <w:jc w:val="left"/>
              <w:rPr>
                <w:rFonts w:ascii="宋体" w:hAnsi="宋体" w:cs="宋体" w:eastAsia="宋体" w:hint="default"/>
                <w:sz w:val="18"/>
                <w:szCs w:val="18"/>
              </w:rPr>
            </w:pPr>
            <w:r>
              <w:rPr>
                <w:rFonts w:ascii="宋体" w:hAnsi="宋体" w:cs="宋体" w:eastAsia="宋体" w:hint="default"/>
                <w:sz w:val="18"/>
                <w:szCs w:val="18"/>
              </w:rPr>
              <w:t>增减变 动原因</w:t>
            </w:r>
          </w:p>
        </w:tc>
      </w:tr>
      <w:tr>
        <w:trPr>
          <w:trHeight w:val="1026"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刘祥</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总经 </w:t>
            </w:r>
            <w:r>
              <w:rPr>
                <w:rFonts w:ascii="宋体" w:hAnsi="宋体" w:cs="宋体" w:eastAsia="宋体" w:hint="default"/>
                <w:spacing w:val="-13"/>
                <w:sz w:val="18"/>
                <w:szCs w:val="18"/>
              </w:rPr>
              <w:t>理，董</w:t>
            </w:r>
            <w:r>
              <w:rPr>
                <w:rFonts w:ascii="宋体" w:hAnsi="宋体" w:cs="宋体" w:eastAsia="宋体" w:hint="default"/>
                <w:sz w:val="18"/>
                <w:szCs w:val="18"/>
              </w:rPr>
              <w:t> 事长</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38,070,</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38,070,</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江汉</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
              <w:jc w:val="left"/>
              <w:rPr>
                <w:rFonts w:ascii="宋体" w:hAnsi="宋体" w:cs="宋体" w:eastAsia="宋体" w:hint="default"/>
                <w:sz w:val="18"/>
                <w:szCs w:val="18"/>
              </w:rPr>
            </w:pPr>
            <w:r>
              <w:rPr>
                <w:rFonts w:ascii="宋体" w:hAnsi="宋体" w:cs="宋体" w:eastAsia="宋体" w:hint="default"/>
                <w:sz w:val="18"/>
                <w:szCs w:val="18"/>
              </w:rPr>
              <w:t>副总 经理， 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12,690,</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12,690,</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汪洋</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
              <w:jc w:val="left"/>
              <w:rPr>
                <w:rFonts w:ascii="宋体" w:hAnsi="宋体" w:cs="宋体" w:eastAsia="宋体" w:hint="default"/>
                <w:sz w:val="18"/>
                <w:szCs w:val="18"/>
              </w:rPr>
            </w:pPr>
            <w:r>
              <w:rPr>
                <w:rFonts w:ascii="宋体" w:hAnsi="宋体" w:cs="宋体" w:eastAsia="宋体" w:hint="default"/>
                <w:sz w:val="18"/>
                <w:szCs w:val="18"/>
              </w:rPr>
              <w:t>副总 经理， 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韦余红</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
              <w:jc w:val="left"/>
              <w:rPr>
                <w:rFonts w:ascii="宋体" w:hAnsi="宋体" w:cs="宋体" w:eastAsia="宋体" w:hint="default"/>
                <w:sz w:val="18"/>
                <w:szCs w:val="18"/>
              </w:rPr>
            </w:pPr>
            <w:r>
              <w:rPr>
                <w:rFonts w:ascii="宋体" w:hAnsi="宋体" w:cs="宋体" w:eastAsia="宋体" w:hint="default"/>
                <w:sz w:val="18"/>
                <w:szCs w:val="18"/>
              </w:rPr>
              <w:t>总工 程师， 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童卫东</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副总 经理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贾巍</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金毅</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许映鹏</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李建辉</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刘永开</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李林杰</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675,000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675,000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04"/>
        <w:gridCol w:w="557"/>
        <w:gridCol w:w="683"/>
        <w:gridCol w:w="684"/>
        <w:gridCol w:w="683"/>
        <w:gridCol w:w="683"/>
        <w:gridCol w:w="684"/>
        <w:gridCol w:w="683"/>
        <w:gridCol w:w="684"/>
        <w:gridCol w:w="684"/>
        <w:gridCol w:w="684"/>
        <w:gridCol w:w="684"/>
        <w:gridCol w:w="684"/>
        <w:gridCol w:w="684"/>
      </w:tblGrid>
      <w:tr>
        <w:trPr>
          <w:trHeight w:val="674" w:hRule="exact"/>
        </w:trPr>
        <w:tc>
          <w:tcPr>
            <w:tcW w:w="804"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2"/>
              <w:jc w:val="left"/>
              <w:rPr>
                <w:rFonts w:ascii="宋体" w:hAnsi="宋体" w:cs="宋体" w:eastAsia="宋体" w:hint="default"/>
                <w:sz w:val="18"/>
                <w:szCs w:val="18"/>
              </w:rPr>
            </w:pPr>
            <w:r>
              <w:rPr>
                <w:rFonts w:ascii="宋体" w:hAnsi="宋体" w:cs="宋体" w:eastAsia="宋体" w:hint="default"/>
                <w:sz w:val="18"/>
                <w:szCs w:val="18"/>
              </w:rPr>
              <w:t>会主 席</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栾承岚</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杨星</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职工 监事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赵辉</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财务 总监</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何佳</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桑涛</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离任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陈京琳</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蔡艳红</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李艳芳</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both"/>
              <w:rPr>
                <w:rFonts w:ascii="宋体" w:hAnsi="宋体" w:cs="宋体" w:eastAsia="宋体" w:hint="default"/>
                <w:sz w:val="18"/>
                <w:szCs w:val="18"/>
              </w:rPr>
            </w:pPr>
            <w:r>
              <w:rPr>
                <w:rFonts w:ascii="宋体" w:hAnsi="宋体" w:cs="宋体" w:eastAsia="宋体" w:hint="default"/>
                <w:sz w:val="18"/>
                <w:szCs w:val="18"/>
              </w:rPr>
              <w:t>董事 会秘 书</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5"/>
              <w:jc w:val="right"/>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54,135,</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54,135,</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、持有股票期权情况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240" w:lineRule="auto"/>
        <w:ind w:left="0" w:right="158"/>
        <w:jc w:val="right"/>
      </w:pPr>
      <w:r>
        <w:rPr/>
        <w:pict>
          <v:shape style="position:absolute;margin-left:271.799988pt;margin-top:-23.76787pt;width:83.55pt;height:50.8pt;mso-position-horizontal-relative:page;mso-position-vertical-relative:paragraph;z-index:-82616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before="0"/>
                    <w:ind w:left="0" w:right="0"/>
                    <w:jc w:val="left"/>
                  </w:pPr>
                  <w:r>
                    <w:rPr/>
                    <w:t>（份）</w:t>
                  </w:r>
                </w:p>
              </w:txbxContent>
            </v:textbox>
            <w10:wrap type="none"/>
          </v:shape>
        </w:pict>
      </w:r>
      <w:r>
        <w:rPr/>
        <w:pict>
          <v:shape style="position:absolute;margin-left:56.459999pt;margin-top:-24.277849pt;width:479.1pt;height:203.65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93"/>
                    <w:gridCol w:w="1194"/>
                    <w:gridCol w:w="1196"/>
                    <w:gridCol w:w="1196"/>
                    <w:gridCol w:w="1198"/>
                    <w:gridCol w:w="1196"/>
                    <w:gridCol w:w="1198"/>
                    <w:gridCol w:w="1196"/>
                  </w:tblGrid>
                  <w:tr>
                    <w:trPr>
                      <w:trHeight w:val="1025" w:hRule="exact"/>
                    </w:trPr>
                    <w:tc>
                      <w:tcPr>
                        <w:tcW w:w="1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53" w:firstLine="30"/>
                          <w:jc w:val="left"/>
                          <w:rPr>
                            <w:rFonts w:ascii="宋体" w:hAnsi="宋体" w:cs="宋体" w:eastAsia="宋体" w:hint="default"/>
                            <w:sz w:val="18"/>
                            <w:szCs w:val="18"/>
                          </w:rPr>
                        </w:pPr>
                        <w:r>
                          <w:rPr>
                            <w:rFonts w:ascii="宋体" w:hAnsi="宋体" w:cs="宋体" w:eastAsia="宋体" w:hint="default"/>
                            <w:sz w:val="18"/>
                            <w:szCs w:val="18"/>
                          </w:rPr>
                          <w:t>期初持有股票 期权数量</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3" w:right="53"/>
                          <w:jc w:val="center"/>
                          <w:rPr>
                            <w:rFonts w:ascii="宋体" w:hAnsi="宋体" w:cs="宋体" w:eastAsia="宋体" w:hint="default"/>
                            <w:sz w:val="18"/>
                            <w:szCs w:val="18"/>
                          </w:rPr>
                        </w:pPr>
                        <w:r>
                          <w:rPr>
                            <w:rFonts w:ascii="宋体" w:hAnsi="宋体" w:cs="宋体" w:eastAsia="宋体" w:hint="default"/>
                            <w:sz w:val="18"/>
                            <w:szCs w:val="18"/>
                          </w:rPr>
                          <w:t>本期获授予股 票期权数量</w:t>
                        </w:r>
                      </w:p>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（份）</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2" w:right="53"/>
                          <w:jc w:val="center"/>
                          <w:rPr>
                            <w:rFonts w:ascii="宋体" w:hAnsi="宋体" w:cs="宋体" w:eastAsia="宋体" w:hint="default"/>
                            <w:sz w:val="18"/>
                            <w:szCs w:val="18"/>
                          </w:rPr>
                        </w:pPr>
                        <w:r>
                          <w:rPr>
                            <w:rFonts w:ascii="宋体" w:hAnsi="宋体" w:cs="宋体" w:eastAsia="宋体" w:hint="default"/>
                            <w:sz w:val="18"/>
                            <w:szCs w:val="18"/>
                          </w:rPr>
                          <w:t>本期已行权股 票期权数量</w:t>
                        </w:r>
                      </w:p>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（份）</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3" w:right="53"/>
                          <w:jc w:val="center"/>
                          <w:rPr>
                            <w:rFonts w:ascii="宋体" w:hAnsi="宋体" w:cs="宋体" w:eastAsia="宋体" w:hint="default"/>
                            <w:sz w:val="18"/>
                            <w:szCs w:val="18"/>
                          </w:rPr>
                        </w:pPr>
                        <w:r>
                          <w:rPr>
                            <w:rFonts w:ascii="宋体" w:hAnsi="宋体" w:cs="宋体" w:eastAsia="宋体" w:hint="default"/>
                            <w:sz w:val="18"/>
                            <w:szCs w:val="18"/>
                          </w:rPr>
                          <w:t>本期注销的股 票期权数量</w:t>
                        </w:r>
                      </w:p>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（份）</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53" w:firstLine="30"/>
                          <w:jc w:val="left"/>
                          <w:rPr>
                            <w:rFonts w:ascii="宋体" w:hAnsi="宋体" w:cs="宋体" w:eastAsia="宋体" w:hint="default"/>
                            <w:sz w:val="18"/>
                            <w:szCs w:val="18"/>
                          </w:rPr>
                        </w:pPr>
                        <w:r>
                          <w:rPr>
                            <w:rFonts w:ascii="宋体" w:hAnsi="宋体" w:cs="宋体" w:eastAsia="宋体" w:hint="default"/>
                            <w:sz w:val="18"/>
                            <w:szCs w:val="18"/>
                          </w:rPr>
                          <w:t>期末持有股票 </w:t>
                        </w:r>
                        <w:r>
                          <w:rPr>
                            <w:rFonts w:ascii="宋体" w:hAnsi="宋体" w:cs="宋体" w:eastAsia="宋体" w:hint="default"/>
                            <w:spacing w:val="-5"/>
                            <w:sz w:val="18"/>
                            <w:szCs w:val="18"/>
                          </w:rPr>
                          <w:t>期权数量（份</w:t>
                        </w:r>
                      </w:p>
                    </w:tc>
                  </w:tr>
                  <w:tr>
                    <w:trPr>
                      <w:trHeight w:val="402"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童卫东</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150,000</w:t>
                        </w:r>
                      </w:p>
                    </w:tc>
                  </w:tr>
                  <w:tr>
                    <w:trPr>
                      <w:trHeight w:val="714"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汪洋</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副总经理，董 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150,000</w:t>
                        </w:r>
                      </w:p>
                    </w:tc>
                  </w:tr>
                  <w:tr>
                    <w:trPr>
                      <w:trHeight w:val="714"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韦余红</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总工程师，董 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150,000</w:t>
                        </w:r>
                      </w:p>
                    </w:tc>
                  </w:tr>
                  <w:tr>
                    <w:trPr>
                      <w:trHeight w:val="402"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赵辉</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120,000</w:t>
                        </w:r>
                      </w:p>
                    </w:tc>
                  </w:tr>
                  <w:tr>
                    <w:trPr>
                      <w:trHeight w:val="402"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李艳芳</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100,000</w:t>
                        </w:r>
                      </w:p>
                    </w:tc>
                  </w:tr>
                  <w:tr>
                    <w:trPr>
                      <w:trHeight w:val="403" w:hRule="exact"/>
                    </w:trPr>
                    <w:tc>
                      <w:tcPr>
                        <w:tcW w:w="1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670,000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670,000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8"/>
        <w:ind w:right="0"/>
        <w:jc w:val="left"/>
        <w:rPr>
          <w:b w:val="0"/>
          <w:bCs w:val="0"/>
        </w:rPr>
      </w:pPr>
      <w:r>
        <w:rPr/>
        <w:t>二、任职情况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公司现任董事、监事、高级管理人员最近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w:t>
      </w:r>
    </w:p>
    <w:p>
      <w:pPr>
        <w:spacing w:after="0" w:line="240" w:lineRule="auto"/>
        <w:jc w:val="left"/>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300" w:lineRule="auto"/>
        <w:ind w:left="573" w:right="211" w:hanging="347"/>
        <w:jc w:val="left"/>
      </w:pPr>
      <w:r>
        <w:rPr>
          <w:rFonts w:ascii="Times New Roman" w:hAnsi="Times New Roman" w:cs="Times New Roman" w:eastAsia="Times New Roman" w:hint="default"/>
        </w:rPr>
        <w:t>1</w:t>
      </w:r>
      <w:r>
        <w:rPr/>
        <w:t>、董事会成员简介 刘祥，男，</w:t>
      </w:r>
      <w:r>
        <w:rPr>
          <w:rFonts w:ascii="Times New Roman" w:hAnsi="Times New Roman" w:cs="Times New Roman" w:eastAsia="Times New Roman" w:hint="default"/>
        </w:rPr>
        <w:t>48</w:t>
      </w:r>
      <w:r>
        <w:rPr/>
        <w:t>岁，中国国籍，无境外居留权，毕业于东南大学，本科学历，现任本公司董事长兼总经理。</w:t>
      </w:r>
      <w:r>
        <w:rPr>
          <w:rFonts w:ascii="Times New Roman" w:hAnsi="Times New Roman" w:cs="Times New Roman" w:eastAsia="Times New Roman" w:hint="default"/>
        </w:rPr>
        <w:t>2001</w:t>
      </w:r>
      <w:r>
        <w:rPr/>
        <w:t>年创建</w:t>
      </w:r>
    </w:p>
    <w:p>
      <w:pPr>
        <w:pStyle w:val="BodyText"/>
        <w:spacing w:line="316" w:lineRule="auto" w:before="13"/>
        <w:ind w:left="573" w:right="91" w:hanging="420"/>
        <w:jc w:val="left"/>
      </w:pPr>
      <w:r>
        <w:rPr/>
        <w:t>深圳市新国都技术有限公司，现兼任山南格立执行董事，深圳市泰德信实业有限公司董事。 </w:t>
      </w:r>
      <w:r>
        <w:rPr>
          <w:spacing w:val="-1"/>
        </w:rPr>
        <w:t>江汉，男，</w:t>
      </w:r>
      <w:r>
        <w:rPr>
          <w:rFonts w:ascii="Times New Roman" w:hAnsi="Times New Roman" w:cs="Times New Roman" w:eastAsia="Times New Roman" w:hint="default"/>
          <w:spacing w:val="-1"/>
        </w:rPr>
        <w:t>44</w:t>
      </w:r>
      <w:r>
        <w:rPr>
          <w:spacing w:val="-1"/>
        </w:rPr>
        <w:t>岁，中国国籍，无境外居留权，工商管理硕士（</w:t>
      </w:r>
      <w:r>
        <w:rPr>
          <w:rFonts w:ascii="Times New Roman" w:hAnsi="Times New Roman" w:cs="Times New Roman" w:eastAsia="Times New Roman" w:hint="default"/>
          <w:spacing w:val="-1"/>
        </w:rPr>
        <w:t>MBA</w:t>
      </w:r>
      <w:r>
        <w:rPr>
          <w:spacing w:val="-1"/>
        </w:rPr>
        <w:t>），现任本公司董事兼副总经理，负责主持市场工</w:t>
      </w:r>
    </w:p>
    <w:p>
      <w:pPr>
        <w:pStyle w:val="BodyText"/>
        <w:spacing w:line="307" w:lineRule="auto" w:before="0"/>
        <w:ind w:left="573" w:right="211" w:hanging="420"/>
        <w:jc w:val="left"/>
      </w:pPr>
      <w:r>
        <w:rPr/>
        <w:t>作。现任深圳市泰德信实业有限公司董事（法定代表人）。 汪洋，男，</w:t>
      </w:r>
      <w:r>
        <w:rPr>
          <w:rFonts w:ascii="Times New Roman" w:hAnsi="Times New Roman" w:cs="Times New Roman" w:eastAsia="Times New Roman" w:hint="default"/>
        </w:rPr>
        <w:t>52</w:t>
      </w:r>
      <w:r>
        <w:rPr/>
        <w:t>岁，中国国籍，无境外居留权，本科学历，现任本公司董事兼副总经理，负责主持营销工作。 韦余红，男，</w:t>
      </w:r>
      <w:r>
        <w:rPr>
          <w:rFonts w:ascii="Times New Roman" w:hAnsi="Times New Roman" w:cs="Times New Roman" w:eastAsia="Times New Roman" w:hint="default"/>
        </w:rPr>
        <w:t>46</w:t>
      </w:r>
      <w:r>
        <w:rPr/>
        <w:t>岁，中国国籍，无境外居留权，研究生学历，现任本公司董事兼总工程师，负责主持研发工作。 贾巍，女，</w:t>
      </w:r>
      <w:r>
        <w:rPr>
          <w:rFonts w:ascii="Times New Roman" w:hAnsi="Times New Roman" w:cs="Times New Roman" w:eastAsia="Times New Roman" w:hint="default"/>
        </w:rPr>
        <w:t>42</w:t>
      </w:r>
      <w:r>
        <w:rPr/>
        <w:t>岁，中国国籍，无境外居留权，硕士学历，中国注册会计师协会非执业会员，现任本公司董事兼审计委</w:t>
      </w:r>
    </w:p>
    <w:p>
      <w:pPr>
        <w:pStyle w:val="BodyText"/>
        <w:spacing w:line="316" w:lineRule="auto" w:before="7"/>
        <w:ind w:left="153" w:right="91"/>
        <w:jc w:val="left"/>
      </w:pPr>
      <w:r>
        <w:rPr>
          <w:spacing w:val="-2"/>
        </w:rPr>
        <w:t>员会委员。2007年迄今，就职于深圳市创新投资集团有限公司，现任国际部总经理，兼任深圳市信维通信股份有限公司的董</w:t>
      </w:r>
      <w:r>
        <w:rPr>
          <w:spacing w:val="-62"/>
        </w:rPr>
        <w:t> </w:t>
      </w:r>
      <w:r>
        <w:rPr>
          <w:spacing w:val="-62"/>
        </w:rPr>
      </w:r>
      <w:r>
        <w:rPr/>
        <w:t>事。</w:t>
      </w:r>
    </w:p>
    <w:p>
      <w:pPr>
        <w:pStyle w:val="BodyText"/>
        <w:spacing w:line="316" w:lineRule="auto" w:before="19"/>
        <w:ind w:left="153" w:right="211" w:firstLine="420"/>
        <w:jc w:val="left"/>
      </w:pPr>
      <w:r>
        <w:rPr/>
        <w:t>金毅，男，47岁，中国国籍，无境外居留权，本科学历，曾任本公司独立董事，为深圳市同创伟业创业投资有限公司 董事、深圳市榕树投资管理有限公司董事长。</w:t>
      </w:r>
    </w:p>
    <w:p>
      <w:pPr>
        <w:pStyle w:val="BodyText"/>
        <w:spacing w:line="240" w:lineRule="auto" w:before="19"/>
        <w:ind w:left="573" w:right="91"/>
        <w:jc w:val="left"/>
      </w:pPr>
      <w:r>
        <w:rPr/>
        <w:t>许映鹏，男，48岁，中国国籍，无境外居留权，硕士学历，高级工程师，曾任本公司独立董事，为凯斯泰尔通信设备</w:t>
      </w:r>
    </w:p>
    <w:p>
      <w:pPr>
        <w:pStyle w:val="BodyText"/>
        <w:spacing w:line="316" w:lineRule="auto" w:before="76"/>
        <w:ind w:left="573" w:right="211" w:hanging="420"/>
        <w:jc w:val="left"/>
      </w:pPr>
      <w:r>
        <w:rPr/>
        <w:t>（深圳）有限公司副总经理。 李建辉，男，46岁，中国国籍，无境外居留权，本科学历，执业律师，曾任本公司独立董事，为北京市竞天公诚律师</w:t>
      </w:r>
    </w:p>
    <w:p>
      <w:pPr>
        <w:pStyle w:val="BodyText"/>
        <w:spacing w:line="316" w:lineRule="auto" w:before="19"/>
        <w:ind w:left="573" w:right="84" w:hanging="420"/>
        <w:jc w:val="left"/>
      </w:pPr>
      <w:r>
        <w:rPr/>
        <w:t>事务所合伙人律师。 </w:t>
      </w:r>
      <w:r>
        <w:rPr>
          <w:spacing w:val="-1"/>
        </w:rPr>
        <w:t>刘永开，男，47岁，中国国籍，无境外居留权，硕士学历，中国注册会计师、中国注册税务师，曾任本公司独立董事，</w:t>
      </w:r>
    </w:p>
    <w:p>
      <w:pPr>
        <w:pStyle w:val="BodyText"/>
        <w:spacing w:line="316" w:lineRule="auto" w:before="19"/>
        <w:ind w:left="573" w:right="211" w:hanging="420"/>
        <w:jc w:val="left"/>
      </w:pPr>
      <w:r>
        <w:rPr/>
        <w:t>现任深圳市中联岳华税务师事务所合伙人、深圳恒平会计师事务所注册会计师、深圳鹏博实业集团有限公司董事。 桑涛，男，45岁，中国国籍，无境外居留权，本科学历，毕业于合肥工业大学，曾任本公司独立董事，现任瑞华会计</w:t>
      </w:r>
    </w:p>
    <w:p>
      <w:pPr>
        <w:pStyle w:val="BodyText"/>
        <w:spacing w:line="316" w:lineRule="auto" w:before="19"/>
        <w:ind w:left="573" w:right="211" w:hanging="420"/>
        <w:jc w:val="left"/>
      </w:pPr>
      <w:r>
        <w:rPr/>
        <w:t>师事务所（特殊普通合伙），担任合伙人职务。 何佳，男，61岁，香港居民，博士学历，毕业于美国宾夕凡尼亚大学沃顿商学院，现任本公司独立董事，任职于香港</w:t>
      </w:r>
    </w:p>
    <w:p>
      <w:pPr>
        <w:pStyle w:val="BodyText"/>
        <w:spacing w:line="316" w:lineRule="auto" w:before="19"/>
        <w:ind w:left="573" w:right="211" w:hanging="420"/>
        <w:jc w:val="left"/>
      </w:pPr>
      <w:r>
        <w:rPr/>
        <w:t>中文大学，担任财务学教授职务。 陈京琳，男，43岁，中国国籍，无境外居留权，硕士研究生学历，毕业于中欧工商管理学院，现任本公司独立董事，</w:t>
      </w:r>
    </w:p>
    <w:p>
      <w:pPr>
        <w:pStyle w:val="BodyText"/>
        <w:spacing w:line="316" w:lineRule="auto" w:before="19"/>
        <w:ind w:left="573" w:right="211" w:hanging="420"/>
        <w:jc w:val="left"/>
      </w:pPr>
      <w:r>
        <w:rPr/>
        <w:t>任职于广东华商律师事务所，担任高级合伙人职务。 蔡艳红，女，41岁，中国国籍，无境外居留权，本科学历。现任本公司独立董事。2007年起就职于深圳科士达科技股</w:t>
      </w:r>
    </w:p>
    <w:p>
      <w:pPr>
        <w:pStyle w:val="BodyText"/>
        <w:spacing w:line="240" w:lineRule="auto" w:before="19"/>
        <w:ind w:left="153" w:right="660"/>
        <w:jc w:val="left"/>
      </w:pPr>
      <w:r>
        <w:rPr/>
        <w:t>份有限公司，2011年至今担任深圳科士达科技股份有限公司的副总经理、财务总监、董事会秘书。</w:t>
      </w:r>
    </w:p>
    <w:p>
      <w:pPr>
        <w:pStyle w:val="BodyText"/>
        <w:spacing w:line="300" w:lineRule="auto" w:before="76"/>
        <w:ind w:left="573" w:right="211" w:hanging="347"/>
        <w:jc w:val="left"/>
      </w:pPr>
      <w:r>
        <w:rPr>
          <w:rFonts w:ascii="Times New Roman" w:hAnsi="Times New Roman" w:cs="Times New Roman" w:eastAsia="Times New Roman" w:hint="default"/>
        </w:rPr>
        <w:t>2</w:t>
      </w:r>
      <w:r>
        <w:rPr/>
        <w:t>、监事会成员简介 李林杰，男，57岁，中国国籍，无境外居留权，本科学历，现任本公司监事会主席兼行政中心总监，兼任南京新国都</w:t>
      </w:r>
    </w:p>
    <w:p>
      <w:pPr>
        <w:pStyle w:val="BodyText"/>
        <w:spacing w:line="240" w:lineRule="auto" w:before="31"/>
        <w:ind w:left="153" w:right="660"/>
        <w:jc w:val="left"/>
      </w:pPr>
      <w:r>
        <w:rPr/>
        <w:t>监事。</w:t>
      </w:r>
    </w:p>
    <w:p>
      <w:pPr>
        <w:pStyle w:val="BodyText"/>
        <w:spacing w:line="316" w:lineRule="auto" w:before="76"/>
        <w:ind w:left="573" w:right="1291"/>
        <w:jc w:val="left"/>
      </w:pPr>
      <w:r>
        <w:rPr/>
        <w:t>栾承岚，女，39岁，中国国籍，无境外居留权，专科学历，现任本公司监事兼任计划财务中心副经理。 杨星, 男，39岁，中国国籍，无境外居留权，本科学历，现任本公司职工监事兼研发中心副总经理。</w:t>
      </w:r>
    </w:p>
    <w:p>
      <w:pPr>
        <w:pStyle w:val="BodyText"/>
        <w:spacing w:line="314" w:lineRule="auto" w:before="19"/>
        <w:ind w:left="573" w:right="5431" w:hanging="347"/>
        <w:jc w:val="left"/>
      </w:pPr>
      <w:r>
        <w:rPr>
          <w:rFonts w:ascii="Times New Roman" w:hAnsi="Times New Roman" w:cs="Times New Roman" w:eastAsia="Times New Roman" w:hint="default"/>
        </w:rPr>
        <w:t>3</w:t>
      </w:r>
      <w:r>
        <w:rPr/>
        <w:t>、高级管理人员简介 刘祥，总经理，简介及工作经历见董事介绍。 江汉，副总经理，简介及工作经历见董事介绍。 汪洋，副总经理，简介及工作经历见董事介绍。 韦余红，副总经理，简介及工作经历见董事介绍。</w:t>
      </w:r>
    </w:p>
    <w:p>
      <w:pPr>
        <w:pStyle w:val="BodyText"/>
        <w:spacing w:line="316" w:lineRule="auto" w:before="20"/>
        <w:ind w:left="153" w:right="211" w:firstLine="420"/>
        <w:jc w:val="left"/>
      </w:pPr>
      <w:r>
        <w:rPr/>
        <w:t>童卫东，男，48岁，硕士学历，工程师，现任公司副总经理，公司全资子公司南京市新国都技术有限公司执行董事兼 总经理，控股子公司苏州市新国都电子技术有限公司总经理。</w:t>
      </w:r>
    </w:p>
    <w:p>
      <w:pPr>
        <w:pStyle w:val="BodyText"/>
        <w:spacing w:line="316" w:lineRule="auto" w:before="19"/>
        <w:ind w:left="573" w:right="211"/>
        <w:jc w:val="left"/>
      </w:pPr>
      <w:r>
        <w:rPr/>
        <w:t>赵辉，男，46岁，中国国籍，无境外居留权，本科学历，现任本公司财务总监，负责财务工作。 李艳芳，女，33岁，中国国籍，无境外居留权，硕士研究生学历，现任公司董事会秘书。2007年至今，就职于深圳市</w:t>
      </w:r>
    </w:p>
    <w:p>
      <w:pPr>
        <w:pStyle w:val="BodyText"/>
        <w:spacing w:line="360" w:lineRule="auto" w:before="19"/>
        <w:ind w:left="153" w:right="5671"/>
        <w:jc w:val="left"/>
      </w:pPr>
      <w:r>
        <w:rPr/>
        <w:t>新国都技术股份有限公司，曾任公司证券事务代表。 在股东单位任职情况</w:t>
      </w:r>
    </w:p>
    <w:p>
      <w:pPr>
        <w:pStyle w:val="BodyText"/>
        <w:spacing w:line="338" w:lineRule="auto" w:before="27"/>
        <w:ind w:left="153" w:right="81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在其他单位任职情况</w:t>
      </w:r>
    </w:p>
    <w:p>
      <w:pPr>
        <w:spacing w:after="0" w:line="338" w:lineRule="auto"/>
        <w:jc w:val="left"/>
        <w:sectPr>
          <w:footerReference w:type="default" r:id="rId15"/>
          <w:pgSz w:w="11910" w:h="16840"/>
          <w:pgMar w:footer="982" w:header="747" w:top="1060" w:bottom="1180" w:left="980" w:right="940"/>
          <w:pgNumType w:start="53"/>
        </w:sectPr>
      </w:pPr>
    </w:p>
    <w:p>
      <w:pPr>
        <w:spacing w:line="240" w:lineRule="auto" w:before="13"/>
        <w:rPr>
          <w:rFonts w:ascii="宋体" w:hAnsi="宋体" w:cs="宋体" w:eastAsia="宋体" w:hint="default"/>
          <w:sz w:val="25"/>
          <w:szCs w:val="25"/>
        </w:rPr>
      </w:pPr>
    </w:p>
    <w:p>
      <w:pPr>
        <w:pStyle w:val="BodyText"/>
        <w:spacing w:line="240" w:lineRule="auto"/>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01"/>
        <w:gridCol w:w="3190"/>
        <w:gridCol w:w="1063"/>
        <w:gridCol w:w="1196"/>
        <w:gridCol w:w="1324"/>
        <w:gridCol w:w="1594"/>
      </w:tblGrid>
      <w:tr>
        <w:trPr>
          <w:trHeight w:val="713"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41"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贾巍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深圳市创新投资集团有限公司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8"/>
              <w:jc w:val="left"/>
              <w:rPr>
                <w:rFonts w:ascii="宋体" w:hAnsi="宋体" w:cs="宋体" w:eastAsia="宋体" w:hint="default"/>
                <w:sz w:val="18"/>
                <w:szCs w:val="18"/>
              </w:rPr>
            </w:pPr>
            <w:r>
              <w:rPr>
                <w:rFonts w:ascii="宋体" w:hAnsi="宋体" w:cs="宋体" w:eastAsia="宋体" w:hint="default"/>
                <w:sz w:val="18"/>
                <w:szCs w:val="18"/>
              </w:rPr>
              <w:t>国际部总经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深圳市同创伟业创业投资有限公司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许映鹏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凯斯泰尔通信设备（深圳）有限公司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李建辉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北京市竞天公诚律师事务所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合伙人律师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刘永开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深圳市中联岳华税务师事务所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桑涛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香港中文大学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财务学教授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陈京琳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广东华商律师事务所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高级合伙人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蔡艳红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深圳科士达科技股份有限公司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董事会秘书 </w:t>
            </w:r>
            <w:r>
              <w:rPr>
                <w:rFonts w:ascii="宋体" w:hAnsi="宋体" w:cs="宋体" w:eastAsia="宋体" w:hint="default"/>
                <w:spacing w:val="-13"/>
                <w:sz w:val="18"/>
                <w:szCs w:val="18"/>
              </w:rPr>
              <w:t>财务总监、副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2"/>
              <w:ind w:left="-14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pict>
          <v:group style="position:absolute;margin-left:329.640015pt;margin-top:-63.164063pt;width:59.3pt;height:50.8pt;mso-position-horizontal-relative:page;mso-position-vertical-relative:paragraph;z-index:-826120" coordorigin="6593,-1263" coordsize="1186,1016">
            <v:group style="position:absolute;left:6593;top:-1263;width:1186;height:1016" coordorigin="6593,-1263" coordsize="1186,1016">
              <v:shape style="position:absolute;left:6593;top:-1263;width:1186;height:1016" coordorigin="6593,-1263" coordsize="1186,1016" path="m6593,-248l7778,-248,7778,-1263,6593,-1263,6593,-248xe" filled="true" fillcolor="#ffffff" stroked="false">
                <v:path arrowok="t"/>
                <v:fill type="solid"/>
              </v:shape>
            </v:group>
            <v:group style="position:absolute;left:6616;top:-1107;width:1140;height:352" coordorigin="6616,-1107" coordsize="1140,352">
              <v:shape style="position:absolute;left:6616;top:-1107;width:1140;height:352" coordorigin="6616,-1107" coordsize="1140,352" path="m6616,-756l7756,-756,7756,-1107,6616,-1107,6616,-756xe" filled="true" fillcolor="#ffffff" stroked="false">
                <v:path arrowok="t"/>
                <v:fill type="solid"/>
              </v:shape>
            </v:group>
            <v:group style="position:absolute;left:6616;top:-756;width:1140;height:352" coordorigin="6616,-756" coordsize="1140,352">
              <v:shape style="position:absolute;left:6616;top:-756;width:1140;height:352" coordorigin="6616,-756" coordsize="1140,352" path="m6616,-404l7756,-404,7756,-756,6616,-756,6616,-404xe" filled="true" fillcolor="#ffffff" stroked="false">
                <v:path arrowok="t"/>
                <v:fill type="solid"/>
              </v:shape>
            </v:group>
            <w10:wrap type="none"/>
          </v:group>
        </w:pict>
      </w:r>
      <w:r>
        <w:rPr/>
        <w:t>三、董事、监事、高级管理人员报酬情况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260"/>
        <w:gridCol w:w="5308"/>
      </w:tblGrid>
      <w:tr>
        <w:trPr>
          <w:trHeight w:val="1026" w:hRule="exact"/>
        </w:trPr>
        <w:tc>
          <w:tcPr>
            <w:tcW w:w="4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3"/>
              <w:jc w:val="both"/>
              <w:rPr>
                <w:rFonts w:ascii="宋体" w:hAnsi="宋体" w:cs="宋体" w:eastAsia="宋体" w:hint="default"/>
                <w:sz w:val="18"/>
                <w:szCs w:val="18"/>
              </w:rPr>
            </w:pPr>
            <w:r>
              <w:rPr>
                <w:rFonts w:ascii="宋体" w:hAnsi="宋体" w:cs="宋体" w:eastAsia="宋体" w:hint="default"/>
                <w:sz w:val="18"/>
                <w:szCs w:val="18"/>
              </w:rPr>
              <w:t>公司董事、监事、高级管理人员的薪酬需提请公司股东大会予以审 议，董事、监事、高级管理人员报酬由公司支付；独立董事津贴需 经股东大会审议决策。</w:t>
            </w:r>
          </w:p>
        </w:tc>
      </w:tr>
      <w:tr>
        <w:trPr>
          <w:trHeight w:val="1026" w:hRule="exact"/>
        </w:trPr>
        <w:tc>
          <w:tcPr>
            <w:tcW w:w="4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3"/>
              <w:jc w:val="both"/>
              <w:rPr>
                <w:rFonts w:ascii="宋体" w:hAnsi="宋体" w:cs="宋体" w:eastAsia="宋体" w:hint="default"/>
                <w:sz w:val="18"/>
                <w:szCs w:val="18"/>
              </w:rPr>
            </w:pPr>
            <w:r>
              <w:rPr>
                <w:rFonts w:ascii="宋体" w:hAnsi="宋体" w:cs="宋体" w:eastAsia="宋体" w:hint="default"/>
                <w:sz w:val="18"/>
                <w:szCs w:val="18"/>
              </w:rPr>
              <w:t>公司董事、监事和高级管理人员的报酬按照公司董事会《薪酬与考 核委员会工作细则》的规定，结合其经营绩效、工作能力、岗位职 级等为依据考核确定并发放。</w:t>
            </w:r>
          </w:p>
        </w:tc>
      </w:tr>
      <w:tr>
        <w:trPr>
          <w:trHeight w:val="714" w:hRule="exact"/>
        </w:trPr>
        <w:tc>
          <w:tcPr>
            <w:tcW w:w="4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5"/>
                <w:sz w:val="18"/>
                <w:szCs w:val="18"/>
              </w:rPr>
              <w:t>公司董事、监事、高级管理人员</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年度在公司领取的报酬总额为</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339.5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pStyle w:val="BodyText"/>
        <w:spacing w:line="240" w:lineRule="auto" w:before="51"/>
        <w:ind w:right="0"/>
        <w:jc w:val="left"/>
      </w:pPr>
      <w:r>
        <w:rPr/>
        <w:t>公司报告期内董事、监事和高级管理人员报酬情况</w:t>
      </w:r>
    </w:p>
    <w:p>
      <w:pPr>
        <w:pStyle w:val="BodyText"/>
        <w:spacing w:line="240" w:lineRule="auto" w:before="117"/>
        <w:ind w:left="0" w:right="151"/>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6"/>
        <w:gridCol w:w="1195"/>
        <w:gridCol w:w="1196"/>
        <w:gridCol w:w="1196"/>
        <w:gridCol w:w="1195"/>
      </w:tblGrid>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33" w:right="50"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刘祥</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总经理，董事 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6"/>
        <w:gridCol w:w="1195"/>
        <w:gridCol w:w="1196"/>
        <w:gridCol w:w="1196"/>
        <w:gridCol w:w="1195"/>
      </w:tblGrid>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江汉</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副总经理，董 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38.9</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汪洋</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副总经理，董 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43.9</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韦余红</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总工程师，董 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43.9</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童卫东</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34.7</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贾巍</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金毅</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许映鹏</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李建辉</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刘永开</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李艳芳</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李林杰</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栾承岚</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杨星</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赵辉</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339.5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339.5</w:t>
            </w:r>
          </w:p>
        </w:tc>
      </w:tr>
    </w:tbl>
    <w:p>
      <w:pPr>
        <w:pStyle w:val="BodyText"/>
        <w:spacing w:line="240" w:lineRule="auto" w:before="51"/>
        <w:ind w:right="0"/>
        <w:jc w:val="left"/>
      </w:pPr>
      <w:r>
        <w:rPr/>
        <w:t>公司董事、监事、高级管理人员报告期内被授予的股权激励情况</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3"/>
        <w:gridCol w:w="1063"/>
        <w:gridCol w:w="1063"/>
        <w:gridCol w:w="1063"/>
        <w:gridCol w:w="1062"/>
        <w:gridCol w:w="1063"/>
      </w:tblGrid>
      <w:tr>
        <w:trPr>
          <w:trHeight w:val="1337"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报告期内可 行权的期权 股数</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7"/>
              <w:jc w:val="center"/>
              <w:rPr>
                <w:rFonts w:ascii="宋体" w:hAnsi="宋体" w:cs="宋体" w:eastAsia="宋体" w:hint="default"/>
                <w:sz w:val="18"/>
                <w:szCs w:val="18"/>
              </w:rPr>
            </w:pPr>
            <w:r>
              <w:rPr>
                <w:rFonts w:ascii="宋体" w:hAnsi="宋体" w:cs="宋体" w:eastAsia="宋体" w:hint="default"/>
                <w:sz w:val="18"/>
                <w:szCs w:val="18"/>
              </w:rPr>
              <w:t>报告期内已 行权的期权 股数</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2" w:firstLine="52"/>
              <w:jc w:val="both"/>
              <w:rPr>
                <w:rFonts w:ascii="宋体" w:hAnsi="宋体" w:cs="宋体" w:eastAsia="宋体" w:hint="default"/>
                <w:sz w:val="18"/>
                <w:szCs w:val="18"/>
              </w:rPr>
            </w:pPr>
            <w:r>
              <w:rPr>
                <w:rFonts w:ascii="宋体" w:hAnsi="宋体" w:cs="宋体" w:eastAsia="宋体" w:hint="default"/>
                <w:sz w:val="18"/>
                <w:szCs w:val="18"/>
              </w:rPr>
              <w:t>报告期内已 行权期限的 </w:t>
            </w:r>
            <w:r>
              <w:rPr>
                <w:rFonts w:ascii="宋体" w:hAnsi="宋体" w:cs="宋体" w:eastAsia="宋体" w:hint="default"/>
                <w:spacing w:val="-13"/>
                <w:sz w:val="18"/>
                <w:szCs w:val="18"/>
              </w:rPr>
              <w:t>行权价格（元</w:t>
            </w:r>
          </w:p>
          <w:p>
            <w:pPr>
              <w:pStyle w:val="TableParagraph"/>
              <w:spacing w:line="240" w:lineRule="auto" w:before="20"/>
              <w:ind w:left="3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0" w:right="50" w:firstLine="25"/>
              <w:jc w:val="both"/>
              <w:rPr>
                <w:rFonts w:ascii="宋体" w:hAnsi="宋体" w:cs="宋体" w:eastAsia="宋体" w:hint="default"/>
                <w:sz w:val="18"/>
                <w:szCs w:val="18"/>
              </w:rPr>
            </w:pPr>
            <w:r>
              <w:rPr>
                <w:rFonts w:ascii="宋体" w:hAnsi="宋体" w:cs="宋体" w:eastAsia="宋体" w:hint="default"/>
                <w:sz w:val="18"/>
                <w:szCs w:val="18"/>
              </w:rPr>
              <w:t>报告期末持 有的股权市 价（元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7"/>
              <w:jc w:val="center"/>
              <w:rPr>
                <w:rFonts w:ascii="宋体" w:hAnsi="宋体" w:cs="宋体" w:eastAsia="宋体" w:hint="default"/>
                <w:sz w:val="18"/>
                <w:szCs w:val="18"/>
              </w:rPr>
            </w:pPr>
            <w:r>
              <w:rPr>
                <w:rFonts w:ascii="宋体" w:hAnsi="宋体" w:cs="宋体" w:eastAsia="宋体" w:hint="default"/>
                <w:sz w:val="18"/>
                <w:szCs w:val="18"/>
              </w:rPr>
              <w:t>报告期新授 予限制性股 票数量</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4"/>
              <w:jc w:val="left"/>
              <w:rPr>
                <w:rFonts w:ascii="宋体" w:hAnsi="宋体" w:cs="宋体" w:eastAsia="宋体" w:hint="default"/>
                <w:sz w:val="18"/>
                <w:szCs w:val="18"/>
              </w:rPr>
            </w:pPr>
            <w:r>
              <w:rPr>
                <w:rFonts w:ascii="宋体" w:hAnsi="宋体" w:cs="宋体" w:eastAsia="宋体" w:hint="default"/>
                <w:sz w:val="18"/>
                <w:szCs w:val="18"/>
              </w:rPr>
              <w:t>限制性股票 的授予价格</w:t>
            </w:r>
          </w:p>
          <w:p>
            <w:pPr>
              <w:pStyle w:val="TableParagraph"/>
              <w:spacing w:line="240" w:lineRule="auto" w:before="20"/>
              <w:ind w:left="140"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报告期行权 的限制性股 票数量</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童卫东</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汪洋</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pacing w:val="-13"/>
                <w:sz w:val="18"/>
                <w:szCs w:val="18"/>
              </w:rPr>
              <w:t>副总经理、董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事</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韦余红</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pacing w:val="-13"/>
                <w:sz w:val="18"/>
                <w:szCs w:val="18"/>
              </w:rPr>
              <w:t>副总经理、董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事</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赵辉</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李艳芳</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四、公司董事、监事、高级管理人员变动情况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6"/>
        <w:gridCol w:w="1326"/>
        <w:gridCol w:w="1330"/>
        <w:gridCol w:w="4247"/>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赵辉</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49"/>
              <w:jc w:val="center"/>
              <w:rPr>
                <w:rFonts w:ascii="宋体" w:hAnsi="宋体" w:cs="宋体" w:eastAsia="宋体" w:hint="default"/>
                <w:sz w:val="18"/>
                <w:szCs w:val="18"/>
              </w:rPr>
            </w:pPr>
            <w:r>
              <w:rPr>
                <w:rFonts w:ascii="宋体" w:hAnsi="宋体" w:cs="宋体" w:eastAsia="宋体" w:hint="default"/>
                <w:sz w:val="18"/>
                <w:szCs w:val="18"/>
              </w:rPr>
              <w:t>因工作原因，申请辞去公司董事会秘书，仍担任公司</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30"/>
        <w:gridCol w:w="1336"/>
        <w:gridCol w:w="1326"/>
        <w:gridCol w:w="1330"/>
        <w:gridCol w:w="4247"/>
      </w:tblGrid>
      <w:tr>
        <w:trPr>
          <w:trHeight w:val="362" w:hRule="exact"/>
        </w:trPr>
        <w:tc>
          <w:tcPr>
            <w:tcW w:w="133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财务总监职务。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李艳芳</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由公司董事长刘祥先生提名担任公司董事会秘书。</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金毅</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公司第二届董事会任期届满离任。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许映鹏</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公司第二届董事会任期届满离任。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李建辉</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公司第二届董事会任期届满离任。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刘永开</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公司第二届董事会任期届满离任。</w:t>
            </w:r>
          </w:p>
        </w:tc>
      </w:tr>
      <w:tr>
        <w:trPr>
          <w:trHeight w:val="102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桑涛</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由公司第二届董事会提名委员会提名选举产生，并提 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年年度股东大会选举产生。桑涛先生于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月辞去公司独立董事职务。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何佳</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由公司第二届董事会提名委员会提名选举产生，并提 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年年度股东大会选举产生。</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陈京琳</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由公司第二届董事会提名委员会提名选举产生，并提 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年年度股东大会选举产生。</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蔡艳红</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由公司第三届董事会选举产生担任公司独立董事，并 提交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年第二次临时股东大会选举产生。</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五、报告期核心技术团队或关键技术人员变动情况（非董事、监事、高级管理人员）</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0"/>
        <w:jc w:val="left"/>
      </w:pPr>
      <w:r>
        <w:rPr/>
        <w:t>不适用。</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r>
        <w:rPr/>
        <w:t>六、公司员工情况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0"/>
        <w:jc w:val="left"/>
      </w:pP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日，公司员工总数</w:t>
      </w:r>
      <w:r>
        <w:rPr>
          <w:rFonts w:ascii="Times New Roman" w:hAnsi="Times New Roman" w:cs="Times New Roman" w:eastAsia="Times New Roman" w:hint="default"/>
        </w:rPr>
        <w:t>1332</w:t>
      </w:r>
      <w:r>
        <w:rPr/>
        <w:t>人。其中各类人员构成情况如下：</w:t>
      </w:r>
    </w:p>
    <w:p>
      <w:pPr>
        <w:spacing w:line="240" w:lineRule="auto" w:before="11"/>
        <w:rPr>
          <w:rFonts w:ascii="宋体" w:hAnsi="宋体" w:cs="宋体" w:eastAsia="宋体" w:hint="default"/>
          <w:sz w:val="27"/>
          <w:szCs w:val="27"/>
        </w:rPr>
      </w:pPr>
    </w:p>
    <w:tbl>
      <w:tblPr>
        <w:tblW w:w="0" w:type="auto"/>
        <w:jc w:val="left"/>
        <w:tblInd w:w="146" w:type="dxa"/>
        <w:tblLayout w:type="fixed"/>
        <w:tblCellMar>
          <w:top w:w="0" w:type="dxa"/>
          <w:left w:w="0" w:type="dxa"/>
          <w:bottom w:w="0" w:type="dxa"/>
          <w:right w:w="0" w:type="dxa"/>
        </w:tblCellMar>
        <w:tblLook w:val="01E0"/>
      </w:tblPr>
      <w:tblGrid>
        <w:gridCol w:w="1420"/>
        <w:gridCol w:w="1421"/>
        <w:gridCol w:w="1420"/>
        <w:gridCol w:w="1420"/>
        <w:gridCol w:w="1422"/>
        <w:gridCol w:w="1422"/>
      </w:tblGrid>
      <w:tr>
        <w:trPr>
          <w:trHeight w:val="347" w:hRule="exact"/>
        </w:trPr>
        <w:tc>
          <w:tcPr>
            <w:tcW w:w="8524" w:type="dxa"/>
            <w:gridSpan w:val="6"/>
            <w:tcBorders>
              <w:top w:val="single" w:sz="4" w:space="0" w:color="000000"/>
              <w:left w:val="single" w:sz="4" w:space="0" w:color="000000"/>
              <w:bottom w:val="single" w:sz="8" w:space="0" w:color="000000"/>
              <w:right w:val="single" w:sz="8" w:space="0" w:color="000000"/>
            </w:tcBorders>
          </w:tcPr>
          <w:p>
            <w:pPr>
              <w:pStyle w:val="TableParagraph"/>
              <w:spacing w:line="240" w:lineRule="auto" w:before="21"/>
              <w:ind w:left="3" w:right="0"/>
              <w:jc w:val="center"/>
              <w:rPr>
                <w:rFonts w:ascii="宋体" w:hAnsi="宋体" w:cs="宋体" w:eastAsia="宋体" w:hint="default"/>
                <w:sz w:val="18"/>
                <w:szCs w:val="18"/>
              </w:rPr>
            </w:pPr>
            <w:r>
              <w:rPr>
                <w:rFonts w:ascii="宋体" w:hAnsi="宋体" w:cs="宋体" w:eastAsia="宋体" w:hint="default"/>
                <w:sz w:val="18"/>
                <w:szCs w:val="18"/>
              </w:rPr>
              <w:t>员工专业结构</w:t>
            </w:r>
          </w:p>
        </w:tc>
      </w:tr>
      <w:tr>
        <w:trPr>
          <w:trHeight w:val="342" w:hRule="exact"/>
        </w:trPr>
        <w:tc>
          <w:tcPr>
            <w:tcW w:w="142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1"/>
              <w:ind w:right="338"/>
              <w:jc w:val="right"/>
              <w:rPr>
                <w:rFonts w:ascii="宋体" w:hAnsi="宋体" w:cs="宋体" w:eastAsia="宋体" w:hint="default"/>
                <w:sz w:val="18"/>
                <w:szCs w:val="18"/>
              </w:rPr>
            </w:pPr>
            <w:r>
              <w:rPr>
                <w:rFonts w:ascii="宋体" w:hAnsi="宋体" w:cs="宋体" w:eastAsia="宋体" w:hint="default"/>
                <w:sz w:val="18"/>
                <w:szCs w:val="18"/>
              </w:rPr>
              <w:t>专业结构</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1" w:right="0"/>
              <w:jc w:val="left"/>
              <w:rPr>
                <w:rFonts w:ascii="宋体" w:hAnsi="宋体" w:cs="宋体" w:eastAsia="宋体" w:hint="default"/>
                <w:sz w:val="18"/>
                <w:szCs w:val="18"/>
              </w:rPr>
            </w:pPr>
            <w:r>
              <w:rPr>
                <w:rFonts w:ascii="宋体" w:hAnsi="宋体" w:cs="宋体" w:eastAsia="宋体" w:hint="default"/>
                <w:sz w:val="18"/>
                <w:szCs w:val="18"/>
              </w:rPr>
              <w:t>研发体系</w:t>
            </w:r>
          </w:p>
        </w:tc>
        <w:tc>
          <w:tcPr>
            <w:tcW w:w="1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营销体系</w:t>
            </w:r>
          </w:p>
        </w:tc>
        <w:tc>
          <w:tcPr>
            <w:tcW w:w="1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供应链体系</w:t>
            </w:r>
          </w:p>
        </w:tc>
        <w:tc>
          <w:tcPr>
            <w:tcW w:w="14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职能体系</w:t>
            </w:r>
          </w:p>
        </w:tc>
        <w:tc>
          <w:tcPr>
            <w:tcW w:w="14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521"/>
              <w:jc w:val="right"/>
              <w:rPr>
                <w:rFonts w:ascii="宋体" w:hAnsi="宋体" w:cs="宋体" w:eastAsia="宋体" w:hint="default"/>
                <w:sz w:val="18"/>
                <w:szCs w:val="18"/>
              </w:rPr>
            </w:pPr>
            <w:r>
              <w:rPr>
                <w:rFonts w:ascii="宋体" w:hAnsi="宋体" w:cs="宋体" w:eastAsia="宋体" w:hint="default"/>
                <w:sz w:val="18"/>
                <w:szCs w:val="18"/>
              </w:rPr>
              <w:t>合计</w:t>
            </w:r>
          </w:p>
        </w:tc>
      </w:tr>
      <w:tr>
        <w:trPr>
          <w:trHeight w:val="342" w:hRule="exact"/>
        </w:trPr>
        <w:tc>
          <w:tcPr>
            <w:tcW w:w="142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1"/>
              <w:ind w:right="248"/>
              <w:jc w:val="right"/>
              <w:rPr>
                <w:rFonts w:ascii="宋体" w:hAnsi="宋体" w:cs="宋体" w:eastAsia="宋体" w:hint="default"/>
                <w:sz w:val="18"/>
                <w:szCs w:val="18"/>
              </w:rPr>
            </w:pPr>
            <w:r>
              <w:rPr>
                <w:rFonts w:ascii="宋体" w:hAnsi="宋体" w:cs="宋体" w:eastAsia="宋体" w:hint="default"/>
                <w:sz w:val="18"/>
                <w:szCs w:val="18"/>
              </w:rPr>
              <w:t>人数（人）</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318</w:t>
            </w:r>
          </w:p>
        </w:tc>
        <w:tc>
          <w:tcPr>
            <w:tcW w:w="1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299</w:t>
            </w:r>
          </w:p>
        </w:tc>
        <w:tc>
          <w:tcPr>
            <w:tcW w:w="1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621</w:t>
            </w:r>
          </w:p>
        </w:tc>
        <w:tc>
          <w:tcPr>
            <w:tcW w:w="14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94</w:t>
            </w:r>
          </w:p>
        </w:tc>
        <w:tc>
          <w:tcPr>
            <w:tcW w:w="14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521"/>
              <w:jc w:val="right"/>
              <w:rPr>
                <w:rFonts w:ascii="Times New Roman" w:hAnsi="Times New Roman" w:cs="Times New Roman" w:eastAsia="Times New Roman" w:hint="default"/>
                <w:sz w:val="18"/>
                <w:szCs w:val="18"/>
              </w:rPr>
            </w:pPr>
            <w:r>
              <w:rPr>
                <w:rFonts w:ascii="Times New Roman"/>
                <w:sz w:val="18"/>
              </w:rPr>
              <w:t>1332</w:t>
            </w:r>
          </w:p>
        </w:tc>
      </w:tr>
      <w:tr>
        <w:trPr>
          <w:trHeight w:val="342" w:hRule="exact"/>
        </w:trPr>
        <w:tc>
          <w:tcPr>
            <w:tcW w:w="142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1"/>
              <w:ind w:left="38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sz w:val="18"/>
              </w:rPr>
              <w:t>23.87</w:t>
            </w:r>
          </w:p>
        </w:tc>
        <w:tc>
          <w:tcPr>
            <w:tcW w:w="1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22.45</w:t>
            </w:r>
          </w:p>
        </w:tc>
        <w:tc>
          <w:tcPr>
            <w:tcW w:w="1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46.62</w:t>
            </w:r>
          </w:p>
        </w:tc>
        <w:tc>
          <w:tcPr>
            <w:tcW w:w="14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7.05</w:t>
            </w:r>
          </w:p>
        </w:tc>
        <w:tc>
          <w:tcPr>
            <w:tcW w:w="14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564"/>
              <w:jc w:val="right"/>
              <w:rPr>
                <w:rFonts w:ascii="Times New Roman" w:hAnsi="Times New Roman" w:cs="Times New Roman" w:eastAsia="Times New Roman" w:hint="default"/>
                <w:sz w:val="18"/>
                <w:szCs w:val="18"/>
              </w:rPr>
            </w:pPr>
            <w:r>
              <w:rPr>
                <w:rFonts w:ascii="Times New Roman"/>
                <w:sz w:val="18"/>
              </w:rPr>
              <w:t>100</w:t>
            </w:r>
          </w:p>
        </w:tc>
      </w:tr>
      <w:tr>
        <w:trPr>
          <w:trHeight w:val="344" w:hRule="exact"/>
        </w:trPr>
        <w:tc>
          <w:tcPr>
            <w:tcW w:w="8524" w:type="dxa"/>
            <w:gridSpan w:val="6"/>
            <w:tcBorders>
              <w:top w:val="single" w:sz="8" w:space="0" w:color="000000"/>
              <w:left w:val="single" w:sz="4" w:space="0" w:color="000000"/>
              <w:bottom w:val="single" w:sz="6" w:space="0" w:color="000000"/>
              <w:right w:val="single" w:sz="6" w:space="0" w:color="000000"/>
            </w:tcBorders>
          </w:tcPr>
          <w:p>
            <w:pPr>
              <w:pStyle w:val="TableParagraph"/>
              <w:spacing w:line="240" w:lineRule="auto" w:before="16"/>
              <w:ind w:left="1" w:right="0"/>
              <w:jc w:val="center"/>
              <w:rPr>
                <w:rFonts w:ascii="宋体" w:hAnsi="宋体" w:cs="宋体" w:eastAsia="宋体" w:hint="default"/>
                <w:sz w:val="18"/>
                <w:szCs w:val="18"/>
              </w:rPr>
            </w:pPr>
            <w:r>
              <w:rPr>
                <w:rFonts w:ascii="宋体" w:hAnsi="宋体" w:cs="宋体" w:eastAsia="宋体" w:hint="default"/>
                <w:sz w:val="18"/>
                <w:szCs w:val="18"/>
              </w:rPr>
              <w:t>学历结构</w:t>
            </w:r>
          </w:p>
        </w:tc>
      </w:tr>
      <w:tr>
        <w:trPr>
          <w:trHeight w:val="347"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41"/>
              <w:jc w:val="right"/>
              <w:rPr>
                <w:rFonts w:ascii="宋体" w:hAnsi="宋体" w:cs="宋体" w:eastAsia="宋体" w:hint="default"/>
                <w:sz w:val="18"/>
                <w:szCs w:val="18"/>
              </w:rPr>
            </w:pPr>
            <w:r>
              <w:rPr>
                <w:rFonts w:ascii="宋体" w:hAnsi="宋体" w:cs="宋体" w:eastAsia="宋体" w:hint="default"/>
                <w:sz w:val="18"/>
                <w:szCs w:val="18"/>
              </w:rPr>
              <w:t>学历结构</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53" w:right="0"/>
              <w:jc w:val="left"/>
              <w:rPr>
                <w:rFonts w:ascii="宋体" w:hAnsi="宋体" w:cs="宋体" w:eastAsia="宋体" w:hint="default"/>
                <w:sz w:val="18"/>
                <w:szCs w:val="18"/>
              </w:rPr>
            </w:pPr>
            <w:r>
              <w:rPr>
                <w:rFonts w:ascii="宋体" w:hAnsi="宋体" w:cs="宋体" w:eastAsia="宋体" w:hint="default"/>
                <w:sz w:val="18"/>
                <w:szCs w:val="18"/>
              </w:rPr>
              <w:t>本科及以上</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大专</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中专</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高中及以下</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522"/>
              <w:jc w:val="right"/>
              <w:rPr>
                <w:rFonts w:ascii="宋体" w:hAnsi="宋体" w:cs="宋体" w:eastAsia="宋体" w:hint="default"/>
                <w:sz w:val="18"/>
                <w:szCs w:val="18"/>
              </w:rPr>
            </w:pPr>
            <w:r>
              <w:rPr>
                <w:rFonts w:ascii="宋体" w:hAnsi="宋体" w:cs="宋体" w:eastAsia="宋体" w:hint="default"/>
                <w:sz w:val="18"/>
                <w:szCs w:val="18"/>
              </w:rPr>
              <w:t>合计</w:t>
            </w:r>
          </w:p>
        </w:tc>
      </w:tr>
      <w:tr>
        <w:trPr>
          <w:trHeight w:val="348"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51"/>
              <w:jc w:val="right"/>
              <w:rPr>
                <w:rFonts w:ascii="宋体" w:hAnsi="宋体" w:cs="宋体" w:eastAsia="宋体" w:hint="default"/>
                <w:sz w:val="18"/>
                <w:szCs w:val="18"/>
              </w:rPr>
            </w:pPr>
            <w:r>
              <w:rPr>
                <w:rFonts w:ascii="宋体" w:hAnsi="宋体" w:cs="宋体" w:eastAsia="宋体" w:hint="default"/>
                <w:sz w:val="18"/>
                <w:szCs w:val="18"/>
              </w:rPr>
              <w:t>人数（人）</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541</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198</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92</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501</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522"/>
              <w:jc w:val="right"/>
              <w:rPr>
                <w:rFonts w:ascii="Times New Roman" w:hAnsi="Times New Roman" w:cs="Times New Roman" w:eastAsia="Times New Roman" w:hint="default"/>
                <w:sz w:val="18"/>
                <w:szCs w:val="18"/>
              </w:rPr>
            </w:pPr>
            <w:r>
              <w:rPr>
                <w:rFonts w:ascii="Times New Roman"/>
                <w:sz w:val="18"/>
              </w:rPr>
              <w:t>1332</w:t>
            </w:r>
          </w:p>
        </w:tc>
      </w:tr>
      <w:tr>
        <w:trPr>
          <w:trHeight w:val="347"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65"/>
              <w:jc w:val="righ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40.62</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14.86</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5.86</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38.66</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54"/>
              <w:jc w:val="right"/>
              <w:rPr>
                <w:rFonts w:ascii="Times New Roman" w:hAnsi="Times New Roman" w:cs="Times New Roman" w:eastAsia="Times New Roman" w:hint="default"/>
                <w:sz w:val="18"/>
                <w:szCs w:val="18"/>
              </w:rPr>
            </w:pPr>
            <w:r>
              <w:rPr>
                <w:rFonts w:ascii="Times New Roman"/>
                <w:sz w:val="18"/>
              </w:rPr>
              <w:t>100.00</w:t>
            </w:r>
          </w:p>
        </w:tc>
      </w:tr>
      <w:tr>
        <w:trPr>
          <w:trHeight w:val="347" w:hRule="exact"/>
        </w:trPr>
        <w:tc>
          <w:tcPr>
            <w:tcW w:w="8524"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年龄结构</w:t>
            </w:r>
          </w:p>
        </w:tc>
      </w:tr>
      <w:tr>
        <w:trPr>
          <w:trHeight w:val="347"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岁以下</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30—40</w:t>
            </w:r>
            <w:r>
              <w:rPr>
                <w:rFonts w:ascii="宋体" w:hAnsi="宋体" w:cs="宋体" w:eastAsia="宋体" w:hint="default"/>
                <w:sz w:val="18"/>
                <w:szCs w:val="18"/>
              </w:rPr>
              <w:t>岁</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40—50</w:t>
            </w:r>
            <w:r>
              <w:rPr>
                <w:rFonts w:ascii="宋体" w:hAnsi="宋体" w:cs="宋体" w:eastAsia="宋体" w:hint="default"/>
                <w:sz w:val="18"/>
                <w:szCs w:val="18"/>
              </w:rPr>
              <w:t>岁</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岁以上</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522"/>
              <w:jc w:val="right"/>
              <w:rPr>
                <w:rFonts w:ascii="宋体" w:hAnsi="宋体" w:cs="宋体" w:eastAsia="宋体" w:hint="default"/>
                <w:sz w:val="18"/>
                <w:szCs w:val="18"/>
              </w:rPr>
            </w:pPr>
            <w:r>
              <w:rPr>
                <w:rFonts w:ascii="宋体" w:hAnsi="宋体" w:cs="宋体" w:eastAsia="宋体" w:hint="default"/>
                <w:sz w:val="18"/>
                <w:szCs w:val="18"/>
              </w:rPr>
              <w:t>合计</w:t>
            </w:r>
          </w:p>
        </w:tc>
      </w:tr>
      <w:tr>
        <w:trPr>
          <w:trHeight w:val="348"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51"/>
              <w:jc w:val="right"/>
              <w:rPr>
                <w:rFonts w:ascii="宋体" w:hAnsi="宋体" w:cs="宋体" w:eastAsia="宋体" w:hint="default"/>
                <w:sz w:val="18"/>
                <w:szCs w:val="18"/>
              </w:rPr>
            </w:pPr>
            <w:r>
              <w:rPr>
                <w:rFonts w:ascii="宋体" w:hAnsi="宋体" w:cs="宋体" w:eastAsia="宋体" w:hint="default"/>
                <w:sz w:val="18"/>
                <w:szCs w:val="18"/>
              </w:rPr>
              <w:t>人数（人）</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942</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332</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51</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522"/>
              <w:jc w:val="right"/>
              <w:rPr>
                <w:rFonts w:ascii="Times New Roman" w:hAnsi="Times New Roman" w:cs="Times New Roman" w:eastAsia="Times New Roman" w:hint="default"/>
                <w:sz w:val="18"/>
                <w:szCs w:val="18"/>
              </w:rPr>
            </w:pPr>
            <w:r>
              <w:rPr>
                <w:rFonts w:ascii="Times New Roman"/>
                <w:sz w:val="18"/>
              </w:rPr>
              <w:t>1332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420"/>
        <w:gridCol w:w="1421"/>
        <w:gridCol w:w="1420"/>
        <w:gridCol w:w="1420"/>
        <w:gridCol w:w="1422"/>
        <w:gridCol w:w="1422"/>
      </w:tblGrid>
      <w:tr>
        <w:trPr>
          <w:trHeight w:val="348"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67"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70.72</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24.92</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3.83</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0.53</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55" w:right="0"/>
              <w:jc w:val="lef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10"/>
        <w:ind w:left="227" w:right="0"/>
        <w:jc w:val="left"/>
      </w:pPr>
      <w:r>
        <w:rPr/>
        <w:t>公司执行深圳市社会保险制度，没有需要公司承担费用的离退休职工。</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591" w:right="3627"/>
        <w:jc w:val="center"/>
        <w:rPr>
          <w:b w:val="0"/>
          <w:bCs w:val="0"/>
        </w:rPr>
      </w:pPr>
      <w:bookmarkStart w:name="_TOC_250002" w:id="8"/>
      <w:r>
        <w:rPr/>
        <w:t>第八节</w:t>
      </w:r>
      <w:r>
        <w:rPr>
          <w:spacing w:val="-5"/>
        </w:rPr>
        <w:t> </w:t>
      </w:r>
      <w:r>
        <w:rPr/>
        <w:t>公司治理</w:t>
      </w:r>
      <w:bookmarkEnd w:id="8"/>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660"/>
        <w:jc w:val="left"/>
        <w:rPr>
          <w:b w:val="0"/>
          <w:bCs w:val="0"/>
        </w:rPr>
      </w:pPr>
      <w:r>
        <w:rPr/>
        <w:t>一、公司治理的基本状况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574" w:right="91"/>
        <w:jc w:val="left"/>
      </w:pPr>
      <w:r>
        <w:rPr>
          <w:spacing w:val="-5"/>
        </w:rPr>
        <w:t>报告期内，公司严格按照《公司法》、《证券法》、《上市公司治理准则》、《深圳证券交易所创业板股票上市规则》、</w:t>
      </w:r>
    </w:p>
    <w:p>
      <w:pPr>
        <w:pStyle w:val="BodyText"/>
        <w:spacing w:line="316" w:lineRule="auto" w:before="76"/>
        <w:ind w:right="101" w:hanging="90"/>
        <w:jc w:val="center"/>
      </w:pPr>
      <w:r>
        <w:rPr>
          <w:spacing w:val="-2"/>
        </w:rPr>
        <w:t>《深圳证券交易所创业板上市公司规范运作指引》等法律、法规和中国证监会有关法律法规等的要求，不断完善公司的法人</w:t>
      </w:r>
      <w:r>
        <w:rPr/>
        <w:t> 治理结构，建立健全公司内部管理和控制制度，持续深入开展公司治理活动，促进了公司规范运作，提高了公司治理水平。 </w:t>
      </w:r>
      <w:r>
        <w:rPr>
          <w:spacing w:val="-4"/>
        </w:rPr>
        <w:t>截至报告期末，公司治理的实际状况符合《上市公司治理准则》和《深圳证券交易所创业板上市公司规范运作指引》的要求。</w:t>
      </w:r>
    </w:p>
    <w:p>
      <w:pPr>
        <w:spacing w:line="240" w:lineRule="auto" w:before="4"/>
        <w:rPr>
          <w:rFonts w:ascii="宋体" w:hAnsi="宋体" w:cs="宋体" w:eastAsia="宋体" w:hint="default"/>
          <w:sz w:val="25"/>
          <w:szCs w:val="25"/>
        </w:rPr>
      </w:pPr>
    </w:p>
    <w:p>
      <w:pPr>
        <w:pStyle w:val="BodyText"/>
        <w:spacing w:line="300" w:lineRule="auto" w:before="0"/>
        <w:ind w:right="90" w:firstLine="290"/>
        <w:jc w:val="left"/>
      </w:pPr>
      <w:r>
        <w:rPr>
          <w:rFonts w:ascii="Times New Roman" w:hAnsi="Times New Roman" w:cs="Times New Roman" w:eastAsia="Times New Roman" w:hint="default"/>
        </w:rPr>
        <w:t>1</w:t>
      </w:r>
      <w:r>
        <w:rPr/>
        <w:t>、关于股东与股东大会：公司严格按照《上市公司股东大会规则》、《公司章程》、《股东大会议事规则》等规定和 要求，规范地召集、召开股东大会，平等对待所有股东，并尽可能为股东参加股东大会提供便利，使其充分行使股东权利。</w:t>
      </w:r>
    </w:p>
    <w:p>
      <w:pPr>
        <w:spacing w:line="240" w:lineRule="auto" w:before="3"/>
        <w:rPr>
          <w:rFonts w:ascii="宋体" w:hAnsi="宋体" w:cs="宋体" w:eastAsia="宋体" w:hint="default"/>
          <w:sz w:val="26"/>
          <w:szCs w:val="26"/>
        </w:rPr>
      </w:pPr>
    </w:p>
    <w:p>
      <w:pPr>
        <w:pStyle w:val="BodyText"/>
        <w:spacing w:line="309" w:lineRule="auto" w:before="0"/>
        <w:ind w:right="91" w:firstLine="290"/>
        <w:jc w:val="left"/>
      </w:pPr>
      <w:r>
        <w:rPr>
          <w:rFonts w:ascii="Times New Roman" w:hAnsi="Times New Roman" w:cs="Times New Roman" w:eastAsia="Times New Roman" w:hint="default"/>
        </w:rPr>
        <w:t>2</w:t>
      </w:r>
      <w:r>
        <w:rPr/>
        <w:t>、关于公司与控股股东：公司控股股东严格规范自己的行为，没有超越股东大会直接或间接干预公司的决策和经营活 </w:t>
      </w:r>
      <w:r>
        <w:rPr>
          <w:spacing w:val="-2"/>
        </w:rPr>
        <w:t>动。公司拥有独立完整的业务和自主经营能力，在业务、人员、资产、机构、财务上独立于控股股东，公司董事会、监事会</w:t>
      </w:r>
      <w:r>
        <w:rPr>
          <w:spacing w:val="-67"/>
        </w:rPr>
        <w:t> </w:t>
      </w:r>
      <w:r>
        <w:rPr>
          <w:spacing w:val="-67"/>
        </w:rPr>
      </w:r>
      <w:r>
        <w:rPr/>
        <w:t>和内部机构独立运作。</w:t>
      </w:r>
    </w:p>
    <w:p>
      <w:pPr>
        <w:spacing w:line="240" w:lineRule="auto" w:before="9"/>
        <w:rPr>
          <w:rFonts w:ascii="宋体" w:hAnsi="宋体" w:cs="宋体" w:eastAsia="宋体" w:hint="default"/>
          <w:sz w:val="25"/>
          <w:szCs w:val="25"/>
        </w:rPr>
      </w:pPr>
    </w:p>
    <w:p>
      <w:pPr>
        <w:pStyle w:val="BodyText"/>
        <w:spacing w:line="314" w:lineRule="auto" w:before="0"/>
        <w:ind w:left="153" w:right="182" w:firstLine="290"/>
        <w:jc w:val="left"/>
      </w:pPr>
      <w:r>
        <w:rPr>
          <w:rFonts w:ascii="Times New Roman" w:hAnsi="Times New Roman" w:cs="Times New Roman" w:eastAsia="Times New Roman" w:hint="default"/>
        </w:rPr>
        <w:t>3</w:t>
      </w:r>
      <w:r>
        <w:rPr/>
        <w:t>、关于董事和董事会：公司董事会设有董事</w:t>
      </w:r>
      <w:r>
        <w:rPr>
          <w:rFonts w:ascii="Times New Roman" w:hAnsi="Times New Roman" w:cs="Times New Roman" w:eastAsia="Times New Roman" w:hint="default"/>
        </w:rPr>
        <w:t>8</w:t>
      </w:r>
      <w:r>
        <w:rPr/>
        <w:t>名，其中独立董事</w:t>
      </w:r>
      <w:r>
        <w:rPr>
          <w:rFonts w:ascii="Times New Roman" w:hAnsi="Times New Roman" w:cs="Times New Roman" w:eastAsia="Times New Roman" w:hint="default"/>
        </w:rPr>
        <w:t>3</w:t>
      </w:r>
      <w:r>
        <w:rPr/>
        <w:t>名。董事会的人数及人员构成符合法律、法规和《公 </w:t>
      </w:r>
      <w:r>
        <w:rPr>
          <w:spacing w:val="-2"/>
        </w:rPr>
        <w:t>司章程》的要求。各位董事能够依据《董事会议事规则》、《独立董事工作细则》、《深圳证券交易所创业板上市公司规范</w:t>
      </w:r>
      <w:r>
        <w:rPr>
          <w:spacing w:val="-69"/>
        </w:rPr>
        <w:t> </w:t>
      </w:r>
      <w:r>
        <w:rPr>
          <w:spacing w:val="-69"/>
        </w:rPr>
      </w:r>
      <w:r>
        <w:rPr>
          <w:spacing w:val="-3"/>
        </w:rPr>
        <w:t>运作指引》等开展工作，出席董事会和股东大会，尽责地履行职责和义务。公司董事通过自学熟悉并掌握相关法律法规，</w:t>
      </w:r>
      <w:r>
        <w:rPr>
          <w:spacing w:val="-23"/>
        </w:rPr>
        <w:t> </w:t>
      </w:r>
      <w:r>
        <w:rPr/>
        <w:t>从</w:t>
      </w:r>
      <w:r>
        <w:rPr>
          <w:spacing w:val="-84"/>
        </w:rPr>
        <w:t> </w:t>
      </w:r>
      <w:r>
        <w:rPr>
          <w:spacing w:val="-84"/>
        </w:rPr>
      </w:r>
      <w:r>
        <w:rPr>
          <w:spacing w:val="-3"/>
        </w:rPr>
        <w:t>根本上保证董事立足于维护公司和全体股东的最大利益，忠实、诚信、勤勉地履行职责，全体董事均能做到以认真负责，</w:t>
      </w:r>
      <w:r>
        <w:rPr>
          <w:spacing w:val="-22"/>
        </w:rPr>
        <w:t> </w:t>
      </w:r>
      <w:r>
        <w:rPr/>
        <w:t>勤</w:t>
      </w:r>
      <w:r>
        <w:rPr>
          <w:spacing w:val="-84"/>
        </w:rPr>
        <w:t> </w:t>
      </w:r>
      <w:r>
        <w:rPr>
          <w:spacing w:val="-84"/>
        </w:rPr>
      </w:r>
      <w:r>
        <w:rPr/>
        <w:t>勉诚信的态度忠实履行职责。</w:t>
      </w:r>
    </w:p>
    <w:p>
      <w:pPr>
        <w:spacing w:line="240" w:lineRule="auto" w:before="6"/>
        <w:rPr>
          <w:rFonts w:ascii="宋体" w:hAnsi="宋体" w:cs="宋体" w:eastAsia="宋体" w:hint="default"/>
          <w:sz w:val="25"/>
          <w:szCs w:val="25"/>
        </w:rPr>
      </w:pPr>
    </w:p>
    <w:p>
      <w:pPr>
        <w:pStyle w:val="BodyText"/>
        <w:spacing w:line="312" w:lineRule="auto" w:before="0"/>
        <w:ind w:right="91" w:firstLine="290"/>
        <w:jc w:val="left"/>
      </w:pPr>
      <w:r>
        <w:rPr>
          <w:rFonts w:ascii="Times New Roman" w:hAnsi="Times New Roman" w:cs="Times New Roman" w:eastAsia="Times New Roman" w:hint="default"/>
          <w:spacing w:val="-3"/>
        </w:rPr>
        <w:t>4</w:t>
      </w:r>
      <w:r>
        <w:rPr>
          <w:spacing w:val="-3"/>
        </w:rPr>
        <w:t>、关于监事和监事会：公司监事会设有监事 </w:t>
      </w:r>
      <w:r>
        <w:rPr>
          <w:rFonts w:ascii="Times New Roman" w:hAnsi="Times New Roman" w:cs="Times New Roman" w:eastAsia="Times New Roman" w:hint="default"/>
        </w:rPr>
        <w:t>3 </w:t>
      </w:r>
      <w:r>
        <w:rPr>
          <w:spacing w:val="-3"/>
        </w:rPr>
        <w:t>名，其中职工监事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3"/>
        </w:rPr>
        <w:t>名，人数和人员构成符合法律、法规和《公司章程》</w:t>
      </w:r>
      <w:r>
        <w:rPr/>
        <w:t> </w:t>
      </w:r>
      <w:r>
        <w:rPr>
          <w:spacing w:val="-4"/>
        </w:rPr>
        <w:t>的规定与要求；监事会会议的召集、召开程序，完全按照《监事会议事会议规则》的要求履行，并按照拟定的会议议程进行。</w:t>
      </w:r>
      <w:r>
        <w:rPr>
          <w:spacing w:val="-44"/>
        </w:rPr>
        <w:t> </w:t>
      </w:r>
      <w:r>
        <w:rPr>
          <w:spacing w:val="-44"/>
        </w:rPr>
      </w:r>
      <w:r>
        <w:rPr>
          <w:spacing w:val="-2"/>
        </w:rPr>
        <w:t>公司监事能够认真履行自己的职责，本着对公司和全体股东负责的精神，依法、独立对公司财务及公司董事、经理和其他高</w:t>
      </w:r>
      <w:r>
        <w:rPr>
          <w:spacing w:val="-66"/>
        </w:rPr>
        <w:t> </w:t>
      </w:r>
      <w:r>
        <w:rPr>
          <w:spacing w:val="-66"/>
        </w:rPr>
      </w:r>
      <w:r>
        <w:rPr/>
        <w:t>级管理人员履行职责的合法性、合规性进行监督。</w:t>
      </w:r>
    </w:p>
    <w:p>
      <w:pPr>
        <w:spacing w:line="240" w:lineRule="auto" w:before="7"/>
        <w:rPr>
          <w:rFonts w:ascii="宋体" w:hAnsi="宋体" w:cs="宋体" w:eastAsia="宋体" w:hint="default"/>
          <w:sz w:val="25"/>
          <w:szCs w:val="25"/>
        </w:rPr>
      </w:pPr>
    </w:p>
    <w:p>
      <w:pPr>
        <w:pStyle w:val="BodyText"/>
        <w:spacing w:line="300" w:lineRule="auto" w:before="0"/>
        <w:ind w:right="250" w:firstLine="290"/>
        <w:jc w:val="left"/>
      </w:pPr>
      <w:r>
        <w:rPr>
          <w:rFonts w:ascii="Times New Roman" w:hAnsi="Times New Roman" w:cs="Times New Roman" w:eastAsia="Times New Roman" w:hint="default"/>
        </w:rPr>
        <w:t>5</w:t>
      </w:r>
      <w:r>
        <w:rPr/>
        <w:t>、关于绩效评价与激励约束机制：公司董事会下设的薪酬与考核委员会，负责对公司的董事、监事、高管进行绩效考 核，公司现有的考核及激励约束机制符合公司的发展现状并且在不断完善。</w:t>
      </w:r>
    </w:p>
    <w:p>
      <w:pPr>
        <w:spacing w:line="240" w:lineRule="auto" w:before="3"/>
        <w:rPr>
          <w:rFonts w:ascii="宋体" w:hAnsi="宋体" w:cs="宋体" w:eastAsia="宋体" w:hint="default"/>
          <w:sz w:val="26"/>
          <w:szCs w:val="26"/>
        </w:rPr>
      </w:pPr>
    </w:p>
    <w:p>
      <w:pPr>
        <w:pStyle w:val="BodyText"/>
        <w:spacing w:line="309" w:lineRule="auto" w:before="0"/>
        <w:ind w:right="91" w:firstLine="290"/>
        <w:jc w:val="left"/>
      </w:pPr>
      <w:r>
        <w:rPr>
          <w:rFonts w:ascii="Times New Roman" w:hAnsi="Times New Roman" w:cs="Times New Roman" w:eastAsia="Times New Roman" w:hint="default"/>
        </w:rPr>
        <w:t>6</w:t>
      </w:r>
      <w:r>
        <w:rPr/>
        <w:t>、关于信息披露与透明度：公司严格按照有关法律法规以及《信息披露管理制度》、《投资者管理制度》、《重大信 </w:t>
      </w:r>
      <w:r>
        <w:rPr>
          <w:spacing w:val="-2"/>
        </w:rPr>
        <w:t>息内部报告和保密制度》等要求，真实、准确、及时、公平、完整地披露有关信息；并制定公司董事会秘书负责信息披露工</w:t>
      </w:r>
      <w:r>
        <w:rPr>
          <w:spacing w:val="-65"/>
        </w:rPr>
        <w:t> </w:t>
      </w:r>
      <w:r>
        <w:rPr>
          <w:spacing w:val="-65"/>
        </w:rPr>
      </w:r>
      <w:r>
        <w:rPr>
          <w:spacing w:val="-4"/>
        </w:rPr>
        <w:t>作，协调公司与投资者的关系，接待股东来访，回答投资者咨询，向投资者提供公司已披露的资料；并指定《中国证券报》、</w:t>
      </w:r>
    </w:p>
    <w:p>
      <w:pPr>
        <w:pStyle w:val="BodyText"/>
        <w:spacing w:line="300" w:lineRule="auto" w:before="24"/>
        <w:ind w:right="245"/>
        <w:jc w:val="left"/>
      </w:pPr>
      <w:r>
        <w:rPr/>
        <w:t>《证券时报》、《上海证券报》和巨潮网（</w:t>
      </w:r>
      <w:hyperlink r:id="rId13">
        <w:r>
          <w:rPr>
            <w:rFonts w:ascii="Times New Roman" w:hAnsi="Times New Roman" w:cs="Times New Roman" w:eastAsia="Times New Roman" w:hint="default"/>
          </w:rPr>
          <w:t>www.cninfo.com.cn</w:t>
        </w:r>
      </w:hyperlink>
      <w:r>
        <w:rPr/>
        <w:t>）为公司信息披露的指定报纸和网站，确保公司所有股东能 够以平等的机会获得信息。</w:t>
      </w:r>
    </w:p>
    <w:p>
      <w:pPr>
        <w:spacing w:line="240" w:lineRule="auto" w:before="3"/>
        <w:rPr>
          <w:rFonts w:ascii="宋体" w:hAnsi="宋体" w:cs="宋体" w:eastAsia="宋体" w:hint="default"/>
          <w:sz w:val="26"/>
          <w:szCs w:val="26"/>
        </w:rPr>
      </w:pPr>
    </w:p>
    <w:p>
      <w:pPr>
        <w:pStyle w:val="BodyText"/>
        <w:spacing w:line="300" w:lineRule="auto" w:before="0"/>
        <w:ind w:right="250" w:firstLine="290"/>
        <w:jc w:val="left"/>
      </w:pPr>
      <w:r>
        <w:rPr>
          <w:rFonts w:ascii="Times New Roman" w:hAnsi="Times New Roman" w:cs="Times New Roman" w:eastAsia="Times New Roman" w:hint="default"/>
        </w:rPr>
        <w:t>7</w:t>
      </w:r>
      <w:r>
        <w:rPr/>
        <w:t>、关于相关利益者：公司充分尊重和维护相关利益者的合法权益，实现股东、员工、社会等各方利益的协调平衡，共 同推动公司持续、健康的发展。</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4"/>
          <w:szCs w:val="14"/>
        </w:rPr>
      </w:pPr>
    </w:p>
    <w:p>
      <w:pPr>
        <w:pStyle w:val="BodyText"/>
        <w:spacing w:line="240" w:lineRule="auto" w:before="0"/>
        <w:ind w:right="660"/>
        <w:jc w:val="left"/>
      </w:pPr>
      <w:r>
        <w:rPr/>
        <w:t>公司治理与《公司法》和中国证监会相关规定的要求是否存在差异</w:t>
      </w:r>
    </w:p>
    <w:p>
      <w:pPr>
        <w:pStyle w:val="BodyText"/>
        <w:spacing w:line="240" w:lineRule="auto" w:before="116"/>
        <w:ind w:right="66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w:t>
      </w:r>
    </w:p>
    <w:p>
      <w:pPr>
        <w:spacing w:after="0" w:line="240" w:lineRule="auto"/>
        <w:jc w:val="left"/>
        <w:sectPr>
          <w:pgSz w:w="11910" w:h="16840"/>
          <w:pgMar w:header="747" w:footer="982" w:top="1060" w:bottom="118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二、报告期内召开的年度股东大会和临时股东大会的有关情况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829"/>
              <w:jc w:val="right"/>
              <w:rPr>
                <w:rFonts w:ascii="宋体" w:hAnsi="宋体" w:cs="宋体" w:eastAsia="宋体" w:hint="default"/>
                <w:sz w:val="18"/>
                <w:szCs w:val="18"/>
              </w:rPr>
            </w:pPr>
            <w:r>
              <w:rPr>
                <w:rFonts w:ascii="宋体" w:hAnsi="宋体" w:cs="宋体" w:eastAsia="宋体" w:hint="default"/>
                <w:sz w:val="18"/>
                <w:szCs w:val="18"/>
              </w:rPr>
              <w:t>会议届次</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920" w:right="109"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872"/>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7"/>
              <w:ind w:left="22"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20" w:right="109"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2"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2"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2"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三、报告期董事会召开情况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920" w:right="109"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第二届董事会第十七次会议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7"/>
              <w:ind w:left="22"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第二届董事会第十八次会议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7"/>
              <w:ind w:left="22"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第二届董事会第十九次会议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7"/>
              <w:ind w:left="22"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第二届董事会第二十次会议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7"/>
              <w:ind w:left="22"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第二届董事会第二十一次会 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7"/>
              <w:ind w:left="22"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第三届董事会第一次会议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7"/>
              <w:ind w:left="22"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第三届董事会第二次会议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7"/>
              <w:ind w:left="22"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第三届董事会第三次会议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7"/>
              <w:ind w:left="22"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第三届董事会第四次会议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7"/>
              <w:ind w:left="22"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第三届董事会第五次会议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7"/>
              <w:ind w:left="22"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第三届董事会第六次会议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7"/>
              <w:ind w:left="22"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b/>
          <w:bCs/>
          <w:sz w:val="18"/>
          <w:szCs w:val="18"/>
        </w:rPr>
      </w:pPr>
    </w:p>
    <w:p>
      <w:pPr>
        <w:pStyle w:val="Heading2"/>
        <w:spacing w:line="240" w:lineRule="auto" w:before="26"/>
        <w:ind w:right="660"/>
        <w:jc w:val="left"/>
        <w:rPr>
          <w:b w:val="0"/>
          <w:bCs w:val="0"/>
        </w:rPr>
      </w:pPr>
      <w:r>
        <w:rPr/>
        <w:t>四、年度报告重大差错责任追究制度的建立与执行情况</w:t>
      </w:r>
      <w:r>
        <w:rPr>
          <w:b w:val="0"/>
          <w:bCs w:val="0"/>
        </w:rPr>
      </w:r>
    </w:p>
    <w:p>
      <w:pPr>
        <w:spacing w:line="240" w:lineRule="auto" w:before="6"/>
        <w:rPr>
          <w:rFonts w:ascii="宋体" w:hAnsi="宋体" w:cs="宋体" w:eastAsia="宋体" w:hint="default"/>
          <w:b/>
          <w:bCs/>
          <w:sz w:val="26"/>
          <w:szCs w:val="26"/>
        </w:rPr>
      </w:pPr>
    </w:p>
    <w:p>
      <w:pPr>
        <w:pStyle w:val="BodyText"/>
        <w:spacing w:line="309" w:lineRule="auto" w:before="0"/>
        <w:ind w:left="153" w:right="190"/>
        <w:jc w:val="both"/>
      </w:pPr>
      <w:r>
        <w:rPr>
          <w:spacing w:val="-2"/>
        </w:rPr>
        <w:t>公司严格按照《公司法》、《上市公司信息披露管理办法》、《深圳证券交易所创业板股票上市交易规则》等相关法律法规</w:t>
      </w:r>
      <w:r>
        <w:rPr>
          <w:spacing w:val="-67"/>
        </w:rPr>
        <w:t> </w:t>
      </w:r>
      <w:r>
        <w:rPr>
          <w:spacing w:val="-67"/>
        </w:rPr>
      </w:r>
      <w:r>
        <w:rPr>
          <w:spacing w:val="-4"/>
        </w:rPr>
        <w:t>的规定，健全公司信息披露管理制度，提高规范运作水平，增强信息披露的真实性、准确性、完整性和及时性。公司经</w:t>
      </w:r>
      <w:r>
        <w:rPr>
          <w:spacing w:val="2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7"/>
        </w:rPr>
        <w:t> </w:t>
      </w:r>
      <w:r>
        <w:rPr>
          <w:rFonts w:ascii="Times New Roman" w:hAnsi="Times New Roman" w:cs="Times New Roman" w:eastAsia="Times New Roman" w:hint="default"/>
          <w:spacing w:val="-37"/>
        </w:rPr>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15</w:t>
      </w:r>
      <w:r>
        <w:rPr>
          <w:rFonts w:ascii="Times New Roman" w:hAnsi="Times New Roman" w:cs="Times New Roman" w:eastAsia="Times New Roman" w:hint="default"/>
          <w:spacing w:val="3"/>
        </w:rPr>
        <w:t> </w:t>
      </w:r>
      <w:r>
        <w:rPr/>
        <w:t>日第一届董事会第十二次会议审议通过了《关于制定〈年报信息披露重大差错责任追究制度〉的议案》，制定了</w:t>
      </w:r>
    </w:p>
    <w:p>
      <w:pPr>
        <w:pStyle w:val="BodyText"/>
        <w:spacing w:line="319" w:lineRule="auto" w:before="5"/>
        <w:ind w:left="153" w:right="91"/>
        <w:jc w:val="left"/>
      </w:pPr>
      <w:r>
        <w:rPr/>
        <w:t>《年报信息披露重大差错责任追究制度》，该制度的建立，完善公司内部控制，加大了对年报信息披露责任人的问责力度， </w:t>
      </w:r>
      <w:r>
        <w:rPr>
          <w:spacing w:val="-2"/>
        </w:rPr>
        <w:t>提高年报信息披露的质量和透明度，增强年报信息披露的真实性、准确性、完整性和及时性。报告期内，公司未发生重大会</w:t>
      </w:r>
      <w:r>
        <w:rPr>
          <w:spacing w:val="-66"/>
        </w:rPr>
        <w:t> </w:t>
      </w:r>
      <w:r>
        <w:rPr>
          <w:spacing w:val="-66"/>
        </w:rPr>
      </w:r>
      <w:r>
        <w:rPr/>
        <w:t>计差错更正、重大遗漏信息补充以及业绩预告修正等情况</w:t>
      </w:r>
    </w:p>
    <w:p>
      <w:pPr>
        <w:spacing w:line="240" w:lineRule="auto" w:before="7"/>
        <w:rPr>
          <w:rFonts w:ascii="宋体" w:hAnsi="宋体" w:cs="宋体" w:eastAsia="宋体" w:hint="default"/>
          <w:sz w:val="20"/>
          <w:szCs w:val="20"/>
        </w:rPr>
      </w:pPr>
    </w:p>
    <w:p>
      <w:pPr>
        <w:pStyle w:val="Heading2"/>
        <w:spacing w:line="240" w:lineRule="auto"/>
        <w:ind w:right="660"/>
        <w:jc w:val="left"/>
        <w:rPr>
          <w:b w:val="0"/>
          <w:bCs w:val="0"/>
        </w:rPr>
      </w:pPr>
      <w:r>
        <w:rPr/>
        <w:t>五、监事会工作情况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660"/>
        <w:jc w:val="left"/>
      </w:pPr>
      <w:r>
        <w:rPr/>
        <w:t>监事会在报告期内的监督活动是否发现公司存在风险</w:t>
      </w:r>
    </w:p>
    <w:p>
      <w:pPr>
        <w:pStyle w:val="BodyText"/>
        <w:spacing w:line="338" w:lineRule="auto" w:before="117"/>
        <w:ind w:right="639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公司监事会对报告期内的监督事项无异议。</w:t>
      </w:r>
    </w:p>
    <w:p>
      <w:pPr>
        <w:spacing w:after="0" w:line="338" w:lineRule="auto"/>
        <w:jc w:val="left"/>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591" w:right="3627"/>
        <w:jc w:val="center"/>
        <w:rPr>
          <w:b w:val="0"/>
          <w:bCs w:val="0"/>
        </w:rPr>
      </w:pPr>
      <w:bookmarkStart w:name="_TOC_250001" w:id="9"/>
      <w:r>
        <w:rPr/>
        <w:t>第九节</w:t>
      </w:r>
      <w:r>
        <w:rPr>
          <w:spacing w:val="-5"/>
        </w:rPr>
        <w:t> </w:t>
      </w:r>
      <w:r>
        <w:rPr/>
        <w:t>财务报告</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66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1"/>
        <w:gridCol w:w="4787"/>
      </w:tblGrid>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大华审字</w:t>
            </w:r>
            <w:r>
              <w:rPr>
                <w:rFonts w:ascii="Times New Roman" w:hAnsi="Times New Roman" w:cs="Times New Roman" w:eastAsia="Times New Roman" w:hint="default"/>
                <w:sz w:val="18"/>
                <w:szCs w:val="18"/>
              </w:rPr>
              <w:t>[2015]003904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刘高科、曾星</w:t>
            </w:r>
          </w:p>
        </w:tc>
      </w:tr>
    </w:tbl>
    <w:p>
      <w:pPr>
        <w:pStyle w:val="BodyText"/>
        <w:spacing w:line="240" w:lineRule="auto" w:before="51"/>
        <w:ind w:left="3590" w:right="3627"/>
        <w:jc w:val="center"/>
      </w:pPr>
      <w:r>
        <w:rPr/>
        <w:t>审计报告正文</w:t>
      </w:r>
    </w:p>
    <w:p>
      <w:pPr>
        <w:pStyle w:val="BodyText"/>
        <w:spacing w:line="240" w:lineRule="auto" w:before="115"/>
        <w:ind w:right="660"/>
        <w:jc w:val="left"/>
      </w:pPr>
      <w:r>
        <w:rPr/>
        <w:t>深圳市新国都技术股份有限公司全体股东：</w:t>
      </w:r>
    </w:p>
    <w:p>
      <w:pPr>
        <w:pStyle w:val="BodyText"/>
        <w:spacing w:line="300" w:lineRule="auto" w:before="76"/>
        <w:ind w:left="153" w:right="191" w:firstLine="506"/>
        <w:jc w:val="both"/>
      </w:pPr>
      <w:r>
        <w:rPr/>
        <w:t>我们审计了后附的深圳市新国都技术股份有限公司</w:t>
      </w:r>
      <w:r>
        <w:rPr>
          <w:rFonts w:ascii="Times New Roman" w:hAnsi="Times New Roman" w:cs="Times New Roman" w:eastAsia="Times New Roman" w:hint="default"/>
        </w:rPr>
        <w:t>(</w:t>
      </w:r>
      <w:r>
        <w:rPr/>
        <w:t>以下简称新国都技术公司</w:t>
      </w:r>
      <w:r>
        <w:rPr>
          <w:rFonts w:ascii="Times New Roman" w:hAnsi="Times New Roman" w:cs="Times New Roman" w:eastAsia="Times New Roman" w:hint="default"/>
        </w:rPr>
        <w:t>)</w:t>
      </w:r>
      <w:r>
        <w:rPr/>
        <w:t>财务报表，包括</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 </w:t>
      </w:r>
      <w:r>
        <w:rPr>
          <w:spacing w:val="-2"/>
        </w:rPr>
        <w:t>及母公司资产负债表，</w:t>
      </w:r>
      <w:r>
        <w:rPr>
          <w:rFonts w:ascii="Times New Roman" w:hAnsi="Times New Roman" w:cs="Times New Roman" w:eastAsia="Times New Roman" w:hint="default"/>
          <w:spacing w:val="-2"/>
        </w:rPr>
        <w:t>2014</w:t>
      </w:r>
      <w:r>
        <w:rPr>
          <w:spacing w:val="-2"/>
        </w:rPr>
        <w:t>年度的合并及母公司利润表、合并及母公司现金流量表、合并及母公司股东权益变动表，以及财</w:t>
      </w:r>
      <w:r>
        <w:rPr>
          <w:spacing w:val="-62"/>
        </w:rPr>
        <w:t> </w:t>
      </w:r>
      <w:r>
        <w:rPr>
          <w:spacing w:val="-62"/>
        </w:rPr>
      </w:r>
      <w:r>
        <w:rPr/>
        <w:t>务报表附注。</w:t>
      </w:r>
    </w:p>
    <w:p>
      <w:pPr>
        <w:pStyle w:val="BodyText"/>
        <w:spacing w:line="316" w:lineRule="auto" w:before="31"/>
        <w:ind w:left="660" w:right="91"/>
        <w:jc w:val="left"/>
      </w:pPr>
      <w:r>
        <w:rPr/>
        <w:t>一、管理层对财务报表的责任 </w:t>
      </w:r>
      <w:r>
        <w:rPr>
          <w:spacing w:val="-1"/>
        </w:rPr>
        <w:t>编制和公允列报财务报表是新国都技术公司管理层的责任，这种责任包括</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1</w:t>
      </w:r>
      <w:r>
        <w:rPr>
          <w:spacing w:val="-1"/>
        </w:rPr>
        <w:t>）按照企业会计准则的规定编制财务报</w:t>
      </w:r>
    </w:p>
    <w:p>
      <w:pPr>
        <w:pStyle w:val="BodyText"/>
        <w:spacing w:line="309" w:lineRule="auto" w:before="0"/>
        <w:ind w:left="660" w:right="131" w:hanging="507"/>
        <w:jc w:val="left"/>
      </w:pPr>
      <w:r>
        <w:rPr/>
        <w:t>表，并使其实现公允反映</w:t>
      </w:r>
      <w:r>
        <w:rPr>
          <w:rFonts w:ascii="Times New Roman" w:hAnsi="Times New Roman" w:cs="Times New Roman" w:eastAsia="Times New Roman" w:hint="default"/>
        </w:rPr>
        <w:t>:</w:t>
      </w:r>
      <w:r>
        <w:rPr/>
        <w:t>（</w:t>
      </w:r>
      <w:r>
        <w:rPr>
          <w:rFonts w:ascii="Times New Roman" w:hAnsi="Times New Roman" w:cs="Times New Roman" w:eastAsia="Times New Roman" w:hint="default"/>
        </w:rPr>
        <w:t>2</w:t>
      </w:r>
      <w:r>
        <w:rPr/>
        <w:t>）设计、执行和维护必要的内部控制，以使财务报表不存在由于舞弊或错误导致的重大错报。 二、注册会计师的责任 </w:t>
      </w:r>
      <w:r>
        <w:rPr>
          <w:spacing w:val="-1"/>
        </w:rPr>
        <w:t>我们的责任是在执行审计工作的基础上对财务报表发表审计意见。我们按照中国注册会计师审计准则的规定执行了审</w:t>
      </w:r>
    </w:p>
    <w:p>
      <w:pPr>
        <w:pStyle w:val="BodyText"/>
        <w:spacing w:line="316" w:lineRule="auto" w:before="24"/>
        <w:ind w:left="153" w:right="91"/>
        <w:jc w:val="left"/>
      </w:pPr>
      <w:r>
        <w:rPr>
          <w:spacing w:val="-2"/>
        </w:rPr>
        <w:t>计工作。中国注册会计师审计准则要求我们遵守中国注册会计师职业道德守则，计划和执行审计工作以对财务报表是否不存</w:t>
      </w:r>
      <w:r>
        <w:rPr>
          <w:spacing w:val="-64"/>
        </w:rPr>
        <w:t> </w:t>
      </w:r>
      <w:r>
        <w:rPr>
          <w:spacing w:val="-64"/>
        </w:rPr>
      </w:r>
      <w:r>
        <w:rPr/>
        <w:t>在重大错报获取合理保证。</w:t>
      </w:r>
    </w:p>
    <w:p>
      <w:pPr>
        <w:pStyle w:val="BodyText"/>
        <w:spacing w:line="316" w:lineRule="auto" w:before="19"/>
        <w:ind w:left="153" w:right="91" w:firstLine="506"/>
        <w:jc w:val="left"/>
      </w:pPr>
      <w:r>
        <w:rPr>
          <w:spacing w:val="-3"/>
        </w:rPr>
        <w:t>审计工作涉及实施审计程序，以获取有关财务报表金额和披露的审计证据。选择的审计程序取决于注册会计师的判断，</w:t>
      </w:r>
      <w:r>
        <w:rPr/>
        <w:t> </w:t>
      </w:r>
      <w:r>
        <w:rPr>
          <w:spacing w:val="-2"/>
        </w:rPr>
        <w:t>包括对由于舞弊或错误导致的财务报表重大错报风险的评估。在进行风险评估时，注册会计师考虑与财务报表编制和公允列</w:t>
      </w:r>
      <w:r>
        <w:rPr>
          <w:spacing w:val="-64"/>
        </w:rPr>
        <w:t> </w:t>
      </w:r>
      <w:r>
        <w:rPr>
          <w:spacing w:val="-64"/>
        </w:rPr>
      </w:r>
      <w:r>
        <w:rPr>
          <w:spacing w:val="-2"/>
        </w:rPr>
        <w:t>报相关的内部控制，以设计恰当的审计程序，但目的并非对内部控制的有效性发表意见。审计工作还包括评价管理层选用会</w:t>
      </w:r>
      <w:r>
        <w:rPr>
          <w:spacing w:val="-66"/>
        </w:rPr>
        <w:t> </w:t>
      </w:r>
      <w:r>
        <w:rPr>
          <w:spacing w:val="-66"/>
        </w:rPr>
      </w:r>
      <w:r>
        <w:rPr/>
        <w:t>计政策的恰当性和作出会计估计的合理性，以及评价财务报表的总体列报。</w:t>
      </w:r>
    </w:p>
    <w:p>
      <w:pPr>
        <w:pStyle w:val="BodyText"/>
        <w:spacing w:line="316" w:lineRule="auto" w:before="19"/>
        <w:ind w:left="660" w:right="3004"/>
        <w:jc w:val="left"/>
      </w:pPr>
      <w:r>
        <w:rPr/>
        <w:t>我们相信，我们获取的审计证据是充分、适当的，为发表审计意见提供了基础。 三、审计意见</w:t>
      </w:r>
    </w:p>
    <w:p>
      <w:pPr>
        <w:pStyle w:val="BodyText"/>
        <w:spacing w:line="240" w:lineRule="auto" w:before="19"/>
        <w:ind w:left="660" w:right="91"/>
        <w:jc w:val="left"/>
      </w:pPr>
      <w:r>
        <w:rPr/>
        <w:t>我们认为，新国都技术公司的财务报表在所有重大方面按照企业会计准则的规定编制，公允反映了新国都技术公司</w:t>
      </w:r>
    </w:p>
    <w:p>
      <w:pPr>
        <w:pStyle w:val="BodyText"/>
        <w:spacing w:line="240" w:lineRule="auto" w:before="76"/>
        <w:ind w:left="153" w:right="66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2014</w:t>
      </w:r>
      <w:r>
        <w:rPr/>
        <w:t>年度的合并及母公司经营成果和现金流量。</w:t>
      </w:r>
    </w:p>
    <w:p>
      <w:pPr>
        <w:spacing w:line="240" w:lineRule="auto" w:before="2"/>
        <w:rPr>
          <w:rFonts w:ascii="宋体" w:hAnsi="宋体" w:cs="宋体" w:eastAsia="宋体" w:hint="default"/>
          <w:sz w:val="24"/>
          <w:szCs w:val="24"/>
        </w:rPr>
      </w:pPr>
    </w:p>
    <w:p>
      <w:pPr>
        <w:pStyle w:val="Heading2"/>
        <w:spacing w:line="240" w:lineRule="auto"/>
        <w:ind w:right="660"/>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660"/>
        <w:jc w:val="left"/>
      </w:pPr>
      <w:r>
        <w:rPr/>
        <w:t>财务附注中报表的单位为：人民币元</w:t>
      </w:r>
    </w:p>
    <w:p>
      <w:pPr>
        <w:spacing w:line="240" w:lineRule="auto" w:before="11"/>
        <w:rPr>
          <w:rFonts w:ascii="宋体" w:hAnsi="宋体" w:cs="宋体" w:eastAsia="宋体" w:hint="default"/>
          <w:sz w:val="26"/>
          <w:szCs w:val="26"/>
        </w:rPr>
      </w:pPr>
    </w:p>
    <w:p>
      <w:pPr>
        <w:pStyle w:val="Heading3"/>
        <w:spacing w:line="240" w:lineRule="auto"/>
        <w:ind w:right="66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40"/>
        </w:sectPr>
      </w:pPr>
    </w:p>
    <w:p>
      <w:pPr>
        <w:pStyle w:val="BodyText"/>
        <w:spacing w:line="240" w:lineRule="auto"/>
        <w:ind w:right="-20"/>
        <w:jc w:val="left"/>
      </w:pPr>
      <w:r>
        <w:rPr/>
        <w:t>编制单位：深圳市新国都技术股份有限公司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left="153" w:right="-16"/>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53" w:right="0"/>
        <w:jc w:val="left"/>
      </w:pPr>
      <w:r>
        <w:rPr/>
        <w:t>单位：元</w:t>
      </w:r>
    </w:p>
    <w:p>
      <w:pPr>
        <w:spacing w:after="0" w:line="240" w:lineRule="auto"/>
        <w:jc w:val="left"/>
        <w:sectPr>
          <w:type w:val="continuous"/>
          <w:pgSz w:w="11910" w:h="16840"/>
          <w:pgMar w:top="1060" w:bottom="1180" w:left="980" w:right="940"/>
          <w:cols w:num="3" w:equalWidth="0">
            <w:col w:w="3575" w:space="502"/>
            <w:col w:w="1639" w:space="3203"/>
            <w:col w:w="107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060" w:bottom="118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515,970,004.73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683,052,556.30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75,755,288.58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75,753,289.04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299,105,960.46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182,477,850.98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3,213,386.36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3,142,175.68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1,856,222.19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3,695,225.62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6,089,565.61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7,580,762.66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127,407,106.00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114,059,740.80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7,493,811.49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20,378,488.16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1,036,891,345.42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1,090,140,089.24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3,121,250.00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3,121,250.00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24,526,601.30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22,062,164.22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26,981,294.82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20,644,745.93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230,792,939.85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73,749,092.60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32,546,268.45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33,293,886.82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5,365,973.02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3,222,778.31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10,441,999.07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6,643,043.10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10,592,314.00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344,368,640.51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162,736,960.98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1,381,259,985.93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1,252,877,050.22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48,847,926.39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49,183,745.40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116,225,757.26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74,123,765.00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32,140,589.98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46,289,742.82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25,200,414.74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17,013,087.82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13,319,196.69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9,088,812.79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904,410.55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8,372,875.79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236,638,295.61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204,072,029.62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1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11,320,000.00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12,870,000.00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11,320,000.00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12,870,000.00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247,958,295.61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216,942,029.62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114,300,000.00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114,300,000.00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1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671,145,093.66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641,920,393.65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17,440,475.56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14,194,970.80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327,492,908.55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262,587,027.37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1,130,378,477.77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1,033,002,391.82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2,923,212.55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2,932,628.78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1,133,301,690.32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1,035,935,020.60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1,381,259,985.93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1,252,877,050.22</w:t>
            </w:r>
          </w:p>
        </w:tc>
      </w:tr>
    </w:tbl>
    <w:p>
      <w:pPr>
        <w:spacing w:line="240" w:lineRule="auto" w:before="3"/>
        <w:rPr>
          <w:rFonts w:ascii="Times New Roman" w:hAnsi="Times New Roman" w:cs="Times New Roman" w:eastAsia="Times New Roman" w:hint="default"/>
          <w:sz w:val="23"/>
          <w:szCs w:val="23"/>
        </w:rPr>
      </w:pPr>
    </w:p>
    <w:p>
      <w:pPr>
        <w:pStyle w:val="BodyText"/>
        <w:tabs>
          <w:tab w:pos="3663" w:val="left" w:leader="none"/>
          <w:tab w:pos="7893" w:val="left" w:leader="none"/>
        </w:tabs>
        <w:spacing w:line="240" w:lineRule="auto"/>
        <w:ind w:right="0"/>
        <w:jc w:val="left"/>
      </w:pPr>
      <w:r>
        <w:rPr/>
        <w:t>法定代表人：刘祥</w:t>
        <w:tab/>
        <w:t>主管会计工作负责人：赵辉</w:t>
        <w:tab/>
        <w:t>会计机构负责人：赵辉</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354,446,108.16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496,570,432.32</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75,695,657.58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75,295,159.04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298,964,114.51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182,078,650.98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3,082,586.36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2,969,376.32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1,451,084.12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1,278,205.12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17,983,659.53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8,643,585.04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134,309,360.30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128,357,441.65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7,493,811.49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20,270,128.35</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893,426,382.05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945,462,978.82</w:t>
            </w:r>
          </w:p>
        </w:tc>
      </w:tr>
      <w:tr>
        <w:trPr>
          <w:trHeight w:val="401"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3,121,250.00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3,121,250.00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543,586,601.30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411,122,164.22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23,818,669.90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18,996,781.30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1,824,618.46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1,904,680.07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4,269,621.98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3,222,778.31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8,238,386.29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4,050,741.51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10,592,314.00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595,451,461.93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442,418,395.41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1,488,877,843.98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1,387,881,374.23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48,847,926.39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49,183,745.40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364,601,551.65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299,137,824.39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32,140,589.98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46,289,742.82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19,404,455.90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13,376,307.05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7,166,716.99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5,939,416.37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104,760,011.86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106,614,156.84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576,921,252.77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520,541,192.87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1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583,021,252.77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529,341,192.87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114,300,000.00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114,300,000.00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1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668,211,755.86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641,920,393.65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17,440,475.56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14,194,970.80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105,904,359.79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88,124,816.91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905,856,591.21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858,540,181.36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1,488,877,843.98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1,387,881,374.23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082"/>
        <w:gridCol w:w="3210"/>
        <w:gridCol w:w="3276"/>
      </w:tblGrid>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678,200,326.93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499,177,767.74</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678,200,326.93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499,177,767.74</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645,000,638.19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488,150,652.15</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388,957,724.06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309,530,557.90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5,129,772.00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4,209,043.78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177.899704pt;margin-top:380.579987pt;width:193.15pt;height:19.650pt;mso-position-horizontal-relative:page;mso-position-vertical-relative:page;z-index:-826096" type="#_x0000_t202" filled="false" stroked="false">
            <v:textbox inset="0,0,0,0">
              <w:txbxContent>
                <w:p>
                  <w:pPr>
                    <w:pStyle w:val="BodyText"/>
                    <w:spacing w:line="240" w:lineRule="auto" w:before="51"/>
                    <w:ind w:left="0" w:right="0"/>
                    <w:jc w:val="left"/>
                  </w:pPr>
                  <w:r>
                    <w:rPr/>
                    <w:t>号填列）</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2"/>
        <w:gridCol w:w="3210"/>
        <w:gridCol w:w="3276"/>
      </w:tblGrid>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98,295,524.31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76,460,971.07</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156,945,062.59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109,144,189.66</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-12,717,729.87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-14,766,249.01</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8,390,285.10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3,572,138.75</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2,632,356.73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11,283,497.81</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0"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2,632,356.73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2,168,460.76</w:t>
            </w:r>
          </w:p>
        </w:tc>
      </w:tr>
      <w:tr>
        <w:trPr>
          <w:trHeight w:val="402" w:hRule="exact"/>
        </w:trPr>
        <w:tc>
          <w:tcPr>
            <w:tcW w:w="3082"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0" w:lineRule="auto" w:before="51"/>
              <w:ind w:right="115"/>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0" w:type="dxa"/>
            <w:tcBorders>
              <w:top w:val="single" w:sz="4" w:space="0" w:color="000000"/>
              <w:left w:val="single" w:sz="13" w:space="0" w:color="FFFFFF"/>
              <w:bottom w:val="single" w:sz="4" w:space="0" w:color="000000"/>
              <w:right w:val="single" w:sz="13" w:space="0" w:color="FFFFFF"/>
            </w:tcBorders>
          </w:tcPr>
          <w:p>
            <w:pPr>
              <w:pStyle w:val="TableParagraph"/>
              <w:spacing w:line="240" w:lineRule="auto" w:before="51"/>
              <w:ind w:left="-15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6" w:type="dxa"/>
            <w:tcBorders>
              <w:top w:val="single" w:sz="4" w:space="0" w:color="000000"/>
              <w:left w:val="single" w:sz="13" w:space="0" w:color="FFFFFF"/>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35,832,045.47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22,310,613.40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42,382,710.90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34,471,501.52</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498,879.18</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881,818.86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183,016.15</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479,361.17</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四、利润总额（亏损总额以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w:t>
            </w:r>
          </w:p>
        </w:tc>
        <w:tc>
          <w:tcPr>
            <w:tcW w:w="3210" w:type="dxa"/>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77,332,937.51</w:t>
            </w:r>
          </w:p>
        </w:tc>
        <w:tc>
          <w:tcPr>
            <w:tcW w:w="327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56,599,098.77</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-2,239,032.20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1,708,663.80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79,571,969.71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54,890,434.97</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79,581,385.94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54,940,058.49</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-9,416.23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-49,623.52</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67"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0" w:firstLine="343"/>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0" w:firstLine="343"/>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right="3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可供出售金融资产公允价</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2"/>
        <w:gridCol w:w="3210"/>
        <w:gridCol w:w="3276"/>
      </w:tblGrid>
      <w:tr>
        <w:trPr>
          <w:trHeight w:val="36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1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7"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79,571,969.71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54,890,434.97</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7"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1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79,581,385.94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54,940,058.49</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-9,416.23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-49,623.52</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0.48</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0.48</w:t>
            </w:r>
          </w:p>
        </w:tc>
      </w:tr>
    </w:tbl>
    <w:p>
      <w:pPr>
        <w:pStyle w:val="BodyText"/>
        <w:tabs>
          <w:tab w:pos="3663" w:val="left" w:leader="none"/>
          <w:tab w:pos="7893" w:val="left" w:leader="none"/>
        </w:tabs>
        <w:spacing w:line="624" w:lineRule="auto" w:before="51"/>
        <w:ind w:left="153" w:right="248"/>
        <w:jc w:val="left"/>
      </w:pPr>
      <w:r>
        <w:rPr/>
        <w:t>本期发生同一控制下企业合并的，被合并方在合并前实现的净利润为：元，上期被合并方实现的净利润为：元。 法定代表人：刘祥</w:t>
        <w:tab/>
        <w:t>主管会计工作负责人：赵辉</w:t>
        <w:tab/>
        <w:t>会计机构负责人：赵辉</w:t>
      </w:r>
    </w:p>
    <w:p>
      <w:pPr>
        <w:pStyle w:val="Heading3"/>
        <w:spacing w:line="240" w:lineRule="auto" w:before="63"/>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677,939,954.18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498,568,368.71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500,671,254.12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415,552,171.76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2,994,999.16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2,265,833.81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73,521,508.96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58,314,643.26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99,267,431.03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68,701,143.06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-6,547,493.85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-8,556,653.02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8,196,388.12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3,634,177.37</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2,464,437.08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41,177,201.27</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2,464,437.08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2,168,460.76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2,300,303.72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-165,746.26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26,848,787.27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14,475,967.98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881,688.13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181,716.64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479,361.17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28,267,402.86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14,128,505.08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-4,187,644.78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-652,091.61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32,455,047.64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14,780,596.69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3"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3"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32,455,047.64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14,780,596.69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单位：元</w:t>
      </w:r>
    </w:p>
    <w:p>
      <w:pPr>
        <w:spacing w:after="0" w:line="240" w:lineRule="auto"/>
        <w:jc w:val="right"/>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5"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655,777,738.32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556,881,342.92</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31,536,423.39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33,348,776.32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12,546,314.77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9,443,612.30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699,860,476.48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599,673,731.54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422,777,963.48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325,684,719.84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119,793,756.96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96,755,361.69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49,792,374.84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56,756,451.79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111,363,693.77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85,148,057.20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703,727,789.05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564,344,590.52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-3,867,312.57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35,329,141.02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16,420,000.00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178,216,532.90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54,679,533.03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20,351,505.25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178,216,532.90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75,031,038.28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-171,016,532.90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-58,611,038.28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12,302,628.02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15,618,641.52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12,302,628.02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15,618,641.52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11,430,000.00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5,715,000.00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11,430,000.00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5,715,000.00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872,628.02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9,903,641.52</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-174,011,217.45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-13,378,255.74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670,754,556.20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684,132,811.94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496,743,338.75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670,754,556.20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5"/>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654,383,885.92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556,145,097.35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16,504,566.23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13,403,388.80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151,496,232.12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7,921,424.74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822,384,684.27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577,469,910.89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516,177,963.48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363,284,719.84</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84,270,544.11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75,262,934.80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28,784,402.29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23,019,185.24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229,577,981.38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77,995,922.02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858,810,891.26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539,562,761.90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-36,426,206.99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37,907,148.99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35,700,000.00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14,500,000.00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53"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13,616,152.07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2,859,889.83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20,351,505.25</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53"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143,616,152.07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23,211,395.08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-107,916,152.07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-8,711,395.08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6,719,369.02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12,098,676.69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6,719,369.02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12,098,676.69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11,430,000.00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5,715,000.00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11,430,000.00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5,715,000.00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-4,710,630.98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6,383,676.69</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-149,052,990.04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35,579,430.60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484,272,432.22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448,693,001.62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335,219,442.18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484,272,432.22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t>本期金额</w:t>
      </w:r>
    </w:p>
    <w:p>
      <w:pPr>
        <w:pStyle w:val="BodyText"/>
        <w:spacing w:line="240" w:lineRule="auto" w:before="117"/>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38" w:type="dxa"/>
            <w:vMerge/>
            <w:tcBorders>
              <w:left w:val="single" w:sz="4" w:space="0" w:color="000000"/>
              <w:right w:val="single" w:sz="4" w:space="0" w:color="000000"/>
            </w:tcBorders>
            <w:shd w:val="clear" w:color="auto" w:fill="D3D3D3"/>
          </w:tcPr>
          <w:p>
            <w:pPr/>
          </w:p>
        </w:tc>
        <w:tc>
          <w:tcPr>
            <w:tcW w:w="6809"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319" w:lineRule="auto"/>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tcBorders>
              <w:left w:val="single" w:sz="4" w:space="0" w:color="000000"/>
              <w:right w:val="single" w:sz="4" w:space="0" w:color="000000"/>
            </w:tcBorders>
            <w:shd w:val="clear" w:color="auto" w:fill="D3D3D3"/>
          </w:tcPr>
          <w:p>
            <w:pPr/>
          </w:p>
        </w:tc>
        <w:tc>
          <w:tcPr>
            <w:tcW w:w="5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7"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714" w:hRule="exact"/>
        </w:trPr>
        <w:tc>
          <w:tcPr>
            <w:tcW w:w="1438" w:type="dxa"/>
            <w:vMerge/>
            <w:tcBorders>
              <w:left w:val="single" w:sz="4" w:space="0" w:color="000000"/>
              <w:bottom w:val="single" w:sz="4" w:space="0" w:color="000000"/>
              <w:right w:val="single" w:sz="4" w:space="0" w:color="000000"/>
            </w:tcBorders>
            <w:shd w:val="clear" w:color="auto" w:fill="D3D3D3"/>
          </w:tcPr>
          <w:p>
            <w:pPr/>
          </w:p>
        </w:tc>
        <w:tc>
          <w:tcPr>
            <w:tcW w:w="563" w:type="dxa"/>
            <w:vMerge/>
            <w:tcBorders>
              <w:left w:val="single" w:sz="4" w:space="0" w:color="000000"/>
              <w:bottom w:val="single" w:sz="4" w:space="0" w:color="000000"/>
              <w:right w:val="single" w:sz="4" w:space="0" w:color="000000"/>
            </w:tcBorders>
            <w:shd w:val="clear" w:color="auto" w:fill="D3D3D3"/>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4" w:type="dxa"/>
            <w:vMerge/>
            <w:tcBorders>
              <w:left w:val="single" w:sz="4" w:space="0" w:color="000000"/>
              <w:bottom w:val="single" w:sz="4" w:space="0" w:color="000000"/>
              <w:right w:val="single" w:sz="4" w:space="0" w:color="000000"/>
            </w:tcBorders>
            <w:shd w:val="clear" w:color="auto" w:fill="D3D3D3"/>
          </w:tcPr>
          <w:p>
            <w:pPr/>
          </w:p>
        </w:tc>
        <w:tc>
          <w:tcPr>
            <w:tcW w:w="666"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59"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114,30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641,920</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,393.65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14,194,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970.80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262,587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,027.37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2,932,6</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28.78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1,035,9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35,020.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60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114,30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641,920</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,393.65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14,194,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970.80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262,587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,027.37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2,932,6</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28.78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1,035,9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35,020.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60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0"/>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29,224,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700.01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3,245,5</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04.76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64,905,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881.18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-9,416.2</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97,366,</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669.72</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79,581,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385.94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-9,416.2</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79,571,</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969.71</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29,224,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700.01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29,224,</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700.01</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29,224,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700.01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29,224,</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700.01</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3,245,5</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04.76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-14,675,</w:t>
            </w:r>
          </w:p>
          <w:p>
            <w:pPr>
              <w:pStyle w:val="TableParagraph"/>
              <w:spacing w:line="240" w:lineRule="auto" w:before="106"/>
              <w:ind w:left="114" w:right="0"/>
              <w:jc w:val="center"/>
              <w:rPr>
                <w:rFonts w:ascii="Times New Roman" w:hAnsi="Times New Roman" w:cs="Times New Roman" w:eastAsia="Times New Roman" w:hint="default"/>
                <w:sz w:val="18"/>
                <w:szCs w:val="18"/>
              </w:rPr>
            </w:pPr>
            <w:r>
              <w:rPr>
                <w:rFonts w:ascii="Times New Roman"/>
                <w:sz w:val="18"/>
              </w:rPr>
              <w:t>504.76</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-11,430,</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3,245,5</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04.76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-3,245,5</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04.76</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-11,430,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-11,430,</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000.00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1" w:right="0"/>
              <w:jc w:val="left"/>
              <w:rPr>
                <w:rFonts w:ascii="Times New Roman" w:hAnsi="Times New Roman" w:cs="Times New Roman" w:eastAsia="Times New Roman" w:hint="default"/>
                <w:sz w:val="18"/>
                <w:szCs w:val="18"/>
              </w:rPr>
            </w:pPr>
            <w:r>
              <w:rPr>
                <w:rFonts w:ascii="Times New Roman"/>
                <w:sz w:val="18"/>
              </w:rPr>
              <w:t>114,30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6" w:right="0"/>
              <w:jc w:val="left"/>
              <w:rPr>
                <w:rFonts w:ascii="Times New Roman" w:hAnsi="Times New Roman" w:cs="Times New Roman" w:eastAsia="Times New Roman" w:hint="default"/>
                <w:sz w:val="18"/>
                <w:szCs w:val="18"/>
              </w:rPr>
            </w:pPr>
            <w:r>
              <w:rPr>
                <w:rFonts w:ascii="Times New Roman"/>
                <w:sz w:val="18"/>
              </w:rPr>
              <w:t>671,145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1" w:right="0"/>
              <w:jc w:val="left"/>
              <w:rPr>
                <w:rFonts w:ascii="Times New Roman" w:hAnsi="Times New Roman" w:cs="Times New Roman" w:eastAsia="Times New Roman" w:hint="default"/>
                <w:sz w:val="18"/>
                <w:szCs w:val="18"/>
              </w:rPr>
            </w:pPr>
            <w:r>
              <w:rPr>
                <w:rFonts w:ascii="Times New Roman"/>
                <w:sz w:val="18"/>
              </w:rPr>
              <w:t>17,440,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6" w:right="0"/>
              <w:jc w:val="left"/>
              <w:rPr>
                <w:rFonts w:ascii="Times New Roman" w:hAnsi="Times New Roman" w:cs="Times New Roman" w:eastAsia="Times New Roman" w:hint="default"/>
                <w:sz w:val="18"/>
                <w:szCs w:val="18"/>
              </w:rPr>
            </w:pPr>
            <w:r>
              <w:rPr>
                <w:rFonts w:ascii="Times New Roman"/>
                <w:sz w:val="18"/>
              </w:rPr>
              <w:t>327,492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1" w:right="0"/>
              <w:jc w:val="left"/>
              <w:rPr>
                <w:rFonts w:ascii="Times New Roman" w:hAnsi="Times New Roman" w:cs="Times New Roman" w:eastAsia="Times New Roman" w:hint="default"/>
                <w:sz w:val="18"/>
                <w:szCs w:val="18"/>
              </w:rPr>
            </w:pPr>
            <w:r>
              <w:rPr>
                <w:rFonts w:ascii="Times New Roman"/>
                <w:sz w:val="18"/>
              </w:rPr>
              <w:t>2,923,2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5" w:right="0"/>
              <w:jc w:val="left"/>
              <w:rPr>
                <w:rFonts w:ascii="Times New Roman" w:hAnsi="Times New Roman" w:cs="Times New Roman" w:eastAsia="Times New Roman" w:hint="default"/>
                <w:sz w:val="18"/>
                <w:szCs w:val="18"/>
              </w:rPr>
            </w:pPr>
            <w:r>
              <w:rPr>
                <w:rFonts w:ascii="Times New Roman"/>
                <w:sz w:val="18"/>
              </w:rPr>
              <w:t>1,133,3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67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left"/>
              <w:rPr>
                <w:rFonts w:ascii="Times New Roman" w:hAnsi="Times New Roman" w:cs="Times New Roman" w:eastAsia="Times New Roman" w:hint="default"/>
                <w:sz w:val="18"/>
                <w:szCs w:val="18"/>
              </w:rPr>
            </w:pPr>
            <w:r>
              <w:rPr>
                <w:rFonts w:ascii="Times New Roman"/>
                <w:sz w:val="18"/>
              </w:rPr>
              <w:t>,093.66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6" w:right="0"/>
              <w:jc w:val="left"/>
              <w:rPr>
                <w:rFonts w:ascii="Times New Roman" w:hAnsi="Times New Roman" w:cs="Times New Roman" w:eastAsia="Times New Roman" w:hint="default"/>
                <w:sz w:val="18"/>
                <w:szCs w:val="18"/>
              </w:rPr>
            </w:pPr>
            <w:r>
              <w:rPr>
                <w:rFonts w:ascii="Times New Roman"/>
                <w:sz w:val="18"/>
              </w:rPr>
              <w:t>475.56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left"/>
              <w:rPr>
                <w:rFonts w:ascii="Times New Roman" w:hAnsi="Times New Roman" w:cs="Times New Roman" w:eastAsia="Times New Roman" w:hint="default"/>
                <w:sz w:val="18"/>
                <w:szCs w:val="18"/>
              </w:rPr>
            </w:pPr>
            <w:r>
              <w:rPr>
                <w:rFonts w:ascii="Times New Roman"/>
                <w:sz w:val="18"/>
              </w:rPr>
              <w:t>,908.55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6" w:right="0"/>
              <w:jc w:val="left"/>
              <w:rPr>
                <w:rFonts w:ascii="Times New Roman" w:hAnsi="Times New Roman" w:cs="Times New Roman" w:eastAsia="Times New Roman" w:hint="default"/>
                <w:sz w:val="18"/>
                <w:szCs w:val="18"/>
              </w:rPr>
            </w:pPr>
            <w:r>
              <w:rPr>
                <w:rFonts w:ascii="Times New Roman"/>
                <w:sz w:val="18"/>
              </w:rPr>
              <w:t>12.55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01,690.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32</w:t>
            </w:r>
          </w:p>
        </w:tc>
      </w:tr>
    </w:tbl>
    <w:p>
      <w:pPr>
        <w:pStyle w:val="BodyText"/>
        <w:spacing w:line="240" w:lineRule="auto" w:before="51"/>
        <w:ind w:right="0"/>
        <w:jc w:val="left"/>
      </w:pPr>
      <w:r>
        <w:rPr/>
        <w:t>上期金额</w:t>
      </w:r>
    </w:p>
    <w:p>
      <w:pPr>
        <w:pStyle w:val="BodyText"/>
        <w:spacing w:line="240" w:lineRule="auto" w:before="117"/>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8" w:type="dxa"/>
            <w:vMerge/>
            <w:tcBorders>
              <w:left w:val="single" w:sz="4" w:space="0" w:color="000000"/>
              <w:right w:val="single" w:sz="4" w:space="0" w:color="000000"/>
            </w:tcBorders>
            <w:shd w:val="clear" w:color="auto" w:fill="D3D3D3"/>
          </w:tcPr>
          <w:p>
            <w:pPr/>
          </w:p>
        </w:tc>
        <w:tc>
          <w:tcPr>
            <w:tcW w:w="6821"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319" w:lineRule="auto"/>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tcBorders>
              <w:left w:val="single" w:sz="4" w:space="0" w:color="000000"/>
              <w:right w:val="single" w:sz="4" w:space="0" w:color="000000"/>
            </w:tcBorders>
            <w:shd w:val="clear" w:color="auto" w:fill="D3D3D3"/>
          </w:tcPr>
          <w:p>
            <w:pPr/>
          </w:p>
        </w:tc>
        <w:tc>
          <w:tcPr>
            <w:tcW w:w="5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714" w:hRule="exact"/>
        </w:trPr>
        <w:tc>
          <w:tcPr>
            <w:tcW w:w="1438" w:type="dxa"/>
            <w:vMerge/>
            <w:tcBorders>
              <w:left w:val="single" w:sz="4" w:space="0" w:color="000000"/>
              <w:bottom w:val="single" w:sz="4" w:space="0" w:color="000000"/>
              <w:right w:val="single" w:sz="4" w:space="0" w:color="000000"/>
            </w:tcBorders>
            <w:shd w:val="clear" w:color="auto" w:fill="D3D3D3"/>
          </w:tcPr>
          <w:p>
            <w:pPr/>
          </w:p>
        </w:tc>
        <w:tc>
          <w:tcPr>
            <w:tcW w:w="562" w:type="dxa"/>
            <w:vMerge/>
            <w:tcBorders>
              <w:left w:val="single" w:sz="4" w:space="0" w:color="000000"/>
              <w:bottom w:val="single" w:sz="4" w:space="0" w:color="000000"/>
              <w:right w:val="single" w:sz="4" w:space="0" w:color="000000"/>
            </w:tcBorders>
            <w:shd w:val="clear" w:color="auto" w:fill="D3D3D3"/>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78" w:type="dxa"/>
            <w:vMerge/>
            <w:tcBorders>
              <w:left w:val="single" w:sz="4" w:space="0" w:color="000000"/>
              <w:bottom w:val="single" w:sz="4" w:space="0" w:color="000000"/>
              <w:right w:val="single" w:sz="4" w:space="0" w:color="000000"/>
            </w:tcBorders>
            <w:shd w:val="clear" w:color="auto" w:fill="D3D3D3"/>
          </w:tcPr>
          <w:p>
            <w:pPr/>
          </w:p>
        </w:tc>
        <w:tc>
          <w:tcPr>
            <w:tcW w:w="652" w:type="dxa"/>
            <w:vMerge/>
            <w:tcBorders>
              <w:left w:val="single" w:sz="4" w:space="0" w:color="000000"/>
              <w:bottom w:val="single" w:sz="4" w:space="0" w:color="000000"/>
              <w:right w:val="single" w:sz="4" w:space="0" w:color="000000"/>
            </w:tcBorders>
            <w:shd w:val="clear" w:color="auto" w:fill="D3D3D3"/>
          </w:tcPr>
          <w:p>
            <w:pPr/>
          </w:p>
        </w:tc>
        <w:tc>
          <w:tcPr>
            <w:tcW w:w="659"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114,30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641,920</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,393.65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12,716,</w:t>
            </w:r>
          </w:p>
          <w:p>
            <w:pPr>
              <w:pStyle w:val="TableParagraph"/>
              <w:spacing w:line="240" w:lineRule="auto" w:before="106"/>
              <w:ind w:left="142" w:right="0"/>
              <w:jc w:val="left"/>
              <w:rPr>
                <w:rFonts w:ascii="Times New Roman" w:hAnsi="Times New Roman" w:cs="Times New Roman" w:eastAsia="Times New Roman" w:hint="default"/>
                <w:sz w:val="18"/>
                <w:szCs w:val="18"/>
              </w:rPr>
            </w:pPr>
            <w:r>
              <w:rPr>
                <w:rFonts w:ascii="Times New Roman"/>
                <w:sz w:val="18"/>
              </w:rPr>
              <w:t>911.13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214,840</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,028.55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2,982,2</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52.30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986,759</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,585.63</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114,30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641,920</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,393.65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12,716,</w:t>
            </w:r>
          </w:p>
          <w:p>
            <w:pPr>
              <w:pStyle w:val="TableParagraph"/>
              <w:spacing w:line="240" w:lineRule="auto" w:before="106"/>
              <w:ind w:left="142" w:right="0"/>
              <w:jc w:val="left"/>
              <w:rPr>
                <w:rFonts w:ascii="Times New Roman" w:hAnsi="Times New Roman" w:cs="Times New Roman" w:eastAsia="Times New Roman" w:hint="default"/>
                <w:sz w:val="18"/>
                <w:szCs w:val="18"/>
              </w:rPr>
            </w:pPr>
            <w:r>
              <w:rPr>
                <w:rFonts w:ascii="Times New Roman"/>
                <w:sz w:val="18"/>
              </w:rPr>
              <w:t>911.13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214,840</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,028.55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2,982,2</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52.30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986,759</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,585.63</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1,478,0</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59.67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47,746,</w:t>
            </w:r>
          </w:p>
          <w:p>
            <w:pPr>
              <w:pStyle w:val="TableParagraph"/>
              <w:spacing w:line="240" w:lineRule="auto" w:before="106"/>
              <w:ind w:left="150" w:right="0"/>
              <w:jc w:val="left"/>
              <w:rPr>
                <w:rFonts w:ascii="Times New Roman" w:hAnsi="Times New Roman" w:cs="Times New Roman" w:eastAsia="Times New Roman" w:hint="default"/>
                <w:sz w:val="18"/>
                <w:szCs w:val="18"/>
              </w:rPr>
            </w:pPr>
            <w:r>
              <w:rPr>
                <w:rFonts w:ascii="Times New Roman"/>
                <w:sz w:val="18"/>
              </w:rPr>
              <w:t>998.82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-49,623</w:t>
            </w:r>
          </w:p>
          <w:p>
            <w:pPr>
              <w:pStyle w:val="TableParagraph"/>
              <w:spacing w:line="240" w:lineRule="auto" w:before="106"/>
              <w:ind w:left="394" w:right="0"/>
              <w:jc w:val="left"/>
              <w:rPr>
                <w:rFonts w:ascii="Times New Roman" w:hAnsi="Times New Roman" w:cs="Times New Roman" w:eastAsia="Times New Roman" w:hint="default"/>
                <w:sz w:val="18"/>
                <w:szCs w:val="18"/>
              </w:rPr>
            </w:pPr>
            <w:r>
              <w:rPr>
                <w:rFonts w:ascii="Times New Roman"/>
                <w:sz w:val="18"/>
              </w:rPr>
              <w:t>.52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49,175,</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434.97</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54,940,</w:t>
            </w:r>
          </w:p>
          <w:p>
            <w:pPr>
              <w:pStyle w:val="TableParagraph"/>
              <w:spacing w:line="240" w:lineRule="auto" w:before="106"/>
              <w:ind w:left="150" w:right="0"/>
              <w:jc w:val="left"/>
              <w:rPr>
                <w:rFonts w:ascii="Times New Roman" w:hAnsi="Times New Roman" w:cs="Times New Roman" w:eastAsia="Times New Roman" w:hint="default"/>
                <w:sz w:val="18"/>
                <w:szCs w:val="18"/>
              </w:rPr>
            </w:pPr>
            <w:r>
              <w:rPr>
                <w:rFonts w:ascii="Times New Roman"/>
                <w:sz w:val="18"/>
              </w:rPr>
              <w:t>058.49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-49,623</w:t>
            </w:r>
          </w:p>
          <w:p>
            <w:pPr>
              <w:pStyle w:val="TableParagraph"/>
              <w:spacing w:line="240" w:lineRule="auto" w:before="106"/>
              <w:ind w:left="394" w:right="0"/>
              <w:jc w:val="left"/>
              <w:rPr>
                <w:rFonts w:ascii="Times New Roman" w:hAnsi="Times New Roman" w:cs="Times New Roman" w:eastAsia="Times New Roman" w:hint="default"/>
                <w:sz w:val="18"/>
                <w:szCs w:val="18"/>
              </w:rPr>
            </w:pPr>
            <w:r>
              <w:rPr>
                <w:rFonts w:ascii="Times New Roman"/>
                <w:sz w:val="18"/>
              </w:rPr>
              <w:t>.52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54,890,</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434.97</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1" w:right="0"/>
              <w:jc w:val="left"/>
              <w:rPr>
                <w:rFonts w:ascii="Times New Roman" w:hAnsi="Times New Roman" w:cs="Times New Roman" w:eastAsia="Times New Roman" w:hint="default"/>
                <w:sz w:val="18"/>
                <w:szCs w:val="18"/>
              </w:rPr>
            </w:pPr>
            <w:r>
              <w:rPr>
                <w:rFonts w:ascii="Times New Roman"/>
                <w:sz w:val="18"/>
              </w:rPr>
              <w:t>1,478,0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-7,193,0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5" w:right="0"/>
              <w:jc w:val="left"/>
              <w:rPr>
                <w:rFonts w:ascii="Times New Roman" w:hAnsi="Times New Roman" w:cs="Times New Roman" w:eastAsia="Times New Roman" w:hint="default"/>
                <w:sz w:val="18"/>
                <w:szCs w:val="18"/>
              </w:rPr>
            </w:pPr>
            <w:r>
              <w:rPr>
                <w:rFonts w:ascii="Times New Roman"/>
                <w:sz w:val="18"/>
              </w:rPr>
              <w:t>-5,715,0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6" w:right="0"/>
              <w:jc w:val="left"/>
              <w:rPr>
                <w:rFonts w:ascii="Times New Roman" w:hAnsi="Times New Roman" w:cs="Times New Roman" w:eastAsia="Times New Roman" w:hint="default"/>
                <w:sz w:val="18"/>
                <w:szCs w:val="18"/>
              </w:rPr>
            </w:pPr>
            <w:r>
              <w:rPr>
                <w:rFonts w:ascii="Times New Roman"/>
                <w:sz w:val="18"/>
              </w:rPr>
              <w:t>59.67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0" w:right="0"/>
              <w:jc w:val="left"/>
              <w:rPr>
                <w:rFonts w:ascii="Times New Roman" w:hAnsi="Times New Roman" w:cs="Times New Roman" w:eastAsia="Times New Roman" w:hint="default"/>
                <w:sz w:val="18"/>
                <w:szCs w:val="18"/>
              </w:rPr>
            </w:pPr>
            <w:r>
              <w:rPr>
                <w:rFonts w:ascii="Times New Roman"/>
                <w:sz w:val="18"/>
              </w:rPr>
              <w:t>59.67</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0"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1,478,0</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59.67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-1,478,0</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59.67</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-5,715,0</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00.00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-5,715,0</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114,30</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641,920</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,393.65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14,194,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970.80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262,587</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,027.37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2,932,6</w:t>
            </w:r>
          </w:p>
          <w:p>
            <w:pPr>
              <w:pStyle w:val="TableParagraph"/>
              <w:spacing w:line="240" w:lineRule="auto" w:before="105"/>
              <w:ind w:left="193" w:right="0"/>
              <w:jc w:val="center"/>
              <w:rPr>
                <w:rFonts w:ascii="Times New Roman" w:hAnsi="Times New Roman" w:cs="Times New Roman" w:eastAsia="Times New Roman" w:hint="default"/>
                <w:sz w:val="18"/>
                <w:szCs w:val="18"/>
              </w:rPr>
            </w:pPr>
            <w:r>
              <w:rPr>
                <w:rFonts w:ascii="Times New Roman"/>
                <w:sz w:val="18"/>
              </w:rPr>
              <w:t>28.78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1,035,9</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35,020.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t>本期金额</w:t>
      </w:r>
    </w:p>
    <w:p>
      <w:pPr>
        <w:pStyle w:val="BodyText"/>
        <w:spacing w:line="240" w:lineRule="auto" w:before="116"/>
        <w:ind w:left="0" w:right="151"/>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402" w:hRule="exact"/>
        </w:trPr>
        <w:tc>
          <w:tcPr>
            <w:tcW w:w="144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1" w:type="dxa"/>
            <w:vMerge/>
            <w:tcBorders>
              <w:left w:val="single" w:sz="4" w:space="0" w:color="000000"/>
              <w:right w:val="single" w:sz="4" w:space="0" w:color="000000"/>
            </w:tcBorders>
            <w:shd w:val="clear" w:color="auto" w:fill="D3D3D3"/>
          </w:tcPr>
          <w:p>
            <w:pPr/>
          </w:p>
        </w:tc>
        <w:tc>
          <w:tcPr>
            <w:tcW w:w="6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1441" w:type="dxa"/>
            <w:vMerge/>
            <w:tcBorders>
              <w:left w:val="single" w:sz="4" w:space="0" w:color="000000"/>
              <w:bottom w:val="single" w:sz="4" w:space="0" w:color="000000"/>
              <w:right w:val="single" w:sz="4" w:space="0" w:color="000000"/>
            </w:tcBorders>
            <w:shd w:val="clear" w:color="auto" w:fill="D3D3D3"/>
          </w:tcPr>
          <w:p>
            <w:pPr/>
          </w:p>
        </w:tc>
        <w:tc>
          <w:tcPr>
            <w:tcW w:w="691" w:type="dxa"/>
            <w:vMerge/>
            <w:tcBorders>
              <w:left w:val="single" w:sz="4" w:space="0" w:color="000000"/>
              <w:bottom w:val="single" w:sz="4" w:space="0" w:color="000000"/>
              <w:right w:val="single" w:sz="4" w:space="0" w:color="000000"/>
            </w:tcBorders>
            <w:shd w:val="clear" w:color="auto" w:fill="D3D3D3"/>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676" w:type="dxa"/>
            <w:vMerge/>
            <w:tcBorders>
              <w:left w:val="single" w:sz="4" w:space="0" w:color="000000"/>
              <w:bottom w:val="single" w:sz="4" w:space="0" w:color="000000"/>
              <w:right w:val="single" w:sz="4" w:space="0" w:color="000000"/>
            </w:tcBorders>
            <w:shd w:val="clear" w:color="auto" w:fill="D3D3D3"/>
          </w:tcPr>
          <w:p>
            <w:pPr/>
          </w:p>
        </w:tc>
        <w:tc>
          <w:tcPr>
            <w:tcW w:w="781"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114,300,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641,920,3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93.65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14,194,97</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0.80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88,124,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816.91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858,540,1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81.36</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114,300,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641,920,3</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93.65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14,194,97</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0.80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88,124,</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816.91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858,540,1</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81.36</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26,291,36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2.21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3,245,504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17,779,</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542.88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47,316,40</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9.85</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32,455,</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047.64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32,455,04</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7.64</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26,291,36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2.21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26,291,36</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2.21</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26,291,36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2.21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26,291,36</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2.21</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3,245,504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-14,675,</w:t>
            </w:r>
          </w:p>
          <w:p>
            <w:pPr>
              <w:pStyle w:val="TableParagraph"/>
              <w:spacing w:line="240" w:lineRule="auto" w:before="106"/>
              <w:ind w:left="127" w:right="0"/>
              <w:jc w:val="center"/>
              <w:rPr>
                <w:rFonts w:ascii="Times New Roman" w:hAnsi="Times New Roman" w:cs="Times New Roman" w:eastAsia="Times New Roman" w:hint="default"/>
                <w:sz w:val="18"/>
                <w:szCs w:val="18"/>
              </w:rPr>
            </w:pPr>
            <w:r>
              <w:rPr>
                <w:rFonts w:ascii="Times New Roman"/>
                <w:sz w:val="18"/>
              </w:rPr>
              <w:t>504.76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-11,430,0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3,245,504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-3,245,5</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sz w:val="18"/>
              </w:rPr>
              <w:t>04.76</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-11,430,</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-11,430,0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114,300,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668,211,7</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55.86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17,440,47</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5.56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105,904</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,359.79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905,856,5</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91.21</w:t>
            </w:r>
          </w:p>
        </w:tc>
      </w:tr>
    </w:tbl>
    <w:p>
      <w:pPr>
        <w:pStyle w:val="BodyText"/>
        <w:spacing w:line="240" w:lineRule="auto" w:before="51"/>
        <w:ind w:right="0"/>
        <w:jc w:val="left"/>
      </w:pPr>
      <w:r>
        <w:rPr/>
        <w:t>上期金额</w:t>
      </w:r>
    </w:p>
    <w:p>
      <w:pPr>
        <w:pStyle w:val="BodyText"/>
        <w:spacing w:line="240" w:lineRule="auto" w:before="117"/>
        <w:ind w:left="0" w:right="151"/>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402" w:hRule="exact"/>
        </w:trPr>
        <w:tc>
          <w:tcPr>
            <w:tcW w:w="144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41" w:type="dxa"/>
            <w:vMerge/>
            <w:tcBorders>
              <w:left w:val="single" w:sz="4" w:space="0" w:color="000000"/>
              <w:right w:val="single" w:sz="4" w:space="0" w:color="000000"/>
            </w:tcBorders>
            <w:shd w:val="clear" w:color="auto" w:fill="D3D3D3"/>
          </w:tcPr>
          <w:p>
            <w:pPr/>
          </w:p>
        </w:tc>
        <w:tc>
          <w:tcPr>
            <w:tcW w:w="6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1" w:hRule="exact"/>
        </w:trPr>
        <w:tc>
          <w:tcPr>
            <w:tcW w:w="1441" w:type="dxa"/>
            <w:vMerge/>
            <w:tcBorders>
              <w:left w:val="single" w:sz="4" w:space="0" w:color="000000"/>
              <w:bottom w:val="single" w:sz="4" w:space="0" w:color="000000"/>
              <w:right w:val="single" w:sz="4" w:space="0" w:color="000000"/>
            </w:tcBorders>
            <w:shd w:val="clear" w:color="auto" w:fill="D3D3D3"/>
          </w:tcPr>
          <w:p>
            <w:pPr/>
          </w:p>
        </w:tc>
        <w:tc>
          <w:tcPr>
            <w:tcW w:w="691" w:type="dxa"/>
            <w:vMerge/>
            <w:tcBorders>
              <w:left w:val="single" w:sz="4" w:space="0" w:color="000000"/>
              <w:bottom w:val="single" w:sz="4" w:space="0" w:color="000000"/>
              <w:right w:val="single" w:sz="4" w:space="0" w:color="000000"/>
            </w:tcBorders>
            <w:shd w:val="clear" w:color="auto" w:fill="D3D3D3"/>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676" w:type="dxa"/>
            <w:vMerge/>
            <w:tcBorders>
              <w:left w:val="single" w:sz="4" w:space="0" w:color="000000"/>
              <w:bottom w:val="single" w:sz="4" w:space="0" w:color="000000"/>
              <w:right w:val="single" w:sz="4" w:space="0" w:color="000000"/>
            </w:tcBorders>
            <w:shd w:val="clear" w:color="auto" w:fill="D3D3D3"/>
          </w:tcPr>
          <w:p>
            <w:pPr/>
          </w:p>
        </w:tc>
        <w:tc>
          <w:tcPr>
            <w:tcW w:w="781"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 w:right="0"/>
              <w:jc w:val="center"/>
              <w:rPr>
                <w:rFonts w:ascii="Times New Roman" w:hAnsi="Times New Roman" w:cs="Times New Roman" w:eastAsia="Times New Roman" w:hint="default"/>
                <w:sz w:val="18"/>
                <w:szCs w:val="18"/>
              </w:rPr>
            </w:pPr>
            <w:r>
              <w:rPr>
                <w:rFonts w:ascii="Times New Roman"/>
                <w:sz w:val="18"/>
              </w:rPr>
              <w:t>114,300,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641,920,3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93.65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left"/>
              <w:rPr>
                <w:rFonts w:ascii="Times New Roman" w:hAnsi="Times New Roman" w:cs="Times New Roman" w:eastAsia="Times New Roman" w:hint="default"/>
                <w:sz w:val="18"/>
                <w:szCs w:val="18"/>
              </w:rPr>
            </w:pPr>
            <w:r>
              <w:rPr>
                <w:rFonts w:ascii="Times New Roman"/>
                <w:sz w:val="18"/>
              </w:rPr>
              <w:t>12,716,91</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1.13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80,537,</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279.89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849,474,5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84.67</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 w:right="0"/>
              <w:jc w:val="center"/>
              <w:rPr>
                <w:rFonts w:ascii="Times New Roman" w:hAnsi="Times New Roman" w:cs="Times New Roman" w:eastAsia="Times New Roman" w:hint="default"/>
                <w:sz w:val="18"/>
                <w:szCs w:val="18"/>
              </w:rPr>
            </w:pPr>
            <w:r>
              <w:rPr>
                <w:rFonts w:ascii="Times New Roman"/>
                <w:sz w:val="18"/>
              </w:rPr>
              <w:t>114,300,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641,920,3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93.65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left"/>
              <w:rPr>
                <w:rFonts w:ascii="Times New Roman" w:hAnsi="Times New Roman" w:cs="Times New Roman" w:eastAsia="Times New Roman" w:hint="default"/>
                <w:sz w:val="18"/>
                <w:szCs w:val="18"/>
              </w:rPr>
            </w:pPr>
            <w:r>
              <w:rPr>
                <w:rFonts w:ascii="Times New Roman"/>
                <w:sz w:val="18"/>
              </w:rPr>
              <w:t>12,716,91</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1.13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80,537,</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279.89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849,474,5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84.67</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2"/>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1,478,059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7,587,5</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37.02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9,065,596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.69</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14,780,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596.69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14,780,59</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6.69</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2"/>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1,478,059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 w:right="0"/>
              <w:jc w:val="center"/>
              <w:rPr>
                <w:rFonts w:ascii="Times New Roman" w:hAnsi="Times New Roman" w:cs="Times New Roman" w:eastAsia="Times New Roman" w:hint="default"/>
                <w:sz w:val="18"/>
                <w:szCs w:val="18"/>
              </w:rPr>
            </w:pPr>
            <w:r>
              <w:rPr>
                <w:rFonts w:ascii="Times New Roman"/>
                <w:sz w:val="18"/>
              </w:rPr>
              <w:t>-7,193,0</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59.67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left"/>
              <w:rPr>
                <w:rFonts w:ascii="Times New Roman" w:hAnsi="Times New Roman" w:cs="Times New Roman" w:eastAsia="Times New Roman" w:hint="default"/>
                <w:sz w:val="18"/>
                <w:szCs w:val="18"/>
              </w:rPr>
            </w:pPr>
            <w:r>
              <w:rPr>
                <w:rFonts w:ascii="Times New Roman"/>
                <w:sz w:val="18"/>
              </w:rPr>
              <w:t>-5,715,00</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1,478,059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 w:right="0"/>
              <w:jc w:val="center"/>
              <w:rPr>
                <w:rFonts w:ascii="Times New Roman" w:hAnsi="Times New Roman" w:cs="Times New Roman" w:eastAsia="Times New Roman" w:hint="default"/>
                <w:sz w:val="18"/>
                <w:szCs w:val="18"/>
              </w:rPr>
            </w:pPr>
            <w:r>
              <w:rPr>
                <w:rFonts w:ascii="Times New Roman"/>
                <w:sz w:val="18"/>
              </w:rPr>
              <w:t>-1,478,0</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59.67</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 w:right="0"/>
              <w:jc w:val="center"/>
              <w:rPr>
                <w:rFonts w:ascii="Times New Roman" w:hAnsi="Times New Roman" w:cs="Times New Roman" w:eastAsia="Times New Roman" w:hint="default"/>
                <w:sz w:val="18"/>
                <w:szCs w:val="18"/>
              </w:rPr>
            </w:pPr>
            <w:r>
              <w:rPr>
                <w:rFonts w:ascii="Times New Roman"/>
                <w:sz w:val="18"/>
              </w:rPr>
              <w:t>-5,715,0</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left"/>
              <w:rPr>
                <w:rFonts w:ascii="Times New Roman" w:hAnsi="Times New Roman" w:cs="Times New Roman" w:eastAsia="Times New Roman" w:hint="default"/>
                <w:sz w:val="18"/>
                <w:szCs w:val="18"/>
              </w:rPr>
            </w:pPr>
            <w:r>
              <w:rPr>
                <w:rFonts w:ascii="Times New Roman"/>
                <w:sz w:val="18"/>
              </w:rPr>
              <w:t>-5,715,00</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114,300,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641,920,3</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93.65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14,194,97</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0.80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88,124,</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816.91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858,540,1</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81.36</w:t>
            </w:r>
          </w:p>
        </w:tc>
      </w:tr>
    </w:tbl>
    <w:p>
      <w:pPr>
        <w:spacing w:line="240" w:lineRule="auto" w:before="2"/>
        <w:rPr>
          <w:rFonts w:ascii="宋体" w:hAnsi="宋体" w:cs="宋体" w:eastAsia="宋体" w:hint="default"/>
          <w:sz w:val="18"/>
          <w:szCs w:val="18"/>
        </w:rPr>
      </w:pPr>
    </w:p>
    <w:p>
      <w:pPr>
        <w:pStyle w:val="Heading2"/>
        <w:spacing w:line="240" w:lineRule="auto" w:before="26"/>
        <w:ind w:right="0"/>
        <w:jc w:val="both"/>
        <w:rPr>
          <w:b w:val="0"/>
          <w:bCs w:val="0"/>
        </w:rPr>
      </w:pPr>
      <w:r>
        <w:rPr/>
        <w:t>三、公司基本情况</w:t>
      </w:r>
      <w:r>
        <w:rPr>
          <w:b w:val="0"/>
          <w:bCs w:val="0"/>
        </w:rPr>
      </w:r>
    </w:p>
    <w:p>
      <w:pPr>
        <w:spacing w:line="240" w:lineRule="auto" w:before="7"/>
        <w:rPr>
          <w:rFonts w:ascii="宋体" w:hAnsi="宋体" w:cs="宋体" w:eastAsia="宋体" w:hint="default"/>
          <w:b/>
          <w:bCs/>
          <w:sz w:val="24"/>
          <w:szCs w:val="24"/>
        </w:rPr>
      </w:pPr>
    </w:p>
    <w:p>
      <w:pPr>
        <w:pStyle w:val="Heading4"/>
        <w:spacing w:line="256" w:lineRule="auto" w:before="0"/>
        <w:ind w:left="574" w:right="102" w:hanging="421"/>
        <w:jc w:val="left"/>
      </w:pPr>
      <w:r>
        <w:rPr>
          <w:rFonts w:ascii="Times New Roman" w:hAnsi="Times New Roman" w:cs="Times New Roman" w:eastAsia="Times New Roman" w:hint="default"/>
          <w:b/>
          <w:bCs/>
        </w:rPr>
        <w:t>1</w:t>
      </w:r>
      <w:r>
        <w:rPr>
          <w:rFonts w:ascii="宋体" w:hAnsi="宋体" w:cs="宋体" w:eastAsia="宋体" w:hint="default"/>
          <w:b/>
          <w:bCs/>
        </w:rPr>
        <w:t>、公司历史沿革</w:t>
      </w:r>
      <w:r>
        <w:rPr>
          <w:rFonts w:ascii="宋体" w:hAnsi="宋体" w:cs="宋体" w:eastAsia="宋体" w:hint="default"/>
          <w:b/>
          <w:bCs/>
          <w:spacing w:val="1"/>
          <w:w w:val="99"/>
        </w:rPr>
        <w:t> </w:t>
      </w:r>
      <w:r>
        <w:rPr/>
        <w:t>深圳市新国都技术股份有限公司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前身为深圳市新国都技术有限公司（以</w:t>
      </w:r>
    </w:p>
    <w:p>
      <w:pPr>
        <w:pStyle w:val="Heading4"/>
        <w:spacing w:line="256" w:lineRule="auto" w:before="5"/>
        <w:ind w:right="206"/>
        <w:jc w:val="both"/>
      </w:pPr>
      <w:r>
        <w:rPr>
          <w:spacing w:val="-3"/>
        </w:rPr>
        <w:t>下简称</w:t>
      </w:r>
      <w:r>
        <w:rPr>
          <w:rFonts w:ascii="Times New Roman" w:hAnsi="Times New Roman" w:cs="Times New Roman" w:eastAsia="Times New Roman" w:hint="default"/>
          <w:spacing w:val="-3"/>
        </w:rPr>
        <w:t>“</w:t>
      </w:r>
      <w:r>
        <w:rPr>
          <w:spacing w:val="-3"/>
        </w:rPr>
        <w:t>新国都技术</w:t>
      </w:r>
      <w:r>
        <w:rPr>
          <w:rFonts w:ascii="Times New Roman" w:hAnsi="Times New Roman" w:cs="Times New Roman" w:eastAsia="Times New Roman" w:hint="default"/>
          <w:spacing w:val="-3"/>
        </w:rPr>
        <w:t>”</w:t>
      </w:r>
      <w:r>
        <w:rPr>
          <w:spacing w:val="-3"/>
        </w:rPr>
        <w:t>），于</w:t>
      </w:r>
      <w:r>
        <w:rPr>
          <w:rFonts w:ascii="Times New Roman" w:hAnsi="Times New Roman" w:cs="Times New Roman" w:eastAsia="Times New Roman" w:hint="default"/>
          <w:spacing w:val="-3"/>
        </w:rPr>
        <w:t>2001</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31</w:t>
      </w:r>
      <w:r>
        <w:rPr>
          <w:spacing w:val="-3"/>
        </w:rPr>
        <w:t>日经深圳市工商行政管理局批准成立，由刘祥、刘亚和深圳市奥格</w:t>
      </w:r>
      <w:r>
        <w:rPr>
          <w:spacing w:val="-66"/>
        </w:rPr>
        <w:t> </w:t>
      </w:r>
      <w:r>
        <w:rPr>
          <w:spacing w:val="-66"/>
        </w:rPr>
      </w:r>
      <w:r>
        <w:rPr/>
        <w:t>立电子科技有限公司共同出资组建，注册资本为人民币</w:t>
      </w:r>
      <w:r>
        <w:rPr>
          <w:rFonts w:ascii="Times New Roman" w:hAnsi="Times New Roman" w:cs="Times New Roman" w:eastAsia="Times New Roman" w:hint="default"/>
        </w:rPr>
        <w:t>300.00</w:t>
      </w:r>
      <w:r>
        <w:rPr/>
        <w:t>万元，其中刘祥出资人民币</w:t>
      </w:r>
      <w:r>
        <w:rPr>
          <w:rFonts w:ascii="Times New Roman" w:hAnsi="Times New Roman" w:cs="Times New Roman" w:eastAsia="Times New Roman" w:hint="default"/>
        </w:rPr>
        <w:t>120.00</w:t>
      </w:r>
      <w:r>
        <w:rPr/>
        <w:t>万元，出</w:t>
      </w:r>
      <w:r>
        <w:rPr>
          <w:spacing w:val="-39"/>
        </w:rPr>
        <w:t> </w:t>
      </w:r>
      <w:r>
        <w:rPr>
          <w:spacing w:val="-39"/>
        </w:rPr>
      </w:r>
      <w:r>
        <w:rPr/>
        <w:t>资比例</w:t>
      </w:r>
      <w:r>
        <w:rPr>
          <w:rFonts w:ascii="Times New Roman" w:hAnsi="Times New Roman" w:cs="Times New Roman" w:eastAsia="Times New Roman" w:hint="default"/>
        </w:rPr>
        <w:t>40.00%</w:t>
      </w:r>
      <w:r>
        <w:rPr/>
        <w:t>；刘亚出资人民币</w:t>
      </w:r>
      <w:r>
        <w:rPr>
          <w:rFonts w:ascii="Times New Roman" w:hAnsi="Times New Roman" w:cs="Times New Roman" w:eastAsia="Times New Roman" w:hint="default"/>
        </w:rPr>
        <w:t>90.00</w:t>
      </w:r>
      <w:r>
        <w:rPr/>
        <w:t>万元，出资比例</w:t>
      </w:r>
      <w:r>
        <w:rPr>
          <w:rFonts w:ascii="Times New Roman" w:hAnsi="Times New Roman" w:cs="Times New Roman" w:eastAsia="Times New Roman" w:hint="default"/>
        </w:rPr>
        <w:t>30.00%</w:t>
      </w:r>
      <w:r>
        <w:rPr/>
        <w:t>；深圳市奥格立电子科技有限公司出资人民</w:t>
      </w:r>
      <w:r>
        <w:rPr>
          <w:spacing w:val="-26"/>
        </w:rPr>
        <w:t> </w:t>
      </w:r>
      <w:r>
        <w:rPr>
          <w:spacing w:val="-26"/>
        </w:rPr>
      </w:r>
      <w:r>
        <w:rPr/>
        <w:t>币</w:t>
      </w:r>
      <w:r>
        <w:rPr>
          <w:rFonts w:ascii="Times New Roman" w:hAnsi="Times New Roman" w:cs="Times New Roman" w:eastAsia="Times New Roman" w:hint="default"/>
        </w:rPr>
        <w:t>90.00</w:t>
      </w:r>
      <w:r>
        <w:rPr/>
        <w:t>万元，出资比例</w:t>
      </w:r>
      <w:r>
        <w:rPr>
          <w:rFonts w:ascii="Times New Roman" w:hAnsi="Times New Roman" w:cs="Times New Roman" w:eastAsia="Times New Roman" w:hint="default"/>
        </w:rPr>
        <w:t>30.00%</w:t>
      </w:r>
      <w:r>
        <w:rPr/>
        <w:t>。本次出资业经深圳市远东会计师事务所深远东验字</w:t>
      </w:r>
      <w:r>
        <w:rPr>
          <w:rFonts w:ascii="Times New Roman" w:hAnsi="Times New Roman" w:cs="Times New Roman" w:eastAsia="Times New Roman" w:hint="default"/>
        </w:rPr>
        <w:t>[2001]</w:t>
      </w:r>
      <w:r>
        <w:rPr/>
        <w:t>第</w:t>
      </w:r>
      <w:r>
        <w:rPr>
          <w:rFonts w:ascii="Times New Roman" w:hAnsi="Times New Roman" w:cs="Times New Roman" w:eastAsia="Times New Roman" w:hint="default"/>
        </w:rPr>
        <w:t>347</w:t>
      </w:r>
      <w:r>
        <w:rPr/>
        <w:t>号验资报</w:t>
      </w:r>
      <w:r>
        <w:rPr>
          <w:spacing w:val="-43"/>
        </w:rPr>
        <w:t> </w:t>
      </w:r>
      <w:r>
        <w:rPr/>
        <w:t>告验证，并领取注册号为</w:t>
      </w:r>
      <w:r>
        <w:rPr>
          <w:rFonts w:ascii="Times New Roman" w:hAnsi="Times New Roman" w:cs="Times New Roman" w:eastAsia="Times New Roman" w:hint="default"/>
        </w:rPr>
        <w:t>4403012070860</w:t>
      </w:r>
      <w:r>
        <w:rPr/>
        <w:t>的企业法人营业执照。</w:t>
      </w:r>
    </w:p>
    <w:p>
      <w:pPr>
        <w:pStyle w:val="Heading4"/>
        <w:spacing w:line="256" w:lineRule="auto" w:before="5"/>
        <w:ind w:right="210" w:firstLine="420"/>
        <w:jc w:val="both"/>
      </w:pP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12</w:t>
      </w:r>
      <w:r>
        <w:rPr>
          <w:spacing w:val="-2"/>
        </w:rPr>
        <w:t>日经股东会决议，刘亚将其持有的新国都技术</w:t>
      </w:r>
      <w:r>
        <w:rPr>
          <w:rFonts w:ascii="Times New Roman" w:hAnsi="Times New Roman" w:cs="Times New Roman" w:eastAsia="Times New Roman" w:hint="default"/>
          <w:spacing w:val="-2"/>
        </w:rPr>
        <w:t>30.00%</w:t>
      </w:r>
      <w:r>
        <w:rPr>
          <w:spacing w:val="-2"/>
        </w:rPr>
        <w:t>的股权转让给刘祥，转让完成后股</w:t>
      </w:r>
      <w:r>
        <w:rPr/>
        <w:t> </w:t>
      </w:r>
      <w:r>
        <w:rPr>
          <w:spacing w:val="2"/>
        </w:rPr>
        <w:t>权结构为：刘祥占注册资本的</w:t>
      </w:r>
      <w:r>
        <w:rPr>
          <w:rFonts w:ascii="Times New Roman" w:hAnsi="Times New Roman" w:cs="Times New Roman" w:eastAsia="Times New Roman" w:hint="default"/>
          <w:spacing w:val="2"/>
        </w:rPr>
        <w:t>70.00%</w:t>
      </w:r>
      <w:r>
        <w:rPr>
          <w:spacing w:val="2"/>
        </w:rPr>
        <w:t>；深圳市奥格立电子科技有限公司占注册资本的</w:t>
      </w:r>
      <w:r>
        <w:rPr>
          <w:rFonts w:ascii="Times New Roman" w:hAnsi="Times New Roman" w:cs="Times New Roman" w:eastAsia="Times New Roman" w:hint="default"/>
          <w:spacing w:val="2"/>
        </w:rPr>
        <w:t>30.00%</w:t>
      </w:r>
      <w:r>
        <w:rPr>
          <w:spacing w:val="2"/>
        </w:rPr>
        <w:t>。并于</w:t>
      </w:r>
      <w:r>
        <w:rPr>
          <w:rFonts w:ascii="Times New Roman" w:hAnsi="Times New Roman" w:cs="Times New Roman" w:eastAsia="Times New Roman" w:hint="default"/>
          <w:spacing w:val="2"/>
        </w:rPr>
        <w:t>2002</w:t>
      </w:r>
      <w:r>
        <w:rPr>
          <w:rFonts w:ascii="Times New Roman" w:hAnsi="Times New Roman" w:cs="Times New Roman" w:eastAsia="Times New Roman" w:hint="default"/>
          <w:spacing w:val="-38"/>
        </w:rPr>
        <w:t> </w:t>
      </w:r>
      <w:r>
        <w:rPr>
          <w:rFonts w:ascii="Times New Roman" w:hAnsi="Times New Roman" w:cs="Times New Roman" w:eastAsia="Times New Roman" w:hint="default"/>
          <w:spacing w:val="-38"/>
        </w:rPr>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28</w:t>
      </w:r>
      <w:r>
        <w:rPr/>
        <w:t>日办理了工商变更手续。</w:t>
      </w:r>
    </w:p>
    <w:p>
      <w:pPr>
        <w:pStyle w:val="Heading4"/>
        <w:spacing w:line="256" w:lineRule="auto" w:before="5"/>
        <w:ind w:right="209" w:firstLine="420"/>
        <w:jc w:val="both"/>
      </w:pPr>
      <w:r>
        <w:rPr>
          <w:rFonts w:ascii="Times New Roman" w:hAnsi="Times New Roman" w:cs="Times New Roman" w:eastAsia="Times New Roman" w:hint="default"/>
          <w:spacing w:val="-1"/>
        </w:rPr>
        <w:t>2004</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21</w:t>
      </w:r>
      <w:r>
        <w:rPr>
          <w:spacing w:val="-1"/>
        </w:rPr>
        <w:t>日经股东会决议，增加注册资本人民币</w:t>
      </w:r>
      <w:r>
        <w:rPr>
          <w:rFonts w:ascii="Times New Roman" w:hAnsi="Times New Roman" w:cs="Times New Roman" w:eastAsia="Times New Roman" w:hint="default"/>
          <w:spacing w:val="-1"/>
        </w:rPr>
        <w:t>1,200.00</w:t>
      </w:r>
      <w:r>
        <w:rPr>
          <w:spacing w:val="-1"/>
        </w:rPr>
        <w:t>万元，全部由股东深圳市奥格立电子科技</w:t>
      </w:r>
      <w:r>
        <w:rPr/>
        <w:t> 有限公司投入，增资后新国都技术注册资本为人民币</w:t>
      </w:r>
      <w:r>
        <w:rPr>
          <w:rFonts w:ascii="Times New Roman" w:hAnsi="Times New Roman" w:cs="Times New Roman" w:eastAsia="Times New Roman" w:hint="default"/>
        </w:rPr>
        <w:t>1,500.00</w:t>
      </w:r>
      <w:r>
        <w:rPr/>
        <w:t>万元，其中：深圳市奥格立电子科技有限公</w:t>
      </w:r>
      <w:r>
        <w:rPr>
          <w:spacing w:val="-40"/>
        </w:rPr>
        <w:t> </w:t>
      </w:r>
      <w:r>
        <w:rPr>
          <w:spacing w:val="-40"/>
        </w:rPr>
      </w:r>
      <w:r>
        <w:rPr/>
        <w:t>司占注册资本的</w:t>
      </w:r>
      <w:r>
        <w:rPr>
          <w:rFonts w:ascii="Times New Roman" w:hAnsi="Times New Roman" w:cs="Times New Roman" w:eastAsia="Times New Roman" w:hint="default"/>
        </w:rPr>
        <w:t>86.00%</w:t>
      </w:r>
      <w:r>
        <w:rPr/>
        <w:t>；刘祥占注册资本的</w:t>
      </w:r>
      <w:r>
        <w:rPr>
          <w:rFonts w:ascii="Times New Roman" w:hAnsi="Times New Roman" w:cs="Times New Roman" w:eastAsia="Times New Roman" w:hint="default"/>
        </w:rPr>
        <w:t>14.00%</w:t>
      </w:r>
      <w:r>
        <w:rPr/>
        <w:t>。并于</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日办理了工商变更手续。本次增资</w:t>
      </w:r>
      <w:r>
        <w:rPr>
          <w:spacing w:val="-74"/>
        </w:rPr>
        <w:t> </w:t>
      </w:r>
      <w:r>
        <w:rPr>
          <w:spacing w:val="-74"/>
        </w:rPr>
      </w:r>
      <w:r>
        <w:rPr/>
        <w:t>业经深圳市长城会计师事务所有限公司深长验字</w:t>
      </w:r>
      <w:r>
        <w:rPr>
          <w:rFonts w:ascii="Times New Roman" w:hAnsi="Times New Roman" w:cs="Times New Roman" w:eastAsia="Times New Roman" w:hint="default"/>
        </w:rPr>
        <w:t>(2004)</w:t>
      </w:r>
      <w:r>
        <w:rPr/>
        <w:t>第</w:t>
      </w:r>
      <w:r>
        <w:rPr>
          <w:rFonts w:ascii="Times New Roman" w:hAnsi="Times New Roman" w:cs="Times New Roman" w:eastAsia="Times New Roman" w:hint="default"/>
        </w:rPr>
        <w:t>159</w:t>
      </w:r>
      <w:r>
        <w:rPr/>
        <w:t>号验资报告验证。</w:t>
      </w:r>
    </w:p>
    <w:p>
      <w:pPr>
        <w:pStyle w:val="Heading4"/>
        <w:spacing w:line="256" w:lineRule="auto" w:before="5"/>
        <w:ind w:left="153" w:right="102" w:firstLine="420"/>
        <w:jc w:val="left"/>
      </w:pP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13</w:t>
      </w:r>
      <w:r>
        <w:rPr/>
        <w:t>日经股东会决议，增加注册资本人民币</w:t>
      </w:r>
      <w:r>
        <w:rPr>
          <w:rFonts w:ascii="Times New Roman" w:hAnsi="Times New Roman" w:cs="Times New Roman" w:eastAsia="Times New Roman" w:hint="default"/>
        </w:rPr>
        <w:t>2,500.00</w:t>
      </w:r>
      <w:r>
        <w:rPr/>
        <w:t>万元，全部由未分配利润转增，增资后</w:t>
      </w:r>
      <w:r>
        <w:rPr>
          <w:spacing w:val="2"/>
        </w:rPr>
        <w:t> </w:t>
      </w:r>
      <w:r>
        <w:rPr>
          <w:spacing w:val="-1"/>
        </w:rPr>
        <w:t>新国都技术注册资本为人民币</w:t>
      </w:r>
      <w:r>
        <w:rPr>
          <w:rFonts w:ascii="Times New Roman" w:hAnsi="Times New Roman" w:cs="Times New Roman" w:eastAsia="Times New Roman" w:hint="default"/>
          <w:spacing w:val="-1"/>
        </w:rPr>
        <w:t>4,000.00</w:t>
      </w:r>
      <w:r>
        <w:rPr>
          <w:spacing w:val="-1"/>
        </w:rPr>
        <w:t>万元，其中：深圳市奥格立电子科技有限公司占注册资本的</w:t>
      </w:r>
      <w:r>
        <w:rPr>
          <w:rFonts w:ascii="Times New Roman" w:hAnsi="Times New Roman" w:cs="Times New Roman" w:eastAsia="Times New Roman" w:hint="default"/>
          <w:spacing w:val="-1"/>
        </w:rPr>
        <w:t>86.00%</w:t>
      </w:r>
      <w:r>
        <w:rPr>
          <w:spacing w:val="-1"/>
        </w:rPr>
        <w:t>；</w:t>
      </w:r>
      <w:r>
        <w:rPr>
          <w:spacing w:val="-99"/>
        </w:rPr>
        <w:t> </w:t>
      </w:r>
      <w:r>
        <w:rPr/>
        <w:t>刘祥占注册资本的</w:t>
      </w:r>
      <w:r>
        <w:rPr>
          <w:rFonts w:ascii="Times New Roman" w:hAnsi="Times New Roman" w:cs="Times New Roman" w:eastAsia="Times New Roman" w:hint="default"/>
        </w:rPr>
        <w:t>14.00%</w:t>
      </w:r>
      <w:r>
        <w:rPr/>
        <w:t>。并于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w:t>
      </w:r>
      <w:r>
        <w:rPr/>
        <w:t>日办理了工商变更手续，本次增资业经深圳大华天诚会计师 事务所深华验字</w:t>
      </w:r>
      <w:r>
        <w:rPr>
          <w:rFonts w:ascii="Times New Roman" w:hAnsi="Times New Roman" w:cs="Times New Roman" w:eastAsia="Times New Roman" w:hint="default"/>
        </w:rPr>
        <w:t>[2007]152</w:t>
      </w:r>
      <w:r>
        <w:rPr/>
        <w:t>号验资报告验证。</w:t>
      </w:r>
    </w:p>
    <w:p>
      <w:pPr>
        <w:pStyle w:val="Heading4"/>
        <w:spacing w:line="256" w:lineRule="auto" w:before="5"/>
        <w:ind w:left="153" w:right="206" w:firstLine="420"/>
        <w:jc w:val="both"/>
      </w:pPr>
      <w:r>
        <w:rPr>
          <w:rFonts w:ascii="Times New Roman" w:hAnsi="Times New Roman" w:cs="Times New Roman" w:eastAsia="Times New Roman" w:hint="default"/>
        </w:rPr>
        <w:t>2008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10</w:t>
      </w:r>
      <w:r>
        <w:rPr/>
        <w:t>日股东会通过了同意深圳市奥格立电子科技有限公司将其持有新国都技术的</w:t>
      </w:r>
      <w:r>
        <w:rPr>
          <w:rFonts w:ascii="Times New Roman" w:hAnsi="Times New Roman" w:cs="Times New Roman" w:eastAsia="Times New Roman" w:hint="default"/>
        </w:rPr>
        <w:t>86.00%</w:t>
      </w:r>
      <w:r>
        <w:rPr/>
        <w:t>的股</w:t>
      </w:r>
      <w:r>
        <w:rPr>
          <w:spacing w:val="1"/>
        </w:rPr>
        <w:t> </w:t>
      </w:r>
      <w:r>
        <w:rPr/>
        <w:t>权以人民币</w:t>
      </w:r>
      <w:r>
        <w:rPr>
          <w:rFonts w:ascii="Times New Roman" w:hAnsi="Times New Roman" w:cs="Times New Roman" w:eastAsia="Times New Roman" w:hint="default"/>
        </w:rPr>
        <w:t>4,449.64</w:t>
      </w:r>
      <w:r>
        <w:rPr/>
        <w:t>万元的价格转让给刘祥、刘亚、江汉、李俊、徐兴春、栾承岚、李林杰、陈希芬、徐</w:t>
      </w:r>
      <w:r>
        <w:rPr>
          <w:spacing w:val="-40"/>
        </w:rPr>
        <w:t> </w:t>
      </w:r>
      <w:r>
        <w:rPr>
          <w:spacing w:val="-40"/>
        </w:rPr>
      </w:r>
      <w:r>
        <w:rPr>
          <w:spacing w:val="-1"/>
        </w:rPr>
        <w:t>金芳、韦余红、赵辉、汪洋、聂淼</w:t>
      </w:r>
      <w:r>
        <w:rPr>
          <w:rFonts w:ascii="Times New Roman" w:hAnsi="Times New Roman" w:cs="Times New Roman" w:eastAsia="Times New Roman" w:hint="default"/>
          <w:spacing w:val="-1"/>
        </w:rPr>
        <w:t>13</w:t>
      </w:r>
      <w:r>
        <w:rPr>
          <w:spacing w:val="-1"/>
        </w:rPr>
        <w:t>位自然人的决议，转让后深圳市奥格立电子科技有限公司不再持有新</w:t>
      </w:r>
      <w:r>
        <w:rPr>
          <w:spacing w:val="-84"/>
        </w:rPr>
        <w:t> </w:t>
      </w:r>
      <w:r>
        <w:rPr>
          <w:spacing w:val="-84"/>
        </w:rPr>
      </w:r>
      <w:r>
        <w:rPr/>
        <w:t>国都技术的股份。并于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24</w:t>
      </w:r>
      <w:r>
        <w:rPr/>
        <w:t>日办理了工商变更手续。本次股权转让完成后，新国都技术股权结构</w:t>
      </w:r>
      <w:r>
        <w:rPr>
          <w:spacing w:val="-36"/>
        </w:rPr>
        <w:t> </w:t>
      </w:r>
      <w:r>
        <w:rPr>
          <w:spacing w:val="-36"/>
        </w:rPr>
      </w:r>
      <w:r>
        <w:rPr/>
        <w:t>如下表：</w:t>
      </w:r>
    </w:p>
    <w:p>
      <w:pPr>
        <w:spacing w:after="0" w:line="256" w:lineRule="auto"/>
        <w:jc w:val="both"/>
        <w:sectPr>
          <w:pgSz w:w="11910" w:h="16840"/>
          <w:pgMar w:header="747" w:footer="982" w:top="1060" w:bottom="1180" w:left="980" w:right="92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965"/>
        <w:gridCol w:w="2804"/>
        <w:gridCol w:w="2827"/>
      </w:tblGrid>
      <w:tr>
        <w:trPr>
          <w:trHeight w:val="355" w:hRule="exact"/>
        </w:trPr>
        <w:tc>
          <w:tcPr>
            <w:tcW w:w="29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8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7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所持股份</w:t>
            </w:r>
            <w:r>
              <w:rPr>
                <w:rFonts w:ascii="Times New Roman" w:hAnsi="Times New Roman" w:cs="Times New Roman" w:eastAsia="Times New Roman" w:hint="default"/>
                <w:sz w:val="18"/>
                <w:szCs w:val="18"/>
              </w:rPr>
              <w:t>(</w:t>
            </w:r>
            <w:r>
              <w:rPr>
                <w:rFonts w:ascii="宋体" w:hAnsi="宋体" w:cs="宋体" w:eastAsia="宋体" w:hint="default"/>
                <w:sz w:val="18"/>
                <w:szCs w:val="18"/>
              </w:rPr>
              <w:t>万股</w:t>
            </w:r>
            <w:r>
              <w:rPr>
                <w:rFonts w:ascii="Times New Roman" w:hAnsi="Times New Roman" w:cs="Times New Roman" w:eastAsia="Times New Roman" w:hint="default"/>
                <w:sz w:val="18"/>
                <w:szCs w:val="18"/>
              </w:rPr>
              <w:t>)</w:t>
            </w:r>
          </w:p>
        </w:tc>
        <w:tc>
          <w:tcPr>
            <w:tcW w:w="282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持股比例</w:t>
            </w:r>
          </w:p>
        </w:tc>
      </w:tr>
      <w:tr>
        <w:trPr>
          <w:trHeight w:val="352" w:hRule="exact"/>
        </w:trPr>
        <w:tc>
          <w:tcPr>
            <w:tcW w:w="29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刘祥</w:t>
            </w:r>
          </w:p>
        </w:tc>
        <w:tc>
          <w:tcPr>
            <w:tcW w:w="28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2,115</w:t>
            </w:r>
          </w:p>
        </w:tc>
        <w:tc>
          <w:tcPr>
            <w:tcW w:w="28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52.875%</w:t>
            </w:r>
          </w:p>
        </w:tc>
      </w:tr>
      <w:tr>
        <w:trPr>
          <w:trHeight w:val="353" w:hRule="exact"/>
        </w:trPr>
        <w:tc>
          <w:tcPr>
            <w:tcW w:w="29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刘亚</w:t>
            </w:r>
          </w:p>
        </w:tc>
        <w:tc>
          <w:tcPr>
            <w:tcW w:w="28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705</w:t>
            </w:r>
          </w:p>
        </w:tc>
        <w:tc>
          <w:tcPr>
            <w:tcW w:w="28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17.625%</w:t>
            </w:r>
          </w:p>
        </w:tc>
      </w:tr>
      <w:tr>
        <w:trPr>
          <w:trHeight w:val="352" w:hRule="exact"/>
        </w:trPr>
        <w:tc>
          <w:tcPr>
            <w:tcW w:w="29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江汉</w:t>
            </w:r>
          </w:p>
        </w:tc>
        <w:tc>
          <w:tcPr>
            <w:tcW w:w="28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705</w:t>
            </w:r>
          </w:p>
        </w:tc>
        <w:tc>
          <w:tcPr>
            <w:tcW w:w="28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17.625%</w:t>
            </w:r>
          </w:p>
        </w:tc>
      </w:tr>
      <w:tr>
        <w:trPr>
          <w:trHeight w:val="352" w:hRule="exact"/>
        </w:trPr>
        <w:tc>
          <w:tcPr>
            <w:tcW w:w="29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赵辉</w:t>
            </w:r>
          </w:p>
        </w:tc>
        <w:tc>
          <w:tcPr>
            <w:tcW w:w="28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40</w:t>
            </w:r>
          </w:p>
        </w:tc>
        <w:tc>
          <w:tcPr>
            <w:tcW w:w="28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1.000%</w:t>
            </w:r>
          </w:p>
        </w:tc>
      </w:tr>
      <w:tr>
        <w:trPr>
          <w:trHeight w:val="353" w:hRule="exact"/>
        </w:trPr>
        <w:tc>
          <w:tcPr>
            <w:tcW w:w="29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韦余红</w:t>
            </w:r>
          </w:p>
        </w:tc>
        <w:tc>
          <w:tcPr>
            <w:tcW w:w="28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40</w:t>
            </w:r>
          </w:p>
        </w:tc>
        <w:tc>
          <w:tcPr>
            <w:tcW w:w="28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1.000%</w:t>
            </w:r>
          </w:p>
        </w:tc>
      </w:tr>
      <w:tr>
        <w:trPr>
          <w:trHeight w:val="352" w:hRule="exact"/>
        </w:trPr>
        <w:tc>
          <w:tcPr>
            <w:tcW w:w="29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徐兴春</w:t>
            </w:r>
          </w:p>
        </w:tc>
        <w:tc>
          <w:tcPr>
            <w:tcW w:w="28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60</w:t>
            </w:r>
          </w:p>
        </w:tc>
        <w:tc>
          <w:tcPr>
            <w:tcW w:w="28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1.500%</w:t>
            </w:r>
          </w:p>
        </w:tc>
      </w:tr>
      <w:tr>
        <w:trPr>
          <w:trHeight w:val="352" w:hRule="exact"/>
        </w:trPr>
        <w:tc>
          <w:tcPr>
            <w:tcW w:w="29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汪洋</w:t>
            </w:r>
          </w:p>
        </w:tc>
        <w:tc>
          <w:tcPr>
            <w:tcW w:w="28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40</w:t>
            </w:r>
          </w:p>
        </w:tc>
        <w:tc>
          <w:tcPr>
            <w:tcW w:w="28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1.000%</w:t>
            </w:r>
          </w:p>
        </w:tc>
      </w:tr>
      <w:tr>
        <w:trPr>
          <w:trHeight w:val="353" w:hRule="exact"/>
        </w:trPr>
        <w:tc>
          <w:tcPr>
            <w:tcW w:w="29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徐金芳</w:t>
            </w:r>
          </w:p>
        </w:tc>
        <w:tc>
          <w:tcPr>
            <w:tcW w:w="28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40</w:t>
            </w:r>
          </w:p>
        </w:tc>
        <w:tc>
          <w:tcPr>
            <w:tcW w:w="28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1.000%</w:t>
            </w:r>
          </w:p>
        </w:tc>
      </w:tr>
      <w:tr>
        <w:trPr>
          <w:trHeight w:val="352" w:hRule="exact"/>
        </w:trPr>
        <w:tc>
          <w:tcPr>
            <w:tcW w:w="29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李俊</w:t>
            </w:r>
          </w:p>
        </w:tc>
        <w:tc>
          <w:tcPr>
            <w:tcW w:w="28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60</w:t>
            </w:r>
          </w:p>
        </w:tc>
        <w:tc>
          <w:tcPr>
            <w:tcW w:w="28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1.500%</w:t>
            </w:r>
          </w:p>
        </w:tc>
      </w:tr>
      <w:tr>
        <w:trPr>
          <w:trHeight w:val="352" w:hRule="exact"/>
        </w:trPr>
        <w:tc>
          <w:tcPr>
            <w:tcW w:w="29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陈希芬</w:t>
            </w:r>
          </w:p>
        </w:tc>
        <w:tc>
          <w:tcPr>
            <w:tcW w:w="28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50</w:t>
            </w:r>
          </w:p>
        </w:tc>
        <w:tc>
          <w:tcPr>
            <w:tcW w:w="28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1.250%</w:t>
            </w:r>
          </w:p>
        </w:tc>
      </w:tr>
      <w:tr>
        <w:trPr>
          <w:trHeight w:val="353" w:hRule="exact"/>
        </w:trPr>
        <w:tc>
          <w:tcPr>
            <w:tcW w:w="29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聂淼</w:t>
            </w:r>
          </w:p>
        </w:tc>
        <w:tc>
          <w:tcPr>
            <w:tcW w:w="28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35</w:t>
            </w:r>
          </w:p>
        </w:tc>
        <w:tc>
          <w:tcPr>
            <w:tcW w:w="28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0.875%</w:t>
            </w:r>
          </w:p>
        </w:tc>
      </w:tr>
      <w:tr>
        <w:trPr>
          <w:trHeight w:val="352" w:hRule="exact"/>
        </w:trPr>
        <w:tc>
          <w:tcPr>
            <w:tcW w:w="29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栾承岚</w:t>
            </w:r>
          </w:p>
        </w:tc>
        <w:tc>
          <w:tcPr>
            <w:tcW w:w="28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60</w:t>
            </w:r>
          </w:p>
        </w:tc>
        <w:tc>
          <w:tcPr>
            <w:tcW w:w="28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1.500%</w:t>
            </w:r>
          </w:p>
        </w:tc>
      </w:tr>
      <w:tr>
        <w:trPr>
          <w:trHeight w:val="352" w:hRule="exact"/>
        </w:trPr>
        <w:tc>
          <w:tcPr>
            <w:tcW w:w="29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李林杰</w:t>
            </w:r>
          </w:p>
        </w:tc>
        <w:tc>
          <w:tcPr>
            <w:tcW w:w="28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50</w:t>
            </w:r>
          </w:p>
        </w:tc>
        <w:tc>
          <w:tcPr>
            <w:tcW w:w="28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1.250%</w:t>
            </w:r>
          </w:p>
        </w:tc>
      </w:tr>
      <w:tr>
        <w:trPr>
          <w:trHeight w:val="353" w:hRule="exact"/>
        </w:trPr>
        <w:tc>
          <w:tcPr>
            <w:tcW w:w="29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8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4,000</w:t>
            </w:r>
          </w:p>
        </w:tc>
        <w:tc>
          <w:tcPr>
            <w:tcW w:w="28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100%</w:t>
            </w:r>
          </w:p>
        </w:tc>
      </w:tr>
    </w:tbl>
    <w:p>
      <w:pPr>
        <w:spacing w:line="240" w:lineRule="auto" w:before="0"/>
        <w:rPr>
          <w:rFonts w:ascii="宋体" w:hAnsi="宋体" w:cs="宋体" w:eastAsia="宋体" w:hint="default"/>
          <w:sz w:val="20"/>
          <w:szCs w:val="20"/>
        </w:rPr>
      </w:pPr>
    </w:p>
    <w:p>
      <w:pPr>
        <w:pStyle w:val="Heading4"/>
        <w:spacing w:line="256" w:lineRule="auto" w:before="35"/>
        <w:ind w:right="186" w:firstLine="420"/>
        <w:jc w:val="both"/>
      </w:pPr>
      <w:r>
        <w:rPr/>
        <w:t>根据</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8</w:t>
      </w:r>
      <w:r>
        <w:rPr/>
        <w:t>日召开的</w:t>
      </w:r>
      <w:r>
        <w:rPr>
          <w:rFonts w:ascii="Times New Roman" w:hAnsi="Times New Roman" w:cs="Times New Roman" w:eastAsia="Times New Roman" w:hint="default"/>
        </w:rPr>
        <w:t>2008</w:t>
      </w:r>
      <w:r>
        <w:rPr/>
        <w:t>年第</w:t>
      </w:r>
      <w:r>
        <w:rPr>
          <w:rFonts w:ascii="Times New Roman" w:hAnsi="Times New Roman" w:cs="Times New Roman" w:eastAsia="Times New Roman" w:hint="default"/>
        </w:rPr>
        <w:t>3</w:t>
      </w:r>
      <w:r>
        <w:rPr/>
        <w:t>次临时股东会会议及其决议、</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8</w:t>
      </w:r>
      <w:r>
        <w:rPr/>
        <w:t>日签订的发起人协议规 定，新国都技术由有限责任公司整体变更为股份有限公司，以截止</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日经审计的净资产人民币</w:t>
      </w:r>
      <w:r>
        <w:rPr>
          <w:spacing w:val="-36"/>
        </w:rPr>
        <w:t> </w:t>
      </w:r>
      <w:r>
        <w:rPr>
          <w:spacing w:val="-36"/>
        </w:rPr>
      </w:r>
      <w:r>
        <w:rPr>
          <w:rFonts w:ascii="Times New Roman" w:hAnsi="Times New Roman" w:cs="Times New Roman" w:eastAsia="Times New Roman" w:hint="default"/>
          <w:spacing w:val="7"/>
        </w:rPr>
        <w:t>59,860,459.32</w:t>
      </w:r>
      <w:r>
        <w:rPr>
          <w:spacing w:val="7"/>
        </w:rPr>
        <w:t>元中的</w:t>
      </w:r>
      <w:r>
        <w:rPr>
          <w:rFonts w:ascii="Times New Roman" w:hAnsi="Times New Roman" w:cs="Times New Roman" w:eastAsia="Times New Roman" w:hint="default"/>
          <w:spacing w:val="7"/>
        </w:rPr>
        <w:t>4,000.00</w:t>
      </w:r>
      <w:r>
        <w:rPr>
          <w:spacing w:val="7"/>
        </w:rPr>
        <w:t>万元按</w:t>
      </w:r>
      <w:r>
        <w:rPr>
          <w:rFonts w:ascii="Times New Roman" w:hAnsi="Times New Roman" w:cs="Times New Roman" w:eastAsia="Times New Roman" w:hint="default"/>
          <w:spacing w:val="7"/>
        </w:rPr>
        <w:t>1:1</w:t>
      </w:r>
      <w:r>
        <w:rPr>
          <w:spacing w:val="7"/>
        </w:rPr>
        <w:t>的比例折合为股本总额</w:t>
      </w:r>
      <w:r>
        <w:rPr>
          <w:rFonts w:ascii="Times New Roman" w:hAnsi="Times New Roman" w:cs="Times New Roman" w:eastAsia="Times New Roman" w:hint="default"/>
          <w:spacing w:val="7"/>
        </w:rPr>
        <w:t>4,000</w:t>
      </w:r>
      <w:r>
        <w:rPr>
          <w:spacing w:val="7"/>
        </w:rPr>
        <w:t>万股。变更后的注册资本为人民币</w:t>
      </w:r>
    </w:p>
    <w:p>
      <w:pPr>
        <w:pStyle w:val="Heading4"/>
        <w:spacing w:line="240" w:lineRule="auto" w:before="5"/>
        <w:ind w:right="0"/>
        <w:jc w:val="both"/>
        <w:rPr>
          <w:rFonts w:ascii="Times New Roman" w:hAnsi="Times New Roman" w:cs="Times New Roman" w:eastAsia="Times New Roman" w:hint="default"/>
        </w:rPr>
      </w:pPr>
      <w:r>
        <w:rPr>
          <w:rFonts w:ascii="Times New Roman" w:hAnsi="Times New Roman" w:cs="Times New Roman" w:eastAsia="Times New Roman" w:hint="default"/>
        </w:rPr>
        <w:t>4,000.00</w:t>
      </w:r>
      <w:r>
        <w:rPr/>
        <w:t>万元。本次变更业经深圳大华天诚会计师事务所深华验字</w:t>
      </w:r>
      <w:r>
        <w:rPr>
          <w:rFonts w:ascii="Times New Roman" w:hAnsi="Times New Roman" w:cs="Times New Roman" w:eastAsia="Times New Roman" w:hint="default"/>
        </w:rPr>
        <w:t>[2008]35</w:t>
      </w:r>
      <w:r>
        <w:rPr/>
        <w:t>号验资报告验证。</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p>
    <w:p>
      <w:pPr>
        <w:pStyle w:val="Heading4"/>
        <w:spacing w:line="240" w:lineRule="auto" w:before="21"/>
        <w:ind w:left="153" w:right="0"/>
        <w:jc w:val="both"/>
      </w:pPr>
      <w:r>
        <w:rPr/>
        <w:t>日，新国都技术取得深圳市工商行政管理局核发的</w:t>
      </w:r>
      <w:r>
        <w:rPr>
          <w:rFonts w:ascii="Times New Roman" w:hAnsi="Times New Roman" w:cs="Times New Roman" w:eastAsia="Times New Roman" w:hint="default"/>
        </w:rPr>
        <w:t>440301103074776</w:t>
      </w:r>
      <w:r>
        <w:rPr/>
        <w:t>号《企业法人营业执照》。</w:t>
      </w:r>
    </w:p>
    <w:p>
      <w:pPr>
        <w:pStyle w:val="Heading4"/>
        <w:spacing w:line="256" w:lineRule="auto" w:before="21"/>
        <w:ind w:left="153" w:right="91" w:firstLine="420"/>
        <w:jc w:val="left"/>
      </w:pPr>
      <w:r>
        <w:rPr>
          <w:rFonts w:ascii="Times New Roman" w:hAnsi="Times New Roman" w:cs="Times New Roman" w:eastAsia="Times New Roman" w:hint="default"/>
        </w:rPr>
        <w:t>2008</w:t>
      </w:r>
      <w:r>
        <w:rPr/>
        <w:t>年</w:t>
      </w:r>
      <w:r>
        <w:rPr>
          <w:rFonts w:ascii="Times New Roman" w:hAnsi="Times New Roman" w:cs="Times New Roman" w:eastAsia="Times New Roman" w:hint="default"/>
        </w:rPr>
        <w:t>7</w:t>
      </w:r>
      <w:r>
        <w:rPr/>
        <w:t>月，本公司与深圳国际高新技术产权交易所签订了股权登记托管服务合同，办理了非上市股 份有限公司股权托管。</w:t>
      </w:r>
    </w:p>
    <w:p>
      <w:pPr>
        <w:pStyle w:val="Heading4"/>
        <w:spacing w:line="256" w:lineRule="auto" w:before="22"/>
        <w:ind w:left="153" w:right="98" w:firstLine="420"/>
        <w:jc w:val="left"/>
      </w:pPr>
      <w:r>
        <w:rPr>
          <w:spacing w:val="3"/>
        </w:rPr>
        <w:t>根据本公司</w:t>
      </w:r>
      <w:r>
        <w:rPr>
          <w:rFonts w:ascii="Times New Roman" w:hAnsi="Times New Roman" w:cs="Times New Roman" w:eastAsia="Times New Roman" w:hint="default"/>
          <w:spacing w:val="3"/>
        </w:rPr>
        <w:t>2008</w:t>
      </w:r>
      <w:r>
        <w:rPr>
          <w:spacing w:val="3"/>
        </w:rPr>
        <w:t>年第一次临时股东大会决议和修改后章程的规定，本公司申请增加注册资本人民币</w:t>
      </w:r>
      <w:r>
        <w:rPr>
          <w:spacing w:val="4"/>
        </w:rPr>
        <w:t> </w:t>
      </w:r>
      <w:r>
        <w:rPr>
          <w:rFonts w:ascii="Times New Roman" w:hAnsi="Times New Roman" w:cs="Times New Roman" w:eastAsia="Times New Roman" w:hint="default"/>
          <w:spacing w:val="-2"/>
        </w:rPr>
        <w:t>750.00</w:t>
      </w:r>
      <w:r>
        <w:rPr>
          <w:spacing w:val="-2"/>
        </w:rPr>
        <w:t>万元，变更后的注册资本为人民币</w:t>
      </w:r>
      <w:r>
        <w:rPr>
          <w:rFonts w:ascii="Times New Roman" w:hAnsi="Times New Roman" w:cs="Times New Roman" w:eastAsia="Times New Roman" w:hint="default"/>
          <w:spacing w:val="-2"/>
        </w:rPr>
        <w:t>4,750.00</w:t>
      </w:r>
      <w:r>
        <w:rPr>
          <w:spacing w:val="-2"/>
        </w:rPr>
        <w:t>万元。新增注册资本由深圳市创新投资集团有限公司、北</w:t>
      </w:r>
      <w:r>
        <w:rPr>
          <w:spacing w:val="-82"/>
        </w:rPr>
        <w:t> </w:t>
      </w:r>
      <w:r>
        <w:rPr>
          <w:spacing w:val="-82"/>
        </w:rPr>
      </w:r>
      <w:r>
        <w:rPr>
          <w:spacing w:val="-2"/>
        </w:rPr>
        <w:t>京首创建设有限公司、深圳市长润创业投资企业</w:t>
      </w:r>
      <w:r>
        <w:rPr>
          <w:rFonts w:ascii="Times New Roman" w:hAnsi="Times New Roman" w:cs="Times New Roman" w:eastAsia="Times New Roman" w:hint="default"/>
          <w:spacing w:val="-2"/>
        </w:rPr>
        <w:t>(</w:t>
      </w:r>
      <w:r>
        <w:rPr>
          <w:spacing w:val="-2"/>
        </w:rPr>
        <w:t>有限合伙</w:t>
      </w:r>
      <w:r>
        <w:rPr>
          <w:rFonts w:ascii="Times New Roman" w:hAnsi="Times New Roman" w:cs="Times New Roman" w:eastAsia="Times New Roman" w:hint="default"/>
          <w:spacing w:val="-2"/>
        </w:rPr>
        <w:t>)</w:t>
      </w:r>
      <w:r>
        <w:rPr>
          <w:spacing w:val="-2"/>
        </w:rPr>
        <w:t>、上海林耐实业投资中心</w:t>
      </w:r>
      <w:r>
        <w:rPr>
          <w:rFonts w:ascii="Times New Roman" w:hAnsi="Times New Roman" w:cs="Times New Roman" w:eastAsia="Times New Roman" w:hint="default"/>
          <w:spacing w:val="-2"/>
        </w:rPr>
        <w:t>(</w:t>
      </w:r>
      <w:r>
        <w:rPr>
          <w:spacing w:val="-2"/>
        </w:rPr>
        <w:t>有限合伙</w:t>
      </w:r>
      <w:r>
        <w:rPr>
          <w:rFonts w:ascii="Times New Roman" w:hAnsi="Times New Roman" w:cs="Times New Roman" w:eastAsia="Times New Roman" w:hint="default"/>
          <w:spacing w:val="-2"/>
        </w:rPr>
        <w:t>)</w:t>
      </w:r>
      <w:r>
        <w:rPr>
          <w:spacing w:val="-2"/>
        </w:rPr>
        <w:t>、深圳市福</w:t>
      </w:r>
      <w:r>
        <w:rPr>
          <w:spacing w:val="-103"/>
        </w:rPr>
        <w:t> </w:t>
      </w:r>
      <w:r>
        <w:rPr>
          <w:spacing w:val="-103"/>
        </w:rPr>
      </w:r>
      <w:r>
        <w:rPr>
          <w:spacing w:val="-7"/>
        </w:rPr>
        <w:t>田创新资本创业投资有限公司、蔡衍军、陈新华、里维宁、王凌海、许芹、李妍</w:t>
      </w:r>
      <w:r>
        <w:rPr>
          <w:rFonts w:ascii="Times New Roman" w:hAnsi="Times New Roman" w:cs="Times New Roman" w:eastAsia="Times New Roman" w:hint="default"/>
          <w:spacing w:val="-7"/>
        </w:rPr>
        <w:t>11</w:t>
      </w:r>
      <w:r>
        <w:rPr>
          <w:spacing w:val="-7"/>
        </w:rPr>
        <w:t>位新股东以人民币</w:t>
      </w:r>
      <w:r>
        <w:rPr>
          <w:rFonts w:ascii="Times New Roman" w:hAnsi="Times New Roman" w:cs="Times New Roman" w:eastAsia="Times New Roman" w:hint="default"/>
          <w:spacing w:val="-7"/>
        </w:rPr>
        <w:t>5,002.50</w:t>
      </w:r>
      <w:r>
        <w:rPr>
          <w:rFonts w:ascii="Times New Roman" w:hAnsi="Times New Roman" w:cs="Times New Roman" w:eastAsia="Times New Roman" w:hint="default"/>
          <w:spacing w:val="-28"/>
        </w:rPr>
        <w:t> </w:t>
      </w:r>
      <w:r>
        <w:rPr>
          <w:rFonts w:ascii="Times New Roman" w:hAnsi="Times New Roman" w:cs="Times New Roman" w:eastAsia="Times New Roman" w:hint="default"/>
          <w:spacing w:val="-28"/>
        </w:rPr>
      </w:r>
      <w:r>
        <w:rPr/>
        <w:t>万元全部认购，其中人民币</w:t>
      </w:r>
      <w:r>
        <w:rPr>
          <w:rFonts w:ascii="Times New Roman" w:hAnsi="Times New Roman" w:cs="Times New Roman" w:eastAsia="Times New Roman" w:hint="default"/>
        </w:rPr>
        <w:t>750.00</w:t>
      </w:r>
      <w:r>
        <w:rPr/>
        <w:t>万元作为新增注册资本，剩余人民币</w:t>
      </w:r>
      <w:r>
        <w:rPr>
          <w:rFonts w:ascii="Times New Roman" w:hAnsi="Times New Roman" w:cs="Times New Roman" w:eastAsia="Times New Roman" w:hint="default"/>
        </w:rPr>
        <w:t>4,252.50</w:t>
      </w:r>
      <w:r>
        <w:rPr/>
        <w:t>万元作为本公司资本公积， </w:t>
      </w:r>
      <w:r>
        <w:rPr>
          <w:spacing w:val="2"/>
        </w:rPr>
        <w:t>增资后本公司注册资本为人民币</w:t>
      </w:r>
      <w:r>
        <w:rPr>
          <w:rFonts w:ascii="Times New Roman" w:hAnsi="Times New Roman" w:cs="Times New Roman" w:eastAsia="Times New Roman" w:hint="default"/>
          <w:spacing w:val="2"/>
        </w:rPr>
        <w:t>4,750.00</w:t>
      </w:r>
      <w:r>
        <w:rPr>
          <w:spacing w:val="2"/>
        </w:rPr>
        <w:t>万元。该增资业经广东大华德律会计师事务所深华验字</w:t>
      </w:r>
      <w:r>
        <w:rPr>
          <w:rFonts w:ascii="Times New Roman" w:hAnsi="Times New Roman" w:cs="Times New Roman" w:eastAsia="Times New Roman" w:hint="default"/>
          <w:spacing w:val="2"/>
        </w:rPr>
        <w:t>[2008]74</w:t>
      </w:r>
      <w:r>
        <w:rPr>
          <w:rFonts w:ascii="Times New Roman" w:hAnsi="Times New Roman" w:cs="Times New Roman" w:eastAsia="Times New Roman" w:hint="default"/>
          <w:spacing w:val="-38"/>
        </w:rPr>
        <w:t> </w:t>
      </w:r>
      <w:r>
        <w:rPr>
          <w:rFonts w:ascii="Times New Roman" w:hAnsi="Times New Roman" w:cs="Times New Roman" w:eastAsia="Times New Roman" w:hint="default"/>
          <w:spacing w:val="-38"/>
        </w:rPr>
      </w:r>
      <w:r>
        <w:rPr/>
        <w:t>号验资报告验证。并于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日办理完毕工商变更手续。</w:t>
      </w:r>
    </w:p>
    <w:p>
      <w:pPr>
        <w:pStyle w:val="Heading4"/>
        <w:spacing w:line="256" w:lineRule="auto" w:before="5"/>
        <w:ind w:left="153" w:right="91" w:firstLine="420"/>
        <w:jc w:val="left"/>
      </w:pP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日，上海林耐实业投资中心</w:t>
      </w:r>
      <w:r>
        <w:rPr>
          <w:rFonts w:ascii="Times New Roman" w:hAnsi="Times New Roman" w:cs="Times New Roman" w:eastAsia="Times New Roman" w:hint="default"/>
        </w:rPr>
        <w:t>(</w:t>
      </w:r>
      <w:r>
        <w:rPr/>
        <w:t>有限合伙</w:t>
      </w:r>
      <w:r>
        <w:rPr>
          <w:rFonts w:ascii="Times New Roman" w:hAnsi="Times New Roman" w:cs="Times New Roman" w:eastAsia="Times New Roman" w:hint="default"/>
        </w:rPr>
        <w:t>)</w:t>
      </w:r>
      <w:r>
        <w:rPr/>
        <w:t>将其持有的本公司</w:t>
      </w:r>
      <w:r>
        <w:rPr>
          <w:rFonts w:ascii="Times New Roman" w:hAnsi="Times New Roman" w:cs="Times New Roman" w:eastAsia="Times New Roman" w:hint="default"/>
        </w:rPr>
        <w:t>1.684%</w:t>
      </w:r>
      <w:r>
        <w:rPr/>
        <w:t>的股权全部转让给自然人</w:t>
      </w:r>
      <w:r>
        <w:rPr>
          <w:spacing w:val="1"/>
        </w:rPr>
        <w:t> </w:t>
      </w:r>
      <w:r>
        <w:rPr/>
        <w:t>张燕民，并于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22</w:t>
      </w:r>
      <w:r>
        <w:rPr/>
        <w:t>日在深圳国际高新技术产权交易所办理了股权变更的备案手续。</w:t>
      </w:r>
    </w:p>
    <w:p>
      <w:pPr>
        <w:pStyle w:val="Heading4"/>
        <w:spacing w:line="256" w:lineRule="auto" w:before="5"/>
        <w:ind w:left="153" w:right="91" w:firstLine="420"/>
        <w:jc w:val="left"/>
      </w:pP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22</w:t>
      </w:r>
      <w:r>
        <w:rPr>
          <w:spacing w:val="-2"/>
        </w:rPr>
        <w:t>日，深圳市长润创业投资企业</w:t>
      </w:r>
      <w:r>
        <w:rPr>
          <w:rFonts w:ascii="Times New Roman" w:hAnsi="Times New Roman" w:cs="Times New Roman" w:eastAsia="Times New Roman" w:hint="default"/>
          <w:spacing w:val="-2"/>
        </w:rPr>
        <w:t>(</w:t>
      </w:r>
      <w:r>
        <w:rPr>
          <w:spacing w:val="-2"/>
        </w:rPr>
        <w:t>有限合伙</w:t>
      </w:r>
      <w:r>
        <w:rPr>
          <w:rFonts w:ascii="Times New Roman" w:hAnsi="Times New Roman" w:cs="Times New Roman" w:eastAsia="Times New Roman" w:hint="default"/>
          <w:spacing w:val="-2"/>
        </w:rPr>
        <w:t>)</w:t>
      </w:r>
      <w:r>
        <w:rPr>
          <w:spacing w:val="-2"/>
        </w:rPr>
        <w:t>将其持有的本公司</w:t>
      </w:r>
      <w:r>
        <w:rPr>
          <w:rFonts w:ascii="Times New Roman" w:hAnsi="Times New Roman" w:cs="Times New Roman" w:eastAsia="Times New Roman" w:hint="default"/>
          <w:spacing w:val="-2"/>
        </w:rPr>
        <w:t>2.105%</w:t>
      </w:r>
      <w:r>
        <w:rPr>
          <w:spacing w:val="-2"/>
        </w:rPr>
        <w:t>的股权全部转让给自然</w:t>
      </w:r>
      <w:r>
        <w:rPr/>
        <w:t> 人王巍，并于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22</w:t>
      </w:r>
      <w:r>
        <w:rPr/>
        <w:t>日在深圳国际高新技术产权交易所办理了股权变更的备案手续。</w:t>
      </w:r>
    </w:p>
    <w:p>
      <w:pPr>
        <w:pStyle w:val="Heading4"/>
        <w:spacing w:line="240" w:lineRule="auto" w:before="5"/>
        <w:ind w:left="574" w:right="91"/>
        <w:jc w:val="left"/>
      </w:pPr>
      <w:r>
        <w:rPr>
          <w:rFonts w:ascii="Times New Roman" w:hAnsi="Times New Roman" w:cs="Times New Roman" w:eastAsia="Times New Roman" w:hint="default"/>
          <w:spacing w:val="3"/>
        </w:rPr>
        <w:t>2009</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15</w:t>
      </w:r>
      <w:r>
        <w:rPr>
          <w:spacing w:val="3"/>
        </w:rPr>
        <w:t>日，北京首创建设有限公司</w:t>
      </w:r>
      <w:r>
        <w:rPr>
          <w:rFonts w:ascii="Times New Roman" w:hAnsi="Times New Roman" w:cs="Times New Roman" w:eastAsia="Times New Roman" w:hint="default"/>
          <w:spacing w:val="3"/>
        </w:rPr>
        <w:t>(</w:t>
      </w:r>
      <w:r>
        <w:rPr>
          <w:spacing w:val="3"/>
        </w:rPr>
        <w:t>以下简称</w:t>
      </w:r>
      <w:r>
        <w:rPr>
          <w:rFonts w:ascii="Times New Roman" w:hAnsi="Times New Roman" w:cs="Times New Roman" w:eastAsia="Times New Roman" w:hint="default"/>
          <w:spacing w:val="3"/>
        </w:rPr>
        <w:t>“</w:t>
      </w:r>
      <w:r>
        <w:rPr>
          <w:spacing w:val="3"/>
        </w:rPr>
        <w:t>首创建设</w:t>
      </w:r>
      <w:r>
        <w:rPr>
          <w:rFonts w:ascii="Times New Roman" w:hAnsi="Times New Roman" w:cs="Times New Roman" w:eastAsia="Times New Roman" w:hint="default"/>
          <w:spacing w:val="3"/>
        </w:rPr>
        <w:t>”)</w:t>
      </w:r>
      <w:r>
        <w:rPr>
          <w:spacing w:val="3"/>
        </w:rPr>
        <w:t>董事会通过了关于转让其持有本公司</w:t>
      </w:r>
      <w:r>
        <w:rPr/>
      </w:r>
    </w:p>
    <w:p>
      <w:pPr>
        <w:pStyle w:val="Heading4"/>
        <w:spacing w:line="261" w:lineRule="auto" w:before="21"/>
        <w:ind w:left="153" w:right="186"/>
        <w:jc w:val="both"/>
      </w:pPr>
      <w:r>
        <w:rPr>
          <w:rFonts w:ascii="Times New Roman" w:hAnsi="Times New Roman" w:cs="Times New Roman" w:eastAsia="Times New Roman" w:hint="default"/>
        </w:rPr>
        <w:t>120</w:t>
      </w:r>
      <w:r>
        <w:rPr/>
        <w:t>万股股份的决议，同意以不低于评估价格转让上述股权，并按照国有产权转让相关规定履行审批程序</w:t>
      </w:r>
      <w:r>
        <w:rPr>
          <w:spacing w:val="-34"/>
        </w:rPr>
        <w:t> </w:t>
      </w:r>
      <w:r>
        <w:rPr>
          <w:spacing w:val="-34"/>
        </w:rPr>
      </w:r>
      <w:r>
        <w:rPr>
          <w:spacing w:val="-1"/>
        </w:rPr>
        <w:t>和转让流程，呈报北京首都创业集团有限公司</w:t>
      </w:r>
      <w:r>
        <w:rPr>
          <w:rFonts w:ascii="Times New Roman" w:hAnsi="Times New Roman" w:cs="Times New Roman" w:eastAsia="Times New Roman" w:hint="default"/>
          <w:spacing w:val="-1"/>
        </w:rPr>
        <w:t>(</w:t>
      </w:r>
      <w:r>
        <w:rPr>
          <w:spacing w:val="-1"/>
        </w:rPr>
        <w:t>以下简称</w:t>
      </w:r>
      <w:r>
        <w:rPr>
          <w:rFonts w:ascii="Times New Roman" w:hAnsi="Times New Roman" w:cs="Times New Roman" w:eastAsia="Times New Roman" w:hint="default"/>
          <w:spacing w:val="-1"/>
        </w:rPr>
        <w:t>“</w:t>
      </w:r>
      <w:r>
        <w:rPr>
          <w:spacing w:val="-1"/>
        </w:rPr>
        <w:t>首创集团</w:t>
      </w:r>
      <w:r>
        <w:rPr>
          <w:rFonts w:ascii="Times New Roman" w:hAnsi="Times New Roman" w:cs="Times New Roman" w:eastAsia="Times New Roman" w:hint="default"/>
          <w:spacing w:val="-1"/>
        </w:rPr>
        <w:t>”)</w:t>
      </w:r>
      <w:r>
        <w:rPr>
          <w:spacing w:val="-1"/>
        </w:rPr>
        <w:t>审批。根据</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10</w:t>
      </w:r>
      <w:r>
        <w:rPr>
          <w:spacing w:val="-1"/>
        </w:rPr>
        <w:t>日《首创集团</w:t>
      </w:r>
      <w:r>
        <w:rPr>
          <w:spacing w:val="-93"/>
        </w:rPr>
        <w:t> </w:t>
      </w:r>
      <w:r>
        <w:rPr>
          <w:spacing w:val="-93"/>
        </w:rPr>
      </w:r>
      <w:r>
        <w:rPr/>
        <w:t>总经理办公会会议纪要》</w:t>
      </w:r>
      <w:r>
        <w:rPr>
          <w:rFonts w:ascii="Times New Roman" w:hAnsi="Times New Roman" w:cs="Times New Roman" w:eastAsia="Times New Roman" w:hint="default"/>
        </w:rPr>
        <w:t>(2009</w:t>
      </w:r>
      <w:r>
        <w:rPr/>
        <w:t>年第</w:t>
      </w:r>
      <w:r>
        <w:rPr>
          <w:rFonts w:ascii="Times New Roman" w:hAnsi="Times New Roman" w:cs="Times New Roman" w:eastAsia="Times New Roman" w:hint="default"/>
        </w:rPr>
        <w:t>12</w:t>
      </w:r>
      <w:r>
        <w:rPr/>
        <w:t>次会议</w:t>
      </w:r>
      <w:r>
        <w:rPr>
          <w:rFonts w:ascii="Times New Roman" w:hAnsi="Times New Roman" w:cs="Times New Roman" w:eastAsia="Times New Roman" w:hint="default"/>
        </w:rPr>
        <w:t>)</w:t>
      </w:r>
      <w:r>
        <w:rPr/>
        <w:t>，首创集团同意首创建设转让其持有的本公司股权，转让价</w:t>
      </w:r>
      <w:r>
        <w:rPr>
          <w:spacing w:val="-68"/>
        </w:rPr>
        <w:t> </w:t>
      </w:r>
      <w:r>
        <w:rPr>
          <w:spacing w:val="-68"/>
        </w:rPr>
      </w:r>
      <w:r>
        <w:rPr/>
        <w:t>格不低于初始投资额。北京市人民政府国有资产监督管理委员会</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26</w:t>
      </w:r>
      <w:r>
        <w:rPr/>
        <w:t>日做出了《北京市人民政府</w:t>
      </w:r>
      <w:r>
        <w:rPr>
          <w:spacing w:val="-37"/>
        </w:rPr>
        <w:t> </w:t>
      </w:r>
      <w:r>
        <w:rPr>
          <w:spacing w:val="-37"/>
        </w:rPr>
      </w:r>
      <w:r>
        <w:rPr>
          <w:spacing w:val="-1"/>
        </w:rPr>
        <w:t>国有资产监督管理委员会关于深圳市新国都技术股份有限公司股权转让评估项目予以核准的批复》批准了</w:t>
      </w:r>
      <w:r>
        <w:rPr>
          <w:spacing w:val="-81"/>
        </w:rPr>
        <w:t> </w:t>
      </w:r>
      <w:r>
        <w:rPr>
          <w:spacing w:val="-81"/>
        </w:rPr>
      </w:r>
      <w:r>
        <w:rPr>
          <w:spacing w:val="-1"/>
        </w:rPr>
        <w:t>首创建设股份转让项目的资产评估报告，同意深圳市天健国众联资产评估土地房产评估有限公司出具的深</w:t>
      </w:r>
      <w:r>
        <w:rPr>
          <w:spacing w:val="-81"/>
        </w:rPr>
        <w:t> </w:t>
      </w:r>
      <w:r>
        <w:rPr>
          <w:spacing w:val="-81"/>
        </w:rPr>
      </w:r>
      <w:r>
        <w:rPr/>
        <w:t>天健国众联评报字【</w:t>
      </w:r>
      <w:r>
        <w:rPr>
          <w:rFonts w:ascii="Times New Roman" w:hAnsi="Times New Roman" w:cs="Times New Roman" w:eastAsia="Times New Roman" w:hint="default"/>
        </w:rPr>
        <w:t>2009</w:t>
      </w:r>
      <w:r>
        <w:rPr/>
        <w:t>】第</w:t>
      </w:r>
      <w:r>
        <w:rPr>
          <w:rFonts w:ascii="Times New Roman" w:hAnsi="Times New Roman" w:cs="Times New Roman" w:eastAsia="Times New Roman" w:hint="default"/>
        </w:rPr>
        <w:t>T-10801</w:t>
      </w:r>
      <w:r>
        <w:rPr/>
        <w:t>号《北京首创建设有限公司拟转让持有的深圳市新国都技术股份有</w:t>
      </w:r>
    </w:p>
    <w:p>
      <w:pPr>
        <w:spacing w:after="0" w:line="261" w:lineRule="auto"/>
        <w:jc w:val="both"/>
        <w:sectPr>
          <w:pgSz w:w="11910" w:h="16840"/>
          <w:pgMar w:header="747" w:footer="982" w:top="1060" w:bottom="1180" w:left="980" w:right="940"/>
        </w:sectPr>
      </w:pPr>
    </w:p>
    <w:p>
      <w:pPr>
        <w:spacing w:line="240" w:lineRule="auto" w:before="9"/>
        <w:rPr>
          <w:rFonts w:ascii="宋体" w:hAnsi="宋体" w:cs="宋体" w:eastAsia="宋体" w:hint="default"/>
          <w:sz w:val="24"/>
          <w:szCs w:val="24"/>
        </w:rPr>
      </w:pPr>
    </w:p>
    <w:p>
      <w:pPr>
        <w:pStyle w:val="Heading4"/>
        <w:spacing w:line="256" w:lineRule="auto" w:before="35"/>
        <w:ind w:left="573" w:right="0" w:hanging="420"/>
        <w:jc w:val="left"/>
      </w:pPr>
      <w:r>
        <w:rPr/>
        <w:t>限公司</w:t>
      </w:r>
      <w:r>
        <w:rPr>
          <w:rFonts w:ascii="Times New Roman" w:hAnsi="Times New Roman" w:cs="Times New Roman" w:eastAsia="Times New Roman" w:hint="default"/>
        </w:rPr>
        <w:t>2.5263%</w:t>
      </w:r>
      <w:r>
        <w:rPr/>
        <w:t>国有股权权益价值股权转让项目资产评估报告书》对本公司股权转让项目有效。 根据上述批复，首创建设将其持有的本公司全部股权在北京产权交易所挂牌转让。</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27</w:t>
      </w:r>
      <w:r>
        <w:rPr/>
        <w:t>日，</w:t>
      </w:r>
    </w:p>
    <w:p>
      <w:pPr>
        <w:pStyle w:val="Heading4"/>
        <w:spacing w:line="261" w:lineRule="auto" w:before="5"/>
        <w:ind w:left="153" w:right="128"/>
        <w:jc w:val="both"/>
      </w:pPr>
      <w:r>
        <w:rPr>
          <w:spacing w:val="-1"/>
        </w:rPr>
        <w:t>首创建设与湖南瑞驰丰和创业投资管理有限公司、钟可颐、谢建龙、黄健生、欧阳伟强等五方签署产权交</w:t>
      </w:r>
      <w:r>
        <w:rPr>
          <w:spacing w:val="-82"/>
        </w:rPr>
        <w:t> </w:t>
      </w:r>
      <w:r>
        <w:rPr>
          <w:spacing w:val="-82"/>
        </w:rPr>
      </w:r>
      <w:r>
        <w:rPr>
          <w:spacing w:val="-5"/>
        </w:rPr>
        <w:t>易合同，将其所持有的</w:t>
      </w:r>
      <w:r>
        <w:rPr>
          <w:rFonts w:ascii="Times New Roman" w:hAnsi="Times New Roman" w:cs="Times New Roman" w:eastAsia="Times New Roman" w:hint="default"/>
          <w:spacing w:val="-5"/>
        </w:rPr>
        <w:t>120</w:t>
      </w:r>
      <w:r>
        <w:rPr>
          <w:spacing w:val="-5"/>
        </w:rPr>
        <w:t>万股本公司股份，作价</w:t>
      </w:r>
      <w:r>
        <w:rPr>
          <w:rFonts w:ascii="Times New Roman" w:hAnsi="Times New Roman" w:cs="Times New Roman" w:eastAsia="Times New Roman" w:hint="default"/>
          <w:spacing w:val="-5"/>
        </w:rPr>
        <w:t>900.00</w:t>
      </w:r>
      <w:r>
        <w:rPr>
          <w:spacing w:val="-5"/>
        </w:rPr>
        <w:t>万元转让给上述五方，转让价格高于评估价值</w:t>
      </w:r>
      <w:r>
        <w:rPr>
          <w:rFonts w:ascii="Times New Roman" w:hAnsi="Times New Roman" w:cs="Times New Roman" w:eastAsia="Times New Roman" w:hint="default"/>
          <w:spacing w:val="-5"/>
        </w:rPr>
        <w:t>484.02</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17"/>
        </w:rPr>
      </w:r>
      <w:r>
        <w:rPr/>
        <w:t>万元。其中，湖南瑞驰丰和创业投资管理有限公司受让</w:t>
      </w:r>
      <w:r>
        <w:rPr>
          <w:rFonts w:ascii="Times New Roman" w:hAnsi="Times New Roman" w:cs="Times New Roman" w:eastAsia="Times New Roman" w:hint="default"/>
        </w:rPr>
        <w:t>20</w:t>
      </w:r>
      <w:r>
        <w:rPr/>
        <w:t>万股，钟可颐受让</w:t>
      </w:r>
      <w:r>
        <w:rPr>
          <w:rFonts w:ascii="Times New Roman" w:hAnsi="Times New Roman" w:cs="Times New Roman" w:eastAsia="Times New Roman" w:hint="default"/>
        </w:rPr>
        <w:t>10</w:t>
      </w:r>
      <w:r>
        <w:rPr/>
        <w:t>万股，谢建龙受让</w:t>
      </w:r>
      <w:r>
        <w:rPr>
          <w:rFonts w:ascii="Times New Roman" w:hAnsi="Times New Roman" w:cs="Times New Roman" w:eastAsia="Times New Roman" w:hint="default"/>
        </w:rPr>
        <w:t>50</w:t>
      </w:r>
      <w:r>
        <w:rPr/>
        <w:t>万股， 黄健生、欧阳伟强各受让</w:t>
      </w:r>
      <w:r>
        <w:rPr>
          <w:rFonts w:ascii="Times New Roman" w:hAnsi="Times New Roman" w:cs="Times New Roman" w:eastAsia="Times New Roman" w:hint="default"/>
        </w:rPr>
        <w:t>20</w:t>
      </w:r>
      <w:r>
        <w:rPr/>
        <w:t>万股。上述股权变更及过户于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日完成。</w:t>
      </w:r>
    </w:p>
    <w:p>
      <w:pPr>
        <w:pStyle w:val="Heading4"/>
        <w:spacing w:line="256" w:lineRule="auto" w:before="0"/>
        <w:ind w:left="153" w:right="0" w:firstLine="420"/>
        <w:jc w:val="left"/>
      </w:pPr>
      <w:r>
        <w:rPr>
          <w:rFonts w:ascii="Times New Roman" w:hAnsi="Times New Roman" w:cs="Times New Roman" w:eastAsia="Times New Roman" w:hint="default"/>
        </w:rPr>
        <w:t>2009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日，深圳国际高新技术产权交易所作为非上市股份公司股权登记托管机构，就本公司股 份转让后的股东情况向本公司出具了《非上市股份有限公司股东名册》。至此，本公司股本结构如下：</w:t>
      </w:r>
    </w:p>
    <w:p>
      <w:pPr>
        <w:spacing w:line="240" w:lineRule="auto" w:before="11"/>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3697"/>
        <w:gridCol w:w="2464"/>
        <w:gridCol w:w="2430"/>
      </w:tblGrid>
      <w:tr>
        <w:trPr>
          <w:trHeight w:val="355" w:hRule="exact"/>
        </w:trPr>
        <w:tc>
          <w:tcPr>
            <w:tcW w:w="36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4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7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持股数</w:t>
            </w:r>
            <w:r>
              <w:rPr>
                <w:rFonts w:ascii="Times New Roman" w:hAnsi="Times New Roman" w:cs="Times New Roman" w:eastAsia="Times New Roman" w:hint="default"/>
                <w:sz w:val="18"/>
                <w:szCs w:val="18"/>
              </w:rPr>
              <w:t>(</w:t>
            </w:r>
            <w:r>
              <w:rPr>
                <w:rFonts w:ascii="宋体" w:hAnsi="宋体" w:cs="宋体" w:eastAsia="宋体" w:hint="default"/>
                <w:sz w:val="18"/>
                <w:szCs w:val="18"/>
              </w:rPr>
              <w:t>万股</w:t>
            </w:r>
            <w:r>
              <w:rPr>
                <w:rFonts w:ascii="Times New Roman" w:hAnsi="Times New Roman" w:cs="Times New Roman" w:eastAsia="Times New Roman" w:hint="default"/>
                <w:sz w:val="18"/>
                <w:szCs w:val="18"/>
              </w:rPr>
              <w:t>)</w:t>
            </w:r>
          </w:p>
        </w:tc>
        <w:tc>
          <w:tcPr>
            <w:tcW w:w="243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4"/>
              <w:jc w:val="center"/>
              <w:rPr>
                <w:rFonts w:ascii="宋体" w:hAnsi="宋体" w:cs="宋体" w:eastAsia="宋体" w:hint="default"/>
                <w:sz w:val="18"/>
                <w:szCs w:val="18"/>
              </w:rPr>
            </w:pPr>
            <w:r>
              <w:rPr>
                <w:rFonts w:ascii="宋体" w:hAnsi="宋体" w:cs="宋体" w:eastAsia="宋体" w:hint="default"/>
                <w:sz w:val="18"/>
                <w:szCs w:val="18"/>
              </w:rPr>
              <w:t>股权比例</w:t>
            </w:r>
          </w:p>
        </w:tc>
      </w:tr>
      <w:tr>
        <w:trPr>
          <w:trHeight w:val="352" w:hRule="exact"/>
        </w:trPr>
        <w:tc>
          <w:tcPr>
            <w:tcW w:w="36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刘祥</w:t>
            </w:r>
          </w:p>
        </w:tc>
        <w:tc>
          <w:tcPr>
            <w:tcW w:w="24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2,115</w:t>
            </w:r>
          </w:p>
        </w:tc>
        <w:tc>
          <w:tcPr>
            <w:tcW w:w="24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44.5263%</w:t>
            </w:r>
          </w:p>
        </w:tc>
      </w:tr>
      <w:tr>
        <w:trPr>
          <w:trHeight w:val="353" w:hRule="exact"/>
        </w:trPr>
        <w:tc>
          <w:tcPr>
            <w:tcW w:w="36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刘亚</w:t>
            </w:r>
          </w:p>
        </w:tc>
        <w:tc>
          <w:tcPr>
            <w:tcW w:w="24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705</w:t>
            </w:r>
          </w:p>
        </w:tc>
        <w:tc>
          <w:tcPr>
            <w:tcW w:w="24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14.8421%</w:t>
            </w:r>
          </w:p>
        </w:tc>
      </w:tr>
      <w:tr>
        <w:trPr>
          <w:trHeight w:val="352" w:hRule="exact"/>
        </w:trPr>
        <w:tc>
          <w:tcPr>
            <w:tcW w:w="36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江汉</w:t>
            </w:r>
          </w:p>
        </w:tc>
        <w:tc>
          <w:tcPr>
            <w:tcW w:w="24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705</w:t>
            </w:r>
          </w:p>
        </w:tc>
        <w:tc>
          <w:tcPr>
            <w:tcW w:w="24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14.8421%</w:t>
            </w:r>
          </w:p>
        </w:tc>
      </w:tr>
      <w:tr>
        <w:trPr>
          <w:trHeight w:val="352" w:hRule="exact"/>
        </w:trPr>
        <w:tc>
          <w:tcPr>
            <w:tcW w:w="36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深圳市创新投资集团有限公司</w:t>
            </w:r>
          </w:p>
        </w:tc>
        <w:tc>
          <w:tcPr>
            <w:tcW w:w="24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160</w:t>
            </w:r>
          </w:p>
        </w:tc>
        <w:tc>
          <w:tcPr>
            <w:tcW w:w="24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3.3684%</w:t>
            </w:r>
          </w:p>
        </w:tc>
      </w:tr>
      <w:tr>
        <w:trPr>
          <w:trHeight w:val="353" w:hRule="exact"/>
        </w:trPr>
        <w:tc>
          <w:tcPr>
            <w:tcW w:w="36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王巍</w:t>
            </w:r>
          </w:p>
        </w:tc>
        <w:tc>
          <w:tcPr>
            <w:tcW w:w="24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100</w:t>
            </w:r>
          </w:p>
        </w:tc>
        <w:tc>
          <w:tcPr>
            <w:tcW w:w="24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2.1053%</w:t>
            </w:r>
          </w:p>
        </w:tc>
      </w:tr>
      <w:tr>
        <w:trPr>
          <w:trHeight w:val="352" w:hRule="exact"/>
        </w:trPr>
        <w:tc>
          <w:tcPr>
            <w:tcW w:w="36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张燕民</w:t>
            </w:r>
          </w:p>
        </w:tc>
        <w:tc>
          <w:tcPr>
            <w:tcW w:w="24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80</w:t>
            </w:r>
          </w:p>
        </w:tc>
        <w:tc>
          <w:tcPr>
            <w:tcW w:w="24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1.6842%</w:t>
            </w:r>
          </w:p>
        </w:tc>
      </w:tr>
      <w:tr>
        <w:trPr>
          <w:trHeight w:val="352" w:hRule="exact"/>
        </w:trPr>
        <w:tc>
          <w:tcPr>
            <w:tcW w:w="36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李俊</w:t>
            </w:r>
          </w:p>
        </w:tc>
        <w:tc>
          <w:tcPr>
            <w:tcW w:w="24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60</w:t>
            </w:r>
          </w:p>
        </w:tc>
        <w:tc>
          <w:tcPr>
            <w:tcW w:w="24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1.2632%</w:t>
            </w:r>
          </w:p>
        </w:tc>
      </w:tr>
      <w:tr>
        <w:trPr>
          <w:trHeight w:val="353" w:hRule="exact"/>
        </w:trPr>
        <w:tc>
          <w:tcPr>
            <w:tcW w:w="36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栾承岚</w:t>
            </w:r>
          </w:p>
        </w:tc>
        <w:tc>
          <w:tcPr>
            <w:tcW w:w="24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60</w:t>
            </w:r>
          </w:p>
        </w:tc>
        <w:tc>
          <w:tcPr>
            <w:tcW w:w="24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1.2632%</w:t>
            </w:r>
          </w:p>
        </w:tc>
      </w:tr>
      <w:tr>
        <w:trPr>
          <w:trHeight w:val="352" w:hRule="exact"/>
        </w:trPr>
        <w:tc>
          <w:tcPr>
            <w:tcW w:w="36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徐兴春</w:t>
            </w:r>
          </w:p>
        </w:tc>
        <w:tc>
          <w:tcPr>
            <w:tcW w:w="24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60</w:t>
            </w:r>
          </w:p>
        </w:tc>
        <w:tc>
          <w:tcPr>
            <w:tcW w:w="24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1.2632%</w:t>
            </w:r>
          </w:p>
        </w:tc>
      </w:tr>
      <w:tr>
        <w:trPr>
          <w:trHeight w:val="352" w:hRule="exact"/>
        </w:trPr>
        <w:tc>
          <w:tcPr>
            <w:tcW w:w="36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蔡衍军</w:t>
            </w:r>
          </w:p>
        </w:tc>
        <w:tc>
          <w:tcPr>
            <w:tcW w:w="24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50</w:t>
            </w:r>
          </w:p>
        </w:tc>
        <w:tc>
          <w:tcPr>
            <w:tcW w:w="24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1.0526%</w:t>
            </w:r>
          </w:p>
        </w:tc>
      </w:tr>
      <w:tr>
        <w:trPr>
          <w:trHeight w:val="353" w:hRule="exact"/>
        </w:trPr>
        <w:tc>
          <w:tcPr>
            <w:tcW w:w="36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王凌海</w:t>
            </w:r>
          </w:p>
        </w:tc>
        <w:tc>
          <w:tcPr>
            <w:tcW w:w="24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50</w:t>
            </w:r>
          </w:p>
        </w:tc>
        <w:tc>
          <w:tcPr>
            <w:tcW w:w="24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1.0526%</w:t>
            </w:r>
          </w:p>
        </w:tc>
      </w:tr>
      <w:tr>
        <w:trPr>
          <w:trHeight w:val="352" w:hRule="exact"/>
        </w:trPr>
        <w:tc>
          <w:tcPr>
            <w:tcW w:w="36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谢建龙</w:t>
            </w:r>
          </w:p>
        </w:tc>
        <w:tc>
          <w:tcPr>
            <w:tcW w:w="24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50</w:t>
            </w:r>
          </w:p>
        </w:tc>
        <w:tc>
          <w:tcPr>
            <w:tcW w:w="24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1.0526%</w:t>
            </w:r>
          </w:p>
        </w:tc>
      </w:tr>
      <w:tr>
        <w:trPr>
          <w:trHeight w:val="352" w:hRule="exact"/>
        </w:trPr>
        <w:tc>
          <w:tcPr>
            <w:tcW w:w="36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陈新华</w:t>
            </w:r>
          </w:p>
        </w:tc>
        <w:tc>
          <w:tcPr>
            <w:tcW w:w="24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50</w:t>
            </w:r>
          </w:p>
        </w:tc>
        <w:tc>
          <w:tcPr>
            <w:tcW w:w="24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1.0526%</w:t>
            </w:r>
          </w:p>
        </w:tc>
      </w:tr>
      <w:tr>
        <w:trPr>
          <w:trHeight w:val="353" w:hRule="exact"/>
        </w:trPr>
        <w:tc>
          <w:tcPr>
            <w:tcW w:w="36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李林杰</w:t>
            </w:r>
          </w:p>
        </w:tc>
        <w:tc>
          <w:tcPr>
            <w:tcW w:w="24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50</w:t>
            </w:r>
          </w:p>
        </w:tc>
        <w:tc>
          <w:tcPr>
            <w:tcW w:w="24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1.0526%</w:t>
            </w:r>
          </w:p>
        </w:tc>
      </w:tr>
      <w:tr>
        <w:trPr>
          <w:trHeight w:val="352" w:hRule="exact"/>
        </w:trPr>
        <w:tc>
          <w:tcPr>
            <w:tcW w:w="36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里维宁</w:t>
            </w:r>
          </w:p>
        </w:tc>
        <w:tc>
          <w:tcPr>
            <w:tcW w:w="24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50</w:t>
            </w:r>
          </w:p>
        </w:tc>
        <w:tc>
          <w:tcPr>
            <w:tcW w:w="24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1.0526%</w:t>
            </w:r>
          </w:p>
        </w:tc>
      </w:tr>
      <w:tr>
        <w:trPr>
          <w:trHeight w:val="352" w:hRule="exact"/>
        </w:trPr>
        <w:tc>
          <w:tcPr>
            <w:tcW w:w="36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陈希芬</w:t>
            </w:r>
          </w:p>
        </w:tc>
        <w:tc>
          <w:tcPr>
            <w:tcW w:w="24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50</w:t>
            </w:r>
          </w:p>
        </w:tc>
        <w:tc>
          <w:tcPr>
            <w:tcW w:w="24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1.0526%</w:t>
            </w:r>
          </w:p>
        </w:tc>
      </w:tr>
      <w:tr>
        <w:trPr>
          <w:trHeight w:val="353" w:hRule="exact"/>
        </w:trPr>
        <w:tc>
          <w:tcPr>
            <w:tcW w:w="36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深圳市福田创新资本创业投资有限公司</w:t>
            </w:r>
          </w:p>
        </w:tc>
        <w:tc>
          <w:tcPr>
            <w:tcW w:w="24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40</w:t>
            </w:r>
          </w:p>
        </w:tc>
        <w:tc>
          <w:tcPr>
            <w:tcW w:w="24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0.8421%</w:t>
            </w:r>
          </w:p>
        </w:tc>
      </w:tr>
      <w:tr>
        <w:trPr>
          <w:trHeight w:val="352" w:hRule="exact"/>
        </w:trPr>
        <w:tc>
          <w:tcPr>
            <w:tcW w:w="36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赵辉</w:t>
            </w:r>
          </w:p>
        </w:tc>
        <w:tc>
          <w:tcPr>
            <w:tcW w:w="24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40</w:t>
            </w:r>
          </w:p>
        </w:tc>
        <w:tc>
          <w:tcPr>
            <w:tcW w:w="24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0.8421%</w:t>
            </w:r>
          </w:p>
        </w:tc>
      </w:tr>
      <w:tr>
        <w:trPr>
          <w:trHeight w:val="352" w:hRule="exact"/>
        </w:trPr>
        <w:tc>
          <w:tcPr>
            <w:tcW w:w="36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韦余红</w:t>
            </w:r>
          </w:p>
        </w:tc>
        <w:tc>
          <w:tcPr>
            <w:tcW w:w="24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40</w:t>
            </w:r>
          </w:p>
        </w:tc>
        <w:tc>
          <w:tcPr>
            <w:tcW w:w="24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0.8421%</w:t>
            </w:r>
          </w:p>
        </w:tc>
      </w:tr>
      <w:tr>
        <w:trPr>
          <w:trHeight w:val="353" w:hRule="exact"/>
        </w:trPr>
        <w:tc>
          <w:tcPr>
            <w:tcW w:w="36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汪洋</w:t>
            </w:r>
          </w:p>
        </w:tc>
        <w:tc>
          <w:tcPr>
            <w:tcW w:w="24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40</w:t>
            </w:r>
          </w:p>
        </w:tc>
        <w:tc>
          <w:tcPr>
            <w:tcW w:w="24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0.8421%</w:t>
            </w:r>
          </w:p>
        </w:tc>
      </w:tr>
      <w:tr>
        <w:trPr>
          <w:trHeight w:val="352" w:hRule="exact"/>
        </w:trPr>
        <w:tc>
          <w:tcPr>
            <w:tcW w:w="36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徐金芳</w:t>
            </w:r>
          </w:p>
        </w:tc>
        <w:tc>
          <w:tcPr>
            <w:tcW w:w="24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40</w:t>
            </w:r>
          </w:p>
        </w:tc>
        <w:tc>
          <w:tcPr>
            <w:tcW w:w="24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0.8421%</w:t>
            </w:r>
          </w:p>
        </w:tc>
      </w:tr>
      <w:tr>
        <w:trPr>
          <w:trHeight w:val="352" w:hRule="exact"/>
        </w:trPr>
        <w:tc>
          <w:tcPr>
            <w:tcW w:w="36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聂淼</w:t>
            </w:r>
          </w:p>
        </w:tc>
        <w:tc>
          <w:tcPr>
            <w:tcW w:w="24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35</w:t>
            </w:r>
          </w:p>
        </w:tc>
        <w:tc>
          <w:tcPr>
            <w:tcW w:w="24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0.7368%</w:t>
            </w:r>
          </w:p>
        </w:tc>
      </w:tr>
      <w:tr>
        <w:trPr>
          <w:trHeight w:val="353" w:hRule="exact"/>
        </w:trPr>
        <w:tc>
          <w:tcPr>
            <w:tcW w:w="36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许芹</w:t>
            </w:r>
          </w:p>
        </w:tc>
        <w:tc>
          <w:tcPr>
            <w:tcW w:w="24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30</w:t>
            </w:r>
          </w:p>
        </w:tc>
        <w:tc>
          <w:tcPr>
            <w:tcW w:w="24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0.6316%</w:t>
            </w:r>
          </w:p>
        </w:tc>
      </w:tr>
      <w:tr>
        <w:trPr>
          <w:trHeight w:val="352" w:hRule="exact"/>
        </w:trPr>
        <w:tc>
          <w:tcPr>
            <w:tcW w:w="36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李妍</w:t>
            </w:r>
          </w:p>
        </w:tc>
        <w:tc>
          <w:tcPr>
            <w:tcW w:w="24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20</w:t>
            </w:r>
          </w:p>
        </w:tc>
        <w:tc>
          <w:tcPr>
            <w:tcW w:w="24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0.4211%</w:t>
            </w:r>
          </w:p>
        </w:tc>
      </w:tr>
      <w:tr>
        <w:trPr>
          <w:trHeight w:val="352" w:hRule="exact"/>
        </w:trPr>
        <w:tc>
          <w:tcPr>
            <w:tcW w:w="36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湖南瑞驰丰和创业投资管理有限公司</w:t>
            </w:r>
          </w:p>
        </w:tc>
        <w:tc>
          <w:tcPr>
            <w:tcW w:w="24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20</w:t>
            </w:r>
          </w:p>
        </w:tc>
        <w:tc>
          <w:tcPr>
            <w:tcW w:w="24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0.4211%</w:t>
            </w:r>
          </w:p>
        </w:tc>
      </w:tr>
      <w:tr>
        <w:trPr>
          <w:trHeight w:val="353" w:hRule="exact"/>
        </w:trPr>
        <w:tc>
          <w:tcPr>
            <w:tcW w:w="36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欧阳伟强</w:t>
            </w:r>
          </w:p>
        </w:tc>
        <w:tc>
          <w:tcPr>
            <w:tcW w:w="24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20</w:t>
            </w:r>
          </w:p>
        </w:tc>
        <w:tc>
          <w:tcPr>
            <w:tcW w:w="24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0.4211%</w:t>
            </w:r>
          </w:p>
        </w:tc>
      </w:tr>
      <w:tr>
        <w:trPr>
          <w:trHeight w:val="352" w:hRule="exact"/>
        </w:trPr>
        <w:tc>
          <w:tcPr>
            <w:tcW w:w="36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黄健生</w:t>
            </w:r>
          </w:p>
        </w:tc>
        <w:tc>
          <w:tcPr>
            <w:tcW w:w="24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20</w:t>
            </w:r>
          </w:p>
        </w:tc>
        <w:tc>
          <w:tcPr>
            <w:tcW w:w="24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0.4211%</w:t>
            </w:r>
          </w:p>
        </w:tc>
      </w:tr>
      <w:tr>
        <w:trPr>
          <w:trHeight w:val="352" w:hRule="exact"/>
        </w:trPr>
        <w:tc>
          <w:tcPr>
            <w:tcW w:w="36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钟可颐</w:t>
            </w:r>
          </w:p>
        </w:tc>
        <w:tc>
          <w:tcPr>
            <w:tcW w:w="24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10</w:t>
            </w:r>
          </w:p>
        </w:tc>
        <w:tc>
          <w:tcPr>
            <w:tcW w:w="24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0.2105%</w:t>
            </w:r>
          </w:p>
        </w:tc>
      </w:tr>
      <w:tr>
        <w:trPr>
          <w:trHeight w:val="353" w:hRule="exact"/>
        </w:trPr>
        <w:tc>
          <w:tcPr>
            <w:tcW w:w="36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4,750</w:t>
            </w:r>
          </w:p>
        </w:tc>
        <w:tc>
          <w:tcPr>
            <w:tcW w:w="24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100%</w:t>
            </w:r>
          </w:p>
        </w:tc>
      </w:tr>
    </w:tbl>
    <w:p>
      <w:pPr>
        <w:spacing w:line="240" w:lineRule="auto" w:before="0"/>
        <w:rPr>
          <w:rFonts w:ascii="宋体" w:hAnsi="宋体" w:cs="宋体" w:eastAsia="宋体" w:hint="default"/>
          <w:sz w:val="20"/>
          <w:szCs w:val="20"/>
        </w:rPr>
      </w:pPr>
    </w:p>
    <w:p>
      <w:pPr>
        <w:pStyle w:val="Heading4"/>
        <w:spacing w:line="240" w:lineRule="auto" w:before="35"/>
        <w:ind w:left="574" w:right="0"/>
        <w:jc w:val="left"/>
      </w:pPr>
      <w:r>
        <w:rPr/>
        <w:t>经中国证券监督管理委员会证监发行字</w:t>
      </w:r>
      <w:r>
        <w:rPr>
          <w:rFonts w:ascii="Times New Roman" w:hAnsi="Times New Roman" w:cs="Times New Roman" w:eastAsia="Times New Roman" w:hint="default"/>
        </w:rPr>
        <w:t>[2010]1292</w:t>
      </w:r>
      <w:r>
        <w:rPr/>
        <w:t>号文核准，并经深圳证券交易所同意，本公司由主</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pPr>
      <w:r>
        <w:rPr/>
        <w:t>承销商中信证券股份有限公司于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8</w:t>
      </w:r>
      <w:r>
        <w:rPr/>
        <w:t>日向社会公众公开发行普通股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w:t>
      </w:r>
      <w:r>
        <w:rPr/>
        <w:t>股票</w:t>
      </w:r>
      <w:r>
        <w:rPr>
          <w:rFonts w:ascii="Times New Roman" w:hAnsi="Times New Roman" w:cs="Times New Roman" w:eastAsia="Times New Roman" w:hint="default"/>
        </w:rPr>
        <w:t>1,600</w:t>
      </w:r>
      <w:r>
        <w:rPr/>
        <w:t>万股，每股面值</w:t>
      </w:r>
    </w:p>
    <w:p>
      <w:pPr>
        <w:pStyle w:val="Heading4"/>
        <w:spacing w:line="240" w:lineRule="auto" w:before="21"/>
        <w:ind w:left="153" w:right="0"/>
        <w:jc w:val="left"/>
      </w:pPr>
      <w:r>
        <w:rPr>
          <w:rFonts w:ascii="Times New Roman" w:hAnsi="Times New Roman" w:cs="Times New Roman" w:eastAsia="Times New Roman" w:hint="default"/>
          <w:spacing w:val="2"/>
        </w:rPr>
        <w:t>1.00</w:t>
      </w:r>
      <w:r>
        <w:rPr>
          <w:spacing w:val="2"/>
        </w:rPr>
        <w:t>元，每股发行价人民币</w:t>
      </w:r>
      <w:r>
        <w:rPr>
          <w:rFonts w:ascii="Times New Roman" w:hAnsi="Times New Roman" w:cs="Times New Roman" w:eastAsia="Times New Roman" w:hint="default"/>
          <w:spacing w:val="2"/>
        </w:rPr>
        <w:t>43.33</w:t>
      </w:r>
      <w:r>
        <w:rPr>
          <w:spacing w:val="2"/>
        </w:rPr>
        <w:t>元。截至</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13</w:t>
      </w:r>
      <w:r>
        <w:rPr>
          <w:spacing w:val="2"/>
        </w:rPr>
        <w:t>日止，共募集资金</w:t>
      </w:r>
      <w:r>
        <w:rPr>
          <w:rFonts w:ascii="Times New Roman" w:hAnsi="Times New Roman" w:cs="Times New Roman" w:eastAsia="Times New Roman" w:hint="default"/>
          <w:spacing w:val="2"/>
        </w:rPr>
        <w:t>69,328.00</w:t>
      </w:r>
      <w:r>
        <w:rPr>
          <w:spacing w:val="2"/>
        </w:rPr>
        <w:t>万元，扣除发行费用</w:t>
      </w:r>
      <w:r>
        <w:rPr/>
      </w:r>
    </w:p>
    <w:p>
      <w:pPr>
        <w:pStyle w:val="Heading4"/>
        <w:spacing w:line="256" w:lineRule="auto" w:before="21"/>
        <w:ind w:right="0"/>
        <w:jc w:val="left"/>
      </w:pPr>
      <w:r>
        <w:rPr>
          <w:rFonts w:ascii="Times New Roman" w:hAnsi="Times New Roman" w:cs="Times New Roman" w:eastAsia="Times New Roman" w:hint="default"/>
          <w:spacing w:val="-1"/>
        </w:rPr>
        <w:t>46,945,065.67</w:t>
      </w:r>
      <w:r>
        <w:rPr>
          <w:spacing w:val="-1"/>
        </w:rPr>
        <w:t>元，募集资金净额</w:t>
      </w:r>
      <w:r>
        <w:rPr>
          <w:rFonts w:ascii="Times New Roman" w:hAnsi="Times New Roman" w:cs="Times New Roman" w:eastAsia="Times New Roman" w:hint="default"/>
          <w:spacing w:val="-1"/>
        </w:rPr>
        <w:t>646,334,934.33</w:t>
      </w:r>
      <w:r>
        <w:rPr>
          <w:spacing w:val="-1"/>
        </w:rPr>
        <w:t>元，本次募集资金业经立信大华会计师事务所有限公司出具</w:t>
      </w:r>
      <w:r>
        <w:rPr>
          <w:spacing w:val="-79"/>
        </w:rPr>
        <w:t> </w:t>
      </w:r>
      <w:r>
        <w:rPr>
          <w:spacing w:val="-79"/>
        </w:rPr>
      </w:r>
      <w:r>
        <w:rPr/>
        <w:t>的</w:t>
      </w:r>
      <w:r>
        <w:rPr>
          <w:rFonts w:ascii="Times New Roman" w:hAnsi="Times New Roman" w:cs="Times New Roman" w:eastAsia="Times New Roman" w:hint="default"/>
        </w:rPr>
        <w:t>“</w:t>
      </w:r>
      <w:r>
        <w:rPr/>
        <w:t>立信大华验字</w:t>
      </w:r>
      <w:r>
        <w:rPr>
          <w:rFonts w:ascii="Times New Roman" w:hAnsi="Times New Roman" w:cs="Times New Roman" w:eastAsia="Times New Roman" w:hint="default"/>
        </w:rPr>
        <w:t>[2010]124</w:t>
      </w:r>
      <w:r>
        <w:rPr/>
        <w:t>号</w:t>
      </w:r>
      <w:r>
        <w:rPr>
          <w:rFonts w:ascii="Times New Roman" w:hAnsi="Times New Roman" w:cs="Times New Roman" w:eastAsia="Times New Roman" w:hint="default"/>
        </w:rPr>
        <w:t>”</w:t>
      </w:r>
      <w:r>
        <w:rPr/>
        <w:t>验资报告验证。</w:t>
      </w:r>
    </w:p>
    <w:p>
      <w:pPr>
        <w:pStyle w:val="Heading4"/>
        <w:spacing w:line="256" w:lineRule="auto" w:before="5"/>
        <w:ind w:left="153" w:right="148" w:firstLine="420"/>
        <w:jc w:val="both"/>
      </w:pPr>
      <w:r>
        <w:rPr>
          <w:spacing w:val="2"/>
        </w:rPr>
        <w:t>经本公司</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21</w:t>
      </w:r>
      <w:r>
        <w:rPr>
          <w:spacing w:val="2"/>
        </w:rPr>
        <w:t>日股东大会审议通过，以公司原有的</w:t>
      </w:r>
      <w:r>
        <w:rPr>
          <w:rFonts w:ascii="Times New Roman" w:hAnsi="Times New Roman" w:cs="Times New Roman" w:eastAsia="Times New Roman" w:hint="default"/>
          <w:spacing w:val="2"/>
        </w:rPr>
        <w:t>6,350</w:t>
      </w:r>
      <w:r>
        <w:rPr>
          <w:spacing w:val="2"/>
        </w:rPr>
        <w:t>万股为基础，向全体股东每</w:t>
      </w:r>
      <w:r>
        <w:rPr>
          <w:rFonts w:ascii="Times New Roman" w:hAnsi="Times New Roman" w:cs="Times New Roman" w:eastAsia="Times New Roman" w:hint="default"/>
          <w:spacing w:val="2"/>
        </w:rPr>
        <w:t>10</w:t>
      </w:r>
      <w:r>
        <w:rPr>
          <w:spacing w:val="2"/>
        </w:rPr>
        <w:t>股派</w:t>
      </w:r>
      <w:r>
        <w:rPr>
          <w:rFonts w:ascii="Times New Roman" w:hAnsi="Times New Roman" w:cs="Times New Roman" w:eastAsia="Times New Roman" w:hint="default"/>
          <w:spacing w:val="2"/>
        </w:rPr>
        <w:t>2</w:t>
      </w:r>
      <w:r>
        <w:rPr>
          <w:rFonts w:ascii="Times New Roman" w:hAnsi="Times New Roman" w:cs="Times New Roman" w:eastAsia="Times New Roman" w:hint="default"/>
        </w:rPr>
        <w:t> </w:t>
      </w:r>
      <w:r>
        <w:rPr/>
        <w:t>元人民币现金</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，同时以资本公积向全体股东每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8</w:t>
      </w:r>
      <w:r>
        <w:rPr/>
        <w:t>股，共计转增</w:t>
      </w:r>
      <w:r>
        <w:rPr>
          <w:rFonts w:ascii="Times New Roman" w:hAnsi="Times New Roman" w:cs="Times New Roman" w:eastAsia="Times New Roman" w:hint="default"/>
        </w:rPr>
        <w:t>5,080.00</w:t>
      </w:r>
      <w:r>
        <w:rPr/>
        <w:t>万元。转增后公司总</w:t>
      </w:r>
      <w:r>
        <w:rPr>
          <w:spacing w:val="-72"/>
        </w:rPr>
        <w:t> </w:t>
      </w:r>
      <w:r>
        <w:rPr>
          <w:spacing w:val="-72"/>
        </w:rPr>
      </w:r>
      <w:r>
        <w:rPr/>
        <w:t>股本为</w:t>
      </w:r>
      <w:r>
        <w:rPr>
          <w:rFonts w:ascii="Times New Roman" w:hAnsi="Times New Roman" w:cs="Times New Roman" w:eastAsia="Times New Roman" w:hint="default"/>
        </w:rPr>
        <w:t>11,430</w:t>
      </w:r>
      <w:r>
        <w:rPr/>
        <w:t>万股。</w:t>
      </w:r>
    </w:p>
    <w:p>
      <w:pPr>
        <w:pStyle w:val="Heading3"/>
        <w:spacing w:line="240" w:lineRule="auto" w:before="125"/>
        <w:ind w:left="153" w:right="0"/>
        <w:jc w:val="left"/>
        <w:rPr>
          <w:b w:val="0"/>
          <w:bCs w:val="0"/>
        </w:rPr>
      </w:pPr>
      <w:r>
        <w:rPr>
          <w:rFonts w:ascii="Times New Roman" w:hAnsi="Times New Roman" w:cs="Times New Roman" w:eastAsia="Times New Roman" w:hint="default"/>
        </w:rPr>
        <w:t>2</w:t>
      </w:r>
      <w:r>
        <w:rPr/>
        <w:t>、行业性质</w:t>
      </w:r>
      <w:r>
        <w:rPr>
          <w:b w:val="0"/>
          <w:bCs w:val="0"/>
        </w:rPr>
      </w:r>
    </w:p>
    <w:p>
      <w:pPr>
        <w:pStyle w:val="Heading4"/>
        <w:spacing w:line="240" w:lineRule="auto" w:before="21"/>
        <w:ind w:left="573" w:right="0"/>
        <w:jc w:val="left"/>
      </w:pPr>
      <w:r>
        <w:rPr/>
        <w:t>本公司属电子设备制造行业。</w:t>
      </w:r>
    </w:p>
    <w:p>
      <w:pPr>
        <w:pStyle w:val="Heading3"/>
        <w:spacing w:line="240" w:lineRule="auto" w:before="157"/>
        <w:ind w:left="153" w:right="0"/>
        <w:jc w:val="left"/>
        <w:rPr>
          <w:b w:val="0"/>
          <w:bCs w:val="0"/>
        </w:rPr>
      </w:pPr>
      <w:r>
        <w:rPr>
          <w:rFonts w:ascii="Times New Roman" w:hAnsi="Times New Roman" w:cs="Times New Roman" w:eastAsia="Times New Roman" w:hint="default"/>
        </w:rPr>
        <w:t>3</w:t>
      </w:r>
      <w:r>
        <w:rPr/>
        <w:t>、经营范围</w:t>
      </w:r>
      <w:r>
        <w:rPr>
          <w:b w:val="0"/>
          <w:bCs w:val="0"/>
        </w:rPr>
      </w:r>
    </w:p>
    <w:p>
      <w:pPr>
        <w:pStyle w:val="Heading4"/>
        <w:spacing w:line="273" w:lineRule="auto" w:before="21"/>
        <w:ind w:left="573" w:right="146"/>
        <w:jc w:val="left"/>
      </w:pPr>
      <w:r>
        <w:rPr/>
        <w:t>一般经营项目：货物及技术进出口业务； 许可经营项目：银行卡电子支付终端产品（</w:t>
      </w:r>
      <w:r>
        <w:rPr>
          <w:rFonts w:ascii="Times New Roman" w:hAnsi="Times New Roman" w:cs="Times New Roman" w:eastAsia="Times New Roman" w:hint="default"/>
        </w:rPr>
        <w:t>POS</w:t>
      </w:r>
      <w:r>
        <w:rPr/>
        <w:t>机）、电子支付密码系统产品、计算机产品及电子产</w:t>
      </w:r>
    </w:p>
    <w:p>
      <w:pPr>
        <w:pStyle w:val="Heading4"/>
        <w:spacing w:line="273" w:lineRule="auto" w:before="0"/>
        <w:ind w:left="153" w:right="0"/>
        <w:jc w:val="left"/>
      </w:pPr>
      <w:r>
        <w:rPr>
          <w:spacing w:val="-1"/>
        </w:rPr>
        <w:t>品的技术开发、生产（生产项目由分支机构经营）、销售、租赁及服务（不含专营、专控、专卖商品及限</w:t>
      </w:r>
      <w:r>
        <w:rPr>
          <w:spacing w:val="-88"/>
        </w:rPr>
        <w:t> </w:t>
      </w:r>
      <w:r>
        <w:rPr>
          <w:spacing w:val="-88"/>
        </w:rPr>
      </w:r>
      <w:r>
        <w:rPr/>
        <w:t>制项目）；移动支付业务的技术开发运营及服务（不含生产）；互联网信息业务。</w:t>
      </w:r>
    </w:p>
    <w:p>
      <w:pPr>
        <w:pStyle w:val="Heading4"/>
        <w:spacing w:line="256" w:lineRule="auto" w:before="127"/>
        <w:ind w:left="573" w:right="1161" w:hanging="421"/>
        <w:jc w:val="left"/>
      </w:pPr>
      <w:r>
        <w:rPr>
          <w:rFonts w:ascii="Times New Roman" w:hAnsi="Times New Roman" w:cs="Times New Roman" w:eastAsia="Times New Roman" w:hint="default"/>
          <w:b/>
          <w:bCs/>
        </w:rPr>
        <w:t>4</w:t>
      </w:r>
      <w:r>
        <w:rPr>
          <w:rFonts w:ascii="宋体" w:hAnsi="宋体" w:cs="宋体" w:eastAsia="宋体" w:hint="default"/>
          <w:b/>
          <w:bCs/>
        </w:rPr>
        <w:t>、主要产品、劳务</w:t>
      </w:r>
      <w:r>
        <w:rPr>
          <w:rFonts w:ascii="宋体" w:hAnsi="宋体" w:cs="宋体" w:eastAsia="宋体" w:hint="default"/>
          <w:b/>
          <w:bCs/>
          <w:spacing w:val="1"/>
          <w:w w:val="99"/>
        </w:rPr>
        <w:t> </w:t>
      </w:r>
      <w:r>
        <w:rPr/>
        <w:t>银行卡电子支付终端</w:t>
      </w:r>
      <w:r>
        <w:rPr>
          <w:rFonts w:ascii="Times New Roman" w:hAnsi="Times New Roman" w:cs="Times New Roman" w:eastAsia="Times New Roman" w:hint="default"/>
        </w:rPr>
        <w:t>(POS)</w:t>
      </w:r>
      <w:r>
        <w:rPr/>
        <w:t>机的生产和销售，提供银行卡电子支付终端</w:t>
      </w:r>
      <w:r>
        <w:rPr>
          <w:rFonts w:ascii="Times New Roman" w:hAnsi="Times New Roman" w:cs="Times New Roman" w:eastAsia="Times New Roman" w:hint="default"/>
        </w:rPr>
        <w:t>(POS)</w:t>
      </w:r>
      <w:r>
        <w:rPr/>
        <w:t>机租赁劳务。</w:t>
      </w:r>
    </w:p>
    <w:p>
      <w:pPr>
        <w:pStyle w:val="Heading4"/>
        <w:spacing w:line="256" w:lineRule="auto" w:before="125"/>
        <w:ind w:left="573" w:right="148" w:hanging="421"/>
        <w:jc w:val="left"/>
      </w:pPr>
      <w:r>
        <w:rPr>
          <w:rFonts w:ascii="Times New Roman" w:hAnsi="Times New Roman" w:cs="Times New Roman" w:eastAsia="Times New Roman" w:hint="default"/>
          <w:b/>
          <w:bCs/>
        </w:rPr>
        <w:t>5</w:t>
      </w:r>
      <w:r>
        <w:rPr>
          <w:rFonts w:ascii="宋体" w:hAnsi="宋体" w:cs="宋体" w:eastAsia="宋体" w:hint="default"/>
          <w:b/>
          <w:bCs/>
        </w:rPr>
        <w:t>、公司基本架构</w:t>
      </w:r>
      <w:r>
        <w:rPr>
          <w:rFonts w:ascii="宋体" w:hAnsi="宋体" w:cs="宋体" w:eastAsia="宋体" w:hint="default"/>
          <w:b/>
          <w:bCs/>
          <w:spacing w:val="1"/>
          <w:w w:val="99"/>
        </w:rPr>
        <w:t> </w:t>
      </w:r>
      <w:r>
        <w:rPr>
          <w:spacing w:val="-2"/>
        </w:rPr>
        <w:t>本公司最高权力机构是股东大会</w:t>
      </w:r>
      <w:r>
        <w:rPr>
          <w:rFonts w:ascii="Times New Roman" w:hAnsi="Times New Roman" w:cs="Times New Roman" w:eastAsia="Times New Roman" w:hint="default"/>
          <w:spacing w:val="-2"/>
        </w:rPr>
        <w:t>,</w:t>
      </w:r>
      <w:r>
        <w:rPr>
          <w:spacing w:val="-2"/>
        </w:rPr>
        <w:t>实行董事会领导下的总经理负责制。根据业务发展需要，设立行业客</w:t>
      </w:r>
    </w:p>
    <w:p>
      <w:pPr>
        <w:pStyle w:val="Heading4"/>
        <w:spacing w:line="273" w:lineRule="auto" w:before="5"/>
        <w:ind w:left="153" w:right="0"/>
        <w:jc w:val="left"/>
      </w:pPr>
      <w:r>
        <w:rPr>
          <w:spacing w:val="-1"/>
        </w:rPr>
        <w:t>户部、产品管理部、计划财务中心、制造中心、运营中心、营销中心、市场部、证券部、人力资源部、内</w:t>
      </w:r>
      <w:r>
        <w:rPr>
          <w:spacing w:val="-86"/>
        </w:rPr>
        <w:t> </w:t>
      </w:r>
      <w:r>
        <w:rPr>
          <w:spacing w:val="-86"/>
        </w:rPr>
      </w:r>
      <w:r>
        <w:rPr/>
        <w:t>审部、研发中心等职能部门。</w:t>
      </w:r>
    </w:p>
    <w:p>
      <w:pPr>
        <w:spacing w:line="256" w:lineRule="auto" w:before="7"/>
        <w:ind w:left="574" w:right="4205"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、财务报表的批准报出</w:t>
      </w:r>
      <w:r>
        <w:rPr>
          <w:rFonts w:ascii="宋体" w:hAnsi="宋体" w:cs="宋体" w:eastAsia="宋体" w:hint="default"/>
          <w:b/>
          <w:bCs/>
          <w:w w:val="99"/>
          <w:sz w:val="21"/>
          <w:szCs w:val="21"/>
        </w:rPr>
        <w:t> </w:t>
      </w:r>
      <w:r>
        <w:rPr>
          <w:rFonts w:ascii="宋体" w:hAnsi="宋体" w:cs="宋体" w:eastAsia="宋体" w:hint="default"/>
          <w:sz w:val="21"/>
          <w:szCs w:val="21"/>
        </w:rPr>
        <w:t>本财务报表业经公司董事会于</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27</w:t>
      </w:r>
      <w:r>
        <w:rPr>
          <w:rFonts w:ascii="宋体" w:hAnsi="宋体" w:cs="宋体" w:eastAsia="宋体" w:hint="default"/>
          <w:sz w:val="21"/>
          <w:szCs w:val="21"/>
        </w:rPr>
        <w:t>日批准报出。</w:t>
      </w:r>
    </w:p>
    <w:p>
      <w:pPr>
        <w:spacing w:line="240" w:lineRule="auto" w:before="0"/>
        <w:rPr>
          <w:rFonts w:ascii="宋体" w:hAnsi="宋体" w:cs="宋体" w:eastAsia="宋体" w:hint="default"/>
          <w:sz w:val="22"/>
          <w:szCs w:val="22"/>
        </w:rPr>
      </w:pPr>
    </w:p>
    <w:p>
      <w:pPr>
        <w:pStyle w:val="Heading3"/>
        <w:spacing w:line="240" w:lineRule="auto" w:before="149"/>
        <w:ind w:left="576" w:right="0"/>
        <w:jc w:val="left"/>
        <w:rPr>
          <w:b w:val="0"/>
          <w:bCs w:val="0"/>
        </w:rPr>
      </w:pPr>
      <w:r>
        <w:rPr/>
        <w:t>本期纳入合并财务报表范围的主体共</w:t>
      </w:r>
      <w:r>
        <w:rPr>
          <w:rFonts w:ascii="Times New Roman" w:hAnsi="Times New Roman" w:cs="Times New Roman" w:eastAsia="Times New Roman" w:hint="default"/>
        </w:rPr>
        <w:t>4</w:t>
      </w:r>
      <w:r>
        <w:rPr/>
        <w:t>户，具体包括：</w:t>
      </w:r>
      <w:r>
        <w:rPr>
          <w:b w:val="0"/>
          <w:bCs w:val="0"/>
        </w:rPr>
      </w:r>
    </w:p>
    <w:p>
      <w:pPr>
        <w:spacing w:line="240" w:lineRule="auto" w:before="10"/>
        <w:rPr>
          <w:rFonts w:ascii="宋体" w:hAnsi="宋体" w:cs="宋体" w:eastAsia="宋体" w:hint="default"/>
          <w:b/>
          <w:bCs/>
          <w:sz w:val="2"/>
          <w:szCs w:val="2"/>
        </w:rPr>
      </w:pPr>
    </w:p>
    <w:tbl>
      <w:tblPr>
        <w:tblW w:w="0" w:type="auto"/>
        <w:jc w:val="left"/>
        <w:tblInd w:w="146" w:type="dxa"/>
        <w:tblLayout w:type="fixed"/>
        <w:tblCellMar>
          <w:top w:w="0" w:type="dxa"/>
          <w:left w:w="0" w:type="dxa"/>
          <w:bottom w:w="0" w:type="dxa"/>
          <w:right w:w="0" w:type="dxa"/>
        </w:tblCellMar>
        <w:tblLook w:val="01E0"/>
      </w:tblPr>
      <w:tblGrid>
        <w:gridCol w:w="1850"/>
        <w:gridCol w:w="1171"/>
        <w:gridCol w:w="966"/>
        <w:gridCol w:w="1237"/>
        <w:gridCol w:w="1171"/>
        <w:gridCol w:w="2755"/>
      </w:tblGrid>
      <w:tr>
        <w:trPr>
          <w:trHeight w:val="355" w:hRule="exact"/>
        </w:trPr>
        <w:tc>
          <w:tcPr>
            <w:tcW w:w="18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4"/>
              <w:ind w:left="242" w:right="0"/>
              <w:jc w:val="left"/>
              <w:rPr>
                <w:rFonts w:ascii="宋体" w:hAnsi="宋体" w:cs="宋体" w:eastAsia="宋体" w:hint="default"/>
                <w:sz w:val="15"/>
                <w:szCs w:val="15"/>
              </w:rPr>
            </w:pPr>
            <w:r>
              <w:rPr>
                <w:rFonts w:ascii="宋体" w:hAnsi="宋体" w:cs="宋体" w:eastAsia="宋体" w:hint="default"/>
                <w:sz w:val="15"/>
                <w:szCs w:val="15"/>
              </w:rPr>
              <w:t>子公司名称（全称）</w:t>
            </w:r>
          </w:p>
        </w:tc>
        <w:tc>
          <w:tcPr>
            <w:tcW w:w="11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子公司类型</w:t>
            </w:r>
          </w:p>
        </w:tc>
        <w:tc>
          <w:tcPr>
            <w:tcW w:w="9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4"/>
              <w:ind w:right="0"/>
              <w:jc w:val="center"/>
              <w:rPr>
                <w:rFonts w:ascii="宋体" w:hAnsi="宋体" w:cs="宋体" w:eastAsia="宋体" w:hint="default"/>
                <w:sz w:val="15"/>
                <w:szCs w:val="15"/>
              </w:rPr>
            </w:pPr>
            <w:r>
              <w:rPr>
                <w:rFonts w:ascii="宋体" w:hAnsi="宋体" w:cs="宋体" w:eastAsia="宋体" w:hint="default"/>
                <w:sz w:val="15"/>
                <w:szCs w:val="15"/>
              </w:rPr>
              <w:t>注册地</w:t>
            </w:r>
          </w:p>
        </w:tc>
        <w:tc>
          <w:tcPr>
            <w:tcW w:w="12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4"/>
              <w:ind w:left="312" w:right="0"/>
              <w:jc w:val="left"/>
              <w:rPr>
                <w:rFonts w:ascii="宋体" w:hAnsi="宋体" w:cs="宋体" w:eastAsia="宋体" w:hint="default"/>
                <w:sz w:val="15"/>
                <w:szCs w:val="15"/>
              </w:rPr>
            </w:pPr>
            <w:r>
              <w:rPr>
                <w:rFonts w:ascii="宋体" w:hAnsi="宋体" w:cs="宋体" w:eastAsia="宋体" w:hint="default"/>
                <w:sz w:val="15"/>
                <w:szCs w:val="15"/>
              </w:rPr>
              <w:t>业务性质</w:t>
            </w:r>
          </w:p>
        </w:tc>
        <w:tc>
          <w:tcPr>
            <w:tcW w:w="11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4"/>
              <w:ind w:left="277" w:right="0"/>
              <w:jc w:val="left"/>
              <w:rPr>
                <w:rFonts w:ascii="宋体" w:hAnsi="宋体" w:cs="宋体" w:eastAsia="宋体" w:hint="default"/>
                <w:sz w:val="15"/>
                <w:szCs w:val="15"/>
              </w:rPr>
            </w:pPr>
            <w:r>
              <w:rPr>
                <w:rFonts w:ascii="宋体" w:hAnsi="宋体" w:cs="宋体" w:eastAsia="宋体" w:hint="default"/>
                <w:sz w:val="15"/>
                <w:szCs w:val="15"/>
              </w:rPr>
              <w:t>注册资本</w:t>
            </w:r>
          </w:p>
        </w:tc>
        <w:tc>
          <w:tcPr>
            <w:tcW w:w="275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4"/>
              <w:ind w:right="7"/>
              <w:jc w:val="center"/>
              <w:rPr>
                <w:rFonts w:ascii="宋体" w:hAnsi="宋体" w:cs="宋体" w:eastAsia="宋体" w:hint="default"/>
                <w:sz w:val="15"/>
                <w:szCs w:val="15"/>
              </w:rPr>
            </w:pPr>
            <w:r>
              <w:rPr>
                <w:rFonts w:ascii="宋体" w:hAnsi="宋体" w:cs="宋体" w:eastAsia="宋体" w:hint="default"/>
                <w:sz w:val="15"/>
                <w:szCs w:val="15"/>
              </w:rPr>
              <w:t>主要经营范围</w:t>
            </w:r>
          </w:p>
        </w:tc>
      </w:tr>
      <w:tr>
        <w:trPr>
          <w:trHeight w:val="664" w:hRule="exact"/>
        </w:trPr>
        <w:tc>
          <w:tcPr>
            <w:tcW w:w="185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2"/>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深圳市易联技术有限公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司</w:t>
            </w:r>
            <w:r>
              <w:rPr>
                <w:rFonts w:ascii="Times New Roman" w:hAnsi="Times New Roman" w:cs="Times New Roman" w:eastAsia="Times New Roman" w:hint="default"/>
                <w:sz w:val="18"/>
                <w:szCs w:val="18"/>
              </w:rPr>
              <w:t>*1</w:t>
            </w:r>
          </w:p>
        </w:tc>
        <w:tc>
          <w:tcPr>
            <w:tcW w:w="11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深圳市</w:t>
            </w:r>
          </w:p>
        </w:tc>
        <w:tc>
          <w:tcPr>
            <w:tcW w:w="1237"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3" w:right="-27"/>
              <w:jc w:val="left"/>
              <w:rPr>
                <w:rFonts w:ascii="宋体" w:hAnsi="宋体" w:cs="宋体" w:eastAsia="宋体" w:hint="default"/>
                <w:sz w:val="18"/>
                <w:szCs w:val="18"/>
              </w:rPr>
            </w:pPr>
            <w:r>
              <w:rPr>
                <w:rFonts w:ascii="宋体" w:hAnsi="宋体" w:cs="宋体" w:eastAsia="宋体" w:hint="default"/>
                <w:spacing w:val="22"/>
                <w:sz w:val="18"/>
                <w:szCs w:val="18"/>
              </w:rPr>
              <w:t>软件技术开发</w:t>
            </w:r>
            <w:r>
              <w:rPr>
                <w:rFonts w:ascii="宋体" w:hAnsi="宋体" w:cs="宋体" w:eastAsia="宋体" w:hint="default"/>
                <w:spacing w:val="-88"/>
                <w:sz w:val="18"/>
                <w:szCs w:val="18"/>
              </w:rPr>
              <w:t> </w:t>
            </w:r>
            <w:r>
              <w:rPr>
                <w:rFonts w:ascii="宋体" w:hAnsi="宋体" w:cs="宋体" w:eastAsia="宋体" w:hint="default"/>
                <w:sz w:val="18"/>
                <w:szCs w:val="18"/>
              </w:rPr>
              <w:t>与销售</w:t>
            </w:r>
          </w:p>
        </w:tc>
        <w:tc>
          <w:tcPr>
            <w:tcW w:w="11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11,000</w:t>
            </w:r>
            <w:r>
              <w:rPr>
                <w:rFonts w:ascii="宋体" w:hAnsi="宋体" w:cs="宋体" w:eastAsia="宋体" w:hint="default"/>
                <w:sz w:val="18"/>
                <w:szCs w:val="18"/>
              </w:rPr>
              <w:t>万元</w:t>
            </w:r>
          </w:p>
        </w:tc>
        <w:tc>
          <w:tcPr>
            <w:tcW w:w="2755"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10"/>
              <w:ind w:left="2" w:right="7"/>
              <w:jc w:val="left"/>
              <w:rPr>
                <w:rFonts w:ascii="宋体" w:hAnsi="宋体" w:cs="宋体" w:eastAsia="宋体" w:hint="default"/>
                <w:sz w:val="18"/>
                <w:szCs w:val="18"/>
              </w:rPr>
            </w:pPr>
            <w:r>
              <w:rPr>
                <w:rFonts w:ascii="宋体" w:hAnsi="宋体" w:cs="宋体" w:eastAsia="宋体" w:hint="default"/>
                <w:sz w:val="18"/>
                <w:szCs w:val="18"/>
              </w:rPr>
              <w:t>软件技术开发与销售，软件技术咨</w:t>
            </w:r>
            <w:r>
              <w:rPr>
                <w:rFonts w:ascii="宋体" w:hAnsi="宋体" w:cs="宋体" w:eastAsia="宋体" w:hint="default"/>
                <w:spacing w:val="-61"/>
                <w:sz w:val="18"/>
                <w:szCs w:val="18"/>
              </w:rPr>
              <w:t> </w:t>
            </w:r>
            <w:r>
              <w:rPr>
                <w:rFonts w:ascii="宋体" w:hAnsi="宋体" w:cs="宋体" w:eastAsia="宋体" w:hint="default"/>
                <w:sz w:val="18"/>
                <w:szCs w:val="18"/>
              </w:rPr>
              <w:t>询，计算机系统集成。</w:t>
            </w:r>
          </w:p>
        </w:tc>
      </w:tr>
      <w:tr>
        <w:trPr>
          <w:trHeight w:val="332" w:hRule="exact"/>
        </w:trPr>
        <w:tc>
          <w:tcPr>
            <w:tcW w:w="1850"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0"/>
              <w:ind w:left="2" w:right="-2"/>
              <w:jc w:val="left"/>
              <w:rPr>
                <w:rFonts w:ascii="宋体" w:hAnsi="宋体" w:cs="宋体" w:eastAsia="宋体" w:hint="default"/>
                <w:sz w:val="18"/>
                <w:szCs w:val="18"/>
              </w:rPr>
            </w:pPr>
            <w:r>
              <w:rPr>
                <w:rFonts w:ascii="宋体" w:hAnsi="宋体" w:cs="宋体" w:eastAsia="宋体" w:hint="default"/>
                <w:spacing w:val="2"/>
                <w:sz w:val="18"/>
                <w:szCs w:val="18"/>
              </w:rPr>
              <w:t>南京市新国都技术有限</w:t>
            </w:r>
            <w:r>
              <w:rPr>
                <w:rFonts w:ascii="宋体" w:hAnsi="宋体" w:cs="宋体" w:eastAsia="宋体" w:hint="default"/>
                <w:sz w:val="18"/>
                <w:szCs w:val="18"/>
              </w:rPr>
            </w:r>
          </w:p>
        </w:tc>
        <w:tc>
          <w:tcPr>
            <w:tcW w:w="1171"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66"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南京市</w:t>
            </w:r>
          </w:p>
        </w:tc>
        <w:tc>
          <w:tcPr>
            <w:tcW w:w="1237"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0"/>
              <w:ind w:left="3" w:right="-27"/>
              <w:jc w:val="left"/>
              <w:rPr>
                <w:rFonts w:ascii="宋体" w:hAnsi="宋体" w:cs="宋体" w:eastAsia="宋体" w:hint="default"/>
                <w:sz w:val="18"/>
                <w:szCs w:val="18"/>
              </w:rPr>
            </w:pPr>
            <w:r>
              <w:rPr>
                <w:rFonts w:ascii="宋体" w:hAnsi="宋体" w:cs="宋体" w:eastAsia="宋体" w:hint="default"/>
                <w:spacing w:val="22"/>
                <w:sz w:val="18"/>
                <w:szCs w:val="18"/>
              </w:rPr>
              <w:t>软件技术开发</w:t>
            </w:r>
            <w:r>
              <w:rPr>
                <w:rFonts w:ascii="宋体" w:hAnsi="宋体" w:cs="宋体" w:eastAsia="宋体" w:hint="default"/>
                <w:spacing w:val="-63"/>
                <w:sz w:val="18"/>
                <w:szCs w:val="18"/>
              </w:rPr>
              <w:t> </w:t>
            </w:r>
            <w:r>
              <w:rPr>
                <w:rFonts w:ascii="宋体" w:hAnsi="宋体" w:cs="宋体" w:eastAsia="宋体" w:hint="default"/>
                <w:sz w:val="18"/>
                <w:szCs w:val="18"/>
              </w:rPr>
            </w:r>
          </w:p>
        </w:tc>
        <w:tc>
          <w:tcPr>
            <w:tcW w:w="1171"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1,300</w:t>
            </w:r>
            <w:r>
              <w:rPr>
                <w:rFonts w:ascii="宋体" w:hAnsi="宋体" w:cs="宋体" w:eastAsia="宋体" w:hint="default"/>
                <w:sz w:val="18"/>
                <w:szCs w:val="18"/>
              </w:rPr>
              <w:t>万元</w:t>
            </w:r>
          </w:p>
        </w:tc>
        <w:tc>
          <w:tcPr>
            <w:tcW w:w="2755" w:type="dxa"/>
            <w:tcBorders>
              <w:top w:val="single" w:sz="12" w:space="0" w:color="000000"/>
              <w:left w:val="single" w:sz="6" w:space="0" w:color="000000"/>
              <w:bottom w:val="nil" w:sz="6" w:space="0" w:color="auto"/>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软件技术开发与销售、技术咨询和</w:t>
            </w:r>
          </w:p>
        </w:tc>
      </w:tr>
      <w:tr>
        <w:trPr>
          <w:trHeight w:val="312" w:hRule="exact"/>
        </w:trPr>
        <w:tc>
          <w:tcPr>
            <w:tcW w:w="1850"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*2</w:t>
            </w:r>
          </w:p>
        </w:tc>
        <w:tc>
          <w:tcPr>
            <w:tcW w:w="1171" w:type="dxa"/>
            <w:tcBorders>
              <w:top w:val="nil" w:sz="6" w:space="0" w:color="auto"/>
              <w:left w:val="single" w:sz="6" w:space="0" w:color="000000"/>
              <w:bottom w:val="nil" w:sz="6" w:space="0" w:color="auto"/>
              <w:right w:val="single" w:sz="6" w:space="0" w:color="000000"/>
            </w:tcBorders>
          </w:tcPr>
          <w:p>
            <w:pPr/>
          </w:p>
        </w:tc>
        <w:tc>
          <w:tcPr>
            <w:tcW w:w="966" w:type="dxa"/>
            <w:tcBorders>
              <w:top w:val="nil" w:sz="6" w:space="0" w:color="auto"/>
              <w:left w:val="single" w:sz="6" w:space="0" w:color="000000"/>
              <w:bottom w:val="nil" w:sz="6" w:space="0" w:color="auto"/>
              <w:right w:val="single" w:sz="6" w:space="0" w:color="000000"/>
            </w:tcBorders>
          </w:tcPr>
          <w:p>
            <w:pPr/>
          </w:p>
        </w:tc>
        <w:tc>
          <w:tcPr>
            <w:tcW w:w="1237"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与销售</w:t>
            </w:r>
          </w:p>
        </w:tc>
        <w:tc>
          <w:tcPr>
            <w:tcW w:w="1171" w:type="dxa"/>
            <w:tcBorders>
              <w:top w:val="nil" w:sz="6" w:space="0" w:color="auto"/>
              <w:left w:val="single" w:sz="6" w:space="0" w:color="000000"/>
              <w:bottom w:val="nil" w:sz="6" w:space="0" w:color="auto"/>
              <w:right w:val="single" w:sz="6" w:space="0" w:color="000000"/>
            </w:tcBorders>
          </w:tcPr>
          <w:p>
            <w:pPr/>
          </w:p>
        </w:tc>
        <w:tc>
          <w:tcPr>
            <w:tcW w:w="2755" w:type="dxa"/>
            <w:tcBorders>
              <w:top w:val="nil" w:sz="6" w:space="0" w:color="auto"/>
              <w:left w:val="single" w:sz="6" w:space="0" w:color="000000"/>
              <w:bottom w:val="nil" w:sz="6" w:space="0" w:color="auto"/>
              <w:right w:val="nil" w:sz="6" w:space="0" w:color="auto"/>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服务；计算机系统集成；投资咨询</w:t>
            </w:r>
          </w:p>
        </w:tc>
      </w:tr>
      <w:tr>
        <w:trPr>
          <w:trHeight w:val="307" w:hRule="exact"/>
        </w:trPr>
        <w:tc>
          <w:tcPr>
            <w:tcW w:w="1850" w:type="dxa"/>
            <w:tcBorders>
              <w:top w:val="nil" w:sz="6" w:space="0" w:color="auto"/>
              <w:left w:val="single" w:sz="6" w:space="0" w:color="000000"/>
              <w:bottom w:val="nil" w:sz="6" w:space="0" w:color="auto"/>
              <w:right w:val="single" w:sz="6" w:space="0" w:color="000000"/>
            </w:tcBorders>
          </w:tcPr>
          <w:p>
            <w:pPr/>
          </w:p>
        </w:tc>
        <w:tc>
          <w:tcPr>
            <w:tcW w:w="1171" w:type="dxa"/>
            <w:tcBorders>
              <w:top w:val="nil" w:sz="6" w:space="0" w:color="auto"/>
              <w:left w:val="single" w:sz="6" w:space="0" w:color="000000"/>
              <w:bottom w:val="nil" w:sz="6" w:space="0" w:color="auto"/>
              <w:right w:val="single" w:sz="6" w:space="0" w:color="000000"/>
            </w:tcBorders>
          </w:tcPr>
          <w:p>
            <w:pPr/>
          </w:p>
        </w:tc>
        <w:tc>
          <w:tcPr>
            <w:tcW w:w="966" w:type="dxa"/>
            <w:tcBorders>
              <w:top w:val="nil" w:sz="6" w:space="0" w:color="auto"/>
              <w:left w:val="single" w:sz="6" w:space="0" w:color="000000"/>
              <w:bottom w:val="nil" w:sz="6" w:space="0" w:color="auto"/>
              <w:right w:val="single" w:sz="6" w:space="0" w:color="000000"/>
            </w:tcBorders>
          </w:tcPr>
          <w:p>
            <w:pPr/>
          </w:p>
        </w:tc>
        <w:tc>
          <w:tcPr>
            <w:tcW w:w="1237" w:type="dxa"/>
            <w:tcBorders>
              <w:top w:val="nil" w:sz="6" w:space="0" w:color="auto"/>
              <w:left w:val="single" w:sz="6" w:space="0" w:color="000000"/>
              <w:bottom w:val="nil" w:sz="6" w:space="0" w:color="auto"/>
              <w:right w:val="single" w:sz="6" w:space="0" w:color="000000"/>
            </w:tcBorders>
          </w:tcPr>
          <w:p>
            <w:pPr/>
          </w:p>
        </w:tc>
        <w:tc>
          <w:tcPr>
            <w:tcW w:w="1171" w:type="dxa"/>
            <w:tcBorders>
              <w:top w:val="nil" w:sz="6" w:space="0" w:color="auto"/>
              <w:left w:val="single" w:sz="6" w:space="0" w:color="000000"/>
              <w:bottom w:val="nil" w:sz="6" w:space="0" w:color="auto"/>
              <w:right w:val="single" w:sz="6" w:space="0" w:color="000000"/>
            </w:tcBorders>
          </w:tcPr>
          <w:p>
            <w:pPr/>
          </w:p>
        </w:tc>
        <w:tc>
          <w:tcPr>
            <w:tcW w:w="2755" w:type="dxa"/>
            <w:tcBorders>
              <w:top w:val="nil" w:sz="6" w:space="0" w:color="auto"/>
              <w:left w:val="single" w:sz="6" w:space="0" w:color="000000"/>
              <w:bottom w:val="nil" w:sz="6" w:space="0" w:color="auto"/>
              <w:right w:val="nil" w:sz="6" w:space="0" w:color="auto"/>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服务；计算机产品及电子产品的技</w:t>
            </w:r>
          </w:p>
        </w:tc>
      </w:tr>
      <w:tr>
        <w:trPr>
          <w:trHeight w:val="312" w:hRule="exact"/>
        </w:trPr>
        <w:tc>
          <w:tcPr>
            <w:tcW w:w="1850" w:type="dxa"/>
            <w:tcBorders>
              <w:top w:val="nil" w:sz="6" w:space="0" w:color="auto"/>
              <w:left w:val="single" w:sz="6" w:space="0" w:color="000000"/>
              <w:bottom w:val="nil" w:sz="6" w:space="0" w:color="auto"/>
              <w:right w:val="single" w:sz="6" w:space="0" w:color="000000"/>
            </w:tcBorders>
          </w:tcPr>
          <w:p>
            <w:pPr/>
          </w:p>
        </w:tc>
        <w:tc>
          <w:tcPr>
            <w:tcW w:w="1171" w:type="dxa"/>
            <w:tcBorders>
              <w:top w:val="nil" w:sz="6" w:space="0" w:color="auto"/>
              <w:left w:val="single" w:sz="6" w:space="0" w:color="000000"/>
              <w:bottom w:val="nil" w:sz="6" w:space="0" w:color="auto"/>
              <w:right w:val="single" w:sz="6" w:space="0" w:color="000000"/>
            </w:tcBorders>
          </w:tcPr>
          <w:p>
            <w:pPr/>
          </w:p>
        </w:tc>
        <w:tc>
          <w:tcPr>
            <w:tcW w:w="966" w:type="dxa"/>
            <w:tcBorders>
              <w:top w:val="nil" w:sz="6" w:space="0" w:color="auto"/>
              <w:left w:val="single" w:sz="6" w:space="0" w:color="000000"/>
              <w:bottom w:val="nil" w:sz="6" w:space="0" w:color="auto"/>
              <w:right w:val="single" w:sz="6" w:space="0" w:color="000000"/>
            </w:tcBorders>
          </w:tcPr>
          <w:p>
            <w:pPr/>
          </w:p>
        </w:tc>
        <w:tc>
          <w:tcPr>
            <w:tcW w:w="1237" w:type="dxa"/>
            <w:tcBorders>
              <w:top w:val="nil" w:sz="6" w:space="0" w:color="auto"/>
              <w:left w:val="single" w:sz="6" w:space="0" w:color="000000"/>
              <w:bottom w:val="nil" w:sz="6" w:space="0" w:color="auto"/>
              <w:right w:val="single" w:sz="6" w:space="0" w:color="000000"/>
            </w:tcBorders>
          </w:tcPr>
          <w:p>
            <w:pPr/>
          </w:p>
        </w:tc>
        <w:tc>
          <w:tcPr>
            <w:tcW w:w="1171" w:type="dxa"/>
            <w:tcBorders>
              <w:top w:val="nil" w:sz="6" w:space="0" w:color="auto"/>
              <w:left w:val="single" w:sz="6" w:space="0" w:color="000000"/>
              <w:bottom w:val="nil" w:sz="6" w:space="0" w:color="auto"/>
              <w:right w:val="single" w:sz="6" w:space="0" w:color="000000"/>
            </w:tcBorders>
          </w:tcPr>
          <w:p>
            <w:pPr/>
          </w:p>
        </w:tc>
        <w:tc>
          <w:tcPr>
            <w:tcW w:w="2755" w:type="dxa"/>
            <w:tcBorders>
              <w:top w:val="nil" w:sz="6" w:space="0" w:color="auto"/>
              <w:left w:val="single" w:sz="6" w:space="0" w:color="000000"/>
              <w:bottom w:val="nil" w:sz="6" w:space="0" w:color="auto"/>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术开发、生产、销售、租赁及技术</w:t>
            </w:r>
          </w:p>
        </w:tc>
      </w:tr>
      <w:tr>
        <w:trPr>
          <w:trHeight w:val="338" w:hRule="exact"/>
        </w:trPr>
        <w:tc>
          <w:tcPr>
            <w:tcW w:w="1850" w:type="dxa"/>
            <w:tcBorders>
              <w:top w:val="nil" w:sz="6" w:space="0" w:color="auto"/>
              <w:left w:val="single" w:sz="6" w:space="0" w:color="000000"/>
              <w:bottom w:val="single" w:sz="12" w:space="0" w:color="000000"/>
              <w:right w:val="single" w:sz="6" w:space="0" w:color="000000"/>
            </w:tcBorders>
          </w:tcPr>
          <w:p>
            <w:pPr/>
          </w:p>
        </w:tc>
        <w:tc>
          <w:tcPr>
            <w:tcW w:w="1171" w:type="dxa"/>
            <w:tcBorders>
              <w:top w:val="nil" w:sz="6" w:space="0" w:color="auto"/>
              <w:left w:val="single" w:sz="6" w:space="0" w:color="000000"/>
              <w:bottom w:val="single" w:sz="12" w:space="0" w:color="000000"/>
              <w:right w:val="single" w:sz="6" w:space="0" w:color="000000"/>
            </w:tcBorders>
          </w:tcPr>
          <w:p>
            <w:pPr/>
          </w:p>
        </w:tc>
        <w:tc>
          <w:tcPr>
            <w:tcW w:w="966" w:type="dxa"/>
            <w:tcBorders>
              <w:top w:val="nil" w:sz="6" w:space="0" w:color="auto"/>
              <w:left w:val="single" w:sz="6" w:space="0" w:color="000000"/>
              <w:bottom w:val="single" w:sz="12" w:space="0" w:color="000000"/>
              <w:right w:val="single" w:sz="6" w:space="0" w:color="000000"/>
            </w:tcBorders>
          </w:tcPr>
          <w:p>
            <w:pPr/>
          </w:p>
        </w:tc>
        <w:tc>
          <w:tcPr>
            <w:tcW w:w="1237" w:type="dxa"/>
            <w:tcBorders>
              <w:top w:val="nil" w:sz="6" w:space="0" w:color="auto"/>
              <w:left w:val="single" w:sz="6" w:space="0" w:color="000000"/>
              <w:bottom w:val="single" w:sz="12" w:space="0" w:color="000000"/>
              <w:right w:val="single" w:sz="6" w:space="0" w:color="000000"/>
            </w:tcBorders>
          </w:tcPr>
          <w:p>
            <w:pPr/>
          </w:p>
        </w:tc>
        <w:tc>
          <w:tcPr>
            <w:tcW w:w="1171" w:type="dxa"/>
            <w:tcBorders>
              <w:top w:val="nil" w:sz="6" w:space="0" w:color="auto"/>
              <w:left w:val="single" w:sz="6" w:space="0" w:color="000000"/>
              <w:bottom w:val="single" w:sz="12" w:space="0" w:color="000000"/>
              <w:right w:val="single" w:sz="6" w:space="0" w:color="000000"/>
            </w:tcBorders>
          </w:tcPr>
          <w:p>
            <w:pPr/>
          </w:p>
        </w:tc>
        <w:tc>
          <w:tcPr>
            <w:tcW w:w="2755" w:type="dxa"/>
            <w:tcBorders>
              <w:top w:val="nil" w:sz="6" w:space="0" w:color="auto"/>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服务。</w:t>
            </w:r>
          </w:p>
        </w:tc>
      </w:tr>
      <w:tr>
        <w:trPr>
          <w:trHeight w:val="332" w:hRule="exact"/>
        </w:trPr>
        <w:tc>
          <w:tcPr>
            <w:tcW w:w="1850"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0"/>
              <w:ind w:left="2" w:right="-2"/>
              <w:jc w:val="left"/>
              <w:rPr>
                <w:rFonts w:ascii="宋体" w:hAnsi="宋体" w:cs="宋体" w:eastAsia="宋体" w:hint="default"/>
                <w:sz w:val="18"/>
                <w:szCs w:val="18"/>
              </w:rPr>
            </w:pPr>
            <w:r>
              <w:rPr>
                <w:rFonts w:ascii="宋体" w:hAnsi="宋体" w:cs="宋体" w:eastAsia="宋体" w:hint="default"/>
                <w:spacing w:val="2"/>
                <w:sz w:val="18"/>
                <w:szCs w:val="18"/>
              </w:rPr>
              <w:t>广州市新国都信息科技</w:t>
            </w:r>
            <w:r>
              <w:rPr>
                <w:rFonts w:ascii="宋体" w:hAnsi="宋体" w:cs="宋体" w:eastAsia="宋体" w:hint="default"/>
                <w:sz w:val="18"/>
                <w:szCs w:val="18"/>
              </w:rPr>
            </w:r>
          </w:p>
        </w:tc>
        <w:tc>
          <w:tcPr>
            <w:tcW w:w="1171"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66"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广州市</w:t>
            </w:r>
          </w:p>
        </w:tc>
        <w:tc>
          <w:tcPr>
            <w:tcW w:w="1237"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pacing w:val="-7"/>
                <w:sz w:val="18"/>
                <w:szCs w:val="18"/>
              </w:rPr>
              <w:t>计算机软件、智</w:t>
            </w:r>
          </w:p>
        </w:tc>
        <w:tc>
          <w:tcPr>
            <w:tcW w:w="1171"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300</w:t>
            </w:r>
            <w:r>
              <w:rPr>
                <w:rFonts w:ascii="宋体" w:hAnsi="宋体" w:cs="宋体" w:eastAsia="宋体" w:hint="default"/>
                <w:sz w:val="18"/>
                <w:szCs w:val="18"/>
              </w:rPr>
              <w:t>万元</w:t>
            </w:r>
          </w:p>
        </w:tc>
        <w:tc>
          <w:tcPr>
            <w:tcW w:w="2755" w:type="dxa"/>
            <w:tcBorders>
              <w:top w:val="single" w:sz="12" w:space="0" w:color="000000"/>
              <w:left w:val="single" w:sz="6" w:space="0" w:color="000000"/>
              <w:bottom w:val="nil" w:sz="6" w:space="0" w:color="auto"/>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计算机软件、智能设备的研究、开</w:t>
            </w:r>
          </w:p>
        </w:tc>
      </w:tr>
      <w:tr>
        <w:trPr>
          <w:trHeight w:val="312" w:hRule="exact"/>
        </w:trPr>
        <w:tc>
          <w:tcPr>
            <w:tcW w:w="1850"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有限公司</w:t>
            </w:r>
            <w:r>
              <w:rPr>
                <w:rFonts w:ascii="Times New Roman" w:hAnsi="Times New Roman" w:cs="Times New Roman" w:eastAsia="Times New Roman" w:hint="default"/>
                <w:sz w:val="18"/>
                <w:szCs w:val="18"/>
              </w:rPr>
              <w:t>*3</w:t>
            </w:r>
          </w:p>
        </w:tc>
        <w:tc>
          <w:tcPr>
            <w:tcW w:w="1171" w:type="dxa"/>
            <w:tcBorders>
              <w:top w:val="nil" w:sz="6" w:space="0" w:color="auto"/>
              <w:left w:val="single" w:sz="6" w:space="0" w:color="000000"/>
              <w:bottom w:val="nil" w:sz="6" w:space="0" w:color="auto"/>
              <w:right w:val="single" w:sz="6" w:space="0" w:color="000000"/>
            </w:tcBorders>
          </w:tcPr>
          <w:p>
            <w:pPr/>
          </w:p>
        </w:tc>
        <w:tc>
          <w:tcPr>
            <w:tcW w:w="966" w:type="dxa"/>
            <w:tcBorders>
              <w:top w:val="nil" w:sz="6" w:space="0" w:color="auto"/>
              <w:left w:val="single" w:sz="6" w:space="0" w:color="000000"/>
              <w:bottom w:val="nil" w:sz="6" w:space="0" w:color="auto"/>
              <w:right w:val="single" w:sz="6" w:space="0" w:color="000000"/>
            </w:tcBorders>
          </w:tcPr>
          <w:p>
            <w:pPr/>
          </w:p>
        </w:tc>
        <w:tc>
          <w:tcPr>
            <w:tcW w:w="1237"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能设备的研究</w:t>
            </w:r>
          </w:p>
        </w:tc>
        <w:tc>
          <w:tcPr>
            <w:tcW w:w="1171"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54" w:right="0"/>
              <w:jc w:val="left"/>
              <w:rPr>
                <w:rFonts w:ascii="宋体" w:hAnsi="宋体" w:cs="宋体" w:eastAsia="宋体" w:hint="default"/>
                <w:sz w:val="18"/>
                <w:szCs w:val="18"/>
              </w:rPr>
            </w:pPr>
            <w:r>
              <w:rPr>
                <w:rFonts w:ascii="宋体" w:hAnsi="宋体" w:cs="宋体" w:eastAsia="宋体" w:hint="default"/>
                <w:sz w:val="18"/>
                <w:szCs w:val="18"/>
              </w:rPr>
              <w:t>、</w:t>
            </w:r>
          </w:p>
        </w:tc>
        <w:tc>
          <w:tcPr>
            <w:tcW w:w="2755" w:type="dxa"/>
            <w:tcBorders>
              <w:top w:val="nil" w:sz="6" w:space="0" w:color="auto"/>
              <w:left w:val="single" w:sz="6" w:space="0" w:color="000000"/>
              <w:bottom w:val="nil" w:sz="6" w:space="0" w:color="auto"/>
              <w:right w:val="nil" w:sz="6" w:space="0" w:color="auto"/>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发、销售、技术咨询、技术服务；</w:t>
            </w:r>
          </w:p>
        </w:tc>
      </w:tr>
      <w:tr>
        <w:trPr>
          <w:trHeight w:val="332" w:hRule="exact"/>
        </w:trPr>
        <w:tc>
          <w:tcPr>
            <w:tcW w:w="1850" w:type="dxa"/>
            <w:tcBorders>
              <w:top w:val="nil" w:sz="6" w:space="0" w:color="auto"/>
              <w:left w:val="single" w:sz="6" w:space="0" w:color="000000"/>
              <w:bottom w:val="single" w:sz="12" w:space="0" w:color="000000"/>
              <w:right w:val="single" w:sz="6" w:space="0" w:color="000000"/>
            </w:tcBorders>
          </w:tcPr>
          <w:p>
            <w:pPr/>
          </w:p>
        </w:tc>
        <w:tc>
          <w:tcPr>
            <w:tcW w:w="1171" w:type="dxa"/>
            <w:tcBorders>
              <w:top w:val="nil" w:sz="6" w:space="0" w:color="auto"/>
              <w:left w:val="single" w:sz="6" w:space="0" w:color="000000"/>
              <w:bottom w:val="single" w:sz="12" w:space="0" w:color="000000"/>
              <w:right w:val="single" w:sz="6" w:space="0" w:color="000000"/>
            </w:tcBorders>
          </w:tcPr>
          <w:p>
            <w:pPr/>
          </w:p>
        </w:tc>
        <w:tc>
          <w:tcPr>
            <w:tcW w:w="966" w:type="dxa"/>
            <w:tcBorders>
              <w:top w:val="nil" w:sz="6" w:space="0" w:color="auto"/>
              <w:left w:val="single" w:sz="6" w:space="0" w:color="000000"/>
              <w:bottom w:val="single" w:sz="12" w:space="0" w:color="000000"/>
              <w:right w:val="single" w:sz="6" w:space="0" w:color="000000"/>
            </w:tcBorders>
          </w:tcPr>
          <w:p>
            <w:pPr/>
          </w:p>
        </w:tc>
        <w:tc>
          <w:tcPr>
            <w:tcW w:w="1237"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开发、销售</w:t>
            </w:r>
          </w:p>
        </w:tc>
        <w:tc>
          <w:tcPr>
            <w:tcW w:w="1171" w:type="dxa"/>
            <w:tcBorders>
              <w:top w:val="nil" w:sz="6" w:space="0" w:color="auto"/>
              <w:left w:val="single" w:sz="6" w:space="0" w:color="000000"/>
              <w:bottom w:val="single" w:sz="12" w:space="0" w:color="000000"/>
              <w:right w:val="single" w:sz="6" w:space="0" w:color="000000"/>
            </w:tcBorders>
          </w:tcPr>
          <w:p>
            <w:pPr/>
          </w:p>
        </w:tc>
        <w:tc>
          <w:tcPr>
            <w:tcW w:w="2755" w:type="dxa"/>
            <w:tcBorders>
              <w:top w:val="nil" w:sz="6" w:space="0" w:color="auto"/>
              <w:left w:val="single" w:sz="6" w:space="0" w:color="000000"/>
              <w:bottom w:val="single" w:sz="12" w:space="0" w:color="000000"/>
              <w:right w:val="nil" w:sz="6" w:space="0" w:color="auto"/>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计算机系统集成技术服务。</w:t>
            </w:r>
          </w:p>
        </w:tc>
      </w:tr>
      <w:tr>
        <w:trPr>
          <w:trHeight w:val="332" w:hRule="exact"/>
        </w:trPr>
        <w:tc>
          <w:tcPr>
            <w:tcW w:w="1850"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0"/>
              <w:ind w:left="2" w:right="-2"/>
              <w:jc w:val="left"/>
              <w:rPr>
                <w:rFonts w:ascii="宋体" w:hAnsi="宋体" w:cs="宋体" w:eastAsia="宋体" w:hint="default"/>
                <w:sz w:val="18"/>
                <w:szCs w:val="18"/>
              </w:rPr>
            </w:pPr>
            <w:r>
              <w:rPr>
                <w:rFonts w:ascii="宋体" w:hAnsi="宋体" w:cs="宋体" w:eastAsia="宋体" w:hint="default"/>
                <w:spacing w:val="2"/>
                <w:sz w:val="18"/>
                <w:szCs w:val="18"/>
              </w:rPr>
              <w:t>苏州新国都电子技术有</w:t>
            </w:r>
            <w:r>
              <w:rPr>
                <w:rFonts w:ascii="宋体" w:hAnsi="宋体" w:cs="宋体" w:eastAsia="宋体" w:hint="default"/>
                <w:sz w:val="18"/>
                <w:szCs w:val="18"/>
              </w:rPr>
            </w:r>
          </w:p>
        </w:tc>
        <w:tc>
          <w:tcPr>
            <w:tcW w:w="1171"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66"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苏州市</w:t>
            </w:r>
          </w:p>
        </w:tc>
        <w:tc>
          <w:tcPr>
            <w:tcW w:w="1237"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0"/>
              <w:ind w:left="3" w:right="-27"/>
              <w:jc w:val="left"/>
              <w:rPr>
                <w:rFonts w:ascii="宋体" w:hAnsi="宋体" w:cs="宋体" w:eastAsia="宋体" w:hint="default"/>
                <w:sz w:val="18"/>
                <w:szCs w:val="18"/>
              </w:rPr>
            </w:pPr>
            <w:r>
              <w:rPr>
                <w:rFonts w:ascii="宋体" w:hAnsi="宋体" w:cs="宋体" w:eastAsia="宋体" w:hint="default"/>
                <w:spacing w:val="22"/>
                <w:sz w:val="18"/>
                <w:szCs w:val="18"/>
              </w:rPr>
              <w:t>电子产品及计</w:t>
            </w:r>
            <w:r>
              <w:rPr>
                <w:rFonts w:ascii="宋体" w:hAnsi="宋体" w:cs="宋体" w:eastAsia="宋体" w:hint="default"/>
                <w:spacing w:val="-63"/>
                <w:sz w:val="18"/>
                <w:szCs w:val="18"/>
              </w:rPr>
              <w:t> </w:t>
            </w:r>
            <w:r>
              <w:rPr>
                <w:rFonts w:ascii="宋体" w:hAnsi="宋体" w:cs="宋体" w:eastAsia="宋体" w:hint="default"/>
                <w:sz w:val="18"/>
                <w:szCs w:val="18"/>
              </w:rPr>
            </w:r>
          </w:p>
        </w:tc>
        <w:tc>
          <w:tcPr>
            <w:tcW w:w="1171"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40,806</w:t>
            </w:r>
            <w:r>
              <w:rPr>
                <w:rFonts w:ascii="宋体" w:hAnsi="宋体" w:cs="宋体" w:eastAsia="宋体" w:hint="default"/>
                <w:sz w:val="18"/>
                <w:szCs w:val="18"/>
              </w:rPr>
              <w:t>万元</w:t>
            </w:r>
          </w:p>
        </w:tc>
        <w:tc>
          <w:tcPr>
            <w:tcW w:w="2755" w:type="dxa"/>
            <w:tcBorders>
              <w:top w:val="single" w:sz="12" w:space="0" w:color="000000"/>
              <w:left w:val="single" w:sz="6" w:space="0" w:color="000000"/>
              <w:bottom w:val="nil" w:sz="6" w:space="0" w:color="auto"/>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电子产品及计算机产品的开发、销</w:t>
            </w:r>
          </w:p>
        </w:tc>
      </w:tr>
      <w:tr>
        <w:trPr>
          <w:trHeight w:val="312" w:hRule="exact"/>
        </w:trPr>
        <w:tc>
          <w:tcPr>
            <w:tcW w:w="1850"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限公司</w:t>
            </w:r>
            <w:r>
              <w:rPr>
                <w:rFonts w:ascii="Times New Roman" w:hAnsi="Times New Roman" w:cs="Times New Roman" w:eastAsia="Times New Roman" w:hint="default"/>
                <w:sz w:val="18"/>
                <w:szCs w:val="18"/>
              </w:rPr>
              <w:t>*4</w:t>
            </w:r>
          </w:p>
        </w:tc>
        <w:tc>
          <w:tcPr>
            <w:tcW w:w="1171" w:type="dxa"/>
            <w:tcBorders>
              <w:top w:val="nil" w:sz="6" w:space="0" w:color="auto"/>
              <w:left w:val="single" w:sz="6" w:space="0" w:color="000000"/>
              <w:bottom w:val="nil" w:sz="6" w:space="0" w:color="auto"/>
              <w:right w:val="single" w:sz="6" w:space="0" w:color="000000"/>
            </w:tcBorders>
          </w:tcPr>
          <w:p>
            <w:pPr/>
          </w:p>
        </w:tc>
        <w:tc>
          <w:tcPr>
            <w:tcW w:w="966" w:type="dxa"/>
            <w:tcBorders>
              <w:top w:val="nil" w:sz="6" w:space="0" w:color="auto"/>
              <w:left w:val="single" w:sz="6" w:space="0" w:color="000000"/>
              <w:bottom w:val="nil" w:sz="6" w:space="0" w:color="auto"/>
              <w:right w:val="single" w:sz="6" w:space="0" w:color="000000"/>
            </w:tcBorders>
          </w:tcPr>
          <w:p>
            <w:pPr/>
          </w:p>
        </w:tc>
        <w:tc>
          <w:tcPr>
            <w:tcW w:w="1237"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27"/>
              <w:jc w:val="left"/>
              <w:rPr>
                <w:rFonts w:ascii="宋体" w:hAnsi="宋体" w:cs="宋体" w:eastAsia="宋体" w:hint="default"/>
                <w:sz w:val="18"/>
                <w:szCs w:val="18"/>
              </w:rPr>
            </w:pPr>
            <w:r>
              <w:rPr>
                <w:rFonts w:ascii="宋体" w:hAnsi="宋体" w:cs="宋体" w:eastAsia="宋体" w:hint="default"/>
                <w:spacing w:val="22"/>
                <w:sz w:val="18"/>
                <w:szCs w:val="18"/>
              </w:rPr>
              <w:t>算机产品的开</w:t>
            </w:r>
            <w:r>
              <w:rPr>
                <w:rFonts w:ascii="宋体" w:hAnsi="宋体" w:cs="宋体" w:eastAsia="宋体" w:hint="default"/>
                <w:spacing w:val="-63"/>
                <w:sz w:val="18"/>
                <w:szCs w:val="18"/>
              </w:rPr>
              <w:t> </w:t>
            </w:r>
            <w:r>
              <w:rPr>
                <w:rFonts w:ascii="宋体" w:hAnsi="宋体" w:cs="宋体" w:eastAsia="宋体" w:hint="default"/>
                <w:sz w:val="18"/>
                <w:szCs w:val="18"/>
              </w:rPr>
            </w:r>
          </w:p>
        </w:tc>
        <w:tc>
          <w:tcPr>
            <w:tcW w:w="1171" w:type="dxa"/>
            <w:tcBorders>
              <w:top w:val="nil" w:sz="6" w:space="0" w:color="auto"/>
              <w:left w:val="single" w:sz="6" w:space="0" w:color="000000"/>
              <w:bottom w:val="nil" w:sz="6" w:space="0" w:color="auto"/>
              <w:right w:val="single" w:sz="6" w:space="0" w:color="000000"/>
            </w:tcBorders>
          </w:tcPr>
          <w:p>
            <w:pPr/>
          </w:p>
        </w:tc>
        <w:tc>
          <w:tcPr>
            <w:tcW w:w="2755" w:type="dxa"/>
            <w:tcBorders>
              <w:top w:val="nil" w:sz="6" w:space="0" w:color="auto"/>
              <w:left w:val="single" w:sz="6" w:space="0" w:color="000000"/>
              <w:bottom w:val="nil" w:sz="6" w:space="0" w:color="auto"/>
              <w:right w:val="nil" w:sz="6" w:space="0" w:color="auto"/>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售、租赁及技术服务；软件技术开</w:t>
            </w:r>
          </w:p>
        </w:tc>
      </w:tr>
      <w:tr>
        <w:trPr>
          <w:trHeight w:val="307" w:hRule="exact"/>
        </w:trPr>
        <w:tc>
          <w:tcPr>
            <w:tcW w:w="1850" w:type="dxa"/>
            <w:tcBorders>
              <w:top w:val="nil" w:sz="6" w:space="0" w:color="auto"/>
              <w:left w:val="single" w:sz="6" w:space="0" w:color="000000"/>
              <w:bottom w:val="nil" w:sz="6" w:space="0" w:color="auto"/>
              <w:right w:val="single" w:sz="6" w:space="0" w:color="000000"/>
            </w:tcBorders>
          </w:tcPr>
          <w:p>
            <w:pPr/>
          </w:p>
        </w:tc>
        <w:tc>
          <w:tcPr>
            <w:tcW w:w="1171" w:type="dxa"/>
            <w:tcBorders>
              <w:top w:val="nil" w:sz="6" w:space="0" w:color="auto"/>
              <w:left w:val="single" w:sz="6" w:space="0" w:color="000000"/>
              <w:bottom w:val="nil" w:sz="6" w:space="0" w:color="auto"/>
              <w:right w:val="single" w:sz="6" w:space="0" w:color="000000"/>
            </w:tcBorders>
          </w:tcPr>
          <w:p>
            <w:pPr/>
          </w:p>
        </w:tc>
        <w:tc>
          <w:tcPr>
            <w:tcW w:w="966" w:type="dxa"/>
            <w:tcBorders>
              <w:top w:val="nil" w:sz="6" w:space="0" w:color="auto"/>
              <w:left w:val="single" w:sz="6" w:space="0" w:color="000000"/>
              <w:bottom w:val="nil" w:sz="6" w:space="0" w:color="auto"/>
              <w:right w:val="single" w:sz="6" w:space="0" w:color="000000"/>
            </w:tcBorders>
          </w:tcPr>
          <w:p>
            <w:pPr/>
          </w:p>
        </w:tc>
        <w:tc>
          <w:tcPr>
            <w:tcW w:w="1237"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发、销售</w:t>
            </w:r>
          </w:p>
        </w:tc>
        <w:tc>
          <w:tcPr>
            <w:tcW w:w="1171" w:type="dxa"/>
            <w:tcBorders>
              <w:top w:val="nil" w:sz="6" w:space="0" w:color="auto"/>
              <w:left w:val="single" w:sz="6" w:space="0" w:color="000000"/>
              <w:bottom w:val="nil" w:sz="6" w:space="0" w:color="auto"/>
              <w:right w:val="single" w:sz="6" w:space="0" w:color="000000"/>
            </w:tcBorders>
          </w:tcPr>
          <w:p>
            <w:pPr/>
          </w:p>
        </w:tc>
        <w:tc>
          <w:tcPr>
            <w:tcW w:w="2755" w:type="dxa"/>
            <w:tcBorders>
              <w:top w:val="nil" w:sz="6" w:space="0" w:color="auto"/>
              <w:left w:val="single" w:sz="6" w:space="0" w:color="000000"/>
              <w:bottom w:val="nil" w:sz="6" w:space="0" w:color="auto"/>
              <w:right w:val="nil" w:sz="6" w:space="0" w:color="auto"/>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发、销售、技术咨询及技术服务；</w:t>
            </w:r>
          </w:p>
        </w:tc>
      </w:tr>
      <w:tr>
        <w:trPr>
          <w:trHeight w:val="337" w:hRule="exact"/>
        </w:trPr>
        <w:tc>
          <w:tcPr>
            <w:tcW w:w="1850" w:type="dxa"/>
            <w:tcBorders>
              <w:top w:val="nil" w:sz="6" w:space="0" w:color="auto"/>
              <w:left w:val="single" w:sz="6" w:space="0" w:color="000000"/>
              <w:bottom w:val="single" w:sz="12" w:space="0" w:color="000000"/>
              <w:right w:val="single" w:sz="6" w:space="0" w:color="000000"/>
            </w:tcBorders>
          </w:tcPr>
          <w:p>
            <w:pPr/>
          </w:p>
        </w:tc>
        <w:tc>
          <w:tcPr>
            <w:tcW w:w="1171" w:type="dxa"/>
            <w:tcBorders>
              <w:top w:val="nil" w:sz="6" w:space="0" w:color="auto"/>
              <w:left w:val="single" w:sz="6" w:space="0" w:color="000000"/>
              <w:bottom w:val="single" w:sz="12" w:space="0" w:color="000000"/>
              <w:right w:val="single" w:sz="6" w:space="0" w:color="000000"/>
            </w:tcBorders>
          </w:tcPr>
          <w:p>
            <w:pPr/>
          </w:p>
        </w:tc>
        <w:tc>
          <w:tcPr>
            <w:tcW w:w="966" w:type="dxa"/>
            <w:tcBorders>
              <w:top w:val="nil" w:sz="6" w:space="0" w:color="auto"/>
              <w:left w:val="single" w:sz="6" w:space="0" w:color="000000"/>
              <w:bottom w:val="single" w:sz="12" w:space="0" w:color="000000"/>
              <w:right w:val="single" w:sz="6" w:space="0" w:color="000000"/>
            </w:tcBorders>
          </w:tcPr>
          <w:p>
            <w:pPr/>
          </w:p>
        </w:tc>
        <w:tc>
          <w:tcPr>
            <w:tcW w:w="1237" w:type="dxa"/>
            <w:tcBorders>
              <w:top w:val="nil" w:sz="6" w:space="0" w:color="auto"/>
              <w:left w:val="single" w:sz="6" w:space="0" w:color="000000"/>
              <w:bottom w:val="single" w:sz="12" w:space="0" w:color="000000"/>
              <w:right w:val="single" w:sz="6" w:space="0" w:color="000000"/>
            </w:tcBorders>
          </w:tcPr>
          <w:p>
            <w:pPr/>
          </w:p>
        </w:tc>
        <w:tc>
          <w:tcPr>
            <w:tcW w:w="1171" w:type="dxa"/>
            <w:tcBorders>
              <w:top w:val="nil" w:sz="6" w:space="0" w:color="auto"/>
              <w:left w:val="single" w:sz="6" w:space="0" w:color="000000"/>
              <w:bottom w:val="single" w:sz="12" w:space="0" w:color="000000"/>
              <w:right w:val="single" w:sz="6" w:space="0" w:color="000000"/>
            </w:tcBorders>
          </w:tcPr>
          <w:p>
            <w:pPr/>
          </w:p>
        </w:tc>
        <w:tc>
          <w:tcPr>
            <w:tcW w:w="2755" w:type="dxa"/>
            <w:tcBorders>
              <w:top w:val="nil" w:sz="6" w:space="0" w:color="auto"/>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计算机系统集成；投资咨询服务。</w:t>
            </w:r>
          </w:p>
        </w:tc>
      </w:tr>
    </w:tbl>
    <w:p>
      <w:pPr>
        <w:spacing w:line="240" w:lineRule="auto" w:before="4"/>
        <w:rPr>
          <w:rFonts w:ascii="宋体" w:hAnsi="宋体" w:cs="宋体" w:eastAsia="宋体" w:hint="default"/>
          <w:b/>
          <w:bCs/>
          <w:sz w:val="5"/>
          <w:szCs w:val="5"/>
        </w:rPr>
      </w:pPr>
    </w:p>
    <w:p>
      <w:pPr>
        <w:pStyle w:val="Heading4"/>
        <w:spacing w:line="240" w:lineRule="auto" w:before="35"/>
        <w:ind w:left="574" w:right="0"/>
        <w:jc w:val="left"/>
      </w:pPr>
      <w:r>
        <w:rPr/>
        <w:t>续：</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2023"/>
        <w:gridCol w:w="1130"/>
        <w:gridCol w:w="1196"/>
        <w:gridCol w:w="1615"/>
        <w:gridCol w:w="2202"/>
        <w:gridCol w:w="862"/>
      </w:tblGrid>
      <w:tr>
        <w:trPr>
          <w:trHeight w:val="356" w:hRule="exact"/>
        </w:trPr>
        <w:tc>
          <w:tcPr>
            <w:tcW w:w="202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93" w:right="0"/>
              <w:jc w:val="left"/>
              <w:rPr>
                <w:rFonts w:ascii="宋体" w:hAnsi="宋体" w:cs="宋体" w:eastAsia="宋体" w:hint="default"/>
                <w:sz w:val="18"/>
                <w:szCs w:val="18"/>
              </w:rPr>
            </w:pPr>
            <w:r>
              <w:rPr>
                <w:rFonts w:ascii="宋体" w:hAnsi="宋体" w:cs="宋体" w:eastAsia="宋体" w:hint="default"/>
                <w:sz w:val="18"/>
                <w:szCs w:val="18"/>
              </w:rPr>
              <w:t>子公司名称（全称）</w:t>
            </w:r>
          </w:p>
        </w:tc>
        <w:tc>
          <w:tcPr>
            <w:tcW w:w="11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96"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1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40" w:right="0"/>
              <w:jc w:val="left"/>
              <w:rPr>
                <w:rFonts w:ascii="宋体" w:hAnsi="宋体" w:cs="宋体" w:eastAsia="宋体" w:hint="default"/>
                <w:sz w:val="18"/>
                <w:szCs w:val="18"/>
              </w:rPr>
            </w:pPr>
            <w:r>
              <w:rPr>
                <w:rFonts w:ascii="宋体" w:hAnsi="宋体" w:cs="宋体" w:eastAsia="宋体" w:hint="default"/>
                <w:sz w:val="18"/>
                <w:szCs w:val="18"/>
              </w:rPr>
              <w:t>表决权比例</w:t>
            </w:r>
          </w:p>
        </w:tc>
        <w:tc>
          <w:tcPr>
            <w:tcW w:w="161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69" w:right="0"/>
              <w:jc w:val="left"/>
              <w:rPr>
                <w:rFonts w:ascii="宋体" w:hAnsi="宋体" w:cs="宋体" w:eastAsia="宋体" w:hint="default"/>
                <w:sz w:val="18"/>
                <w:szCs w:val="18"/>
              </w:rPr>
            </w:pPr>
            <w:r>
              <w:rPr>
                <w:rFonts w:ascii="宋体" w:hAnsi="宋体" w:cs="宋体" w:eastAsia="宋体" w:hint="default"/>
                <w:sz w:val="18"/>
                <w:szCs w:val="18"/>
              </w:rPr>
              <w:t>期末实际出资额</w:t>
            </w:r>
          </w:p>
        </w:tc>
        <w:tc>
          <w:tcPr>
            <w:tcW w:w="22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3" w:right="0"/>
              <w:jc w:val="left"/>
              <w:rPr>
                <w:rFonts w:ascii="宋体" w:hAnsi="宋体" w:cs="宋体" w:eastAsia="宋体" w:hint="default"/>
                <w:sz w:val="18"/>
                <w:szCs w:val="18"/>
              </w:rPr>
            </w:pPr>
            <w:r>
              <w:rPr>
                <w:rFonts w:ascii="宋体" w:hAnsi="宋体" w:cs="宋体" w:eastAsia="宋体" w:hint="default"/>
                <w:sz w:val="18"/>
                <w:szCs w:val="18"/>
              </w:rPr>
              <w:t>实质上构成对子公司净投资</w:t>
            </w:r>
          </w:p>
        </w:tc>
        <w:tc>
          <w:tcPr>
            <w:tcW w:w="86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243" w:right="0"/>
              <w:jc w:val="left"/>
              <w:rPr>
                <w:rFonts w:ascii="宋体" w:hAnsi="宋体" w:cs="宋体" w:eastAsia="宋体" w:hint="default"/>
                <w:sz w:val="18"/>
                <w:szCs w:val="18"/>
              </w:rPr>
            </w:pPr>
            <w:r>
              <w:rPr>
                <w:rFonts w:ascii="宋体" w:hAnsi="宋体" w:cs="宋体" w:eastAsia="宋体" w:hint="default"/>
                <w:sz w:val="18"/>
                <w:szCs w:val="18"/>
              </w:rPr>
              <w:t>是否</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023"/>
        <w:gridCol w:w="1130"/>
        <w:gridCol w:w="1196"/>
        <w:gridCol w:w="1615"/>
        <w:gridCol w:w="2202"/>
        <w:gridCol w:w="862"/>
      </w:tblGrid>
      <w:tr>
        <w:trPr>
          <w:trHeight w:val="355" w:hRule="exact"/>
        </w:trPr>
        <w:tc>
          <w:tcPr>
            <w:tcW w:w="2023" w:type="dxa"/>
            <w:tcBorders>
              <w:top w:val="single" w:sz="6" w:space="0" w:color="000000"/>
              <w:left w:val="single" w:sz="6" w:space="0" w:color="000000"/>
              <w:bottom w:val="single" w:sz="12" w:space="0" w:color="000000"/>
              <w:right w:val="single" w:sz="6" w:space="0" w:color="000000"/>
            </w:tcBorders>
          </w:tcPr>
          <w:p>
            <w:pPr/>
          </w:p>
        </w:tc>
        <w:tc>
          <w:tcPr>
            <w:tcW w:w="1130" w:type="dxa"/>
            <w:tcBorders>
              <w:top w:val="single" w:sz="6" w:space="0" w:color="000000"/>
              <w:left w:val="single" w:sz="6" w:space="0" w:color="000000"/>
              <w:bottom w:val="single" w:sz="12" w:space="0" w:color="000000"/>
              <w:right w:val="single" w:sz="6" w:space="0" w:color="000000"/>
            </w:tcBorders>
          </w:tcPr>
          <w:p>
            <w:pPr/>
          </w:p>
        </w:tc>
        <w:tc>
          <w:tcPr>
            <w:tcW w:w="1196" w:type="dxa"/>
            <w:tcBorders>
              <w:top w:val="single" w:sz="6" w:space="0" w:color="000000"/>
              <w:left w:val="single" w:sz="6" w:space="0" w:color="000000"/>
              <w:bottom w:val="single" w:sz="12" w:space="0" w:color="000000"/>
              <w:right w:val="single" w:sz="6" w:space="0" w:color="000000"/>
            </w:tcBorders>
          </w:tcPr>
          <w:p>
            <w:pPr/>
          </w:p>
        </w:tc>
        <w:tc>
          <w:tcPr>
            <w:tcW w:w="1615" w:type="dxa"/>
            <w:tcBorders>
              <w:top w:val="single" w:sz="6" w:space="0" w:color="000000"/>
              <w:left w:val="single" w:sz="6" w:space="0" w:color="000000"/>
              <w:bottom w:val="single" w:sz="12" w:space="0" w:color="000000"/>
              <w:right w:val="single" w:sz="6" w:space="0" w:color="000000"/>
            </w:tcBorders>
          </w:tcPr>
          <w:p>
            <w:pPr/>
          </w:p>
        </w:tc>
        <w:tc>
          <w:tcPr>
            <w:tcW w:w="22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463" w:right="0"/>
              <w:jc w:val="left"/>
              <w:rPr>
                <w:rFonts w:ascii="宋体" w:hAnsi="宋体" w:cs="宋体" w:eastAsia="宋体" w:hint="default"/>
                <w:sz w:val="18"/>
                <w:szCs w:val="18"/>
              </w:rPr>
            </w:pPr>
            <w:r>
              <w:rPr>
                <w:rFonts w:ascii="宋体" w:hAnsi="宋体" w:cs="宋体" w:eastAsia="宋体" w:hint="default"/>
                <w:sz w:val="18"/>
                <w:szCs w:val="18"/>
              </w:rPr>
              <w:t>的其他项目余额</w:t>
            </w:r>
          </w:p>
        </w:tc>
        <w:tc>
          <w:tcPr>
            <w:tcW w:w="86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合并</w:t>
            </w:r>
          </w:p>
        </w:tc>
      </w:tr>
      <w:tr>
        <w:trPr>
          <w:trHeight w:val="664" w:hRule="exact"/>
        </w:trPr>
        <w:tc>
          <w:tcPr>
            <w:tcW w:w="20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深圳市易联技术有限公司</w:t>
            </w:r>
          </w:p>
          <w:p>
            <w:pPr>
              <w:pStyle w:val="TableParagraph"/>
              <w:spacing w:line="240" w:lineRule="auto" w:before="116"/>
              <w:ind w:left="2" w:right="0"/>
              <w:jc w:val="left"/>
              <w:rPr>
                <w:rFonts w:ascii="Times New Roman" w:hAnsi="Times New Roman" w:cs="Times New Roman" w:eastAsia="Times New Roman" w:hint="default"/>
                <w:sz w:val="18"/>
                <w:szCs w:val="18"/>
              </w:rPr>
            </w:pPr>
            <w:r>
              <w:rPr>
                <w:rFonts w:ascii="Times New Roman"/>
                <w:sz w:val="18"/>
              </w:rPr>
              <w:t>*1</w:t>
            </w:r>
          </w:p>
        </w:tc>
        <w:tc>
          <w:tcPr>
            <w:tcW w:w="11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346" w:right="0"/>
              <w:jc w:val="left"/>
              <w:rPr>
                <w:rFonts w:ascii="Times New Roman" w:hAnsi="Times New Roman" w:cs="Times New Roman" w:eastAsia="Times New Roman" w:hint="default"/>
                <w:sz w:val="18"/>
                <w:szCs w:val="18"/>
              </w:rPr>
            </w:pPr>
            <w:r>
              <w:rPr>
                <w:rFonts w:ascii="Times New Roman"/>
                <w:sz w:val="18"/>
              </w:rPr>
              <w:t>100%</w:t>
            </w:r>
          </w:p>
        </w:tc>
        <w:tc>
          <w:tcPr>
            <w:tcW w:w="11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100%</w:t>
            </w:r>
          </w:p>
        </w:tc>
        <w:tc>
          <w:tcPr>
            <w:tcW w:w="16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11,000</w:t>
            </w:r>
            <w:r>
              <w:rPr>
                <w:rFonts w:ascii="宋体" w:hAnsi="宋体" w:cs="宋体" w:eastAsia="宋体" w:hint="default"/>
                <w:sz w:val="18"/>
                <w:szCs w:val="18"/>
              </w:rPr>
              <w:t>万元</w:t>
            </w:r>
          </w:p>
        </w:tc>
        <w:tc>
          <w:tcPr>
            <w:tcW w:w="22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w:t>
            </w:r>
          </w:p>
        </w:tc>
        <w:tc>
          <w:tcPr>
            <w:tcW w:w="86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665" w:hRule="exact"/>
        </w:trPr>
        <w:tc>
          <w:tcPr>
            <w:tcW w:w="2023"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1"/>
              <w:jc w:val="left"/>
              <w:rPr>
                <w:rFonts w:ascii="Times New Roman" w:hAnsi="Times New Roman" w:cs="Times New Roman" w:eastAsia="Times New Roman" w:hint="default"/>
                <w:sz w:val="18"/>
                <w:szCs w:val="18"/>
              </w:rPr>
            </w:pPr>
            <w:r>
              <w:rPr>
                <w:rFonts w:ascii="宋体" w:hAnsi="宋体" w:cs="宋体" w:eastAsia="宋体" w:hint="default"/>
                <w:sz w:val="18"/>
                <w:szCs w:val="18"/>
              </w:rPr>
              <w:t>南京市新国都技术有限公</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司</w:t>
            </w:r>
            <w:r>
              <w:rPr>
                <w:rFonts w:ascii="Times New Roman" w:hAnsi="Times New Roman" w:cs="Times New Roman" w:eastAsia="Times New Roman" w:hint="default"/>
                <w:sz w:val="18"/>
                <w:szCs w:val="18"/>
              </w:rPr>
              <w:t>*2</w:t>
            </w:r>
          </w:p>
        </w:tc>
        <w:tc>
          <w:tcPr>
            <w:tcW w:w="11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346" w:right="0"/>
              <w:jc w:val="left"/>
              <w:rPr>
                <w:rFonts w:ascii="Times New Roman" w:hAnsi="Times New Roman" w:cs="Times New Roman" w:eastAsia="Times New Roman" w:hint="default"/>
                <w:sz w:val="18"/>
                <w:szCs w:val="18"/>
              </w:rPr>
            </w:pPr>
            <w:r>
              <w:rPr>
                <w:rFonts w:ascii="Times New Roman"/>
                <w:sz w:val="18"/>
              </w:rPr>
              <w:t>100%</w:t>
            </w:r>
          </w:p>
        </w:tc>
        <w:tc>
          <w:tcPr>
            <w:tcW w:w="11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100%</w:t>
            </w:r>
          </w:p>
        </w:tc>
        <w:tc>
          <w:tcPr>
            <w:tcW w:w="16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1,300</w:t>
            </w:r>
            <w:r>
              <w:rPr>
                <w:rFonts w:ascii="宋体" w:hAnsi="宋体" w:cs="宋体" w:eastAsia="宋体" w:hint="default"/>
                <w:sz w:val="18"/>
                <w:szCs w:val="18"/>
              </w:rPr>
              <w:t>万元</w:t>
            </w:r>
          </w:p>
        </w:tc>
        <w:tc>
          <w:tcPr>
            <w:tcW w:w="22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w:t>
            </w:r>
          </w:p>
        </w:tc>
        <w:tc>
          <w:tcPr>
            <w:tcW w:w="86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664" w:hRule="exact"/>
        </w:trPr>
        <w:tc>
          <w:tcPr>
            <w:tcW w:w="2023"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1"/>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广州市新国都信息科技有</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限公司</w:t>
            </w:r>
            <w:r>
              <w:rPr>
                <w:rFonts w:ascii="Times New Roman" w:hAnsi="Times New Roman" w:cs="Times New Roman" w:eastAsia="Times New Roman" w:hint="default"/>
                <w:sz w:val="18"/>
                <w:szCs w:val="18"/>
              </w:rPr>
              <w:t>*3</w:t>
            </w:r>
          </w:p>
        </w:tc>
        <w:tc>
          <w:tcPr>
            <w:tcW w:w="11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346" w:right="0"/>
              <w:jc w:val="left"/>
              <w:rPr>
                <w:rFonts w:ascii="Times New Roman" w:hAnsi="Times New Roman" w:cs="Times New Roman" w:eastAsia="Times New Roman" w:hint="default"/>
                <w:sz w:val="18"/>
                <w:szCs w:val="18"/>
              </w:rPr>
            </w:pPr>
            <w:r>
              <w:rPr>
                <w:rFonts w:ascii="Times New Roman"/>
                <w:sz w:val="18"/>
              </w:rPr>
              <w:t>100%</w:t>
            </w:r>
          </w:p>
        </w:tc>
        <w:tc>
          <w:tcPr>
            <w:tcW w:w="11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100%</w:t>
            </w:r>
          </w:p>
        </w:tc>
        <w:tc>
          <w:tcPr>
            <w:tcW w:w="16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300</w:t>
            </w:r>
            <w:r>
              <w:rPr>
                <w:rFonts w:ascii="宋体" w:hAnsi="宋体" w:cs="宋体" w:eastAsia="宋体" w:hint="default"/>
                <w:sz w:val="18"/>
                <w:szCs w:val="18"/>
              </w:rPr>
              <w:t>万元</w:t>
            </w:r>
          </w:p>
        </w:tc>
        <w:tc>
          <w:tcPr>
            <w:tcW w:w="22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w:t>
            </w:r>
          </w:p>
        </w:tc>
        <w:tc>
          <w:tcPr>
            <w:tcW w:w="86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664" w:hRule="exact"/>
        </w:trPr>
        <w:tc>
          <w:tcPr>
            <w:tcW w:w="2023"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1"/>
              <w:jc w:val="left"/>
              <w:rPr>
                <w:rFonts w:ascii="Times New Roman" w:hAnsi="Times New Roman" w:cs="Times New Roman" w:eastAsia="Times New Roman" w:hint="default"/>
                <w:sz w:val="18"/>
                <w:szCs w:val="18"/>
              </w:rPr>
            </w:pPr>
            <w:r>
              <w:rPr>
                <w:rFonts w:ascii="宋体" w:hAnsi="宋体" w:cs="宋体" w:eastAsia="宋体" w:hint="default"/>
                <w:sz w:val="18"/>
                <w:szCs w:val="18"/>
              </w:rPr>
              <w:t>苏州新国都电子技术有限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公司</w:t>
            </w:r>
            <w:r>
              <w:rPr>
                <w:rFonts w:ascii="Times New Roman" w:hAnsi="Times New Roman" w:cs="Times New Roman" w:eastAsia="Times New Roman" w:hint="default"/>
                <w:sz w:val="18"/>
                <w:szCs w:val="18"/>
              </w:rPr>
              <w:t>*4</w:t>
            </w:r>
          </w:p>
        </w:tc>
        <w:tc>
          <w:tcPr>
            <w:tcW w:w="11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79" w:right="0"/>
              <w:jc w:val="left"/>
              <w:rPr>
                <w:rFonts w:ascii="Times New Roman" w:hAnsi="Times New Roman" w:cs="Times New Roman" w:eastAsia="Times New Roman" w:hint="default"/>
                <w:sz w:val="18"/>
                <w:szCs w:val="18"/>
              </w:rPr>
            </w:pPr>
            <w:r>
              <w:rPr>
                <w:rFonts w:ascii="Times New Roman"/>
                <w:sz w:val="18"/>
              </w:rPr>
              <w:t>94.60%</w:t>
            </w:r>
          </w:p>
        </w:tc>
        <w:tc>
          <w:tcPr>
            <w:tcW w:w="11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94.60%</w:t>
            </w:r>
          </w:p>
        </w:tc>
        <w:tc>
          <w:tcPr>
            <w:tcW w:w="16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39,306</w:t>
            </w:r>
            <w:r>
              <w:rPr>
                <w:rFonts w:ascii="宋体" w:hAnsi="宋体" w:cs="宋体" w:eastAsia="宋体" w:hint="default"/>
                <w:sz w:val="18"/>
                <w:szCs w:val="18"/>
              </w:rPr>
              <w:t>万元</w:t>
            </w:r>
          </w:p>
        </w:tc>
        <w:tc>
          <w:tcPr>
            <w:tcW w:w="22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w:t>
            </w:r>
          </w:p>
        </w:tc>
        <w:tc>
          <w:tcPr>
            <w:tcW w:w="86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0"/>
        <w:rPr>
          <w:rFonts w:ascii="宋体" w:hAnsi="宋体" w:cs="宋体" w:eastAsia="宋体" w:hint="default"/>
          <w:sz w:val="20"/>
          <w:szCs w:val="20"/>
        </w:rPr>
      </w:pPr>
    </w:p>
    <w:p>
      <w:pPr>
        <w:pStyle w:val="Heading4"/>
        <w:spacing w:line="240" w:lineRule="auto" w:before="35"/>
        <w:ind w:left="574" w:right="0"/>
        <w:jc w:val="left"/>
      </w:pPr>
      <w:r>
        <w:rPr/>
        <w:t>续：</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2024"/>
        <w:gridCol w:w="1021"/>
        <w:gridCol w:w="1414"/>
        <w:gridCol w:w="1615"/>
        <w:gridCol w:w="1177"/>
        <w:gridCol w:w="1764"/>
      </w:tblGrid>
      <w:tr>
        <w:trPr>
          <w:trHeight w:val="1916" w:hRule="exact"/>
        </w:trPr>
        <w:tc>
          <w:tcPr>
            <w:tcW w:w="20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94" w:right="0"/>
              <w:jc w:val="left"/>
              <w:rPr>
                <w:rFonts w:ascii="宋体" w:hAnsi="宋体" w:cs="宋体" w:eastAsia="宋体" w:hint="default"/>
                <w:sz w:val="18"/>
                <w:szCs w:val="18"/>
              </w:rPr>
            </w:pPr>
            <w:r>
              <w:rPr>
                <w:rFonts w:ascii="宋体" w:hAnsi="宋体" w:cs="宋体" w:eastAsia="宋体" w:hint="default"/>
                <w:sz w:val="18"/>
                <w:szCs w:val="18"/>
              </w:rPr>
              <w:t>子公司名称（全称）</w:t>
            </w:r>
          </w:p>
        </w:tc>
        <w:tc>
          <w:tcPr>
            <w:tcW w:w="1021"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322" w:right="323"/>
              <w:jc w:val="left"/>
              <w:rPr>
                <w:rFonts w:ascii="宋体" w:hAnsi="宋体" w:cs="宋体" w:eastAsia="宋体" w:hint="default"/>
                <w:sz w:val="18"/>
                <w:szCs w:val="18"/>
              </w:rPr>
            </w:pPr>
            <w:r>
              <w:rPr>
                <w:rFonts w:ascii="宋体" w:hAnsi="宋体" w:cs="宋体" w:eastAsia="宋体" w:hint="default"/>
                <w:sz w:val="18"/>
                <w:szCs w:val="18"/>
              </w:rPr>
              <w:t>企业 类型</w:t>
            </w:r>
          </w:p>
        </w:tc>
        <w:tc>
          <w:tcPr>
            <w:tcW w:w="14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161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59"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177"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40" w:right="41"/>
              <w:jc w:val="center"/>
              <w:rPr>
                <w:rFonts w:ascii="宋体" w:hAnsi="宋体" w:cs="宋体" w:eastAsia="宋体" w:hint="default"/>
                <w:sz w:val="18"/>
                <w:szCs w:val="18"/>
              </w:rPr>
            </w:pPr>
            <w:r>
              <w:rPr>
                <w:rFonts w:ascii="宋体" w:hAnsi="宋体" w:cs="宋体" w:eastAsia="宋体" w:hint="default"/>
                <w:sz w:val="18"/>
                <w:szCs w:val="18"/>
              </w:rPr>
              <w:t>少数股东权益 中用于冲减少 数股东损益的 金额</w:t>
            </w:r>
          </w:p>
        </w:tc>
        <w:tc>
          <w:tcPr>
            <w:tcW w:w="1764" w:type="dxa"/>
            <w:tcBorders>
              <w:top w:val="single" w:sz="6" w:space="0" w:color="000000"/>
              <w:left w:val="single" w:sz="6" w:space="0" w:color="000000"/>
              <w:bottom w:val="single" w:sz="12" w:space="0" w:color="000000"/>
              <w:right w:val="nil" w:sz="6" w:space="0" w:color="auto"/>
            </w:tcBorders>
          </w:tcPr>
          <w:p>
            <w:pPr>
              <w:pStyle w:val="TableParagraph"/>
              <w:spacing w:line="316" w:lineRule="auto" w:before="21"/>
              <w:ind w:left="63" w:right="71"/>
              <w:jc w:val="both"/>
              <w:rPr>
                <w:rFonts w:ascii="宋体" w:hAnsi="宋体" w:cs="宋体" w:eastAsia="宋体" w:hint="default"/>
                <w:sz w:val="18"/>
                <w:szCs w:val="18"/>
              </w:rPr>
            </w:pPr>
            <w:r>
              <w:rPr>
                <w:rFonts w:ascii="宋体" w:hAnsi="宋体" w:cs="宋体" w:eastAsia="宋体" w:hint="default"/>
                <w:sz w:val="18"/>
                <w:szCs w:val="18"/>
              </w:rPr>
              <w:t>从母公司所有者权益 冲减子公司少数股东 分担的本期亏损超过 少数股东在该子公司 期初所有者权益中所 享有份额后的余额</w:t>
            </w:r>
          </w:p>
        </w:tc>
      </w:tr>
      <w:tr>
        <w:trPr>
          <w:trHeight w:val="664" w:hRule="exact"/>
        </w:trPr>
        <w:tc>
          <w:tcPr>
            <w:tcW w:w="20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深圳市易联技术有限公司</w:t>
            </w:r>
          </w:p>
          <w:p>
            <w:pPr>
              <w:pStyle w:val="TableParagraph"/>
              <w:spacing w:line="240" w:lineRule="auto" w:before="116"/>
              <w:ind w:left="2" w:right="0"/>
              <w:jc w:val="left"/>
              <w:rPr>
                <w:rFonts w:ascii="Times New Roman" w:hAnsi="Times New Roman" w:cs="Times New Roman" w:eastAsia="Times New Roman" w:hint="default"/>
                <w:sz w:val="18"/>
                <w:szCs w:val="18"/>
              </w:rPr>
            </w:pPr>
            <w:r>
              <w:rPr>
                <w:rFonts w:ascii="Times New Roman"/>
                <w:sz w:val="18"/>
              </w:rPr>
              <w:t>*1</w:t>
            </w:r>
          </w:p>
        </w:tc>
        <w:tc>
          <w:tcPr>
            <w:tcW w:w="10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4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67004405-3</w:t>
            </w:r>
          </w:p>
        </w:tc>
        <w:tc>
          <w:tcPr>
            <w:tcW w:w="16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w:t>
            </w:r>
          </w:p>
        </w:tc>
        <w:tc>
          <w:tcPr>
            <w:tcW w:w="11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w:t>
            </w:r>
          </w:p>
        </w:tc>
        <w:tc>
          <w:tcPr>
            <w:tcW w:w="176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w:t>
            </w:r>
          </w:p>
        </w:tc>
      </w:tr>
      <w:tr>
        <w:trPr>
          <w:trHeight w:val="664" w:hRule="exact"/>
        </w:trPr>
        <w:tc>
          <w:tcPr>
            <w:tcW w:w="2024"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1"/>
              <w:jc w:val="left"/>
              <w:rPr>
                <w:rFonts w:ascii="Times New Roman" w:hAnsi="Times New Roman" w:cs="Times New Roman" w:eastAsia="Times New Roman" w:hint="default"/>
                <w:sz w:val="18"/>
                <w:szCs w:val="18"/>
              </w:rPr>
            </w:pPr>
            <w:r>
              <w:rPr>
                <w:rFonts w:ascii="宋体" w:hAnsi="宋体" w:cs="宋体" w:eastAsia="宋体" w:hint="default"/>
                <w:sz w:val="18"/>
                <w:szCs w:val="18"/>
              </w:rPr>
              <w:t>南京市新国都技术有限公</w:t>
            </w:r>
            <w:r>
              <w:rPr>
                <w:rFonts w:ascii="宋体" w:hAnsi="宋体" w:cs="宋体" w:eastAsia="宋体" w:hint="default"/>
                <w:spacing w:val="-69"/>
                <w:sz w:val="18"/>
                <w:szCs w:val="18"/>
              </w:rPr>
              <w:t> </w:t>
            </w:r>
            <w:r>
              <w:rPr>
                <w:rFonts w:ascii="宋体" w:hAnsi="宋体" w:cs="宋体" w:eastAsia="宋体" w:hint="default"/>
                <w:sz w:val="18"/>
                <w:szCs w:val="18"/>
              </w:rPr>
              <w:t>司</w:t>
            </w:r>
            <w:r>
              <w:rPr>
                <w:rFonts w:ascii="Times New Roman" w:hAnsi="Times New Roman" w:cs="Times New Roman" w:eastAsia="Times New Roman" w:hint="default"/>
                <w:sz w:val="18"/>
                <w:szCs w:val="18"/>
              </w:rPr>
              <w:t>*2</w:t>
            </w:r>
          </w:p>
        </w:tc>
        <w:tc>
          <w:tcPr>
            <w:tcW w:w="10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4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68672193-6</w:t>
            </w:r>
          </w:p>
        </w:tc>
        <w:tc>
          <w:tcPr>
            <w:tcW w:w="16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w:t>
            </w:r>
          </w:p>
        </w:tc>
        <w:tc>
          <w:tcPr>
            <w:tcW w:w="11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w:t>
            </w:r>
          </w:p>
        </w:tc>
        <w:tc>
          <w:tcPr>
            <w:tcW w:w="176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w:t>
            </w:r>
          </w:p>
        </w:tc>
      </w:tr>
      <w:tr>
        <w:trPr>
          <w:trHeight w:val="665" w:hRule="exact"/>
        </w:trPr>
        <w:tc>
          <w:tcPr>
            <w:tcW w:w="2024"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1"/>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广州市新国都信息科技有</w:t>
            </w:r>
            <w:r>
              <w:rPr>
                <w:rFonts w:ascii="宋体" w:hAnsi="宋体" w:cs="宋体" w:eastAsia="宋体" w:hint="default"/>
                <w:spacing w:val="-69"/>
                <w:sz w:val="18"/>
                <w:szCs w:val="18"/>
              </w:rPr>
              <w:t> </w:t>
            </w:r>
            <w:r>
              <w:rPr>
                <w:rFonts w:ascii="宋体" w:hAnsi="宋体" w:cs="宋体" w:eastAsia="宋体" w:hint="default"/>
                <w:sz w:val="18"/>
                <w:szCs w:val="18"/>
              </w:rPr>
              <w:t>限公司</w:t>
            </w:r>
            <w:r>
              <w:rPr>
                <w:rFonts w:ascii="Times New Roman" w:hAnsi="Times New Roman" w:cs="Times New Roman" w:eastAsia="Times New Roman" w:hint="default"/>
                <w:sz w:val="18"/>
                <w:szCs w:val="18"/>
              </w:rPr>
              <w:t>*3</w:t>
            </w:r>
          </w:p>
        </w:tc>
        <w:tc>
          <w:tcPr>
            <w:tcW w:w="10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4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68934614-X</w:t>
            </w:r>
          </w:p>
        </w:tc>
        <w:tc>
          <w:tcPr>
            <w:tcW w:w="16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w w:val="95"/>
                <w:sz w:val="18"/>
              </w:rPr>
              <w:t>---</w:t>
            </w:r>
            <w:r>
              <w:rPr>
                <w:rFonts w:ascii="Times New Roman"/>
                <w:w w:val="95"/>
                <w:sz w:val="18"/>
              </w:rPr>
            </w:r>
          </w:p>
        </w:tc>
        <w:tc>
          <w:tcPr>
            <w:tcW w:w="11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w:t>
            </w:r>
          </w:p>
        </w:tc>
        <w:tc>
          <w:tcPr>
            <w:tcW w:w="176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w:t>
            </w:r>
          </w:p>
        </w:tc>
      </w:tr>
      <w:tr>
        <w:trPr>
          <w:trHeight w:val="664" w:hRule="exact"/>
        </w:trPr>
        <w:tc>
          <w:tcPr>
            <w:tcW w:w="2024"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1"/>
              <w:jc w:val="left"/>
              <w:rPr>
                <w:rFonts w:ascii="Times New Roman" w:hAnsi="Times New Roman" w:cs="Times New Roman" w:eastAsia="Times New Roman" w:hint="default"/>
                <w:sz w:val="18"/>
                <w:szCs w:val="18"/>
              </w:rPr>
            </w:pPr>
            <w:r>
              <w:rPr>
                <w:rFonts w:ascii="宋体" w:hAnsi="宋体" w:cs="宋体" w:eastAsia="宋体" w:hint="default"/>
                <w:sz w:val="18"/>
                <w:szCs w:val="18"/>
              </w:rPr>
              <w:t>苏州新国都电子技术有限</w:t>
            </w:r>
            <w:r>
              <w:rPr>
                <w:rFonts w:ascii="宋体" w:hAnsi="宋体" w:cs="宋体" w:eastAsia="宋体" w:hint="default"/>
                <w:spacing w:val="-69"/>
                <w:sz w:val="18"/>
                <w:szCs w:val="18"/>
              </w:rPr>
              <w:t> </w:t>
            </w:r>
            <w:r>
              <w:rPr>
                <w:rFonts w:ascii="宋体" w:hAnsi="宋体" w:cs="宋体" w:eastAsia="宋体" w:hint="default"/>
                <w:sz w:val="18"/>
                <w:szCs w:val="18"/>
              </w:rPr>
              <w:t>公司</w:t>
            </w:r>
            <w:r>
              <w:rPr>
                <w:rFonts w:ascii="Times New Roman" w:hAnsi="Times New Roman" w:cs="Times New Roman" w:eastAsia="Times New Roman" w:hint="default"/>
                <w:sz w:val="18"/>
                <w:szCs w:val="18"/>
              </w:rPr>
              <w:t>*4</w:t>
            </w:r>
          </w:p>
        </w:tc>
        <w:tc>
          <w:tcPr>
            <w:tcW w:w="10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4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58105574-6</w:t>
            </w:r>
          </w:p>
        </w:tc>
        <w:tc>
          <w:tcPr>
            <w:tcW w:w="16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2,923,212.55</w:t>
            </w:r>
          </w:p>
        </w:tc>
        <w:tc>
          <w:tcPr>
            <w:tcW w:w="11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w:t>
            </w:r>
          </w:p>
        </w:tc>
        <w:tc>
          <w:tcPr>
            <w:tcW w:w="176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21"/>
          <w:szCs w:val="21"/>
        </w:rPr>
      </w:pPr>
    </w:p>
    <w:p>
      <w:pPr>
        <w:pStyle w:val="BodyText"/>
        <w:spacing w:line="300" w:lineRule="auto"/>
        <w:ind w:left="153" w:right="147" w:firstLine="360"/>
        <w:jc w:val="both"/>
      </w:pPr>
      <w:r>
        <w:rPr>
          <w:rFonts w:ascii="Times New Roman" w:hAnsi="Times New Roman" w:cs="Times New Roman" w:eastAsia="Times New Roman" w:hint="default"/>
        </w:rPr>
        <w:t>*1</w:t>
      </w:r>
      <w:r>
        <w:rPr/>
        <w:t>深圳市易联技术有限公司（以下简称</w:t>
      </w:r>
      <w:r>
        <w:rPr>
          <w:rFonts w:ascii="Times New Roman" w:hAnsi="Times New Roman" w:cs="Times New Roman" w:eastAsia="Times New Roman" w:hint="default"/>
        </w:rPr>
        <w:t>“</w:t>
      </w:r>
      <w:r>
        <w:rPr/>
        <w:t>易联技术</w:t>
      </w:r>
      <w:r>
        <w:rPr>
          <w:rFonts w:ascii="Times New Roman" w:hAnsi="Times New Roman" w:cs="Times New Roman" w:eastAsia="Times New Roman" w:hint="default"/>
        </w:rPr>
        <w:t>”</w:t>
      </w:r>
      <w:r>
        <w:rPr/>
        <w:t>）原名深圳市新国都软件技术有限公司，由本公司</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11</w:t>
      </w:r>
      <w:r>
        <w:rPr/>
        <w:t>月出资</w:t>
      </w:r>
      <w:r>
        <w:rPr>
          <w:spacing w:val="2"/>
        </w:rPr>
        <w:t> </w:t>
      </w:r>
      <w:r>
        <w:rPr>
          <w:rFonts w:ascii="Times New Roman" w:hAnsi="Times New Roman" w:cs="Times New Roman" w:eastAsia="Times New Roman" w:hint="default"/>
        </w:rPr>
        <w:t>50.00</w:t>
      </w:r>
      <w:r>
        <w:rPr/>
        <w:t>万元设立，投资比例</w:t>
      </w:r>
      <w:r>
        <w:rPr>
          <w:rFonts w:ascii="Times New Roman" w:hAnsi="Times New Roman" w:cs="Times New Roman" w:eastAsia="Times New Roman" w:hint="default"/>
        </w:rPr>
        <w:t>100%</w:t>
      </w:r>
      <w:r>
        <w:rPr/>
        <w:t>。该出资业经深圳恒平会计师事务所深恒平所</w:t>
      </w:r>
      <w:r>
        <w:rPr>
          <w:rFonts w:ascii="Times New Roman" w:hAnsi="Times New Roman" w:cs="Times New Roman" w:eastAsia="Times New Roman" w:hint="default"/>
        </w:rPr>
        <w:t>(</w:t>
      </w:r>
      <w:r>
        <w:rPr/>
        <w:t>内</w:t>
      </w:r>
      <w:r>
        <w:rPr>
          <w:rFonts w:ascii="Times New Roman" w:hAnsi="Times New Roman" w:cs="Times New Roman" w:eastAsia="Times New Roman" w:hint="default"/>
        </w:rPr>
        <w:t>)</w:t>
      </w:r>
      <w:r>
        <w:rPr/>
        <w:t>验字</w:t>
      </w:r>
      <w:r>
        <w:rPr>
          <w:rFonts w:ascii="Times New Roman" w:hAnsi="Times New Roman" w:cs="Times New Roman" w:eastAsia="Times New Roman" w:hint="default"/>
        </w:rPr>
        <w:t>[2007]165</w:t>
      </w:r>
      <w:r>
        <w:rPr/>
        <w:t>号验资报告验证。</w:t>
      </w:r>
    </w:p>
    <w:p>
      <w:pPr>
        <w:pStyle w:val="BodyText"/>
        <w:spacing w:line="300" w:lineRule="auto" w:before="13"/>
        <w:ind w:left="153" w:right="151" w:firstLine="360"/>
        <w:jc w:val="both"/>
      </w:pPr>
      <w:r>
        <w:rPr>
          <w:spacing w:val="-2"/>
        </w:rPr>
        <w:t>本公司于</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24</w:t>
      </w:r>
      <w:r>
        <w:rPr>
          <w:spacing w:val="-2"/>
        </w:rPr>
        <w:t>日以货币资金向易联技术增资</w:t>
      </w:r>
      <w:r>
        <w:rPr>
          <w:rFonts w:ascii="Times New Roman" w:hAnsi="Times New Roman" w:cs="Times New Roman" w:eastAsia="Times New Roman" w:hint="default"/>
          <w:spacing w:val="-2"/>
        </w:rPr>
        <w:t>950.00</w:t>
      </w:r>
      <w:r>
        <w:rPr>
          <w:spacing w:val="-2"/>
        </w:rPr>
        <w:t>万元，此次增资业经深圳恒平会计师事务所深恒平所</w:t>
      </w:r>
      <w:r>
        <w:rPr>
          <w:rFonts w:ascii="Times New Roman" w:hAnsi="Times New Roman" w:cs="Times New Roman" w:eastAsia="Times New Roman" w:hint="default"/>
          <w:spacing w:val="-2"/>
        </w:rPr>
        <w:t>(</w:t>
      </w:r>
      <w:r>
        <w:rPr>
          <w:spacing w:val="-2"/>
        </w:rPr>
        <w:t>内</w:t>
      </w:r>
      <w:r>
        <w:rPr>
          <w:rFonts w:ascii="Times New Roman" w:hAnsi="Times New Roman" w:cs="Times New Roman" w:eastAsia="Times New Roman" w:hint="default"/>
          <w:spacing w:val="-2"/>
        </w:rPr>
        <w:t>)</w:t>
      </w:r>
      <w:r>
        <w:rPr>
          <w:spacing w:val="-2"/>
        </w:rPr>
        <w:t>验字</w:t>
      </w:r>
      <w:r>
        <w:rPr/>
        <w:t> </w:t>
      </w:r>
      <w:r>
        <w:rPr>
          <w:rFonts w:ascii="Times New Roman" w:hAnsi="Times New Roman" w:cs="Times New Roman" w:eastAsia="Times New Roman" w:hint="default"/>
        </w:rPr>
        <w:t>[2009]22</w:t>
      </w:r>
      <w:r>
        <w:rPr/>
        <w:t>号验资报告验证，并于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9</w:t>
      </w:r>
      <w:r>
        <w:rPr/>
        <w:t>日完成工商变更手续，增资完成后本公司对易联技术投资额为</w:t>
      </w:r>
      <w:r>
        <w:rPr>
          <w:rFonts w:ascii="Times New Roman" w:hAnsi="Times New Roman" w:cs="Times New Roman" w:eastAsia="Times New Roman" w:hint="default"/>
        </w:rPr>
        <w:t>1,000.00</w:t>
      </w:r>
      <w:r>
        <w:rPr/>
        <w:t>万元，持</w:t>
      </w:r>
      <w:r>
        <w:rPr>
          <w:spacing w:val="-37"/>
        </w:rPr>
        <w:t> </w:t>
      </w:r>
      <w:r>
        <w:rPr/>
        <w:t>股比例</w:t>
      </w:r>
      <w:r>
        <w:rPr>
          <w:rFonts w:ascii="Times New Roman" w:hAnsi="Times New Roman" w:cs="Times New Roman" w:eastAsia="Times New Roman" w:hint="default"/>
        </w:rPr>
        <w:t>100%</w:t>
      </w:r>
      <w:r>
        <w:rPr/>
        <w:t>。</w:t>
      </w:r>
    </w:p>
    <w:p>
      <w:pPr>
        <w:pStyle w:val="BodyText"/>
        <w:spacing w:line="300" w:lineRule="auto" w:before="13"/>
        <w:ind w:left="153" w:right="151" w:firstLine="360"/>
        <w:jc w:val="both"/>
      </w:pPr>
      <w:r>
        <w:rPr>
          <w:spacing w:val="-2"/>
        </w:rPr>
        <w:t>本公司于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w:t>
      </w:r>
      <w:r>
        <w:rPr>
          <w:spacing w:val="-2"/>
        </w:rPr>
        <w:t>日以货币资金向易联技术增资</w:t>
      </w:r>
      <w:r>
        <w:rPr>
          <w:rFonts w:ascii="Times New Roman" w:hAnsi="Times New Roman" w:cs="Times New Roman" w:eastAsia="Times New Roman" w:hint="default"/>
          <w:spacing w:val="-2"/>
        </w:rPr>
        <w:t>10,000.00</w:t>
      </w:r>
      <w:r>
        <w:rPr>
          <w:spacing w:val="-2"/>
        </w:rPr>
        <w:t>万元，此次增资业经立信大华会计师事务所有限公司立信大</w:t>
      </w:r>
      <w:r>
        <w:rPr/>
        <w:t> 华验字</w:t>
      </w:r>
      <w:r>
        <w:rPr>
          <w:rFonts w:ascii="Times New Roman" w:hAnsi="Times New Roman" w:cs="Times New Roman" w:eastAsia="Times New Roman" w:hint="default"/>
        </w:rPr>
        <w:t>[2011]121</w:t>
      </w:r>
      <w:r>
        <w:rPr/>
        <w:t>号验资报告验证，增资完成后本公司对易联技术投资额为</w:t>
      </w:r>
      <w:r>
        <w:rPr>
          <w:rFonts w:ascii="Times New Roman" w:hAnsi="Times New Roman" w:cs="Times New Roman" w:eastAsia="Times New Roman" w:hint="default"/>
        </w:rPr>
        <w:t>11,000.00</w:t>
      </w:r>
      <w:r>
        <w:rPr/>
        <w:t>万元，持股比例</w:t>
      </w:r>
      <w:r>
        <w:rPr>
          <w:rFonts w:ascii="Times New Roman" w:hAnsi="Times New Roman" w:cs="Times New Roman" w:eastAsia="Times New Roman" w:hint="default"/>
        </w:rPr>
        <w:t>100%</w:t>
      </w:r>
      <w:r>
        <w:rPr/>
        <w:t>。</w:t>
      </w:r>
    </w:p>
    <w:p>
      <w:pPr>
        <w:pStyle w:val="BodyText"/>
        <w:spacing w:line="240" w:lineRule="auto" w:before="13"/>
        <w:ind w:left="513" w:right="0"/>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19</w:t>
      </w:r>
      <w:r>
        <w:rPr/>
        <w:t>日深圳市新国都软件技术有限公司更名为深圳市易联技术有限公司，并办理工商变更登记。</w:t>
      </w:r>
    </w:p>
    <w:p>
      <w:pPr>
        <w:pStyle w:val="BodyText"/>
        <w:spacing w:line="300" w:lineRule="auto" w:before="63"/>
        <w:ind w:left="153" w:right="150" w:firstLine="360"/>
        <w:jc w:val="both"/>
      </w:pPr>
      <w:r>
        <w:rPr>
          <w:rFonts w:ascii="Times New Roman" w:hAnsi="Times New Roman" w:cs="Times New Roman" w:eastAsia="Times New Roman" w:hint="default"/>
        </w:rPr>
        <w:t>*2</w:t>
      </w:r>
      <w:r>
        <w:rPr/>
        <w:t>南京市新国都技术有限公司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南京新国都公司</w:t>
      </w:r>
      <w:r>
        <w:rPr>
          <w:rFonts w:ascii="Times New Roman" w:hAnsi="Times New Roman" w:cs="Times New Roman" w:eastAsia="Times New Roman" w:hint="default"/>
        </w:rPr>
        <w:t>”)</w:t>
      </w:r>
      <w:r>
        <w:rPr/>
        <w:t>由本公司于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15</w:t>
      </w:r>
      <w:r>
        <w:rPr/>
        <w:t>日出资</w:t>
      </w:r>
      <w:r>
        <w:rPr>
          <w:rFonts w:ascii="Times New Roman" w:hAnsi="Times New Roman" w:cs="Times New Roman" w:eastAsia="Times New Roman" w:hint="default"/>
        </w:rPr>
        <w:t>300.00</w:t>
      </w:r>
      <w:r>
        <w:rPr/>
        <w:t>万元设立，投资比例 </w:t>
      </w:r>
      <w:r>
        <w:rPr>
          <w:rFonts w:ascii="Times New Roman" w:hAnsi="Times New Roman" w:cs="Times New Roman" w:eastAsia="Times New Roman" w:hint="default"/>
        </w:rPr>
        <w:t>100%</w:t>
      </w:r>
      <w:r>
        <w:rPr/>
        <w:t>，该出资业经南京天正会计师事务所有限公司天正内资验</w:t>
      </w:r>
      <w:r>
        <w:rPr>
          <w:rFonts w:ascii="Times New Roman" w:hAnsi="Times New Roman" w:cs="Times New Roman" w:eastAsia="Times New Roman" w:hint="default"/>
        </w:rPr>
        <w:t>(2009)5-024</w:t>
      </w:r>
      <w:r>
        <w:rPr/>
        <w:t>号验资报告验证。</w:t>
      </w:r>
    </w:p>
    <w:p>
      <w:pPr>
        <w:pStyle w:val="BodyText"/>
        <w:spacing w:line="300" w:lineRule="auto" w:before="13"/>
        <w:ind w:left="153" w:right="150" w:firstLine="360"/>
        <w:jc w:val="both"/>
      </w:pPr>
      <w:r>
        <w:rPr/>
        <w:t>本公司于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16</w:t>
      </w:r>
      <w:r>
        <w:rPr/>
        <w:t>日以货币资金向南京新国都公司增资</w:t>
      </w:r>
      <w:r>
        <w:rPr>
          <w:rFonts w:ascii="Times New Roman" w:hAnsi="Times New Roman" w:cs="Times New Roman" w:eastAsia="Times New Roman" w:hint="default"/>
        </w:rPr>
        <w:t>1,000.00</w:t>
      </w:r>
      <w:r>
        <w:rPr/>
        <w:t>万元，此次增资业经江苏鼎信会计师事务所苏鼎验 </w:t>
      </w:r>
      <w:r>
        <w:rPr>
          <w:rFonts w:ascii="Times New Roman" w:hAnsi="Times New Roman" w:cs="Times New Roman" w:eastAsia="Times New Roman" w:hint="default"/>
        </w:rPr>
        <w:t>(2009)196</w:t>
      </w:r>
      <w:r>
        <w:rPr/>
        <w:t>号验资报告验证，并于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17</w:t>
      </w:r>
      <w:r>
        <w:rPr/>
        <w:t>日完成工商变更，此次增资完成后本公司对南京新国都公司投资额为</w:t>
      </w:r>
      <w:r>
        <w:rPr>
          <w:rFonts w:ascii="Times New Roman" w:hAnsi="Times New Roman" w:cs="Times New Roman" w:eastAsia="Times New Roman" w:hint="default"/>
        </w:rPr>
        <w:t>1,300.00</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10"/>
        </w:rPr>
      </w:r>
      <w:r>
        <w:rPr/>
        <w:t>万元，持股比例</w:t>
      </w:r>
      <w:r>
        <w:rPr>
          <w:rFonts w:ascii="Times New Roman" w:hAnsi="Times New Roman" w:cs="Times New Roman" w:eastAsia="Times New Roman" w:hint="default"/>
        </w:rPr>
        <w:t>100%</w:t>
      </w:r>
      <w:r>
        <w:rPr/>
        <w:t>。</w:t>
      </w:r>
    </w:p>
    <w:p>
      <w:pPr>
        <w:pStyle w:val="BodyText"/>
        <w:spacing w:line="300" w:lineRule="auto" w:before="13"/>
        <w:ind w:right="151" w:firstLine="359"/>
        <w:jc w:val="both"/>
      </w:pPr>
      <w:r>
        <w:rPr>
          <w:rFonts w:ascii="Times New Roman" w:hAnsi="Times New Roman" w:cs="Times New Roman" w:eastAsia="Times New Roman" w:hint="default"/>
        </w:rPr>
        <w:t>*3</w:t>
      </w:r>
      <w:r>
        <w:rPr/>
        <w:t>广州市新国都信息科技有限公司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广州新国都公司</w:t>
      </w:r>
      <w:r>
        <w:rPr>
          <w:rFonts w:ascii="Times New Roman" w:hAnsi="Times New Roman" w:cs="Times New Roman" w:eastAsia="Times New Roman" w:hint="default"/>
        </w:rPr>
        <w:t>”)</w:t>
      </w:r>
      <w:r>
        <w:rPr/>
        <w:t>由本公司于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7</w:t>
      </w:r>
      <w:r>
        <w:rPr/>
        <w:t>日出资</w:t>
      </w:r>
      <w:r>
        <w:rPr>
          <w:rFonts w:ascii="Times New Roman" w:hAnsi="Times New Roman" w:cs="Times New Roman" w:eastAsia="Times New Roman" w:hint="default"/>
        </w:rPr>
        <w:t>300.00</w:t>
      </w:r>
      <w:r>
        <w:rPr/>
        <w:t>万元设立，投资比 例</w:t>
      </w:r>
      <w:r>
        <w:rPr>
          <w:rFonts w:ascii="Times New Roman" w:hAnsi="Times New Roman" w:cs="Times New Roman" w:eastAsia="Times New Roman" w:hint="default"/>
        </w:rPr>
        <w:t>100%</w:t>
      </w:r>
      <w:r>
        <w:rPr/>
        <w:t>，该出资业经广州海正会计师事务所有限公司海会验字</w:t>
      </w:r>
      <w:r>
        <w:rPr>
          <w:rFonts w:ascii="Times New Roman" w:hAnsi="Times New Roman" w:cs="Times New Roman" w:eastAsia="Times New Roman" w:hint="default"/>
        </w:rPr>
        <w:t>(2009)</w:t>
      </w:r>
      <w:r>
        <w:rPr/>
        <w:t>第</w:t>
      </w:r>
      <w:r>
        <w:rPr>
          <w:rFonts w:ascii="Times New Roman" w:hAnsi="Times New Roman" w:cs="Times New Roman" w:eastAsia="Times New Roman" w:hint="default"/>
        </w:rPr>
        <w:t>X044</w:t>
      </w:r>
      <w:r>
        <w:rPr/>
        <w:t>号验资报告验证。</w:t>
      </w:r>
    </w:p>
    <w:p>
      <w:pPr>
        <w:pStyle w:val="BodyText"/>
        <w:spacing w:line="300" w:lineRule="auto" w:before="13"/>
        <w:ind w:right="148" w:firstLine="359"/>
        <w:jc w:val="both"/>
      </w:pPr>
      <w:r>
        <w:rPr>
          <w:rFonts w:ascii="Times New Roman" w:hAnsi="Times New Roman" w:cs="Times New Roman" w:eastAsia="Times New Roman" w:hint="default"/>
        </w:rPr>
        <w:t>*4</w:t>
      </w:r>
      <w:r>
        <w:rPr/>
        <w:t>苏州新国都电子技术有限公司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苏州新国都公司</w:t>
      </w:r>
      <w:r>
        <w:rPr>
          <w:rFonts w:ascii="Times New Roman" w:hAnsi="Times New Roman" w:cs="Times New Roman" w:eastAsia="Times New Roman" w:hint="default"/>
        </w:rPr>
        <w:t>”)</w:t>
      </w:r>
      <w:r>
        <w:rPr/>
        <w:t>由本公司于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17</w:t>
      </w:r>
      <w:r>
        <w:rPr/>
        <w:t>日与苏州君宝投资有限公司共同 </w:t>
      </w:r>
      <w:r>
        <w:rPr>
          <w:spacing w:val="-1"/>
        </w:rPr>
        <w:t>出资设立，注册资本</w:t>
      </w:r>
      <w:r>
        <w:rPr>
          <w:rFonts w:ascii="Times New Roman" w:hAnsi="Times New Roman" w:cs="Times New Roman" w:eastAsia="Times New Roman" w:hint="default"/>
          <w:spacing w:val="-1"/>
        </w:rPr>
        <w:t>15,000.00</w:t>
      </w:r>
      <w:r>
        <w:rPr>
          <w:spacing w:val="-1"/>
        </w:rPr>
        <w:t>万元，实收资本人民币</w:t>
      </w:r>
      <w:r>
        <w:rPr>
          <w:rFonts w:ascii="Times New Roman" w:hAnsi="Times New Roman" w:cs="Times New Roman" w:eastAsia="Times New Roman" w:hint="default"/>
          <w:spacing w:val="-1"/>
        </w:rPr>
        <w:t>3,000.00</w:t>
      </w:r>
      <w:r>
        <w:rPr>
          <w:spacing w:val="-1"/>
        </w:rPr>
        <w:t>万元，本公司首期出资</w:t>
      </w:r>
      <w:r>
        <w:rPr>
          <w:rFonts w:ascii="Times New Roman" w:hAnsi="Times New Roman" w:cs="Times New Roman" w:eastAsia="Times New Roman" w:hint="default"/>
          <w:spacing w:val="-1"/>
        </w:rPr>
        <w:t>2,700</w:t>
      </w:r>
      <w:r>
        <w:rPr>
          <w:spacing w:val="-1"/>
        </w:rPr>
        <w:t>万元，持股比例</w:t>
      </w:r>
      <w:r>
        <w:rPr>
          <w:rFonts w:ascii="Times New Roman" w:hAnsi="Times New Roman" w:cs="Times New Roman" w:eastAsia="Times New Roman" w:hint="default"/>
          <w:spacing w:val="-1"/>
        </w:rPr>
        <w:t>90.00%</w:t>
      </w:r>
      <w:r>
        <w:rPr>
          <w:spacing w:val="-1"/>
        </w:rPr>
        <w:t>，该出资业</w:t>
      </w:r>
    </w:p>
    <w:p>
      <w:pPr>
        <w:spacing w:after="0" w:line="300" w:lineRule="auto"/>
        <w:jc w:val="both"/>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300" w:lineRule="auto"/>
        <w:ind w:left="153" w:right="145"/>
        <w:jc w:val="both"/>
      </w:pPr>
      <w:r>
        <w:rPr/>
        <w:t>经江苏鼎信会计师事务所苏鼎验</w:t>
      </w:r>
      <w:r>
        <w:rPr>
          <w:rFonts w:ascii="Times New Roman" w:hAnsi="Times New Roman" w:cs="Times New Roman" w:eastAsia="Times New Roman" w:hint="default"/>
        </w:rPr>
        <w:t>(2011)303</w:t>
      </w:r>
      <w:r>
        <w:rPr/>
        <w:t>号验资报告验证。</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日，本公司第二期出资</w:t>
      </w:r>
      <w:r>
        <w:rPr>
          <w:rFonts w:ascii="Times New Roman" w:hAnsi="Times New Roman" w:cs="Times New Roman" w:eastAsia="Times New Roman" w:hint="default"/>
        </w:rPr>
        <w:t>10,800.00</w:t>
      </w:r>
      <w:r>
        <w:rPr/>
        <w:t>万元，累计实收资 本为人民币</w:t>
      </w:r>
      <w:r>
        <w:rPr>
          <w:rFonts w:ascii="Times New Roman" w:hAnsi="Times New Roman" w:cs="Times New Roman" w:eastAsia="Times New Roman" w:hint="default"/>
        </w:rPr>
        <w:t>13,800.00</w:t>
      </w:r>
      <w:r>
        <w:rPr/>
        <w:t>万元，该出资业经昆山公信会计师事务所有限公司昆公信验字</w:t>
      </w:r>
      <w:r>
        <w:rPr>
          <w:rFonts w:ascii="Times New Roman" w:hAnsi="Times New Roman" w:cs="Times New Roman" w:eastAsia="Times New Roman" w:hint="default"/>
        </w:rPr>
        <w:t>[2012]</w:t>
      </w:r>
      <w:r>
        <w:rPr/>
        <w:t>第</w:t>
      </w:r>
      <w:r>
        <w:rPr>
          <w:rFonts w:ascii="Times New Roman" w:hAnsi="Times New Roman" w:cs="Times New Roman" w:eastAsia="Times New Roman" w:hint="default"/>
        </w:rPr>
        <w:t>193</w:t>
      </w:r>
      <w:r>
        <w:rPr/>
        <w:t>号验资报告验证，</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 </w:t>
      </w:r>
      <w:r>
        <w:rPr>
          <w:rFonts w:ascii="Times New Roman" w:hAnsi="Times New Roman" w:cs="Times New Roman" w:eastAsia="Times New Roman" w:hint="default"/>
        </w:rPr>
        <w:t>26</w:t>
      </w:r>
      <w:r>
        <w:rPr/>
        <w:t>日，本公司第三期出资</w:t>
      </w:r>
      <w:r>
        <w:rPr>
          <w:rFonts w:ascii="Times New Roman" w:hAnsi="Times New Roman" w:cs="Times New Roman" w:eastAsia="Times New Roman" w:hint="default"/>
        </w:rPr>
        <w:t>13,000</w:t>
      </w:r>
      <w:r>
        <w:rPr/>
        <w:t>万元，该出资业经昆山公信会计师事务所有限公司昆公信验字</w:t>
      </w:r>
      <w:r>
        <w:rPr>
          <w:rFonts w:ascii="Times New Roman" w:hAnsi="Times New Roman" w:cs="Times New Roman" w:eastAsia="Times New Roman" w:hint="default"/>
        </w:rPr>
        <w:t>[2014]</w:t>
      </w:r>
      <w:r>
        <w:rPr/>
        <w:t>第</w:t>
      </w:r>
      <w:r>
        <w:rPr>
          <w:rFonts w:ascii="Times New Roman" w:hAnsi="Times New Roman" w:cs="Times New Roman" w:eastAsia="Times New Roman" w:hint="default"/>
        </w:rPr>
        <w:t>028</w:t>
      </w:r>
      <w:r>
        <w:rPr/>
        <w:t>号验资报告验证。</w:t>
      </w:r>
    </w:p>
    <w:p>
      <w:pPr>
        <w:pStyle w:val="BodyText"/>
        <w:spacing w:line="300" w:lineRule="auto" w:before="13"/>
        <w:ind w:left="153" w:right="211" w:firstLine="360"/>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日苏州新国都公司股东会决议，同意公司注册资本由人民币</w:t>
      </w:r>
      <w:r>
        <w:rPr>
          <w:rFonts w:ascii="Times New Roman" w:hAnsi="Times New Roman" w:cs="Times New Roman" w:eastAsia="Times New Roman" w:hint="default"/>
        </w:rPr>
        <w:t>15,000.00</w:t>
      </w:r>
      <w:r>
        <w:rPr/>
        <w:t>万元增加到人民币</w:t>
      </w:r>
      <w:r>
        <w:rPr>
          <w:rFonts w:ascii="Times New Roman" w:hAnsi="Times New Roman" w:cs="Times New Roman" w:eastAsia="Times New Roman" w:hint="default"/>
        </w:rPr>
        <w:t>27,806.00</w:t>
      </w:r>
      <w:r>
        <w:rPr/>
        <w:t>万元，所 </w:t>
      </w:r>
      <w:r>
        <w:rPr>
          <w:spacing w:val="-2"/>
        </w:rPr>
        <w:t>增注册资本</w:t>
      </w:r>
      <w:r>
        <w:rPr>
          <w:rFonts w:ascii="Times New Roman" w:hAnsi="Times New Roman" w:cs="Times New Roman" w:eastAsia="Times New Roman" w:hint="default"/>
          <w:spacing w:val="-2"/>
        </w:rPr>
        <w:t>12,806.00</w:t>
      </w:r>
      <w:r>
        <w:rPr>
          <w:spacing w:val="-2"/>
        </w:rPr>
        <w:t>万元全部由本公司认缴，本次增资后，苏州新国都公司累计实收资本为人民币</w:t>
      </w:r>
      <w:r>
        <w:rPr>
          <w:rFonts w:ascii="Times New Roman" w:hAnsi="Times New Roman" w:cs="Times New Roman" w:eastAsia="Times New Roman" w:hint="default"/>
          <w:spacing w:val="-2"/>
        </w:rPr>
        <w:t>26,606.00</w:t>
      </w:r>
      <w:r>
        <w:rPr>
          <w:spacing w:val="-2"/>
        </w:rPr>
        <w:t>万元，其中本公</w:t>
      </w:r>
      <w:r>
        <w:rPr>
          <w:spacing w:val="-51"/>
        </w:rPr>
        <w:t> </w:t>
      </w:r>
      <w:r>
        <w:rPr>
          <w:spacing w:val="-51"/>
        </w:rPr>
      </w:r>
      <w:r>
        <w:rPr/>
        <w:t>司出资人民币</w:t>
      </w:r>
      <w:r>
        <w:rPr>
          <w:rFonts w:ascii="Times New Roman" w:hAnsi="Times New Roman" w:cs="Times New Roman" w:eastAsia="Times New Roman" w:hint="default"/>
        </w:rPr>
        <w:t>26,306.00</w:t>
      </w:r>
      <w:r>
        <w:rPr/>
        <w:t>万元，该增资业经昆山公信会计师事务所有限公司昆公信验字</w:t>
      </w:r>
      <w:r>
        <w:rPr>
          <w:rFonts w:ascii="Times New Roman" w:hAnsi="Times New Roman" w:cs="Times New Roman" w:eastAsia="Times New Roman" w:hint="default"/>
        </w:rPr>
        <w:t>[2012]</w:t>
      </w:r>
      <w:r>
        <w:rPr/>
        <w:t>第</w:t>
      </w:r>
      <w:r>
        <w:rPr>
          <w:rFonts w:ascii="Times New Roman" w:hAnsi="Times New Roman" w:cs="Times New Roman" w:eastAsia="Times New Roman" w:hint="default"/>
        </w:rPr>
        <w:t>314</w:t>
      </w:r>
      <w:r>
        <w:rPr/>
        <w:t>号验资报告验证。</w:t>
      </w:r>
    </w:p>
    <w:p>
      <w:pPr>
        <w:pStyle w:val="BodyText"/>
        <w:spacing w:line="240" w:lineRule="auto" w:before="13"/>
        <w:ind w:left="371" w:right="102"/>
        <w:jc w:val="left"/>
        <w:rPr>
          <w:rFonts w:ascii="Times New Roman" w:hAnsi="Times New Roman" w:cs="Times New Roman" w:eastAsia="Times New Roman" w:hint="default"/>
        </w:rPr>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w:t>
      </w:r>
      <w:r>
        <w:rPr/>
        <w:t>日通过董事会决议，同意苏州新国都公司的注册资本由人民币</w:t>
      </w:r>
      <w:r>
        <w:rPr>
          <w:rFonts w:ascii="Times New Roman" w:hAnsi="Times New Roman" w:cs="Times New Roman" w:eastAsia="Times New Roman" w:hint="default"/>
        </w:rPr>
        <w:t>27,806</w:t>
      </w:r>
      <w:r>
        <w:rPr/>
        <w:t>万元增加到人民币</w:t>
      </w:r>
      <w:r>
        <w:rPr>
          <w:rFonts w:ascii="Times New Roman" w:hAnsi="Times New Roman" w:cs="Times New Roman" w:eastAsia="Times New Roman" w:hint="default"/>
        </w:rPr>
        <w:t>40,806</w:t>
      </w:r>
      <w:r>
        <w:rPr/>
        <w:t>万元，</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p>
    <w:p>
      <w:pPr>
        <w:pStyle w:val="BodyText"/>
        <w:spacing w:line="300" w:lineRule="auto" w:before="63"/>
        <w:ind w:left="371" w:right="102" w:hanging="218"/>
        <w:jc w:val="left"/>
      </w:pPr>
      <w:r>
        <w:rPr>
          <w:spacing w:val="-3"/>
        </w:rPr>
        <w:t>月</w:t>
      </w:r>
      <w:r>
        <w:rPr>
          <w:rFonts w:ascii="Times New Roman" w:hAnsi="Times New Roman" w:cs="Times New Roman" w:eastAsia="Times New Roman" w:hint="default"/>
          <w:spacing w:val="-3"/>
        </w:rPr>
        <w:t>26</w:t>
      </w:r>
      <w:r>
        <w:rPr>
          <w:spacing w:val="-3"/>
        </w:rPr>
        <w:t>日，本公司第三期出资</w:t>
      </w:r>
      <w:r>
        <w:rPr>
          <w:rFonts w:ascii="Times New Roman" w:hAnsi="Times New Roman" w:cs="Times New Roman" w:eastAsia="Times New Roman" w:hint="default"/>
          <w:spacing w:val="-3"/>
        </w:rPr>
        <w:t>13,000</w:t>
      </w:r>
      <w:r>
        <w:rPr>
          <w:spacing w:val="-3"/>
        </w:rPr>
        <w:t>万元，该出资业经昆山公信会计师事务所有限公司昆公信验字</w:t>
      </w:r>
      <w:r>
        <w:rPr>
          <w:rFonts w:ascii="Times New Roman" w:hAnsi="Times New Roman" w:cs="Times New Roman" w:eastAsia="Times New Roman" w:hint="default"/>
          <w:spacing w:val="-3"/>
        </w:rPr>
        <w:t>[2014]</w:t>
      </w:r>
      <w:r>
        <w:rPr>
          <w:spacing w:val="-3"/>
        </w:rPr>
        <w:t>第</w:t>
      </w:r>
      <w:r>
        <w:rPr>
          <w:rFonts w:ascii="Times New Roman" w:hAnsi="Times New Roman" w:cs="Times New Roman" w:eastAsia="Times New Roman" w:hint="default"/>
          <w:spacing w:val="-3"/>
        </w:rPr>
        <w:t>028</w:t>
      </w:r>
      <w:r>
        <w:rPr>
          <w:spacing w:val="-3"/>
        </w:rPr>
        <w:t>号验资报告验证。</w:t>
      </w:r>
      <w:r>
        <w:rPr>
          <w:spacing w:val="-57"/>
        </w:rPr>
        <w:t> </w:t>
      </w:r>
      <w:r>
        <w:rPr/>
        <w:t>本期纳入合并财务报表范围的主体与上期相比未发生变化。</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25"/>
        <w:ind w:right="102"/>
        <w:jc w:val="left"/>
        <w:rPr>
          <w:b w:val="0"/>
          <w:bCs w:val="0"/>
        </w:rPr>
      </w:pP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2"/>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4"/>
          <w:szCs w:val="24"/>
        </w:rPr>
      </w:pPr>
    </w:p>
    <w:p>
      <w:pPr>
        <w:pStyle w:val="Heading4"/>
        <w:spacing w:line="256" w:lineRule="auto" w:before="0"/>
        <w:ind w:left="153" w:right="102"/>
        <w:jc w:val="left"/>
      </w:pPr>
      <w:r>
        <w:rPr>
          <w:spacing w:val="-3"/>
        </w:rPr>
        <w:t>本公司以持续经营为基础，根据实际发生的交易和事项，按照财政部颁布的《企业会计准则</w:t>
      </w:r>
      <w:r>
        <w:rPr>
          <w:rFonts w:ascii="Times New Roman" w:hAnsi="Times New Roman" w:cs="Times New Roman" w:eastAsia="Times New Roman" w:hint="default"/>
          <w:spacing w:val="-3"/>
        </w:rPr>
        <w:t>——</w:t>
      </w:r>
      <w:r>
        <w:rPr>
          <w:spacing w:val="-3"/>
        </w:rPr>
        <w:t>基本准则》</w:t>
      </w:r>
      <w:r>
        <w:rPr>
          <w:spacing w:val="-90"/>
        </w:rPr>
        <w:t> </w:t>
      </w:r>
      <w:r>
        <w:rPr/>
        <w:t>和具体企业会计准则、企业会计准则应用指南、企业会计准则解释及其他相关规定</w:t>
      </w:r>
      <w:r>
        <w:rPr>
          <w:rFonts w:ascii="Times New Roman" w:hAnsi="Times New Roman" w:cs="Times New Roman" w:eastAsia="Times New Roman" w:hint="default"/>
        </w:rPr>
        <w:t>(</w:t>
      </w:r>
      <w:r>
        <w:rPr/>
        <w:t>以下合称</w:t>
      </w:r>
      <w:r>
        <w:rPr>
          <w:rFonts w:ascii="Times New Roman" w:hAnsi="Times New Roman" w:cs="Times New Roman" w:eastAsia="Times New Roman" w:hint="default"/>
        </w:rPr>
        <w:t>“</w:t>
      </w:r>
      <w:r>
        <w:rPr/>
        <w:t>企业会计准 则</w:t>
      </w:r>
      <w:r>
        <w:rPr>
          <w:rFonts w:ascii="Times New Roman" w:hAnsi="Times New Roman" w:cs="Times New Roman" w:eastAsia="Times New Roman" w:hint="default"/>
        </w:rPr>
        <w:t>”)</w:t>
      </w:r>
      <w:r>
        <w:rPr/>
        <w:t>进行确认和计量，在此基础上，结合中国证券监督管理委员会《公开发行证券的公司信息披露编报规 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w:t>
      </w:r>
      <w:r>
        <w:rPr>
          <w:rFonts w:ascii="Times New Roman" w:hAnsi="Times New Roman" w:cs="Times New Roman" w:eastAsia="Times New Roman" w:hint="default"/>
        </w:rPr>
        <w:t>)</w:t>
      </w:r>
      <w:r>
        <w:rPr/>
        <w:t>的规定，编制财务报表。</w:t>
      </w:r>
    </w:p>
    <w:p>
      <w:pPr>
        <w:spacing w:line="240" w:lineRule="auto" w:before="5"/>
        <w:rPr>
          <w:rFonts w:ascii="宋体" w:hAnsi="宋体" w:cs="宋体" w:eastAsia="宋体" w:hint="default"/>
          <w:sz w:val="23"/>
          <w:szCs w:val="23"/>
        </w:rPr>
      </w:pPr>
    </w:p>
    <w:p>
      <w:pPr>
        <w:spacing w:line="496" w:lineRule="auto" w:before="0"/>
        <w:ind w:left="153" w:right="1851" w:firstLine="0"/>
        <w:jc w:val="left"/>
        <w:rPr>
          <w:rFonts w:ascii="宋体" w:hAnsi="宋体" w:cs="宋体" w:eastAsia="宋体" w:hint="default"/>
          <w:sz w:val="24"/>
          <w:szCs w:val="24"/>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、持续经营</w:t>
      </w:r>
      <w:r>
        <w:rPr>
          <w:rFonts w:ascii="宋体" w:hAnsi="宋体" w:cs="宋体" w:eastAsia="宋体" w:hint="default"/>
          <w:b/>
          <w:bCs/>
          <w:spacing w:val="1"/>
          <w:w w:val="99"/>
          <w:sz w:val="21"/>
          <w:szCs w:val="21"/>
        </w:rPr>
        <w:t> </w:t>
      </w:r>
      <w:r>
        <w:rPr>
          <w:rFonts w:ascii="宋体" w:hAnsi="宋体" w:cs="宋体" w:eastAsia="宋体" w:hint="default"/>
          <w:sz w:val="21"/>
          <w:szCs w:val="21"/>
        </w:rPr>
        <w:t>本公司自报告期末起</w:t>
      </w:r>
      <w:r>
        <w:rPr>
          <w:rFonts w:ascii="Times New Roman" w:hAnsi="Times New Roman" w:cs="Times New Roman" w:eastAsia="Times New Roman" w:hint="default"/>
          <w:sz w:val="21"/>
          <w:szCs w:val="21"/>
        </w:rPr>
        <w:t>12</w:t>
      </w:r>
      <w:r>
        <w:rPr>
          <w:rFonts w:ascii="宋体" w:hAnsi="宋体" w:cs="宋体" w:eastAsia="宋体" w:hint="default"/>
          <w:sz w:val="21"/>
          <w:szCs w:val="21"/>
        </w:rPr>
        <w:t>个月不存在对本公司持续经营能力产生重大疑虑的事项或情况。 </w:t>
      </w:r>
      <w:r>
        <w:rPr>
          <w:rFonts w:ascii="宋体" w:hAnsi="宋体" w:cs="宋体" w:eastAsia="宋体" w:hint="default"/>
          <w:b/>
          <w:bCs/>
          <w:sz w:val="24"/>
          <w:szCs w:val="24"/>
        </w:rPr>
        <w:t>五、重要会计政策及会计估计</w:t>
      </w:r>
      <w:r>
        <w:rPr>
          <w:rFonts w:ascii="宋体" w:hAnsi="宋体" w:cs="宋体" w:eastAsia="宋体" w:hint="default"/>
          <w:sz w:val="24"/>
          <w:szCs w:val="24"/>
        </w:rPr>
      </w:r>
    </w:p>
    <w:p>
      <w:pPr>
        <w:pStyle w:val="BodyText"/>
        <w:spacing w:line="357" w:lineRule="auto" w:before="91"/>
        <w:ind w:left="153" w:right="6939"/>
        <w:jc w:val="left"/>
      </w:pPr>
      <w:r>
        <w:rPr/>
        <w:t>具体会计政策和会计估计提示： 不适用</w:t>
      </w:r>
    </w:p>
    <w:p>
      <w:pPr>
        <w:spacing w:line="240" w:lineRule="auto" w:before="2"/>
        <w:rPr>
          <w:rFonts w:ascii="宋体" w:hAnsi="宋体" w:cs="宋体" w:eastAsia="宋体" w:hint="default"/>
          <w:sz w:val="20"/>
          <w:szCs w:val="20"/>
        </w:rPr>
      </w:pPr>
    </w:p>
    <w:p>
      <w:pPr>
        <w:pStyle w:val="Heading3"/>
        <w:spacing w:line="240" w:lineRule="auto"/>
        <w:ind w:right="102"/>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4"/>
          <w:szCs w:val="24"/>
        </w:rPr>
      </w:pPr>
    </w:p>
    <w:p>
      <w:pPr>
        <w:pStyle w:val="Heading4"/>
        <w:spacing w:line="273" w:lineRule="auto" w:before="0"/>
        <w:ind w:left="153" w:right="102"/>
        <w:jc w:val="left"/>
      </w:pPr>
      <w:r>
        <w:rPr>
          <w:spacing w:val="-3"/>
        </w:rPr>
        <w:t>公司所编制的财务报表符合企业会计准则的要求，真实、完整地反映了报告期公司的财务状况、经营成果、</w:t>
      </w:r>
      <w:r>
        <w:rPr>
          <w:spacing w:val="-92"/>
        </w:rPr>
        <w:t> </w:t>
      </w:r>
      <w:r>
        <w:rPr>
          <w:spacing w:val="-92"/>
        </w:rPr>
      </w:r>
      <w:r>
        <w:rPr/>
        <w:t>现金流量等有关信息。</w:t>
      </w:r>
    </w:p>
    <w:p>
      <w:pPr>
        <w:spacing w:line="240" w:lineRule="auto" w:before="8"/>
        <w:rPr>
          <w:rFonts w:ascii="宋体" w:hAnsi="宋体" w:cs="宋体" w:eastAsia="宋体" w:hint="default"/>
          <w:sz w:val="23"/>
          <w:szCs w:val="23"/>
        </w:rPr>
      </w:pPr>
    </w:p>
    <w:p>
      <w:pPr>
        <w:spacing w:line="506" w:lineRule="auto" w:before="0"/>
        <w:ind w:left="153" w:right="563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spacing w:val="1"/>
          <w:w w:val="99"/>
          <w:sz w:val="21"/>
          <w:szCs w:val="21"/>
        </w:rPr>
        <w:t> </w:t>
      </w:r>
      <w:r>
        <w:rPr>
          <w:rFonts w:ascii="宋体" w:hAnsi="宋体" w:cs="宋体" w:eastAsia="宋体" w:hint="default"/>
          <w:sz w:val="21"/>
          <w:szCs w:val="21"/>
        </w:rPr>
        <w:t>自公历</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日至</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日止为一个会计年度。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b/>
          <w:bCs/>
          <w:spacing w:val="1"/>
          <w:w w:val="99"/>
          <w:sz w:val="21"/>
          <w:szCs w:val="21"/>
        </w:rPr>
        <w:t> </w:t>
      </w:r>
      <w:r>
        <w:rPr>
          <w:rFonts w:ascii="宋体" w:hAnsi="宋体" w:cs="宋体" w:eastAsia="宋体" w:hint="default"/>
          <w:sz w:val="21"/>
          <w:szCs w:val="21"/>
        </w:rPr>
        <w:t>自公历</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日至</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日止为一个营业周期。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pStyle w:val="Heading4"/>
        <w:spacing w:line="240" w:lineRule="auto" w:before="63"/>
        <w:ind w:right="102"/>
        <w:jc w:val="left"/>
      </w:pPr>
      <w:r>
        <w:rPr/>
        <w:t>采用人民币为记账本位币。</w:t>
      </w:r>
    </w:p>
    <w:p>
      <w:pPr>
        <w:spacing w:after="0" w:line="240" w:lineRule="auto"/>
        <w:jc w:val="left"/>
        <w:sectPr>
          <w:footerReference w:type="default" r:id="rId16"/>
          <w:pgSz w:w="11910" w:h="16840"/>
          <w:pgMar w:footer="982" w:header="747" w:top="1060" w:bottom="1180" w:left="980" w:right="920"/>
          <w:pgNumType w:start="85"/>
        </w:sectPr>
      </w:pPr>
    </w:p>
    <w:p>
      <w:pPr>
        <w:spacing w:line="240" w:lineRule="auto" w:before="10"/>
        <w:rPr>
          <w:rFonts w:ascii="宋体" w:hAnsi="宋体" w:cs="宋体" w:eastAsia="宋体" w:hint="default"/>
          <w:sz w:val="24"/>
          <w:szCs w:val="24"/>
        </w:rPr>
      </w:pPr>
    </w:p>
    <w:p>
      <w:pPr>
        <w:pStyle w:val="Heading3"/>
        <w:spacing w:line="240" w:lineRule="auto" w:before="35"/>
        <w:ind w:right="0"/>
        <w:jc w:val="both"/>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4"/>
          <w:szCs w:val="24"/>
        </w:rPr>
      </w:pPr>
    </w:p>
    <w:p>
      <w:pPr>
        <w:pStyle w:val="Heading3"/>
        <w:spacing w:line="256" w:lineRule="auto"/>
        <w:ind w:left="153" w:right="150"/>
        <w:jc w:val="both"/>
        <w:rPr>
          <w:b w:val="0"/>
          <w:bCs w:val="0"/>
        </w:rPr>
      </w:pPr>
      <w:r>
        <w:rPr>
          <w:rFonts w:ascii="Times New Roman" w:hAnsi="Times New Roman" w:cs="Times New Roman" w:eastAsia="Times New Roman" w:hint="default"/>
        </w:rPr>
        <w:t>1</w:t>
      </w:r>
      <w:r>
        <w:rPr/>
        <w:t>、分步实现企业合并过程中的各项交易的条款、条件以及经济影响符合以下一种或多种情况，将多次交</w:t>
      </w:r>
      <w:r>
        <w:rPr>
          <w:spacing w:val="-74"/>
        </w:rPr>
        <w:t> </w:t>
      </w:r>
      <w:r>
        <w:rPr>
          <w:spacing w:val="-74"/>
        </w:rPr>
      </w:r>
      <w:r>
        <w:rPr/>
        <w:t>易事项作为一揽子交易进行会计处理：</w:t>
      </w:r>
      <w:r>
        <w:rPr>
          <w:b w:val="0"/>
          <w:bCs w:val="0"/>
        </w:rPr>
      </w:r>
    </w:p>
    <w:p>
      <w:pPr>
        <w:pStyle w:val="Heading4"/>
        <w:spacing w:line="240" w:lineRule="auto" w:before="22"/>
        <w:ind w:left="490" w:right="0"/>
        <w:jc w:val="left"/>
      </w:pPr>
      <w:r>
        <w:rPr>
          <w:rFonts w:ascii="Times New Roman" w:hAnsi="Times New Roman" w:cs="Times New Roman" w:eastAsia="Times New Roman" w:hint="default"/>
        </w:rPr>
        <w:t>1</w:t>
      </w:r>
      <w:r>
        <w:rPr/>
        <w:t>）这些交易是同时或者在考虑了彼此影响的情况下订立的；</w:t>
      </w:r>
    </w:p>
    <w:p>
      <w:pPr>
        <w:pStyle w:val="Heading4"/>
        <w:spacing w:line="240" w:lineRule="auto" w:before="21"/>
        <w:ind w:left="490" w:right="0"/>
        <w:jc w:val="left"/>
      </w:pPr>
      <w:r>
        <w:rPr>
          <w:rFonts w:ascii="Times New Roman" w:hAnsi="Times New Roman" w:cs="Times New Roman" w:eastAsia="Times New Roman" w:hint="default"/>
        </w:rPr>
        <w:t>2</w:t>
      </w:r>
      <w:r>
        <w:rPr/>
        <w:t>）这些交易整体才能达成一项完整的商业结果；</w:t>
      </w:r>
    </w:p>
    <w:p>
      <w:pPr>
        <w:pStyle w:val="Heading4"/>
        <w:spacing w:line="240" w:lineRule="auto" w:before="21"/>
        <w:ind w:left="490" w:right="0"/>
        <w:jc w:val="left"/>
      </w:pPr>
      <w:r>
        <w:rPr>
          <w:rFonts w:ascii="Times New Roman" w:hAnsi="Times New Roman" w:cs="Times New Roman" w:eastAsia="Times New Roman" w:hint="default"/>
        </w:rPr>
        <w:t>3</w:t>
      </w:r>
      <w:r>
        <w:rPr/>
        <w:t>）一项交易的发生取决于其他至少一项交易的发生；</w:t>
      </w:r>
    </w:p>
    <w:p>
      <w:pPr>
        <w:pStyle w:val="Heading4"/>
        <w:spacing w:line="240" w:lineRule="auto" w:before="21"/>
        <w:ind w:left="490" w:right="0"/>
        <w:jc w:val="left"/>
      </w:pPr>
      <w:r>
        <w:rPr>
          <w:rFonts w:ascii="Times New Roman" w:hAnsi="Times New Roman" w:cs="Times New Roman" w:eastAsia="Times New Roman" w:hint="default"/>
        </w:rPr>
        <w:t>4</w:t>
      </w:r>
      <w:r>
        <w:rPr/>
        <w:t>）一项交易单独看是不经济的，但是和其他交易一并考虑时是经济的。</w:t>
      </w:r>
    </w:p>
    <w:p>
      <w:pPr>
        <w:pStyle w:val="Heading3"/>
        <w:spacing w:line="240" w:lineRule="auto" w:before="21"/>
        <w:ind w:left="153" w:right="0"/>
        <w:jc w:val="both"/>
        <w:rPr>
          <w:b w:val="0"/>
          <w:bCs w:val="0"/>
        </w:rPr>
      </w:pPr>
      <w:r>
        <w:rPr>
          <w:rFonts w:ascii="Times New Roman" w:hAnsi="Times New Roman" w:cs="Times New Roman" w:eastAsia="Times New Roman" w:hint="default"/>
        </w:rPr>
        <w:t>2</w:t>
      </w:r>
      <w:r>
        <w:rPr/>
        <w:t>、同一控制下的企业合并</w:t>
      </w:r>
      <w:r>
        <w:rPr>
          <w:b w:val="0"/>
          <w:bCs w:val="0"/>
        </w:rPr>
      </w:r>
    </w:p>
    <w:p>
      <w:pPr>
        <w:pStyle w:val="Heading4"/>
        <w:spacing w:line="256" w:lineRule="auto" w:before="21"/>
        <w:ind w:left="574" w:right="0" w:hanging="1"/>
        <w:jc w:val="left"/>
      </w:pPr>
      <w:r>
        <w:rPr>
          <w:rFonts w:ascii="Times New Roman" w:hAnsi="Times New Roman" w:cs="Times New Roman" w:eastAsia="Times New Roman" w:hint="default"/>
        </w:rPr>
        <w:t>1</w:t>
      </w:r>
      <w:r>
        <w:rPr/>
        <w:t>）个别财务报表 </w:t>
      </w:r>
      <w:r>
        <w:rPr>
          <w:spacing w:val="-1"/>
        </w:rPr>
        <w:t>公司以支付现金、转让非现金资产、承担债务方式或以发行权益性证券作为合并对价的，在合并日按</w:t>
      </w:r>
    </w:p>
    <w:p>
      <w:pPr>
        <w:pStyle w:val="Heading4"/>
        <w:spacing w:line="273" w:lineRule="auto" w:before="22"/>
        <w:ind w:right="142"/>
        <w:jc w:val="both"/>
      </w:pPr>
      <w:r>
        <w:rPr>
          <w:spacing w:val="3"/>
        </w:rPr>
        <w:t>照被合并方所有者权益在最终控制方合并财务报表中的账面价值的份额作为长期股权投资的初始投资成</w:t>
      </w:r>
      <w:r>
        <w:rPr>
          <w:spacing w:val="-78"/>
        </w:rPr>
        <w:t> </w:t>
      </w:r>
      <w:r>
        <w:rPr>
          <w:spacing w:val="-78"/>
        </w:rPr>
      </w:r>
      <w:r>
        <w:rPr>
          <w:spacing w:val="-1"/>
        </w:rPr>
        <w:t>本。长期股权投资初始投资成本与支付合并对价之间的差额，调整资本公积；资本公积不足冲减的，调整</w:t>
      </w:r>
      <w:r>
        <w:rPr>
          <w:spacing w:val="-82"/>
        </w:rPr>
        <w:t> </w:t>
      </w:r>
      <w:r>
        <w:rPr>
          <w:spacing w:val="-82"/>
        </w:rPr>
      </w:r>
      <w:r>
        <w:rPr>
          <w:spacing w:val="-1"/>
        </w:rPr>
        <w:t>留存收益。如果存在或有对价并需要确认预计负债或资产，该预计负债或资产金额与后续或有对价结算金</w:t>
      </w:r>
      <w:r>
        <w:rPr>
          <w:spacing w:val="-81"/>
        </w:rPr>
        <w:t> </w:t>
      </w:r>
      <w:r>
        <w:rPr>
          <w:spacing w:val="-81"/>
        </w:rPr>
      </w:r>
      <w:r>
        <w:rPr/>
        <w:t>额的差额，调整资本公积（资本溢价或股本溢价），资本公积不足的，调整留存收益。</w:t>
      </w:r>
    </w:p>
    <w:p>
      <w:pPr>
        <w:pStyle w:val="Heading4"/>
        <w:spacing w:line="273" w:lineRule="auto"/>
        <w:ind w:right="128" w:firstLine="420"/>
        <w:jc w:val="both"/>
      </w:pPr>
      <w:r>
        <w:rPr>
          <w:spacing w:val="-1"/>
        </w:rPr>
        <w:t>对于通过多次交易最终实现企业合并的，属于一揽子交易的，将各项交易作为一项取得控制权的交易</w:t>
      </w:r>
      <w:r>
        <w:rPr/>
        <w:t> </w:t>
      </w:r>
      <w:r>
        <w:rPr>
          <w:spacing w:val="-1"/>
        </w:rPr>
        <w:t>进行会计处理；不属于一揽子交易的，在取得控制权日，长期股权投资初始投资成本，与达到合并前的长</w:t>
      </w:r>
      <w:r>
        <w:rPr>
          <w:spacing w:val="-82"/>
        </w:rPr>
        <w:t> </w:t>
      </w:r>
      <w:r>
        <w:rPr>
          <w:spacing w:val="-82"/>
        </w:rPr>
      </w:r>
      <w:r>
        <w:rPr>
          <w:spacing w:val="-1"/>
        </w:rPr>
        <w:t>期股权投资账面价值加上合并日进一步取得股份新支付对价的账面价值之和的差额，调整资本公积；资本</w:t>
      </w:r>
      <w:r>
        <w:rPr>
          <w:spacing w:val="-81"/>
        </w:rPr>
        <w:t> </w:t>
      </w:r>
      <w:r>
        <w:rPr>
          <w:spacing w:val="-81"/>
        </w:rPr>
      </w:r>
      <w:r>
        <w:rPr>
          <w:spacing w:val="-1"/>
        </w:rPr>
        <w:t>公积不足冲减的，调整留存收益。对于合并日之前持有的股权投资，因采用权益法核算或金融工具确认和</w:t>
      </w:r>
      <w:r>
        <w:rPr>
          <w:spacing w:val="-83"/>
        </w:rPr>
        <w:t> </w:t>
      </w:r>
      <w:r>
        <w:rPr>
          <w:spacing w:val="-83"/>
        </w:rPr>
      </w:r>
      <w:r>
        <w:rPr>
          <w:spacing w:val="-1"/>
        </w:rPr>
        <w:t>计量准则核算而确认的其他综合收益，暂不进行会计处理，直至处置该项投资时采用与被投资单位直接处</w:t>
      </w:r>
      <w:r>
        <w:rPr>
          <w:spacing w:val="-81"/>
        </w:rPr>
        <w:t> </w:t>
      </w:r>
      <w:r>
        <w:rPr>
          <w:spacing w:val="-81"/>
        </w:rPr>
      </w:r>
      <w:r>
        <w:rPr/>
        <w:t>置相关资产或负债相同的基础进行会计处理；因采用权益法核算而确认的被投资单位净资产中除净损益、 </w:t>
      </w:r>
      <w:r>
        <w:rPr>
          <w:spacing w:val="-1"/>
        </w:rPr>
        <w:t>其他综合收益和利润分配以外的所有者权益其他变动，暂不进行会计处理，直至处置该项投资时转入当期</w:t>
      </w:r>
      <w:r>
        <w:rPr>
          <w:spacing w:val="-81"/>
        </w:rPr>
        <w:t> </w:t>
      </w:r>
      <w:r>
        <w:rPr>
          <w:spacing w:val="-81"/>
        </w:rPr>
      </w:r>
      <w:r>
        <w:rPr/>
        <w:t>损益。</w:t>
      </w:r>
    </w:p>
    <w:p>
      <w:pPr>
        <w:pStyle w:val="Heading4"/>
        <w:spacing w:line="273" w:lineRule="auto"/>
        <w:ind w:right="151" w:firstLine="420"/>
        <w:jc w:val="both"/>
      </w:pPr>
      <w:r>
        <w:rPr>
          <w:spacing w:val="-1"/>
        </w:rPr>
        <w:t>合并发生的各项直接相关费用，包括为进行合并而支付的审计费用、评估费用、法律服务费用等，于</w:t>
      </w:r>
      <w:r>
        <w:rPr/>
        <w:t> </w:t>
      </w:r>
      <w:r>
        <w:rPr>
          <w:spacing w:val="-1"/>
        </w:rPr>
        <w:t>发生时计入当期损益；与发行权益性工具作为合并对价直接相关的交易费用，冲减资本公积，资本公积不</w:t>
      </w:r>
      <w:r>
        <w:rPr>
          <w:spacing w:val="-83"/>
        </w:rPr>
        <w:t> </w:t>
      </w:r>
      <w:r>
        <w:rPr>
          <w:spacing w:val="-83"/>
        </w:rPr>
      </w:r>
      <w:r>
        <w:rPr>
          <w:spacing w:val="-1"/>
        </w:rPr>
        <w:t>足冲减的，依次冲减盈余公积和未分配利润；与发行债务性工具作为合并对价直接相关的交易费用，作为</w:t>
      </w:r>
      <w:r>
        <w:rPr>
          <w:spacing w:val="-83"/>
        </w:rPr>
        <w:t> </w:t>
      </w:r>
      <w:r>
        <w:rPr>
          <w:spacing w:val="-83"/>
        </w:rPr>
      </w:r>
      <w:r>
        <w:rPr/>
        <w:t>计入债务性工具的初始确认金额。</w:t>
      </w:r>
    </w:p>
    <w:p>
      <w:pPr>
        <w:pStyle w:val="Heading4"/>
        <w:spacing w:line="273" w:lineRule="auto"/>
        <w:ind w:right="151" w:firstLine="420"/>
        <w:jc w:val="both"/>
      </w:pPr>
      <w:r>
        <w:rPr>
          <w:spacing w:val="-1"/>
        </w:rPr>
        <w:t>被合并方存在合并财务报表，则以合并日被合并方合并财务报表中归属于母公司的所有者权益为基础</w:t>
      </w:r>
      <w:r>
        <w:rPr/>
        <w:t> 确定长期股权投资的初始投资成本。</w:t>
      </w:r>
    </w:p>
    <w:p>
      <w:pPr>
        <w:pStyle w:val="Heading4"/>
        <w:spacing w:line="256" w:lineRule="auto"/>
        <w:ind w:left="574" w:right="0" w:hanging="1"/>
        <w:jc w:val="left"/>
      </w:pPr>
      <w:r>
        <w:rPr>
          <w:rFonts w:ascii="Times New Roman" w:hAnsi="Times New Roman" w:cs="Times New Roman" w:eastAsia="Times New Roman" w:hint="default"/>
        </w:rPr>
        <w:t>2</w:t>
      </w:r>
      <w:r>
        <w:rPr/>
        <w:t>）合并财务报表 </w:t>
      </w:r>
      <w:r>
        <w:rPr>
          <w:spacing w:val="-1"/>
        </w:rPr>
        <w:t>合并方在企业合并中取得的资产和负债，按照合并日在被合并方所有者权益在最终控制方合并财务报</w:t>
      </w:r>
    </w:p>
    <w:p>
      <w:pPr>
        <w:pStyle w:val="Heading4"/>
        <w:spacing w:line="273" w:lineRule="auto" w:before="22"/>
        <w:ind w:left="574" w:right="0" w:hanging="420"/>
        <w:jc w:val="left"/>
      </w:pPr>
      <w:r>
        <w:rPr/>
        <w:t>表中的账面价值计量。 </w:t>
      </w:r>
      <w:r>
        <w:rPr>
          <w:spacing w:val="-1"/>
        </w:rPr>
        <w:t>对于通过多次交易最终实现企业合并的，属于一揽子交易的，将各项交易作为一项取得控制权的交易</w:t>
      </w:r>
    </w:p>
    <w:p>
      <w:pPr>
        <w:pStyle w:val="Heading4"/>
        <w:spacing w:line="273" w:lineRule="auto"/>
        <w:ind w:right="149"/>
        <w:jc w:val="both"/>
      </w:pPr>
      <w:r>
        <w:rPr>
          <w:spacing w:val="-1"/>
        </w:rPr>
        <w:t>进行会计处理；不属于一揽子交易的，合并方在达到合并之前持有的长期股权投资，在取得日与合并方与</w:t>
      </w:r>
      <w:r>
        <w:rPr>
          <w:spacing w:val="-83"/>
        </w:rPr>
        <w:t> </w:t>
      </w:r>
      <w:r>
        <w:rPr>
          <w:spacing w:val="-83"/>
        </w:rPr>
      </w:r>
      <w:r>
        <w:rPr>
          <w:spacing w:val="-1"/>
        </w:rPr>
        <w:t>被合并方同处于同一方最终控制之日孰晚日与合并日之间已确认有关损益、其他综合收益和其他所有者权</w:t>
      </w:r>
      <w:r>
        <w:rPr>
          <w:spacing w:val="-81"/>
        </w:rPr>
        <w:t> </w:t>
      </w:r>
      <w:r>
        <w:rPr>
          <w:spacing w:val="-81"/>
        </w:rPr>
      </w:r>
      <w:r>
        <w:rPr/>
        <w:t>益变动，分别冲减比较报表期间的期初留存收益或当期损益。</w:t>
      </w:r>
    </w:p>
    <w:p>
      <w:pPr>
        <w:pStyle w:val="Heading4"/>
        <w:spacing w:line="273" w:lineRule="auto"/>
        <w:ind w:right="149" w:firstLine="420"/>
        <w:jc w:val="both"/>
      </w:pPr>
      <w:r>
        <w:rPr>
          <w:spacing w:val="-1"/>
        </w:rPr>
        <w:t>被合并各方采用的会计政策与本公司不一致的，本公司在合并日按照本公司会计政策进行调整，在此</w:t>
      </w:r>
      <w:r>
        <w:rPr/>
        <w:t> 基础上按照企业会计准则规定确认。</w:t>
      </w:r>
    </w:p>
    <w:p>
      <w:pPr>
        <w:spacing w:line="256" w:lineRule="auto" w:before="7"/>
        <w:ind w:left="574"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、非同一控制下的企业合并</w:t>
      </w:r>
      <w:r>
        <w:rPr>
          <w:rFonts w:ascii="宋体" w:hAnsi="宋体" w:cs="宋体" w:eastAsia="宋体" w:hint="default"/>
          <w:b/>
          <w:bCs/>
          <w:w w:val="99"/>
          <w:sz w:val="21"/>
          <w:szCs w:val="21"/>
        </w:rPr>
        <w:t> </w:t>
      </w:r>
      <w:r>
        <w:rPr>
          <w:rFonts w:ascii="宋体" w:hAnsi="宋体" w:cs="宋体" w:eastAsia="宋体" w:hint="default"/>
          <w:spacing w:val="3"/>
          <w:sz w:val="21"/>
          <w:szCs w:val="21"/>
        </w:rPr>
        <w:t>对于非同一控制下的企业合并，合并成本为本公司在购买日为取得对被购买方的控制权而付出的资</w:t>
      </w:r>
    </w:p>
    <w:p>
      <w:pPr>
        <w:pStyle w:val="Heading4"/>
        <w:spacing w:line="273" w:lineRule="auto" w:before="22"/>
        <w:ind w:right="149"/>
        <w:jc w:val="both"/>
      </w:pPr>
      <w:r>
        <w:rPr>
          <w:spacing w:val="-1"/>
        </w:rPr>
        <w:t>产、发生或承担的负债以及发行的权益性工具或债务性工具的公允价值。在合并合同中对可能影响合并成</w:t>
      </w:r>
      <w:r>
        <w:rPr>
          <w:spacing w:val="-81"/>
        </w:rPr>
        <w:t> </w:t>
      </w:r>
      <w:r>
        <w:rPr>
          <w:spacing w:val="-81"/>
        </w:rPr>
      </w:r>
      <w:r>
        <w:rPr>
          <w:spacing w:val="-1"/>
        </w:rPr>
        <w:t>本的未来事项作出约定的，购买日如果估计未来事项很可能发生并且对合并成本的影响金额能够可靠计量</w:t>
      </w:r>
      <w:r>
        <w:rPr>
          <w:spacing w:val="-81"/>
        </w:rPr>
        <w:t> </w:t>
      </w:r>
      <w:r>
        <w:rPr>
          <w:spacing w:val="-81"/>
        </w:rPr>
      </w:r>
      <w:r>
        <w:rPr/>
        <w:t>的，也计入合并成本。</w:t>
      </w:r>
    </w:p>
    <w:p>
      <w:pPr>
        <w:pStyle w:val="Heading4"/>
        <w:spacing w:line="240" w:lineRule="auto"/>
        <w:ind w:left="574" w:right="0"/>
        <w:jc w:val="left"/>
      </w:pPr>
      <w:r>
        <w:rPr/>
        <w:t>本公司为进行企业合并发生的审计、法律服务、评估咨询等中介费用以及其他相关管理费用，于发生</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4"/>
        <w:spacing w:line="273" w:lineRule="auto" w:before="35"/>
        <w:ind w:right="102"/>
        <w:jc w:val="left"/>
      </w:pPr>
      <w:r>
        <w:rPr>
          <w:spacing w:val="-1"/>
        </w:rPr>
        <w:t>时计入当期损益；本公司作为合并对价发行的权益性工具或债务性工具的交易费用，计入权益性工具或债</w:t>
      </w:r>
      <w:r>
        <w:rPr>
          <w:spacing w:val="-81"/>
        </w:rPr>
        <w:t> </w:t>
      </w:r>
      <w:r>
        <w:rPr>
          <w:spacing w:val="-81"/>
        </w:rPr>
      </w:r>
      <w:r>
        <w:rPr/>
        <w:t>务性工具的初始确认金额。</w:t>
      </w:r>
    </w:p>
    <w:p>
      <w:pPr>
        <w:pStyle w:val="Heading4"/>
        <w:spacing w:line="273" w:lineRule="auto"/>
        <w:ind w:left="153" w:right="211" w:firstLine="420"/>
        <w:jc w:val="both"/>
      </w:pPr>
      <w:r>
        <w:rPr>
          <w:spacing w:val="-1"/>
        </w:rPr>
        <w:t>本公司对合并成本大于合并中取得的被购买方可辨认净资产公允价值份额的差额，确认为商誉。本公</w:t>
      </w:r>
      <w:r>
        <w:rPr/>
        <w:t> </w:t>
      </w:r>
      <w:r>
        <w:rPr>
          <w:spacing w:val="-1"/>
        </w:rPr>
        <w:t>司对合并成本小于合并中取得的被购买方可辨认净资产公允价值份额的，经复核后合并成本仍小于合并中</w:t>
      </w:r>
      <w:r>
        <w:rPr>
          <w:spacing w:val="-81"/>
        </w:rPr>
        <w:t> </w:t>
      </w:r>
      <w:r>
        <w:rPr>
          <w:spacing w:val="-81"/>
        </w:rPr>
      </w:r>
      <w:r>
        <w:rPr/>
        <w:t>取得的被购买方可辨认净资产公允价值份额的差额，计入当期损益。</w:t>
      </w:r>
    </w:p>
    <w:p>
      <w:pPr>
        <w:pStyle w:val="Heading4"/>
        <w:spacing w:line="273" w:lineRule="auto"/>
        <w:ind w:left="153" w:right="105" w:firstLine="420"/>
        <w:jc w:val="both"/>
      </w:pPr>
      <w:r>
        <w:rPr/>
        <w:t>通过多次交换交易分步实现的非同一控制下企业合并，属于一揽子交易的，将各项交易作为一项取得 </w:t>
      </w:r>
      <w:r>
        <w:rPr>
          <w:spacing w:val="-3"/>
        </w:rPr>
        <w:t>控制权的交易进行会计处理；不属于一揽子交易的，区分个别财务报表和合并财务报表进行相关会计处理：</w:t>
      </w:r>
    </w:p>
    <w:p>
      <w:pPr>
        <w:pStyle w:val="Heading4"/>
        <w:spacing w:line="266" w:lineRule="auto"/>
        <w:ind w:left="153" w:right="207" w:firstLine="420"/>
        <w:jc w:val="both"/>
      </w:pPr>
      <w:r>
        <w:rPr/>
        <w:t>（</w:t>
      </w:r>
      <w:r>
        <w:rPr>
          <w:rFonts w:ascii="Times New Roman" w:hAnsi="Times New Roman" w:cs="Times New Roman" w:eastAsia="Times New Roman" w:hint="default"/>
        </w:rPr>
        <w:t>1</w:t>
      </w:r>
      <w:r>
        <w:rPr/>
        <w:t>）在个别财务报表中，合并日之前持有的股权投资采用权益法核算的，以购买日之前所持被购买</w:t>
      </w:r>
      <w:r>
        <w:rPr>
          <w:spacing w:val="2"/>
        </w:rPr>
        <w:t> </w:t>
      </w:r>
      <w:r>
        <w:rPr>
          <w:spacing w:val="-1"/>
        </w:rPr>
        <w:t>方的股权投资的账面价值与购买日新增投资成本之和，作为该项投资的初始投资成本；购买日之前持有的</w:t>
      </w:r>
      <w:r>
        <w:rPr>
          <w:spacing w:val="-81"/>
        </w:rPr>
        <w:t> </w:t>
      </w:r>
      <w:r>
        <w:rPr>
          <w:spacing w:val="-81"/>
        </w:rPr>
      </w:r>
      <w:r>
        <w:rPr>
          <w:spacing w:val="-1"/>
        </w:rPr>
        <w:t>股权投资因采用权益法核算而确认的其他综合收益，在处置该项投资时采用与被投资单位直接处置相关资</w:t>
      </w:r>
      <w:r>
        <w:rPr>
          <w:spacing w:val="-81"/>
        </w:rPr>
        <w:t> </w:t>
      </w:r>
      <w:r>
        <w:rPr>
          <w:spacing w:val="-81"/>
        </w:rPr>
      </w:r>
      <w:r>
        <w:rPr/>
        <w:t>产或负债相同的基础进行会计处理。</w:t>
      </w:r>
    </w:p>
    <w:p>
      <w:pPr>
        <w:pStyle w:val="Heading4"/>
        <w:spacing w:line="273" w:lineRule="auto" w:before="14"/>
        <w:ind w:left="153" w:right="211" w:firstLine="420"/>
        <w:jc w:val="both"/>
      </w:pPr>
      <w:r>
        <w:rPr>
          <w:spacing w:val="-1"/>
        </w:rPr>
        <w:t>合并日之前持有的股权投资采用金融工具确认和计量准则核算的，以该股权投资在合并日的公允价值</w:t>
      </w:r>
      <w:r>
        <w:rPr/>
        <w:t> </w:t>
      </w:r>
      <w:r>
        <w:rPr>
          <w:spacing w:val="-1"/>
        </w:rPr>
        <w:t>加上新增投资成本之和，作为合并日的初始投资成本。原持有股权的公允价值与账面价值之间的差额以及</w:t>
      </w:r>
      <w:r>
        <w:rPr>
          <w:spacing w:val="-81"/>
        </w:rPr>
        <w:t> </w:t>
      </w:r>
      <w:r>
        <w:rPr>
          <w:spacing w:val="-81"/>
        </w:rPr>
      </w:r>
      <w:r>
        <w:rPr/>
        <w:t>原计入其他综合收益的累计公允价值变动应全部转入合并日当期的投资收益。</w:t>
      </w:r>
    </w:p>
    <w:p>
      <w:pPr>
        <w:pStyle w:val="Heading4"/>
        <w:spacing w:line="264" w:lineRule="auto"/>
        <w:ind w:left="153" w:right="207" w:firstLine="420"/>
        <w:jc w:val="both"/>
      </w:pPr>
      <w:r>
        <w:rPr/>
        <w:t>（</w:t>
      </w:r>
      <w:r>
        <w:rPr>
          <w:rFonts w:ascii="Times New Roman" w:hAnsi="Times New Roman" w:cs="Times New Roman" w:eastAsia="Times New Roman" w:hint="default"/>
        </w:rPr>
        <w:t>2</w:t>
      </w:r>
      <w:r>
        <w:rPr/>
        <w:t>）在合并财务报表中，对于购买日之前持有的被购买方的股权，按照该股权在购买日的公允价值</w:t>
      </w:r>
      <w:r>
        <w:rPr>
          <w:spacing w:val="2"/>
        </w:rPr>
        <w:t> </w:t>
      </w:r>
      <w:r>
        <w:rPr>
          <w:spacing w:val="-1"/>
        </w:rPr>
        <w:t>进行重新计量，公允价值与其账面价值的差额计入当期投资收益；购买日之前持有的被购买方的股权涉及</w:t>
      </w:r>
      <w:r>
        <w:rPr>
          <w:spacing w:val="-81"/>
        </w:rPr>
        <w:t> </w:t>
      </w:r>
      <w:r>
        <w:rPr>
          <w:spacing w:val="-81"/>
        </w:rPr>
      </w:r>
      <w:r>
        <w:rPr/>
        <w:t>权益法核算下的其他综合收益等的，与其相关的其他综合收益等转为购买日所属当期投资收益。</w:t>
      </w:r>
    </w:p>
    <w:p>
      <w:pPr>
        <w:spacing w:line="590" w:lineRule="atLeast" w:before="18"/>
        <w:ind w:left="573" w:right="102"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本公司合并财务报表的合并范围以控制为基础确定，所有子公司（包括母公司所控制的单独主体）均</w:t>
      </w:r>
    </w:p>
    <w:p>
      <w:pPr>
        <w:pStyle w:val="Heading4"/>
        <w:spacing w:line="273" w:lineRule="auto" w:before="37"/>
        <w:ind w:left="573" w:right="102" w:hanging="420"/>
        <w:jc w:val="left"/>
      </w:pPr>
      <w:r>
        <w:rPr/>
        <w:t>纳入合并财务报表。 </w:t>
      </w:r>
      <w:r>
        <w:rPr>
          <w:spacing w:val="-1"/>
        </w:rPr>
        <w:t>所有纳入合并财务报表合并范围的子公司所采用的会计政策、会计期间与本公司一致，如子公司采用</w:t>
      </w:r>
    </w:p>
    <w:p>
      <w:pPr>
        <w:pStyle w:val="Heading4"/>
        <w:spacing w:line="273" w:lineRule="auto"/>
        <w:ind w:left="153" w:right="102"/>
        <w:jc w:val="left"/>
      </w:pPr>
      <w:r>
        <w:rPr>
          <w:spacing w:val="-1"/>
        </w:rPr>
        <w:t>的会计政策、会计期间与本公司不一致的，在编制合并财务报表时，按本公司的会计政策、会计期间进行</w:t>
      </w:r>
      <w:r>
        <w:rPr>
          <w:spacing w:val="-82"/>
        </w:rPr>
        <w:t> </w:t>
      </w:r>
      <w:r>
        <w:rPr>
          <w:spacing w:val="-82"/>
        </w:rPr>
      </w:r>
      <w:r>
        <w:rPr/>
        <w:t>必要的调整。</w:t>
      </w:r>
    </w:p>
    <w:p>
      <w:pPr>
        <w:pStyle w:val="Heading4"/>
        <w:spacing w:line="273" w:lineRule="auto"/>
        <w:ind w:left="573" w:right="102"/>
        <w:jc w:val="left"/>
      </w:pPr>
      <w:r>
        <w:rPr/>
        <w:t>合并财务报表以本公司及子公司的财务报表为基础，根据其他有关资料由本公司编制。 </w:t>
      </w:r>
      <w:r>
        <w:rPr>
          <w:spacing w:val="-1"/>
        </w:rPr>
        <w:t>合并财务报表时抵销本公司与各子公司、各子公司相互之间发生的内部交易对合并资产负债表、合并</w:t>
      </w:r>
    </w:p>
    <w:p>
      <w:pPr>
        <w:pStyle w:val="Heading4"/>
        <w:spacing w:line="273" w:lineRule="auto"/>
        <w:ind w:left="573" w:right="102" w:hanging="420"/>
        <w:jc w:val="left"/>
      </w:pPr>
      <w:r>
        <w:rPr/>
        <w:t>利润表、合并现金流量表、合并股东权益变动表的影响。 </w:t>
      </w:r>
      <w:r>
        <w:rPr>
          <w:spacing w:val="-1"/>
        </w:rPr>
        <w:t>子公司少数股东分担的当期亏损超过了少数股东在该子公司期初所有者权益中所享有的份额的，其余</w:t>
      </w:r>
    </w:p>
    <w:p>
      <w:pPr>
        <w:pStyle w:val="Heading4"/>
        <w:spacing w:line="273" w:lineRule="auto"/>
        <w:ind w:left="573" w:right="102" w:hanging="420"/>
        <w:jc w:val="left"/>
      </w:pPr>
      <w:r>
        <w:rPr/>
        <w:t>额仍应当冲减少数股东权益。 </w:t>
      </w:r>
      <w:r>
        <w:rPr>
          <w:spacing w:val="-1"/>
        </w:rPr>
        <w:t>在报告期内，若因同一控制下企业合并增加子公司以及业务的，则调整合并资产负债表的期初数；将</w:t>
      </w:r>
    </w:p>
    <w:p>
      <w:pPr>
        <w:pStyle w:val="Heading4"/>
        <w:spacing w:line="273" w:lineRule="auto"/>
        <w:ind w:left="153" w:right="102"/>
        <w:jc w:val="left"/>
      </w:pPr>
      <w:r>
        <w:rPr>
          <w:spacing w:val="-1"/>
        </w:rPr>
        <w:t>子公司以及业务合并当期期初至报告期末的收入、费用、利润纳入合并利润表；将子公司以及业务合并当</w:t>
      </w:r>
      <w:r>
        <w:rPr>
          <w:spacing w:val="-83"/>
        </w:rPr>
        <w:t> </w:t>
      </w:r>
      <w:r>
        <w:rPr>
          <w:spacing w:val="-83"/>
        </w:rPr>
      </w:r>
      <w:r>
        <w:rPr/>
        <w:t>期期初至报告期末的现金流量纳入合并现金流量表。</w:t>
      </w:r>
    </w:p>
    <w:p>
      <w:pPr>
        <w:pStyle w:val="Heading4"/>
        <w:spacing w:line="273" w:lineRule="auto"/>
        <w:ind w:left="153" w:right="188" w:firstLine="420"/>
        <w:jc w:val="both"/>
      </w:pPr>
      <w:r>
        <w:rPr/>
        <w:t>在报告期内，若因非同一控制下企业合并增加子公司以及业务的，则不调整合并资产负债表期初数； </w:t>
      </w:r>
      <w:r>
        <w:rPr>
          <w:spacing w:val="-1"/>
        </w:rPr>
        <w:t>将子公司以及业务自购买日至报告期末的收入、费用、利润纳入合并利润表；该子公司以及业务自购买日</w:t>
      </w:r>
      <w:r>
        <w:rPr>
          <w:spacing w:val="-83"/>
        </w:rPr>
        <w:t> </w:t>
      </w:r>
      <w:r>
        <w:rPr>
          <w:spacing w:val="-83"/>
        </w:rPr>
      </w:r>
      <w:r>
        <w:rPr/>
        <w:t>至报告期末的现金流量纳入合并现金流量表。</w:t>
      </w:r>
    </w:p>
    <w:p>
      <w:pPr>
        <w:pStyle w:val="Heading4"/>
        <w:spacing w:line="273" w:lineRule="auto"/>
        <w:ind w:left="153" w:right="211" w:firstLine="420"/>
        <w:jc w:val="both"/>
      </w:pPr>
      <w:r>
        <w:rPr>
          <w:spacing w:val="-1"/>
        </w:rPr>
        <w:t>在报告期内，本公司处置子公司以及业务，则该子公司以及业务期初至处置日的收入、费用、利润纳</w:t>
      </w:r>
      <w:r>
        <w:rPr/>
        <w:t> 入合并利润表；该子公司以及业务期初至处置日的现金流量纳入合并现金流量表。</w:t>
      </w:r>
    </w:p>
    <w:p>
      <w:pPr>
        <w:pStyle w:val="Heading4"/>
        <w:spacing w:line="273" w:lineRule="auto"/>
        <w:ind w:left="153" w:right="188" w:firstLine="336"/>
        <w:jc w:val="both"/>
      </w:pPr>
      <w:r>
        <w:rPr/>
        <w:t>本公司因处置部分股权投资或其他原因丧失了对原有子公司控制权的，在合并财务报表中，对于剩余</w:t>
      </w:r>
      <w:r>
        <w:rPr>
          <w:spacing w:val="1"/>
        </w:rPr>
        <w:t> </w:t>
      </w:r>
      <w:r>
        <w:rPr/>
        <w:t>股权，按照其在丧失控制权日的公允价值进行重新计量。处置股权取得的对价与剩余股权公允价值之和，</w:t>
      </w:r>
      <w:r>
        <w:rPr/>
        <w:t> </w:t>
      </w:r>
      <w:r>
        <w:rPr>
          <w:spacing w:val="-1"/>
        </w:rPr>
        <w:t>减去按原持股比例计算应享有原有子公司自购买日开始持续计算的净资产的份额之间的差额，计入丧失控</w:t>
      </w:r>
      <w:r>
        <w:rPr>
          <w:spacing w:val="-81"/>
        </w:rPr>
        <w:t> </w:t>
      </w:r>
      <w:r>
        <w:rPr>
          <w:spacing w:val="-81"/>
        </w:rPr>
      </w:r>
      <w:r>
        <w:rPr>
          <w:spacing w:val="-1"/>
        </w:rPr>
        <w:t>制权当期的投资收益。与原有子公司股权投资相关的其他综合收益，应当在丧失控制权时转为当期投资收</w:t>
      </w:r>
      <w:r>
        <w:rPr>
          <w:spacing w:val="-81"/>
        </w:rPr>
        <w:t> </w:t>
      </w:r>
      <w:r>
        <w:rPr>
          <w:spacing w:val="-81"/>
        </w:rPr>
      </w:r>
      <w:r>
        <w:rPr/>
        <w:t>益。</w:t>
      </w:r>
    </w:p>
    <w:p>
      <w:pPr>
        <w:spacing w:after="0" w:line="273" w:lineRule="auto"/>
        <w:jc w:val="both"/>
        <w:sectPr>
          <w:pgSz w:w="11910" w:h="16840"/>
          <w:pgMar w:header="747" w:footer="982" w:top="1060" w:bottom="1180" w:left="980" w:right="92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4"/>
          <w:szCs w:val="24"/>
        </w:rPr>
      </w:pPr>
    </w:p>
    <w:p>
      <w:pPr>
        <w:pStyle w:val="Heading4"/>
        <w:spacing w:line="273" w:lineRule="auto" w:before="0"/>
        <w:ind w:right="128"/>
        <w:jc w:val="both"/>
      </w:pPr>
      <w:r>
        <w:rPr>
          <w:spacing w:val="-5"/>
        </w:rPr>
        <w:t>在编制现金流量表时，将本公司库存现金以及可以随时用于支付的存款确认为现金。将同时具备期限短（一</w:t>
      </w:r>
      <w:r>
        <w:rPr>
          <w:spacing w:val="-101"/>
        </w:rPr>
        <w:t> </w:t>
      </w:r>
      <w:r>
        <w:rPr>
          <w:spacing w:val="-101"/>
        </w:rPr>
      </w:r>
      <w:r>
        <w:rPr/>
        <w:t>般从购买日起，三个月内到期）、流动性强、易于转换为已知现金、价值变动风险很小四个条件的投资， 确定为现金等价物。</w:t>
      </w:r>
    </w:p>
    <w:p>
      <w:pPr>
        <w:spacing w:line="240" w:lineRule="auto" w:before="8"/>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、外币业务</w:t>
      </w:r>
      <w:r>
        <w:rPr>
          <w:b w:val="0"/>
          <w:bCs w:val="0"/>
        </w:rPr>
      </w:r>
    </w:p>
    <w:p>
      <w:pPr>
        <w:pStyle w:val="Heading4"/>
        <w:spacing w:line="273" w:lineRule="auto" w:before="21"/>
        <w:ind w:left="538" w:right="146"/>
        <w:jc w:val="left"/>
      </w:pPr>
      <w:r>
        <w:rPr/>
        <w:t>外币业务交易在初始确认时，采用交易发生日的即期汇率作为折算汇率折合成人民币记账。 资产负债表日，外币货币性项目按资产负债表日即期汇率折算，由此产生的汇兑差额，除属于与购建</w:t>
      </w:r>
    </w:p>
    <w:p>
      <w:pPr>
        <w:pStyle w:val="Heading4"/>
        <w:spacing w:line="273" w:lineRule="auto"/>
        <w:ind w:right="151"/>
        <w:jc w:val="both"/>
      </w:pPr>
      <w:r>
        <w:rPr>
          <w:spacing w:val="-1"/>
        </w:rPr>
        <w:t>符合资本化条件的资产相关的外币专门借款产生的汇兑差额按照借款费用资本化的原则处理外，均计入当</w:t>
      </w:r>
      <w:r>
        <w:rPr>
          <w:spacing w:val="-81"/>
        </w:rPr>
        <w:t> </w:t>
      </w:r>
      <w:r>
        <w:rPr>
          <w:spacing w:val="-81"/>
        </w:rPr>
      </w:r>
      <w:r>
        <w:rPr>
          <w:spacing w:val="-1"/>
        </w:rPr>
        <w:t>期损益。以历史成本计量的外币非货币性项目，仍采用交易发生日的即期汇率折算，不改变其记账本位币</w:t>
      </w:r>
      <w:r>
        <w:rPr>
          <w:spacing w:val="-83"/>
        </w:rPr>
        <w:t> </w:t>
      </w:r>
      <w:r>
        <w:rPr>
          <w:spacing w:val="-83"/>
        </w:rPr>
      </w:r>
      <w:r>
        <w:rPr/>
        <w:t>金额。</w:t>
      </w:r>
    </w:p>
    <w:p>
      <w:pPr>
        <w:pStyle w:val="Heading4"/>
        <w:spacing w:line="273" w:lineRule="auto"/>
        <w:ind w:right="149" w:firstLine="384"/>
        <w:jc w:val="both"/>
      </w:pPr>
      <w:r>
        <w:rPr/>
        <w:t>以公允价值计量的外币非货币性项目，采用公允价值确定日的即期汇率折算，由此产生的汇兑差额作 </w:t>
      </w:r>
      <w:r>
        <w:rPr>
          <w:spacing w:val="-1"/>
        </w:rPr>
        <w:t>为公允价值变动损益计入当期损益。如属于可供出售外币非货币性项目的，形成的汇兑差额计入其他综合</w:t>
      </w:r>
      <w:r>
        <w:rPr>
          <w:spacing w:val="-81"/>
        </w:rPr>
        <w:t> </w:t>
      </w:r>
      <w:r>
        <w:rPr>
          <w:spacing w:val="-81"/>
        </w:rPr>
      </w:r>
      <w:r>
        <w:rPr/>
        <w:t>收益。</w:t>
      </w:r>
    </w:p>
    <w:p>
      <w:pPr>
        <w:spacing w:line="256" w:lineRule="auto" w:before="7"/>
        <w:ind w:left="574" w:right="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、外币财务报表的折算</w:t>
      </w:r>
      <w:r>
        <w:rPr>
          <w:rFonts w:ascii="宋体" w:hAnsi="宋体" w:cs="宋体" w:eastAsia="宋体" w:hint="default"/>
          <w:b/>
          <w:bCs/>
          <w:w w:val="99"/>
          <w:sz w:val="21"/>
          <w:szCs w:val="21"/>
        </w:rPr>
        <w:t> </w:t>
      </w:r>
      <w:r>
        <w:rPr>
          <w:rFonts w:ascii="宋体" w:hAnsi="宋体" w:cs="宋体" w:eastAsia="宋体" w:hint="default"/>
          <w:sz w:val="21"/>
          <w:szCs w:val="21"/>
        </w:rPr>
        <w:t>资产负债表中的资产和负债项目，采用资产负债表日的即期汇率折算；所有者权益项目除</w:t>
      </w:r>
      <w:r>
        <w:rPr>
          <w:rFonts w:ascii="Times New Roman" w:hAnsi="Times New Roman" w:cs="Times New Roman" w:eastAsia="Times New Roman" w:hint="default"/>
          <w:sz w:val="21"/>
          <w:szCs w:val="21"/>
        </w:rPr>
        <w:t>“</w:t>
      </w:r>
      <w:r>
        <w:rPr>
          <w:rFonts w:ascii="宋体" w:hAnsi="宋体" w:cs="宋体" w:eastAsia="宋体" w:hint="default"/>
          <w:sz w:val="21"/>
          <w:szCs w:val="21"/>
        </w:rPr>
        <w:t>未分配利</w:t>
      </w:r>
    </w:p>
    <w:p>
      <w:pPr>
        <w:pStyle w:val="Heading4"/>
        <w:spacing w:line="268" w:lineRule="auto" w:before="5"/>
        <w:ind w:right="0"/>
        <w:jc w:val="left"/>
      </w:pPr>
      <w:r>
        <w:rPr/>
        <w:t>润</w:t>
      </w:r>
      <w:r>
        <w:rPr>
          <w:rFonts w:ascii="Times New Roman" w:hAnsi="Times New Roman" w:cs="Times New Roman" w:eastAsia="Times New Roman" w:hint="default"/>
        </w:rPr>
        <w:t>”</w:t>
      </w:r>
      <w:r>
        <w:rPr/>
        <w:t>项目外，其他项目采用发生时的即期汇率折算。利润表中的收入和费用项目，采用交易发生日的即期</w:t>
      </w:r>
      <w:r>
        <w:rPr>
          <w:spacing w:val="-23"/>
        </w:rPr>
        <w:t> </w:t>
      </w:r>
      <w:r>
        <w:rPr>
          <w:spacing w:val="-23"/>
        </w:rPr>
      </w:r>
      <w:r>
        <w:rPr/>
        <w:t>汇率折算。按照上述折算产生的外币财务报表折算差额计入其他综合收益。</w:t>
      </w:r>
      <w:r>
        <w:rPr/>
        <w:t> </w:t>
      </w:r>
      <w:r>
        <w:rPr>
          <w:spacing w:val="-1"/>
        </w:rPr>
        <w:t>处置境外经营时，将资产负债表中其他综合收益项目中列示的、与该境外经营相关的外币财务报表折算差</w:t>
      </w:r>
      <w:r>
        <w:rPr>
          <w:spacing w:val="-81"/>
        </w:rPr>
        <w:t> </w:t>
      </w:r>
      <w:r>
        <w:rPr>
          <w:spacing w:val="-81"/>
        </w:rPr>
      </w:r>
      <w:r>
        <w:rPr>
          <w:spacing w:val="-1"/>
        </w:rPr>
        <w:t>额，自其他综合收益项目转入处置当期损益；部分处置境外经营的，按处置的比例计算处置部分的外币财</w:t>
      </w:r>
      <w:r>
        <w:rPr>
          <w:spacing w:val="-83"/>
        </w:rPr>
        <w:t> </w:t>
      </w:r>
      <w:r>
        <w:rPr>
          <w:spacing w:val="-83"/>
        </w:rPr>
      </w:r>
      <w:r>
        <w:rPr/>
        <w:t>务报表折算差额，转入处置当期损益。</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Heading3"/>
        <w:spacing w:line="240" w:lineRule="auto"/>
        <w:ind w:right="0"/>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4"/>
          <w:szCs w:val="24"/>
        </w:rPr>
      </w:pPr>
    </w:p>
    <w:p>
      <w:pPr>
        <w:pStyle w:val="Heading4"/>
        <w:spacing w:line="240" w:lineRule="auto" w:before="0"/>
        <w:ind w:left="573" w:right="0"/>
        <w:jc w:val="left"/>
      </w:pPr>
      <w:r>
        <w:rPr/>
        <w:t>金融工具包括金融资产、金融负债和权益工具。</w:t>
      </w:r>
    </w:p>
    <w:p>
      <w:pPr>
        <w:pStyle w:val="Heading4"/>
        <w:spacing w:line="256" w:lineRule="auto" w:before="37"/>
        <w:ind w:left="573" w:right="0" w:firstLine="2"/>
        <w:jc w:val="left"/>
      </w:pPr>
      <w:r>
        <w:rPr>
          <w:rFonts w:ascii="Times New Roman" w:hAnsi="Times New Roman" w:cs="Times New Roman" w:eastAsia="Times New Roman" w:hint="default"/>
          <w:b/>
          <w:bCs/>
        </w:rPr>
        <w:t>1</w:t>
      </w:r>
      <w:r>
        <w:rPr>
          <w:rFonts w:ascii="宋体" w:hAnsi="宋体" w:cs="宋体" w:eastAsia="宋体" w:hint="default"/>
          <w:b/>
          <w:bCs/>
        </w:rPr>
        <w:t>．金融工具的分类</w:t>
      </w:r>
      <w:r>
        <w:rPr>
          <w:rFonts w:ascii="宋体" w:hAnsi="宋体" w:cs="宋体" w:eastAsia="宋体" w:hint="default"/>
          <w:b/>
          <w:bCs/>
          <w:spacing w:val="1"/>
          <w:w w:val="99"/>
        </w:rPr>
        <w:t> </w:t>
      </w:r>
      <w:r>
        <w:rPr>
          <w:spacing w:val="-1"/>
        </w:rPr>
        <w:t>管理层根据所发行金融工具的合同条款及其所反映的经济实质而非仅以法律形式，结合取得持有金融</w:t>
      </w:r>
    </w:p>
    <w:p>
      <w:pPr>
        <w:pStyle w:val="Heading4"/>
        <w:spacing w:line="273" w:lineRule="auto" w:before="22"/>
        <w:ind w:left="153" w:right="0"/>
        <w:jc w:val="left"/>
      </w:pPr>
      <w:r>
        <w:rPr>
          <w:spacing w:val="-1"/>
        </w:rPr>
        <w:t>资产和承担金融负债的目的，将金融资产和金融负债分为不同类别：以公允价值计量且其变动计入当期损</w:t>
      </w:r>
      <w:r>
        <w:rPr>
          <w:spacing w:val="-81"/>
        </w:rPr>
        <w:t> </w:t>
      </w:r>
      <w:r>
        <w:rPr>
          <w:spacing w:val="-81"/>
        </w:rPr>
      </w:r>
      <w:r>
        <w:rPr/>
        <w:t>益的金融资产（或金融负债）；持有至到期投资；应收款项；可供出售金融资产；其他金融负债等。</w:t>
      </w:r>
    </w:p>
    <w:p>
      <w:pPr>
        <w:pStyle w:val="Heading3"/>
        <w:spacing w:line="240" w:lineRule="auto" w:before="7"/>
        <w:ind w:left="576" w:right="0"/>
        <w:jc w:val="left"/>
        <w:rPr>
          <w:b w:val="0"/>
          <w:bCs w:val="0"/>
        </w:rPr>
      </w:pPr>
      <w:r>
        <w:rPr>
          <w:rFonts w:ascii="Times New Roman" w:hAnsi="Times New Roman" w:cs="Times New Roman" w:eastAsia="Times New Roman" w:hint="default"/>
        </w:rPr>
        <w:t>2</w:t>
      </w:r>
      <w:r>
        <w:rPr/>
        <w:t>．金融工具的确认依据和计量方法</w:t>
      </w:r>
      <w:r>
        <w:rPr>
          <w:b w:val="0"/>
          <w:bCs w:val="0"/>
        </w:rPr>
      </w:r>
    </w:p>
    <w:p>
      <w:pPr>
        <w:pStyle w:val="Heading4"/>
        <w:spacing w:line="256" w:lineRule="auto" w:before="21"/>
        <w:ind w:left="573" w:right="0" w:hanging="84"/>
        <w:jc w:val="left"/>
      </w:pPr>
      <w:r>
        <w:rPr/>
        <w:t>（</w:t>
      </w:r>
      <w:r>
        <w:rPr>
          <w:rFonts w:ascii="Times New Roman" w:hAnsi="Times New Roman" w:cs="Times New Roman" w:eastAsia="Times New Roman" w:hint="default"/>
        </w:rPr>
        <w:t>1</w:t>
      </w:r>
      <w:r>
        <w:rPr/>
        <w:t>）以公允价值计量且其变动计入当期损益的金融资产（金融负债） </w:t>
      </w:r>
      <w:r>
        <w:rPr>
          <w:spacing w:val="-1"/>
        </w:rPr>
        <w:t>以公允价值计量且其变动计入当期损益的金融资产或金融负债，包括交易性金融资产或金融负债和直</w:t>
      </w:r>
    </w:p>
    <w:p>
      <w:pPr>
        <w:pStyle w:val="Heading4"/>
        <w:spacing w:line="273" w:lineRule="auto" w:before="22"/>
        <w:ind w:left="573" w:right="2421" w:hanging="420"/>
        <w:jc w:val="left"/>
      </w:pPr>
      <w:r>
        <w:rPr/>
        <w:t>接指定为以公允价值计量且其变动计入当期损益的金融资产或金融负债。 交易性金融资产或金融负债是指满足下列条件之一的金融资产或金融负债： </w:t>
      </w:r>
      <w:r>
        <w:rPr>
          <w:rFonts w:ascii="Times New Roman" w:hAnsi="Times New Roman" w:cs="Times New Roman" w:eastAsia="Times New Roman" w:hint="default"/>
        </w:rPr>
        <w:t>1</w:t>
      </w:r>
      <w:r>
        <w:rPr/>
        <w:t>）取得该金融资产或金融负债的目的是为了在短期内出售、回购或赎回；</w:t>
      </w:r>
    </w:p>
    <w:p>
      <w:pPr>
        <w:pStyle w:val="Heading4"/>
        <w:spacing w:line="256" w:lineRule="auto" w:before="0"/>
        <w:ind w:left="153" w:right="147" w:firstLine="420"/>
        <w:jc w:val="both"/>
      </w:pPr>
      <w:r>
        <w:rPr>
          <w:rFonts w:ascii="Times New Roman" w:hAnsi="Times New Roman" w:cs="Times New Roman" w:eastAsia="Times New Roman" w:hint="default"/>
        </w:rPr>
        <w:t>2</w:t>
      </w:r>
      <w:r>
        <w:rPr/>
        <w:t>）属于进行集中管理的可辨认金融工具组合的一部分，且有客观证据表明本公司近期采用短期获利</w:t>
      </w:r>
      <w:r>
        <w:rPr>
          <w:spacing w:val="2"/>
        </w:rPr>
        <w:t> </w:t>
      </w:r>
      <w:r>
        <w:rPr/>
        <w:t>方式对该组合进行管理；</w:t>
      </w:r>
    </w:p>
    <w:p>
      <w:pPr>
        <w:pStyle w:val="Heading4"/>
        <w:spacing w:line="256" w:lineRule="auto" w:before="22"/>
        <w:ind w:left="153" w:right="142" w:firstLine="420"/>
        <w:jc w:val="both"/>
      </w:pPr>
      <w:r>
        <w:rPr>
          <w:rFonts w:ascii="Times New Roman" w:hAnsi="Times New Roman" w:cs="Times New Roman" w:eastAsia="Times New Roman" w:hint="default"/>
        </w:rPr>
        <w:t>3</w:t>
      </w:r>
      <w:r>
        <w:rPr/>
        <w:t>）属于衍生金融工具，但是被指定为有效套期工具的衍生工具、属于财务担保合同的衍生工具、与</w:t>
      </w:r>
      <w:r>
        <w:rPr>
          <w:spacing w:val="2"/>
        </w:rPr>
        <w:t> </w:t>
      </w:r>
      <w:r>
        <w:rPr>
          <w:spacing w:val="3"/>
        </w:rPr>
        <w:t>在活跃市场中没有报价且其公允价值不能可靠计量的权益工具投资挂钩并须通过交付该权益工具结算的</w:t>
      </w:r>
      <w:r>
        <w:rPr/>
      </w:r>
    </w:p>
    <w:p>
      <w:pPr>
        <w:spacing w:after="0" w:line="256" w:lineRule="auto"/>
        <w:jc w:val="both"/>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4"/>
        <w:spacing w:line="273" w:lineRule="auto" w:before="35"/>
        <w:ind w:left="573" w:right="0" w:hanging="420"/>
        <w:jc w:val="left"/>
      </w:pPr>
      <w:r>
        <w:rPr/>
        <w:t>衍生工具除外。 </w:t>
      </w:r>
      <w:r>
        <w:rPr>
          <w:spacing w:val="-1"/>
        </w:rPr>
        <w:t>只有符合以下条件之一，金融资产或金融负债才可在初始计量时指定为以公允价值计量且其变动计入</w:t>
      </w:r>
    </w:p>
    <w:p>
      <w:pPr>
        <w:pStyle w:val="Heading4"/>
        <w:spacing w:line="240" w:lineRule="auto"/>
        <w:ind w:left="153" w:right="0"/>
        <w:jc w:val="both"/>
      </w:pPr>
      <w:r>
        <w:rPr/>
        <w:t>损益的金融资产或金融负债：</w:t>
      </w:r>
    </w:p>
    <w:p>
      <w:pPr>
        <w:pStyle w:val="Heading4"/>
        <w:spacing w:line="256" w:lineRule="auto" w:before="37"/>
        <w:ind w:left="153" w:right="147" w:firstLine="420"/>
        <w:jc w:val="both"/>
      </w:pPr>
      <w:r>
        <w:rPr>
          <w:rFonts w:ascii="Times New Roman" w:hAnsi="Times New Roman" w:cs="Times New Roman" w:eastAsia="Times New Roman" w:hint="default"/>
        </w:rPr>
        <w:t>1</w:t>
      </w:r>
      <w:r>
        <w:rPr/>
        <w:t>）该项指定可以消除或明显减少由于金融资产或金融负债的计量基础不同所导致的相关利得或损失</w:t>
      </w:r>
      <w:r>
        <w:rPr>
          <w:spacing w:val="2"/>
        </w:rPr>
        <w:t> </w:t>
      </w:r>
      <w:r>
        <w:rPr/>
        <w:t>在确认或计量方面不一致的情况；</w:t>
      </w:r>
    </w:p>
    <w:p>
      <w:pPr>
        <w:pStyle w:val="Heading4"/>
        <w:spacing w:line="256" w:lineRule="auto" w:before="22"/>
        <w:ind w:left="153" w:right="147" w:firstLine="420"/>
        <w:jc w:val="both"/>
      </w:pPr>
      <w:r>
        <w:rPr>
          <w:rFonts w:ascii="Times New Roman" w:hAnsi="Times New Roman" w:cs="Times New Roman" w:eastAsia="Times New Roman" w:hint="default"/>
        </w:rPr>
        <w:t>2</w:t>
      </w:r>
      <w:r>
        <w:rPr/>
        <w:t>）风险管理或投资策略的正式书面文件已载明，该金融资产组合、该金融负债组合、或该金融资产</w:t>
      </w:r>
      <w:r>
        <w:rPr>
          <w:spacing w:val="2"/>
        </w:rPr>
        <w:t> </w:t>
      </w:r>
      <w:r>
        <w:rPr/>
        <w:t>和金融负债组合，以公允价值为基础进行管理、评价并向关键管理人员报告；</w:t>
      </w:r>
    </w:p>
    <w:p>
      <w:pPr>
        <w:pStyle w:val="Heading4"/>
        <w:spacing w:line="256" w:lineRule="auto" w:before="22"/>
        <w:ind w:left="153" w:right="147" w:firstLine="420"/>
        <w:jc w:val="both"/>
      </w:pPr>
      <w:r>
        <w:rPr>
          <w:rFonts w:ascii="Times New Roman" w:hAnsi="Times New Roman" w:cs="Times New Roman" w:eastAsia="Times New Roman" w:hint="default"/>
        </w:rPr>
        <w:t>3</w:t>
      </w:r>
      <w:r>
        <w:rPr/>
        <w:t>）包含一项或多项嵌入衍生工具的混合工具，除非嵌入衍生工具对混合工具的现金流量没有重大改</w:t>
      </w:r>
      <w:r>
        <w:rPr>
          <w:spacing w:val="2"/>
        </w:rPr>
        <w:t> </w:t>
      </w:r>
      <w:r>
        <w:rPr/>
        <w:t>变，或所嵌入的衍生工具明显不应当从相关混合工具中分拆；</w:t>
      </w:r>
    </w:p>
    <w:p>
      <w:pPr>
        <w:pStyle w:val="Heading4"/>
        <w:spacing w:line="256" w:lineRule="auto" w:before="22"/>
        <w:ind w:left="153" w:right="147" w:firstLine="420"/>
        <w:jc w:val="both"/>
      </w:pPr>
      <w:r>
        <w:rPr>
          <w:rFonts w:ascii="Times New Roman" w:hAnsi="Times New Roman" w:cs="Times New Roman" w:eastAsia="Times New Roman" w:hint="default"/>
        </w:rPr>
        <w:t>4</w:t>
      </w:r>
      <w:r>
        <w:rPr/>
        <w:t>）包含需要分拆但无法在取得时或后续的资产负债表日对其进行单独计量的嵌入衍生工具的混合工</w:t>
      </w:r>
      <w:r>
        <w:rPr>
          <w:spacing w:val="2"/>
        </w:rPr>
        <w:t> </w:t>
      </w:r>
      <w:r>
        <w:rPr/>
        <w:t>具。</w:t>
      </w:r>
    </w:p>
    <w:p>
      <w:pPr>
        <w:pStyle w:val="Heading4"/>
        <w:spacing w:line="273" w:lineRule="auto" w:before="22"/>
        <w:ind w:left="153" w:right="128" w:firstLine="420"/>
        <w:jc w:val="both"/>
      </w:pPr>
      <w:r>
        <w:rPr>
          <w:spacing w:val="-1"/>
        </w:rPr>
        <w:t>本公司对以公允价值计量且其变动计入当期损益的金融资产或金融负债，在取得时以公允价值（扣除</w:t>
      </w:r>
      <w:r>
        <w:rPr/>
        <w:t> </w:t>
      </w:r>
      <w:r>
        <w:rPr>
          <w:spacing w:val="-1"/>
        </w:rPr>
        <w:t>已宣告但尚未发放的现金股利或已到付息期但尚未领取的债券利息）作为初始确认金额，相关的交易费用</w:t>
      </w:r>
      <w:r>
        <w:rPr>
          <w:spacing w:val="-81"/>
        </w:rPr>
        <w:t> </w:t>
      </w:r>
      <w:r>
        <w:rPr>
          <w:spacing w:val="-81"/>
        </w:rPr>
      </w:r>
      <w:r>
        <w:rPr/>
        <w:t>计入当期损益。持有期间将取得的利息或现金股利确认为投资收益，期末将公允价值变动计入当期损益。 处置时，其公允价值与初始入账金额之间的差额确认为投资收益，同时调整公允价值变动损益。</w:t>
      </w:r>
    </w:p>
    <w:p>
      <w:pPr>
        <w:pStyle w:val="Heading4"/>
        <w:spacing w:line="256" w:lineRule="auto"/>
        <w:ind w:left="573" w:right="0" w:hanging="168"/>
        <w:jc w:val="left"/>
      </w:pPr>
      <w:r>
        <w:rPr/>
        <w:t>（</w:t>
      </w:r>
      <w:r>
        <w:rPr>
          <w:rFonts w:ascii="Times New Roman" w:hAnsi="Times New Roman" w:cs="Times New Roman" w:eastAsia="Times New Roman" w:hint="default"/>
        </w:rPr>
        <w:t>2</w:t>
      </w:r>
      <w:r>
        <w:rPr/>
        <w:t>）应收款项 </w:t>
      </w:r>
      <w:r>
        <w:rPr>
          <w:spacing w:val="-1"/>
        </w:rPr>
        <w:t>本公司对外销售商品或提供劳务形成的应收债权，以及公司持有的其他企业的不包括在活跃市场上有</w:t>
      </w:r>
    </w:p>
    <w:p>
      <w:pPr>
        <w:pStyle w:val="Heading4"/>
        <w:spacing w:line="273" w:lineRule="auto" w:before="22"/>
        <w:ind w:left="153" w:right="151"/>
        <w:jc w:val="both"/>
      </w:pPr>
      <w:r>
        <w:rPr>
          <w:spacing w:val="-1"/>
        </w:rPr>
        <w:t>报价的债务工具的债权，包括应收账款、其他应收款、应收票据、预付款项等，以向购货方应收的合同或</w:t>
      </w:r>
      <w:r>
        <w:rPr>
          <w:spacing w:val="-83"/>
        </w:rPr>
        <w:t> </w:t>
      </w:r>
      <w:r>
        <w:rPr>
          <w:spacing w:val="-83"/>
        </w:rPr>
      </w:r>
      <w:r>
        <w:rPr/>
        <w:t>协议价款作为初始确认金额；具有融资性质的，按其现值进行初始确认。</w:t>
      </w:r>
    </w:p>
    <w:p>
      <w:pPr>
        <w:pStyle w:val="Heading4"/>
        <w:spacing w:line="240" w:lineRule="auto"/>
        <w:ind w:left="573" w:right="0"/>
        <w:jc w:val="left"/>
      </w:pPr>
      <w:r>
        <w:rPr/>
        <w:t>收回或处置时，将取得的价款与该应收款项账面价值之间的差额计入当期损益。</w:t>
      </w:r>
    </w:p>
    <w:p>
      <w:pPr>
        <w:pStyle w:val="Heading4"/>
        <w:spacing w:line="256" w:lineRule="auto" w:before="37"/>
        <w:ind w:left="573" w:right="0" w:hanging="168"/>
        <w:jc w:val="left"/>
      </w:pPr>
      <w:r>
        <w:rPr/>
        <w:t>（</w:t>
      </w:r>
      <w:r>
        <w:rPr>
          <w:rFonts w:ascii="Times New Roman" w:hAnsi="Times New Roman" w:cs="Times New Roman" w:eastAsia="Times New Roman" w:hint="default"/>
        </w:rPr>
        <w:t>3</w:t>
      </w:r>
      <w:r>
        <w:rPr/>
        <w:t>）持有至到期投资 </w:t>
      </w:r>
      <w:r>
        <w:rPr>
          <w:spacing w:val="-1"/>
        </w:rPr>
        <w:t>持有至到期投资是指到期日固定、回收金额固定或可确定，且本公司有明确意图和能力持有至到期的</w:t>
      </w:r>
    </w:p>
    <w:p>
      <w:pPr>
        <w:pStyle w:val="Heading4"/>
        <w:spacing w:line="273" w:lineRule="auto" w:before="22"/>
        <w:ind w:left="573" w:right="0" w:hanging="420"/>
        <w:jc w:val="left"/>
      </w:pPr>
      <w:r>
        <w:rPr/>
        <w:t>非衍生性金融资产。 </w:t>
      </w:r>
      <w:r>
        <w:rPr>
          <w:spacing w:val="-1"/>
        </w:rPr>
        <w:t>本公司对持有至到期投资，在取得时按公允价值（扣除已到付息期但尚未领取的债券利息）和相关交</w:t>
      </w:r>
    </w:p>
    <w:p>
      <w:pPr>
        <w:pStyle w:val="Heading4"/>
        <w:spacing w:line="273" w:lineRule="auto"/>
        <w:ind w:left="153" w:right="150"/>
        <w:jc w:val="both"/>
      </w:pPr>
      <w:r>
        <w:rPr>
          <w:spacing w:val="-1"/>
        </w:rPr>
        <w:t>易费用之和作为初始确认金额。持有期间按照摊余成本和实际利率计算确认利息收入，计入投资收益。实</w:t>
      </w:r>
      <w:r>
        <w:rPr>
          <w:spacing w:val="-83"/>
        </w:rPr>
        <w:t> </w:t>
      </w:r>
      <w:r>
        <w:rPr>
          <w:spacing w:val="-83"/>
        </w:rPr>
      </w:r>
      <w:r>
        <w:rPr>
          <w:spacing w:val="-1"/>
        </w:rPr>
        <w:t>际利率在取得时确定，在该预期存续期间或适用的更短期间内保持不变。处置时，将所取得价款与该投资</w:t>
      </w:r>
      <w:r>
        <w:rPr>
          <w:spacing w:val="-83"/>
        </w:rPr>
        <w:t> </w:t>
      </w:r>
      <w:r>
        <w:rPr>
          <w:spacing w:val="-83"/>
        </w:rPr>
      </w:r>
      <w:r>
        <w:rPr/>
        <w:t>账面价值之间的差额计入投资收益。</w:t>
      </w:r>
    </w:p>
    <w:p>
      <w:pPr>
        <w:pStyle w:val="Heading4"/>
        <w:spacing w:line="273" w:lineRule="auto"/>
        <w:ind w:left="153" w:right="150" w:firstLine="420"/>
        <w:jc w:val="both"/>
      </w:pPr>
      <w:r>
        <w:rPr>
          <w:spacing w:val="-1"/>
        </w:rPr>
        <w:t>如果持有至到期投资处置或重分类为其他类金融资产的金额，相对于本公司全部持有至到期投资在出</w:t>
      </w:r>
      <w:r>
        <w:rPr/>
        <w:t> </w:t>
      </w:r>
      <w:r>
        <w:rPr>
          <w:spacing w:val="-1"/>
        </w:rPr>
        <w:t>售或重分类前的总额较大，在处置或重分类后应立即将其剩余的持有至到期投资重分类为可供出售金融资</w:t>
      </w:r>
      <w:r>
        <w:rPr>
          <w:spacing w:val="-81"/>
        </w:rPr>
        <w:t> </w:t>
      </w:r>
      <w:r>
        <w:rPr>
          <w:spacing w:val="-81"/>
        </w:rPr>
      </w:r>
      <w:r>
        <w:rPr>
          <w:spacing w:val="-1"/>
        </w:rPr>
        <w:t>产；重分类日，该投资的账面价值与其公允价值之间的差额计入其他综合收益，在该可供出售金融资产发</w:t>
      </w:r>
      <w:r>
        <w:rPr>
          <w:spacing w:val="-83"/>
        </w:rPr>
        <w:t> </w:t>
      </w:r>
      <w:r>
        <w:rPr>
          <w:spacing w:val="-83"/>
        </w:rPr>
      </w:r>
      <w:r>
        <w:rPr/>
        <w:t>生减值或终止确认时转出，计入当期损益。但是，遇到下列情况可以除外：</w:t>
      </w:r>
    </w:p>
    <w:p>
      <w:pPr>
        <w:pStyle w:val="Heading4"/>
        <w:spacing w:line="256" w:lineRule="auto"/>
        <w:ind w:left="153" w:right="151" w:firstLine="420"/>
        <w:jc w:val="both"/>
      </w:pPr>
      <w:r>
        <w:rPr>
          <w:rFonts w:ascii="Times New Roman" w:hAnsi="Times New Roman" w:cs="Times New Roman" w:eastAsia="Times New Roman" w:hint="default"/>
          <w:spacing w:val="-2"/>
        </w:rPr>
        <w:t>1</w:t>
      </w:r>
      <w:r>
        <w:rPr>
          <w:spacing w:val="-2"/>
        </w:rPr>
        <w:t>）出售日或重分类日距离该项投资到期日或赎回日较近</w:t>
      </w:r>
      <w:r>
        <w:rPr>
          <w:rFonts w:ascii="Times New Roman" w:hAnsi="Times New Roman" w:cs="Times New Roman" w:eastAsia="Times New Roman" w:hint="default"/>
          <w:spacing w:val="-2"/>
        </w:rPr>
        <w:t>(</w:t>
      </w:r>
      <w:r>
        <w:rPr>
          <w:spacing w:val="-2"/>
        </w:rPr>
        <w:t>如到期前三个月内</w:t>
      </w:r>
      <w:r>
        <w:rPr>
          <w:rFonts w:ascii="Times New Roman" w:hAnsi="Times New Roman" w:cs="Times New Roman" w:eastAsia="Times New Roman" w:hint="default"/>
          <w:spacing w:val="-2"/>
        </w:rPr>
        <w:t>)</w:t>
      </w:r>
      <w:r>
        <w:rPr>
          <w:spacing w:val="-2"/>
        </w:rPr>
        <w:t>，且市场利率变化对该项</w:t>
      </w:r>
      <w:r>
        <w:rPr/>
        <w:t> 投资的公允价值没有显著影响。</w:t>
      </w:r>
    </w:p>
    <w:p>
      <w:pPr>
        <w:pStyle w:val="Heading4"/>
        <w:spacing w:line="240" w:lineRule="auto" w:before="22"/>
        <w:ind w:left="573" w:right="0"/>
        <w:jc w:val="left"/>
      </w:pPr>
      <w:r>
        <w:rPr>
          <w:rFonts w:ascii="Times New Roman" w:hAnsi="Times New Roman" w:cs="Times New Roman" w:eastAsia="Times New Roman" w:hint="default"/>
        </w:rPr>
        <w:t>2</w:t>
      </w:r>
      <w:r>
        <w:rPr/>
        <w:t>）根据合同约定的偿付方式，企业已收回几乎所有初始本金。</w:t>
      </w:r>
    </w:p>
    <w:p>
      <w:pPr>
        <w:pStyle w:val="Heading4"/>
        <w:spacing w:line="240" w:lineRule="auto" w:before="21"/>
        <w:ind w:left="574" w:right="0"/>
        <w:jc w:val="left"/>
      </w:pPr>
      <w:r>
        <w:rPr>
          <w:rFonts w:ascii="Times New Roman" w:hAnsi="Times New Roman" w:cs="Times New Roman" w:eastAsia="Times New Roman" w:hint="default"/>
        </w:rPr>
        <w:t>3</w:t>
      </w:r>
      <w:r>
        <w:rPr/>
        <w:t>）出售或重分类是由于企业无法控制、预期不会重复发生且难以合理预计的独立事件所引起。</w:t>
      </w:r>
    </w:p>
    <w:p>
      <w:pPr>
        <w:pStyle w:val="Heading4"/>
        <w:spacing w:line="256" w:lineRule="auto" w:before="21"/>
        <w:ind w:left="574" w:right="0" w:hanging="168"/>
        <w:jc w:val="left"/>
      </w:pPr>
      <w:r>
        <w:rPr/>
        <w:t>（</w:t>
      </w:r>
      <w:r>
        <w:rPr>
          <w:rFonts w:ascii="Times New Roman" w:hAnsi="Times New Roman" w:cs="Times New Roman" w:eastAsia="Times New Roman" w:hint="default"/>
        </w:rPr>
        <w:t>4</w:t>
      </w:r>
      <w:r>
        <w:rPr/>
        <w:t>）可供出售金融资产 </w:t>
      </w:r>
      <w:r>
        <w:rPr>
          <w:spacing w:val="-1"/>
        </w:rPr>
        <w:t>可供出售金融资产，是指初始确认时即指定为可供出售的非衍生金融资产，以及除其他金融资产类别</w:t>
      </w:r>
    </w:p>
    <w:p>
      <w:pPr>
        <w:pStyle w:val="Heading4"/>
        <w:spacing w:line="273" w:lineRule="auto" w:before="22"/>
        <w:ind w:left="574" w:right="0" w:hanging="420"/>
        <w:jc w:val="left"/>
      </w:pPr>
      <w:r>
        <w:rPr/>
        <w:t>以外的金融资产。 </w:t>
      </w:r>
      <w:r>
        <w:rPr>
          <w:spacing w:val="-1"/>
        </w:rPr>
        <w:t>本公司对可供出售金融资产，在取得时按公允价值（扣除已宣告但尚未发放的现金股利或已到付息期</w:t>
      </w:r>
    </w:p>
    <w:p>
      <w:pPr>
        <w:pStyle w:val="Heading4"/>
        <w:spacing w:line="273" w:lineRule="auto"/>
        <w:ind w:right="149"/>
        <w:jc w:val="both"/>
      </w:pPr>
      <w:r>
        <w:rPr>
          <w:spacing w:val="-1"/>
        </w:rPr>
        <w:t>但尚未领取的债券利息）和相关交易费用之和作为初始确认金额。持有期间将取得的利息或现金股利确认</w:t>
      </w:r>
      <w:r>
        <w:rPr>
          <w:spacing w:val="-81"/>
        </w:rPr>
        <w:t> </w:t>
      </w:r>
      <w:r>
        <w:rPr>
          <w:spacing w:val="-81"/>
        </w:rPr>
      </w:r>
      <w:r>
        <w:rPr>
          <w:spacing w:val="-1"/>
        </w:rPr>
        <w:t>为投资收益。可供出售金融资产的公允价值变动形成的利得或损失，除减值损失和外币货币性金融资产形</w:t>
      </w:r>
      <w:r>
        <w:rPr>
          <w:spacing w:val="-81"/>
        </w:rPr>
        <w:t> </w:t>
      </w:r>
      <w:r>
        <w:rPr>
          <w:spacing w:val="-81"/>
        </w:rPr>
      </w:r>
      <w:r>
        <w:rPr>
          <w:spacing w:val="-1"/>
        </w:rPr>
        <w:t>成的汇兑差额外，直接计入其他综合收益。处置可供出售金融资产时，将取得的价款与该金融资产账面价</w:t>
      </w:r>
      <w:r>
        <w:rPr>
          <w:spacing w:val="-83"/>
        </w:rPr>
        <w:t> </w:t>
      </w:r>
      <w:r>
        <w:rPr>
          <w:spacing w:val="-83"/>
        </w:rPr>
      </w:r>
      <w:r>
        <w:rPr>
          <w:spacing w:val="-1"/>
        </w:rPr>
        <w:t>值之间的差额，计入投资损益；同时，将原直接计入其他综合收益的公允价值变动累计额对应处置部分的</w:t>
      </w:r>
      <w:r>
        <w:rPr>
          <w:spacing w:val="-83"/>
        </w:rPr>
        <w:t> </w:t>
      </w:r>
      <w:r>
        <w:rPr>
          <w:spacing w:val="-83"/>
        </w:rPr>
      </w:r>
      <w:r>
        <w:rPr/>
        <w:t>金额转出，计入投资损益。</w:t>
      </w:r>
    </w:p>
    <w:p>
      <w:pPr>
        <w:spacing w:after="0" w:line="273" w:lineRule="auto"/>
        <w:jc w:val="both"/>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4"/>
        <w:spacing w:line="273" w:lineRule="auto" w:before="35"/>
        <w:ind w:right="150" w:firstLine="420"/>
        <w:jc w:val="both"/>
      </w:pPr>
      <w:r>
        <w:rPr>
          <w:spacing w:val="-1"/>
        </w:rPr>
        <w:t>本公司对在活跃市场中没有报价且其公允价值不能可靠计量的权益工具投资，以及与该权益工具挂钩</w:t>
      </w:r>
      <w:r>
        <w:rPr/>
        <w:t> 并须通过交付该权益工具结算的衍生金融资产，按照成本计量。</w:t>
      </w:r>
    </w:p>
    <w:p>
      <w:pPr>
        <w:spacing w:line="264" w:lineRule="auto" w:before="7"/>
        <w:ind w:left="573" w:right="1581" w:hanging="168"/>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）其他金融负债 按其公允价值和相关交易费用之和作为初始确认金额。采用摊余成本进行后续计量。 </w:t>
      </w:r>
      <w:r>
        <w:rPr>
          <w:rFonts w:ascii="Times New Roman" w:hAnsi="Times New Roman" w:cs="Times New Roman" w:eastAsia="Times New Roman" w:hint="default"/>
          <w:b/>
          <w:bCs/>
          <w:sz w:val="21"/>
          <w:szCs w:val="21"/>
        </w:rPr>
        <w:t>3.</w:t>
      </w:r>
      <w:r>
        <w:rPr>
          <w:rFonts w:ascii="Times New Roman" w:hAnsi="Times New Roman" w:cs="Times New Roman" w:eastAsia="Times New Roman" w:hint="default"/>
          <w:b/>
          <w:bCs/>
          <w:spacing w:val="33"/>
          <w:sz w:val="21"/>
          <w:szCs w:val="21"/>
        </w:rPr>
        <w:t> </w:t>
      </w:r>
      <w:r>
        <w:rPr>
          <w:rFonts w:ascii="宋体" w:hAnsi="宋体" w:cs="宋体" w:eastAsia="宋体" w:hint="default"/>
          <w:b/>
          <w:bCs/>
          <w:sz w:val="21"/>
          <w:szCs w:val="21"/>
        </w:rPr>
        <w:t>金融资产转移的确认依据和计量方法</w:t>
      </w:r>
      <w:r>
        <w:rPr>
          <w:rFonts w:ascii="宋体" w:hAnsi="宋体" w:cs="宋体" w:eastAsia="宋体" w:hint="default"/>
          <w:sz w:val="21"/>
          <w:szCs w:val="21"/>
        </w:rPr>
      </w:r>
    </w:p>
    <w:p>
      <w:pPr>
        <w:pStyle w:val="Heading4"/>
        <w:spacing w:line="273" w:lineRule="auto" w:before="0"/>
        <w:ind w:right="151" w:firstLine="420"/>
        <w:jc w:val="both"/>
      </w:pPr>
      <w:r>
        <w:rPr>
          <w:spacing w:val="-1"/>
        </w:rPr>
        <w:t>公司发生金融资产转移时，如已将金融资产所有权上几乎所有的风险和报酬转移给转入方，则终止确</w:t>
      </w:r>
      <w:r>
        <w:rPr/>
        <w:t> 认该金融资产；如保留了金融资产所有权上几乎所有的风险和报酬的，则不终止确认该金融资产。</w:t>
      </w:r>
    </w:p>
    <w:p>
      <w:pPr>
        <w:pStyle w:val="Heading4"/>
        <w:spacing w:line="273" w:lineRule="auto"/>
        <w:ind w:right="151" w:firstLine="420"/>
        <w:jc w:val="both"/>
      </w:pPr>
      <w:r>
        <w:rPr>
          <w:spacing w:val="-1"/>
        </w:rPr>
        <w:t>在判断金融资产转移是否满足上述金融资产终止确认条件时，采用实质重于形式的原则。公司将金融</w:t>
      </w:r>
      <w:r>
        <w:rPr/>
        <w:t> </w:t>
      </w:r>
      <w:r>
        <w:rPr>
          <w:spacing w:val="-1"/>
        </w:rPr>
        <w:t>资产转移区分为金融资产整体转移和部分转移。金融资产整体转移满足终止确认条件的，将下列两项金额</w:t>
      </w:r>
      <w:r>
        <w:rPr>
          <w:spacing w:val="-81"/>
        </w:rPr>
        <w:t> </w:t>
      </w:r>
      <w:r>
        <w:rPr>
          <w:spacing w:val="-81"/>
        </w:rPr>
      </w:r>
      <w:r>
        <w:rPr/>
        <w:t>的差额计入当期损益：</w:t>
      </w:r>
    </w:p>
    <w:p>
      <w:pPr>
        <w:pStyle w:val="Heading4"/>
        <w:spacing w:line="240" w:lineRule="auto"/>
        <w:ind w:left="574" w:right="0"/>
        <w:jc w:val="left"/>
      </w:pPr>
      <w:r>
        <w:rPr/>
        <w:t>（</w:t>
      </w:r>
      <w:r>
        <w:rPr>
          <w:rFonts w:ascii="Times New Roman" w:hAnsi="Times New Roman" w:cs="Times New Roman" w:eastAsia="Times New Roman" w:hint="default"/>
        </w:rPr>
        <w:t>1</w:t>
      </w:r>
      <w:r>
        <w:rPr/>
        <w:t>）所转移金融资产的账面价值；</w:t>
      </w:r>
    </w:p>
    <w:p>
      <w:pPr>
        <w:pStyle w:val="Heading4"/>
        <w:spacing w:line="256" w:lineRule="auto" w:before="21"/>
        <w:ind w:right="147" w:firstLine="420"/>
        <w:jc w:val="both"/>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w:t>
      </w:r>
      <w:r>
        <w:rPr>
          <w:spacing w:val="2"/>
        </w:rPr>
        <w:t> </w:t>
      </w:r>
      <w:r>
        <w:rPr/>
        <w:t>为可供出售金融资产的情形）之和。</w:t>
      </w:r>
    </w:p>
    <w:p>
      <w:pPr>
        <w:pStyle w:val="Heading4"/>
        <w:spacing w:line="273" w:lineRule="auto" w:before="22"/>
        <w:ind w:right="149" w:firstLine="420"/>
        <w:jc w:val="both"/>
      </w:pPr>
      <w:r>
        <w:rPr>
          <w:spacing w:val="-1"/>
        </w:rPr>
        <w:t>金融资产部分转移满足终止确认条件的，将所转移金融资产整体的账面价值，在终止确认部分和未终</w:t>
      </w:r>
      <w:r>
        <w:rPr/>
        <w:t> 止确认部分之间，按照各自的相对公允价值进行分摊，并将下列两项金额的差额计入当期损益：</w:t>
      </w:r>
    </w:p>
    <w:p>
      <w:pPr>
        <w:pStyle w:val="Heading4"/>
        <w:spacing w:line="240" w:lineRule="auto"/>
        <w:ind w:left="574" w:right="0"/>
        <w:jc w:val="left"/>
      </w:pPr>
      <w:r>
        <w:rPr/>
        <w:t>（</w:t>
      </w:r>
      <w:r>
        <w:rPr>
          <w:rFonts w:ascii="Times New Roman" w:hAnsi="Times New Roman" w:cs="Times New Roman" w:eastAsia="Times New Roman" w:hint="default"/>
        </w:rPr>
        <w:t>1</w:t>
      </w:r>
      <w:r>
        <w:rPr/>
        <w:t>）终止确认部分的账面价值；</w:t>
      </w:r>
    </w:p>
    <w:p>
      <w:pPr>
        <w:pStyle w:val="Heading4"/>
        <w:spacing w:line="256" w:lineRule="auto" w:before="21"/>
        <w:ind w:right="147" w:firstLine="420"/>
        <w:jc w:val="both"/>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w:t>
      </w:r>
      <w:r>
        <w:rPr>
          <w:spacing w:val="2"/>
        </w:rPr>
        <w:t> </w:t>
      </w:r>
      <w:r>
        <w:rPr/>
        <w:t>金额（涉及转移的金融资产为可供出售金融资产的情形）之和。</w:t>
      </w:r>
    </w:p>
    <w:p>
      <w:pPr>
        <w:pStyle w:val="Heading4"/>
        <w:spacing w:line="240" w:lineRule="auto" w:before="22"/>
        <w:ind w:left="574" w:right="0"/>
        <w:jc w:val="left"/>
      </w:pPr>
      <w:r>
        <w:rPr/>
        <w:t>金融资产转移不满足终止确认条件的，继续确认该金融资产，所收到的对价确认为一项金融负债。</w:t>
      </w:r>
    </w:p>
    <w:p>
      <w:pPr>
        <w:spacing w:line="256" w:lineRule="auto" w:before="37"/>
        <w:ind w:left="57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Times New Roman" w:hAnsi="Times New Roman" w:cs="Times New Roman" w:eastAsia="Times New Roman" w:hint="default"/>
          <w:b/>
          <w:bCs/>
          <w:spacing w:val="37"/>
          <w:sz w:val="21"/>
          <w:szCs w:val="21"/>
        </w:rPr>
        <w:t> </w:t>
      </w:r>
      <w:r>
        <w:rPr>
          <w:rFonts w:ascii="宋体" w:hAnsi="宋体" w:cs="宋体" w:eastAsia="宋体" w:hint="default"/>
          <w:b/>
          <w:bCs/>
          <w:sz w:val="21"/>
          <w:szCs w:val="21"/>
        </w:rPr>
        <w:t>金融负债终止确认条件</w:t>
      </w:r>
      <w:r>
        <w:rPr>
          <w:rFonts w:ascii="宋体" w:hAnsi="宋体" w:cs="宋体" w:eastAsia="宋体" w:hint="default"/>
          <w:b/>
          <w:bCs/>
          <w:w w:val="99"/>
          <w:sz w:val="21"/>
          <w:szCs w:val="21"/>
        </w:rPr>
        <w:t> </w:t>
      </w:r>
      <w:r>
        <w:rPr>
          <w:rFonts w:ascii="宋体" w:hAnsi="宋体" w:cs="宋体" w:eastAsia="宋体" w:hint="default"/>
          <w:spacing w:val="-1"/>
          <w:sz w:val="21"/>
          <w:szCs w:val="21"/>
        </w:rPr>
        <w:t>金融负债的现时义务全部或部分已经解除的，则终止确认该金融负债或其一部分；本公司若与债权人</w:t>
      </w:r>
    </w:p>
    <w:p>
      <w:pPr>
        <w:pStyle w:val="Heading4"/>
        <w:spacing w:line="273" w:lineRule="auto" w:before="22"/>
        <w:ind w:right="149"/>
        <w:jc w:val="both"/>
      </w:pPr>
      <w:r>
        <w:rPr>
          <w:spacing w:val="-1"/>
        </w:rPr>
        <w:t>签定协议，以承担新金融负债方式替换现存金融负债，且新金融负债与现存金融负债的合同条款实质上不</w:t>
      </w:r>
      <w:r>
        <w:rPr>
          <w:spacing w:val="-81"/>
        </w:rPr>
        <w:t> </w:t>
      </w:r>
      <w:r>
        <w:rPr>
          <w:spacing w:val="-81"/>
        </w:rPr>
      </w:r>
      <w:r>
        <w:rPr/>
        <w:t>同的，则终止确认现存金融负债，并同时确认新金融负债。</w:t>
      </w:r>
    </w:p>
    <w:p>
      <w:pPr>
        <w:pStyle w:val="Heading4"/>
        <w:spacing w:line="273" w:lineRule="auto"/>
        <w:ind w:right="149" w:firstLine="420"/>
        <w:jc w:val="both"/>
      </w:pPr>
      <w:r>
        <w:rPr>
          <w:spacing w:val="-1"/>
        </w:rPr>
        <w:t>对现存金融负债全部或部分合同条款作出实质性修改的，则终止确认现存金融负债或其一部分，同时</w:t>
      </w:r>
      <w:r>
        <w:rPr/>
        <w:t> 将修改条款后的金融负债确认为一项新金融负债。</w:t>
      </w:r>
    </w:p>
    <w:p>
      <w:pPr>
        <w:pStyle w:val="Heading4"/>
        <w:spacing w:line="273" w:lineRule="auto"/>
        <w:ind w:right="149" w:firstLine="420"/>
        <w:jc w:val="both"/>
      </w:pPr>
      <w:r>
        <w:rPr>
          <w:spacing w:val="-1"/>
        </w:rPr>
        <w:t>金融负债全部或部分终止确认时，终止确认的金融负债账面价值与支付对价（包括转出的非现金资产</w:t>
      </w:r>
      <w:r>
        <w:rPr/>
        <w:t> 或承担的新金融负债）之间的差额，计入当期损益。</w:t>
      </w:r>
    </w:p>
    <w:p>
      <w:pPr>
        <w:pStyle w:val="Heading4"/>
        <w:spacing w:line="273" w:lineRule="auto"/>
        <w:ind w:right="149" w:firstLine="420"/>
        <w:jc w:val="both"/>
      </w:pPr>
      <w:r>
        <w:rPr>
          <w:spacing w:val="-1"/>
        </w:rPr>
        <w:t>本公司若回购部分金融负债的，在回购日按照继续确认部分与终止确认部分的相对公允价值，将该金</w:t>
      </w:r>
      <w:r>
        <w:rPr/>
        <w:t> </w:t>
      </w:r>
      <w:r>
        <w:rPr>
          <w:spacing w:val="-1"/>
        </w:rPr>
        <w:t>融负债整体的账面价值进行分配。分配给终止确认部分的账面价值与支付的对价（包括转出的非现金资产</w:t>
      </w:r>
      <w:r>
        <w:rPr>
          <w:spacing w:val="-81"/>
        </w:rPr>
        <w:t> </w:t>
      </w:r>
      <w:r>
        <w:rPr>
          <w:spacing w:val="-81"/>
        </w:rPr>
      </w:r>
      <w:r>
        <w:rPr/>
        <w:t>或承担的新金融负债）之间的差额，计入当期损益。</w:t>
      </w:r>
    </w:p>
    <w:p>
      <w:pPr>
        <w:spacing w:line="256" w:lineRule="auto" w:before="7"/>
        <w:ind w:left="57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Times New Roman" w:hAnsi="Times New Roman" w:cs="Times New Roman" w:eastAsia="Times New Roman" w:hint="default"/>
          <w:b/>
          <w:bCs/>
          <w:spacing w:val="37"/>
          <w:sz w:val="21"/>
          <w:szCs w:val="21"/>
        </w:rPr>
        <w:t> </w:t>
      </w:r>
      <w:r>
        <w:rPr>
          <w:rFonts w:ascii="宋体" w:hAnsi="宋体" w:cs="宋体" w:eastAsia="宋体" w:hint="default"/>
          <w:b/>
          <w:bCs/>
          <w:sz w:val="21"/>
          <w:szCs w:val="21"/>
        </w:rPr>
        <w:t>金融资产和金融负债公允价值的确定方法</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本公司采用公允价值计量的金融资产和金融负债存在活跃市场的金融资产或金融负债，以活跃市场的</w:t>
      </w:r>
    </w:p>
    <w:p>
      <w:pPr>
        <w:pStyle w:val="Heading4"/>
        <w:spacing w:line="273" w:lineRule="auto" w:before="22"/>
        <w:ind w:right="149"/>
        <w:jc w:val="both"/>
      </w:pPr>
      <w:r>
        <w:rPr>
          <w:spacing w:val="-1"/>
        </w:rPr>
        <w:t>报价确定其公允价值；不存在活跃市场的金融资产或金融负债，采用估值技术（包括参考熟悉情况并自愿</w:t>
      </w:r>
      <w:r>
        <w:rPr>
          <w:spacing w:val="-83"/>
        </w:rPr>
        <w:t> </w:t>
      </w:r>
      <w:r>
        <w:rPr>
          <w:spacing w:val="-83"/>
        </w:rPr>
      </w:r>
      <w:r>
        <w:rPr>
          <w:spacing w:val="-1"/>
        </w:rPr>
        <w:t>交易的各方最近进行的市场交易中使用的价格、参照实质上相同的其他金融工具的当前公允价值、现金流</w:t>
      </w:r>
      <w:r>
        <w:rPr>
          <w:spacing w:val="-81"/>
        </w:rPr>
        <w:t> </w:t>
      </w:r>
      <w:r>
        <w:rPr>
          <w:spacing w:val="-81"/>
        </w:rPr>
      </w:r>
      <w:r>
        <w:rPr>
          <w:spacing w:val="-1"/>
        </w:rPr>
        <w:t>量折现法和期权定价模型等）确定其公允价值；初始取得或衍生的金融资产或承担的金融负债，以市场交</w:t>
      </w:r>
      <w:r>
        <w:rPr>
          <w:spacing w:val="-83"/>
        </w:rPr>
        <w:t> </w:t>
      </w:r>
      <w:r>
        <w:rPr>
          <w:spacing w:val="-83"/>
        </w:rPr>
      </w:r>
      <w:r>
        <w:rPr/>
        <w:t>易价格作为确定其公允价值的基础。</w:t>
      </w:r>
    </w:p>
    <w:p>
      <w:pPr>
        <w:spacing w:line="256" w:lineRule="auto" w:before="7"/>
        <w:ind w:left="57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Times New Roman" w:hAnsi="Times New Roman" w:cs="Times New Roman" w:eastAsia="Times New Roman" w:hint="default"/>
          <w:b/>
          <w:bCs/>
          <w:spacing w:val="37"/>
          <w:sz w:val="21"/>
          <w:szCs w:val="21"/>
        </w:rPr>
        <w:t> </w:t>
      </w:r>
      <w:r>
        <w:rPr>
          <w:rFonts w:ascii="宋体" w:hAnsi="宋体" w:cs="宋体" w:eastAsia="宋体" w:hint="default"/>
          <w:b/>
          <w:bCs/>
          <w:sz w:val="21"/>
          <w:szCs w:val="21"/>
        </w:rPr>
        <w:t>金融资产（不含应收款项）减值准备计提</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资产负债表日对以公允价值计量且其变动计入当期损益的金融资产以外的金融资产的账面价值进行</w:t>
      </w:r>
    </w:p>
    <w:p>
      <w:pPr>
        <w:pStyle w:val="Heading4"/>
        <w:spacing w:line="273" w:lineRule="auto" w:before="22"/>
        <w:ind w:left="574" w:right="3680" w:hanging="420"/>
        <w:jc w:val="left"/>
      </w:pPr>
      <w:r>
        <w:rPr/>
        <w:t>检查，如有客观证据表明该金融资产发生减值的，计提减值准备。 金融资产发生减值的客观证据，包括但不限于：</w:t>
      </w:r>
    </w:p>
    <w:p>
      <w:pPr>
        <w:pStyle w:val="Heading4"/>
        <w:spacing w:line="240" w:lineRule="auto"/>
        <w:ind w:left="490" w:right="0"/>
        <w:jc w:val="left"/>
      </w:pPr>
      <w:r>
        <w:rPr/>
        <w:t>（</w:t>
      </w:r>
      <w:r>
        <w:rPr>
          <w:rFonts w:ascii="Times New Roman" w:hAnsi="Times New Roman" w:cs="Times New Roman" w:eastAsia="Times New Roman" w:hint="default"/>
        </w:rPr>
        <w:t>1</w:t>
      </w:r>
      <w:r>
        <w:rPr/>
        <w:t>）发行方或债务人发生严重财务困难；</w:t>
      </w:r>
    </w:p>
    <w:p>
      <w:pPr>
        <w:pStyle w:val="Heading4"/>
        <w:spacing w:line="240" w:lineRule="auto" w:before="21"/>
        <w:ind w:left="490" w:right="0"/>
        <w:jc w:val="left"/>
      </w:pPr>
      <w:r>
        <w:rPr/>
        <w:t>（</w:t>
      </w:r>
      <w:r>
        <w:rPr>
          <w:rFonts w:ascii="Times New Roman" w:hAnsi="Times New Roman" w:cs="Times New Roman" w:eastAsia="Times New Roman" w:hint="default"/>
        </w:rPr>
        <w:t>2</w:t>
      </w:r>
      <w:r>
        <w:rPr/>
        <w:t>）债务人违反了合同条款，如偿付利息或本金发生违约或逾期等；</w:t>
      </w:r>
    </w:p>
    <w:p>
      <w:pPr>
        <w:pStyle w:val="Heading4"/>
        <w:spacing w:line="240" w:lineRule="auto" w:before="21"/>
        <w:ind w:left="490" w:right="0"/>
        <w:jc w:val="left"/>
      </w:pPr>
      <w:r>
        <w:rPr/>
        <w:t>（</w:t>
      </w:r>
      <w:r>
        <w:rPr>
          <w:rFonts w:ascii="Times New Roman" w:hAnsi="Times New Roman" w:cs="Times New Roman" w:eastAsia="Times New Roman" w:hint="default"/>
        </w:rPr>
        <w:t>3</w:t>
      </w:r>
      <w:r>
        <w:rPr/>
        <w:t>）债权人出于经济或法律等方面因素的考虑，对发生财务困难的债务人作出让步；</w:t>
      </w:r>
    </w:p>
    <w:p>
      <w:pPr>
        <w:pStyle w:val="Heading4"/>
        <w:spacing w:line="240" w:lineRule="auto" w:before="21"/>
        <w:ind w:left="490" w:right="0"/>
        <w:jc w:val="left"/>
      </w:pPr>
      <w:r>
        <w:rPr/>
        <w:t>（</w:t>
      </w:r>
      <w:r>
        <w:rPr>
          <w:rFonts w:ascii="Times New Roman" w:hAnsi="Times New Roman" w:cs="Times New Roman" w:eastAsia="Times New Roman" w:hint="default"/>
        </w:rPr>
        <w:t>4</w:t>
      </w:r>
      <w:r>
        <w:rPr/>
        <w:t>）债务人很可能倒闭或进行其他财务重组；</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4"/>
        <w:spacing w:line="240" w:lineRule="auto" w:before="35"/>
        <w:ind w:left="490" w:right="0"/>
        <w:jc w:val="left"/>
      </w:pPr>
      <w:r>
        <w:rPr/>
        <w:t>（</w:t>
      </w:r>
      <w:r>
        <w:rPr>
          <w:rFonts w:ascii="Times New Roman" w:hAnsi="Times New Roman" w:cs="Times New Roman" w:eastAsia="Times New Roman" w:hint="default"/>
        </w:rPr>
        <w:t>5</w:t>
      </w:r>
      <w:r>
        <w:rPr/>
        <w:t>）因发行方发生重大财务困难，该金融资产无法在活跃市场继续交易；</w:t>
      </w:r>
    </w:p>
    <w:p>
      <w:pPr>
        <w:pStyle w:val="Heading4"/>
        <w:spacing w:line="266" w:lineRule="auto" w:before="21"/>
        <w:ind w:left="153" w:right="151" w:firstLine="336"/>
        <w:jc w:val="both"/>
      </w:pPr>
      <w:r>
        <w:rPr>
          <w:spacing w:val="-1"/>
        </w:rPr>
        <w:t>（</w:t>
      </w:r>
      <w:r>
        <w:rPr>
          <w:rFonts w:ascii="Times New Roman" w:hAnsi="Times New Roman" w:cs="Times New Roman" w:eastAsia="Times New Roman" w:hint="default"/>
          <w:spacing w:val="-1"/>
        </w:rPr>
        <w:t>6</w:t>
      </w:r>
      <w:r>
        <w:rPr>
          <w:spacing w:val="-1"/>
        </w:rPr>
        <w:t>）无法辨认一组金融资产中的某项资产的现金流量是否已经减少，但根据公开的数据对其进行总体</w:t>
      </w:r>
      <w:r>
        <w:rPr/>
        <w:t> </w:t>
      </w:r>
      <w:r>
        <w:rPr>
          <w:spacing w:val="-1"/>
        </w:rPr>
        <w:t>评价后发现，该组金融资产自初始确认以来的预计未来现金流量确已减少且可计量，如该组金融资产的债</w:t>
      </w:r>
      <w:r>
        <w:rPr>
          <w:spacing w:val="-81"/>
        </w:rPr>
        <w:t> </w:t>
      </w:r>
      <w:r>
        <w:rPr>
          <w:spacing w:val="-81"/>
        </w:rPr>
      </w:r>
      <w:r>
        <w:rPr>
          <w:spacing w:val="-1"/>
        </w:rPr>
        <w:t>务人支付能力逐步恶化，或债务人所在国家或地区失业率提高、担保物在其所在地区的价格明显下降、所</w:t>
      </w:r>
      <w:r>
        <w:rPr>
          <w:spacing w:val="-83"/>
        </w:rPr>
        <w:t> </w:t>
      </w:r>
      <w:r>
        <w:rPr>
          <w:spacing w:val="-83"/>
        </w:rPr>
      </w:r>
      <w:r>
        <w:rPr/>
        <w:t>处行业不景气等；</w:t>
      </w:r>
    </w:p>
    <w:p>
      <w:pPr>
        <w:pStyle w:val="Heading4"/>
        <w:spacing w:line="256" w:lineRule="auto" w:before="14"/>
        <w:ind w:left="153" w:right="149" w:firstLine="336"/>
        <w:jc w:val="both"/>
      </w:pPr>
      <w:r>
        <w:rPr>
          <w:spacing w:val="-1"/>
        </w:rPr>
        <w:t>（</w:t>
      </w:r>
      <w:r>
        <w:rPr>
          <w:rFonts w:ascii="Times New Roman" w:hAnsi="Times New Roman" w:cs="Times New Roman" w:eastAsia="Times New Roman" w:hint="default"/>
          <w:spacing w:val="-1"/>
        </w:rPr>
        <w:t>7</w:t>
      </w:r>
      <w:r>
        <w:rPr>
          <w:spacing w:val="-1"/>
        </w:rPr>
        <w:t>）权益工具发行方经营所处的技术、市场、经济或法律环境等发生重大不利变化，使权益工具投资</w:t>
      </w:r>
      <w:r>
        <w:rPr/>
        <w:t> 人可能无法收回投资成本；</w:t>
      </w:r>
    </w:p>
    <w:p>
      <w:pPr>
        <w:pStyle w:val="Heading4"/>
        <w:spacing w:line="256" w:lineRule="auto" w:before="22"/>
        <w:ind w:left="573" w:right="4080" w:hanging="84"/>
        <w:jc w:val="left"/>
      </w:pPr>
      <w:r>
        <w:rPr/>
        <w:t>（</w:t>
      </w:r>
      <w:r>
        <w:rPr>
          <w:rFonts w:ascii="Times New Roman" w:hAnsi="Times New Roman" w:cs="Times New Roman" w:eastAsia="Times New Roman" w:hint="default"/>
        </w:rPr>
        <w:t>8</w:t>
      </w:r>
      <w:r>
        <w:rPr/>
        <w:t>）权益工具投资的公允价值发生严重或非暂时性下跌； 金融资产的具体减值方法如下：</w:t>
      </w:r>
    </w:p>
    <w:p>
      <w:pPr>
        <w:pStyle w:val="Heading4"/>
        <w:spacing w:line="256" w:lineRule="auto" w:before="22"/>
        <w:ind w:left="574" w:right="0" w:hanging="1"/>
        <w:jc w:val="left"/>
      </w:pPr>
      <w:r>
        <w:rPr/>
        <w:t>（</w:t>
      </w:r>
      <w:r>
        <w:rPr>
          <w:rFonts w:ascii="Times New Roman" w:hAnsi="Times New Roman" w:cs="Times New Roman" w:eastAsia="Times New Roman" w:hint="default"/>
        </w:rPr>
        <w:t>1</w:t>
      </w:r>
      <w:r>
        <w:rPr/>
        <w:t>）可供出售金融资产的减值准备 </w:t>
      </w:r>
      <w:r>
        <w:rPr>
          <w:spacing w:val="-1"/>
        </w:rPr>
        <w:t>对于可供出售金融资产采用个别认定的方式评估减值损失，其中：表明可供出售权益工具投资发生减</w:t>
      </w:r>
    </w:p>
    <w:p>
      <w:pPr>
        <w:pStyle w:val="Heading4"/>
        <w:spacing w:line="264" w:lineRule="auto" w:before="22"/>
        <w:ind w:right="147"/>
        <w:jc w:val="both"/>
      </w:pPr>
      <w:r>
        <w:rPr>
          <w:spacing w:val="-1"/>
        </w:rPr>
        <w:t>值的客观证据包括权益工具投资的公允价值发生严重或非暂时性下跌，具体量化标准为：本公司于资产负</w:t>
      </w:r>
      <w:r>
        <w:rPr>
          <w:spacing w:val="-81"/>
        </w:rPr>
        <w:t> </w:t>
      </w:r>
      <w:r>
        <w:rPr>
          <w:spacing w:val="-81"/>
        </w:rPr>
      </w:r>
      <w:r>
        <w:rPr>
          <w:spacing w:val="-1"/>
        </w:rPr>
        <w:t>债表日对各项可供出售权益工具投资单独进行检查，若该权益工具投资于资产负债表日的公允价值低于其</w:t>
      </w:r>
      <w:r>
        <w:rPr>
          <w:spacing w:val="-81"/>
        </w:rPr>
        <w:t> </w:t>
      </w:r>
      <w:r>
        <w:rPr>
          <w:spacing w:val="-81"/>
        </w:rPr>
      </w:r>
      <w:r>
        <w:rPr/>
        <w:t>初始投资成本超过</w:t>
      </w:r>
      <w:r>
        <w:rPr>
          <w:rFonts w:ascii="Times New Roman" w:hAnsi="Times New Roman" w:cs="Times New Roman" w:eastAsia="Times New Roman" w:hint="default"/>
        </w:rPr>
        <w:t>50%</w:t>
      </w:r>
      <w:r>
        <w:rPr/>
        <w:t>（含</w:t>
      </w:r>
      <w:r>
        <w:rPr>
          <w:rFonts w:ascii="Times New Roman" w:hAnsi="Times New Roman" w:cs="Times New Roman" w:eastAsia="Times New Roman" w:hint="default"/>
        </w:rPr>
        <w:t>50%</w:t>
      </w:r>
      <w:r>
        <w:rPr/>
        <w:t>）或低于其初始投资成本持续时间超过一年（含一年）的，则表明其发生</w:t>
      </w:r>
      <w:r>
        <w:rPr>
          <w:spacing w:val="-66"/>
        </w:rPr>
        <w:t> </w:t>
      </w:r>
      <w:r>
        <w:rPr>
          <w:spacing w:val="-66"/>
        </w:rPr>
      </w:r>
      <w:r>
        <w:rPr/>
        <w:t>减值；若该权益工具投资于资产负债表日的公允价值低于其初始投资成本超过</w:t>
      </w:r>
      <w:r>
        <w:rPr>
          <w:rFonts w:ascii="Times New Roman" w:hAnsi="Times New Roman" w:cs="Times New Roman" w:eastAsia="Times New Roman" w:hint="default"/>
        </w:rPr>
        <w:t>20%</w:t>
      </w:r>
      <w:r>
        <w:rPr/>
        <w:t>（含</w:t>
      </w:r>
      <w:r>
        <w:rPr>
          <w:rFonts w:ascii="Times New Roman" w:hAnsi="Times New Roman" w:cs="Times New Roman" w:eastAsia="Times New Roman" w:hint="default"/>
        </w:rPr>
        <w:t>20%</w:t>
      </w:r>
      <w:r>
        <w:rPr/>
        <w:t>）但尚未达到</w:t>
      </w:r>
      <w:r>
        <w:rPr>
          <w:spacing w:val="-67"/>
        </w:rPr>
        <w:t> </w:t>
      </w:r>
      <w:r>
        <w:rPr>
          <w:spacing w:val="-67"/>
        </w:rPr>
      </w:r>
      <w:r>
        <w:rPr>
          <w:rFonts w:ascii="Times New Roman" w:hAnsi="Times New Roman" w:cs="Times New Roman" w:eastAsia="Times New Roman" w:hint="default"/>
        </w:rPr>
        <w:t>50%</w:t>
      </w:r>
      <w:r>
        <w:rPr/>
        <w:t>的，本公司会综合考虑其他相关因素诸如价格波动率等，判断该权益工具投资是否发生减值。</w:t>
      </w:r>
    </w:p>
    <w:p>
      <w:pPr>
        <w:pStyle w:val="Heading4"/>
        <w:spacing w:line="273" w:lineRule="auto" w:before="0"/>
        <w:ind w:right="149" w:firstLine="420"/>
        <w:jc w:val="both"/>
      </w:pPr>
      <w:r>
        <w:rPr>
          <w:spacing w:val="-1"/>
        </w:rPr>
        <w:t>可供出售金融资产发生减值时，即使该金融资产没有终止确认，本公司将原直接计入其他综合收益的</w:t>
      </w:r>
      <w:r>
        <w:rPr/>
        <w:t> </w:t>
      </w:r>
      <w:r>
        <w:rPr>
          <w:spacing w:val="-1"/>
        </w:rPr>
        <w:t>因公允价值下降形成的累计损失从其他综合收益转出，计入当期损益。该转出的累计损失，等于可供出售</w:t>
      </w:r>
      <w:r>
        <w:rPr>
          <w:spacing w:val="-83"/>
        </w:rPr>
        <w:t> </w:t>
      </w:r>
      <w:r>
        <w:rPr>
          <w:spacing w:val="-83"/>
        </w:rPr>
      </w:r>
      <w:r>
        <w:rPr>
          <w:spacing w:val="-1"/>
        </w:rPr>
        <w:t>金融资产的初始取得成本扣除已收回本金和已摊余金额、当前公允价值和原已计入损益的减值损失后的余</w:t>
      </w:r>
      <w:r>
        <w:rPr>
          <w:spacing w:val="-81"/>
        </w:rPr>
        <w:t> </w:t>
      </w:r>
      <w:r>
        <w:rPr>
          <w:spacing w:val="-81"/>
        </w:rPr>
      </w:r>
      <w:r>
        <w:rPr/>
        <w:t>额。</w:t>
      </w:r>
    </w:p>
    <w:p>
      <w:pPr>
        <w:pStyle w:val="Heading4"/>
        <w:spacing w:line="273" w:lineRule="auto"/>
        <w:ind w:right="149" w:firstLine="420"/>
        <w:jc w:val="both"/>
      </w:pPr>
      <w:r>
        <w:rPr>
          <w:spacing w:val="-1"/>
        </w:rPr>
        <w:t>对于已确认减值损失的可供出售债务工具，在随后的会计期间公允价值已上升且客观上与确认原减值</w:t>
      </w:r>
      <w:r>
        <w:rPr/>
        <w:t> </w:t>
      </w:r>
      <w:r>
        <w:rPr>
          <w:spacing w:val="-1"/>
        </w:rPr>
        <w:t>损失后发生的事项有关的，原确认的减值损失予以转回计入当期损益；对于可供出售权益工具投资发生的</w:t>
      </w:r>
      <w:r>
        <w:rPr>
          <w:spacing w:val="-81"/>
        </w:rPr>
        <w:t> </w:t>
      </w:r>
      <w:r>
        <w:rPr>
          <w:spacing w:val="-81"/>
        </w:rPr>
      </w:r>
      <w:r>
        <w:rPr>
          <w:spacing w:val="-1"/>
        </w:rPr>
        <w:t>减值损失，在该权益工具价值回升时通过权益转回；但在活跃市场中没有报价且其公允价值不能可靠计量</w:t>
      </w:r>
      <w:r>
        <w:rPr>
          <w:spacing w:val="-81"/>
        </w:rPr>
        <w:t> </w:t>
      </w:r>
      <w:r>
        <w:rPr>
          <w:spacing w:val="-81"/>
        </w:rPr>
      </w:r>
      <w:r>
        <w:rPr>
          <w:spacing w:val="-1"/>
        </w:rPr>
        <w:t>的权益工具投资，或与该权益工具挂钩并须通过交付该权益工具结算的衍生金融资产发生的减值损失，不</w:t>
      </w:r>
      <w:r>
        <w:rPr>
          <w:spacing w:val="-81"/>
        </w:rPr>
        <w:t> </w:t>
      </w:r>
      <w:r>
        <w:rPr>
          <w:spacing w:val="-81"/>
        </w:rPr>
      </w:r>
      <w:r>
        <w:rPr/>
        <w:t>得转回。</w:t>
      </w:r>
    </w:p>
    <w:p>
      <w:pPr>
        <w:pStyle w:val="Heading4"/>
        <w:spacing w:line="256" w:lineRule="auto"/>
        <w:ind w:left="574" w:right="0" w:hanging="1"/>
        <w:jc w:val="left"/>
      </w:pPr>
      <w:r>
        <w:rPr/>
        <w:t>（</w:t>
      </w:r>
      <w:r>
        <w:rPr>
          <w:rFonts w:ascii="Times New Roman" w:hAnsi="Times New Roman" w:cs="Times New Roman" w:eastAsia="Times New Roman" w:hint="default"/>
        </w:rPr>
        <w:t>2</w:t>
      </w:r>
      <w:r>
        <w:rPr/>
        <w:t>）持有至到期投资的减值准备 </w:t>
      </w:r>
      <w:r>
        <w:rPr>
          <w:spacing w:val="-1"/>
        </w:rPr>
        <w:t>对于持有至到期投资，有客观证据表明其发生了减值的，根据其账面价值与预计未来现金流量现值之</w:t>
      </w:r>
    </w:p>
    <w:p>
      <w:pPr>
        <w:pStyle w:val="Heading4"/>
        <w:spacing w:line="273" w:lineRule="auto" w:before="22"/>
        <w:ind w:right="149"/>
        <w:jc w:val="both"/>
      </w:pPr>
      <w:r>
        <w:rPr>
          <w:spacing w:val="-1"/>
        </w:rPr>
        <w:t>间差额计算确认减值损失；计提后如有证据表明其价值已恢复，原确认的减值损失可予以转回，记入当期</w:t>
      </w:r>
      <w:r>
        <w:rPr>
          <w:spacing w:val="-83"/>
        </w:rPr>
        <w:t> </w:t>
      </w:r>
      <w:r>
        <w:rPr>
          <w:spacing w:val="-83"/>
        </w:rPr>
      </w:r>
      <w:r>
        <w:rPr/>
        <w:t>损益，但该转回的账面价值不超过假定不计提减值准备情况下该金融资产在转回日的摊余成本。</w:t>
      </w:r>
    </w:p>
    <w:p>
      <w:pPr>
        <w:spacing w:line="273" w:lineRule="auto" w:before="7"/>
        <w:ind w:left="574" w:right="0" w:hanging="71"/>
        <w:jc w:val="left"/>
        <w:rPr>
          <w:rFonts w:ascii="宋体" w:hAnsi="宋体" w:cs="宋体" w:eastAsia="宋体" w:hint="default"/>
          <w:sz w:val="21"/>
          <w:szCs w:val="21"/>
        </w:rPr>
      </w:pPr>
      <w:r>
        <w:rPr>
          <w:rFonts w:ascii="宋体" w:hAnsi="宋体" w:cs="宋体" w:eastAsia="宋体" w:hint="default"/>
          <w:b/>
          <w:bCs/>
          <w:sz w:val="21"/>
          <w:szCs w:val="21"/>
        </w:rPr>
        <w:t>7.</w:t>
      </w:r>
      <w:r>
        <w:rPr>
          <w:rFonts w:ascii="宋体" w:hAnsi="宋体" w:cs="宋体" w:eastAsia="宋体" w:hint="default"/>
          <w:b/>
          <w:bCs/>
          <w:spacing w:val="42"/>
          <w:sz w:val="21"/>
          <w:szCs w:val="21"/>
        </w:rPr>
        <w:t> </w:t>
      </w:r>
      <w:r>
        <w:rPr>
          <w:rFonts w:ascii="宋体" w:hAnsi="宋体" w:cs="宋体" w:eastAsia="宋体" w:hint="default"/>
          <w:b/>
          <w:bCs/>
          <w:sz w:val="21"/>
          <w:szCs w:val="21"/>
        </w:rPr>
        <w:t>金融资产及金融负债的抵销</w:t>
      </w:r>
      <w:r>
        <w:rPr>
          <w:rFonts w:ascii="宋体" w:hAnsi="宋体" w:cs="宋体" w:eastAsia="宋体" w:hint="default"/>
          <w:b/>
          <w:bCs/>
          <w:w w:val="99"/>
          <w:sz w:val="21"/>
          <w:szCs w:val="21"/>
        </w:rPr>
        <w:t> </w:t>
      </w:r>
      <w:r>
        <w:rPr>
          <w:rFonts w:ascii="宋体" w:hAnsi="宋体" w:cs="宋体" w:eastAsia="宋体" w:hint="default"/>
          <w:spacing w:val="-1"/>
          <w:sz w:val="21"/>
          <w:szCs w:val="21"/>
        </w:rPr>
        <w:t>金融资产和金融负债在资产负债表内分别列示，没有相互抵销。但是，同时满足下列条件的，以相互</w:t>
      </w:r>
    </w:p>
    <w:p>
      <w:pPr>
        <w:pStyle w:val="Heading4"/>
        <w:spacing w:line="240" w:lineRule="auto"/>
        <w:ind w:right="0"/>
        <w:jc w:val="both"/>
      </w:pPr>
      <w:r>
        <w:rPr/>
        <w:t>抵销后的净额在资产负债表内列示：</w:t>
      </w:r>
    </w:p>
    <w:p>
      <w:pPr>
        <w:pStyle w:val="Heading4"/>
        <w:spacing w:line="240" w:lineRule="auto" w:before="37"/>
        <w:ind w:left="574" w:right="0"/>
        <w:jc w:val="left"/>
      </w:pPr>
      <w:r>
        <w:rPr/>
        <w:t>（</w:t>
      </w:r>
      <w:r>
        <w:rPr>
          <w:rFonts w:ascii="Times New Roman" w:hAnsi="Times New Roman" w:cs="Times New Roman" w:eastAsia="Times New Roman" w:hint="default"/>
        </w:rPr>
        <w:t>1</w:t>
      </w:r>
      <w:r>
        <w:rPr/>
        <w:t>）本公司具有抵销已确认金额的法定权利，且该种法定权利是当前可执行的；</w:t>
      </w:r>
    </w:p>
    <w:p>
      <w:pPr>
        <w:pStyle w:val="Heading4"/>
        <w:spacing w:line="240" w:lineRule="auto" w:before="21"/>
        <w:ind w:left="490" w:right="0"/>
        <w:jc w:val="left"/>
      </w:pPr>
      <w:r>
        <w:rPr/>
        <w:t>（</w:t>
      </w:r>
      <w:r>
        <w:rPr>
          <w:rFonts w:ascii="Times New Roman" w:hAnsi="Times New Roman" w:cs="Times New Roman" w:eastAsia="Times New Roman" w:hint="default"/>
        </w:rPr>
        <w:t>2</w:t>
      </w:r>
      <w:r>
        <w:rPr/>
        <w:t>）本公司计划以净额结算，或同时变现该金融资产和清偿该金融负债。</w:t>
      </w:r>
    </w:p>
    <w:p>
      <w:pPr>
        <w:spacing w:line="240" w:lineRule="auto" w:before="8"/>
        <w:rPr>
          <w:rFonts w:ascii="宋体" w:hAnsi="宋体" w:cs="宋体" w:eastAsia="宋体" w:hint="default"/>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万元以上（含）</w:t>
            </w:r>
          </w:p>
        </w:tc>
      </w:tr>
      <w:tr>
        <w:trPr>
          <w:trHeight w:val="1026"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8"/>
              <w:jc w:val="both"/>
              <w:rPr>
                <w:rFonts w:ascii="宋体" w:hAnsi="宋体" w:cs="宋体" w:eastAsia="宋体" w:hint="default"/>
                <w:sz w:val="18"/>
                <w:szCs w:val="18"/>
              </w:rPr>
            </w:pPr>
            <w:r>
              <w:rPr>
                <w:rFonts w:ascii="宋体" w:hAnsi="宋体" w:cs="宋体" w:eastAsia="宋体" w:hint="default"/>
                <w:sz w:val="18"/>
                <w:szCs w:val="18"/>
              </w:rPr>
              <w:t>单独进行减值测试，按预计未来现金流量现值低于其账面价 值的差额计提坏账准备，计入当期损益。单独测试未发生减 值的应收款项，将其归入相应组合计提坏账准备。</w:t>
            </w:r>
          </w:p>
        </w:tc>
      </w:tr>
    </w:tbl>
    <w:p>
      <w:pPr>
        <w:spacing w:after="0" w:line="319" w:lineRule="auto"/>
        <w:jc w:val="both"/>
        <w:rPr>
          <w:rFonts w:ascii="宋体" w:hAnsi="宋体" w:cs="宋体" w:eastAsia="宋体"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b/>
          <w:bCs/>
          <w:sz w:val="24"/>
          <w:szCs w:val="24"/>
        </w:rPr>
      </w:pPr>
    </w:p>
    <w:p>
      <w:pPr>
        <w:pStyle w:val="Heading3"/>
        <w:spacing w:line="240" w:lineRule="auto" w:before="35"/>
        <w:ind w:right="102"/>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right="102"/>
        <w:jc w:val="left"/>
      </w:pPr>
      <w:r>
        <w:rPr/>
        <w:t>组合中，采用账龄分析法计提坏账准备的：</w:t>
      </w:r>
    </w:p>
    <w:p>
      <w:pPr>
        <w:pStyle w:val="BodyText"/>
        <w:spacing w:line="240" w:lineRule="auto" w:before="117"/>
        <w:ind w:left="153" w:right="1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102"/>
        <w:jc w:val="left"/>
      </w:pPr>
      <w:r>
        <w:rPr/>
        <w:t>组合中，采用余额百分比法计提坏账准备的：</w:t>
      </w:r>
    </w:p>
    <w:p>
      <w:pPr>
        <w:pStyle w:val="BodyText"/>
        <w:spacing w:line="340" w:lineRule="auto" w:before="116"/>
        <w:ind w:right="65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0"/>
        <w:ind w:right="1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2"/>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4"/>
      </w:tblGrid>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8"/>
              <w:jc w:val="left"/>
              <w:rPr>
                <w:rFonts w:ascii="宋体" w:hAnsi="宋体" w:cs="宋体" w:eastAsia="宋体" w:hint="default"/>
                <w:sz w:val="18"/>
                <w:szCs w:val="18"/>
              </w:rPr>
            </w:pPr>
            <w:r>
              <w:rPr>
                <w:rFonts w:ascii="宋体" w:hAnsi="宋体" w:cs="宋体" w:eastAsia="宋体" w:hint="default"/>
                <w:sz w:val="18"/>
                <w:szCs w:val="18"/>
              </w:rPr>
              <w:t>存在客观证据表明本公司将无法按应收款项的原有条款收回 款项</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8"/>
              <w:jc w:val="left"/>
              <w:rPr>
                <w:rFonts w:ascii="宋体" w:hAnsi="宋体" w:cs="宋体" w:eastAsia="宋体" w:hint="default"/>
                <w:sz w:val="18"/>
                <w:szCs w:val="18"/>
              </w:rPr>
            </w:pPr>
            <w:r>
              <w:rPr>
                <w:rFonts w:ascii="宋体" w:hAnsi="宋体" w:cs="宋体" w:eastAsia="宋体" w:hint="default"/>
                <w:sz w:val="18"/>
                <w:szCs w:val="18"/>
              </w:rPr>
              <w:t>根据应收款项的预计未来现金流量现值低于其账面价值的差 额进行计提</w:t>
            </w:r>
          </w:p>
        </w:tc>
      </w:tr>
    </w:tbl>
    <w:p>
      <w:pPr>
        <w:spacing w:line="240" w:lineRule="auto" w:before="2"/>
        <w:rPr>
          <w:rFonts w:ascii="宋体" w:hAnsi="宋体" w:cs="宋体" w:eastAsia="宋体" w:hint="default"/>
          <w:b/>
          <w:bCs/>
          <w:sz w:val="19"/>
          <w:szCs w:val="19"/>
        </w:rPr>
      </w:pPr>
    </w:p>
    <w:p>
      <w:pPr>
        <w:pStyle w:val="Heading3"/>
        <w:spacing w:line="240" w:lineRule="auto" w:before="35"/>
        <w:ind w:right="102"/>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02"/>
        <w:jc w:val="left"/>
        <w:rPr>
          <w:b w:val="0"/>
          <w:bCs w:val="0"/>
        </w:rPr>
      </w:pPr>
      <w:r>
        <w:rPr/>
        <w:t>1.</w:t>
      </w:r>
      <w:r>
        <w:rPr>
          <w:spacing w:val="40"/>
        </w:rPr>
        <w:t> </w:t>
      </w:r>
      <w:r>
        <w:rPr/>
        <w:t>存货的分类</w:t>
      </w:r>
      <w:r>
        <w:rPr>
          <w:b w:val="0"/>
          <w:bCs w:val="0"/>
        </w:rPr>
      </w:r>
    </w:p>
    <w:p>
      <w:pPr>
        <w:pStyle w:val="Heading4"/>
        <w:spacing w:line="273" w:lineRule="auto" w:before="37"/>
        <w:ind w:left="514" w:right="102" w:firstLine="420"/>
        <w:jc w:val="left"/>
      </w:pPr>
      <w:r>
        <w:rPr/>
        <w:t>存货是指本公司在日常活动中持有以备出售的产成品或商品、处在生产过程中的在产品、在生产</w:t>
      </w:r>
      <w:r>
        <w:rPr>
          <w:spacing w:val="1"/>
        </w:rPr>
        <w:t> </w:t>
      </w:r>
      <w:r>
        <w:rPr>
          <w:spacing w:val="-2"/>
        </w:rPr>
        <w:t>过程或提供劳务过程中耗用的材料和物料等。主要包括原材料、委托加工物资、在产品、自制半成品、</w:t>
      </w:r>
      <w:r>
        <w:rPr>
          <w:spacing w:val="-83"/>
        </w:rPr>
        <w:t> </w:t>
      </w:r>
      <w:r>
        <w:rPr>
          <w:spacing w:val="-83"/>
        </w:rPr>
      </w:r>
      <w:r>
        <w:rPr/>
        <w:t>发出商品、库存商品等。</w:t>
      </w:r>
    </w:p>
    <w:p>
      <w:pPr>
        <w:pStyle w:val="Heading3"/>
        <w:spacing w:line="240" w:lineRule="auto" w:before="7"/>
        <w:ind w:left="153" w:right="102"/>
        <w:jc w:val="left"/>
        <w:rPr>
          <w:b w:val="0"/>
          <w:bCs w:val="0"/>
        </w:rPr>
      </w:pPr>
      <w:r>
        <w:rPr/>
        <w:t>1.</w:t>
      </w:r>
      <w:r>
        <w:rPr>
          <w:spacing w:val="39"/>
        </w:rPr>
        <w:t> </w:t>
      </w:r>
      <w:r>
        <w:rPr/>
        <w:t>存货的计价方法</w:t>
      </w:r>
      <w:r>
        <w:rPr>
          <w:b w:val="0"/>
          <w:bCs w:val="0"/>
        </w:rPr>
      </w:r>
    </w:p>
    <w:p>
      <w:pPr>
        <w:pStyle w:val="Heading4"/>
        <w:spacing w:line="273" w:lineRule="auto" w:before="37"/>
        <w:ind w:left="514" w:right="102" w:firstLine="420"/>
        <w:jc w:val="left"/>
      </w:pPr>
      <w:r>
        <w:rPr/>
        <w:t>存货在取得时，按成本进行初始计量，包括采购成本、加工成本和其他成本。存货发出时按加权</w:t>
      </w:r>
      <w:r>
        <w:rPr>
          <w:spacing w:val="1"/>
        </w:rPr>
        <w:t> </w:t>
      </w:r>
      <w:r>
        <w:rPr/>
        <w:t>平均法计价。</w:t>
      </w:r>
    </w:p>
    <w:p>
      <w:pPr>
        <w:spacing w:line="273" w:lineRule="auto" w:before="7"/>
        <w:ind w:left="934" w:right="102" w:hanging="78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42"/>
          <w:sz w:val="21"/>
          <w:szCs w:val="21"/>
        </w:rPr>
        <w:t> </w:t>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b/>
          <w:bCs/>
          <w:spacing w:val="1"/>
          <w:w w:val="99"/>
          <w:sz w:val="21"/>
          <w:szCs w:val="21"/>
        </w:rPr>
        <w:t> </w:t>
      </w:r>
      <w:r>
        <w:rPr>
          <w:rFonts w:ascii="宋体" w:hAnsi="宋体" w:cs="宋体" w:eastAsia="宋体" w:hint="default"/>
          <w:sz w:val="21"/>
          <w:szCs w:val="21"/>
        </w:rPr>
        <w:t>期末对存货进行全面清查后，按存货的成本与可变现净值孰低提取或调整存货跌价准备。库存商</w:t>
      </w:r>
    </w:p>
    <w:p>
      <w:pPr>
        <w:pStyle w:val="Heading4"/>
        <w:spacing w:line="271" w:lineRule="auto"/>
        <w:ind w:left="514" w:right="207"/>
        <w:jc w:val="both"/>
      </w:pPr>
      <w:r>
        <w:rPr/>
        <w:t>品和用于出售的材料等直接用于出售的商品存货，在正常生产经营过程中，以该存货的估计售价减去</w:t>
      </w:r>
      <w:r>
        <w:rPr>
          <w:spacing w:val="-72"/>
        </w:rPr>
        <w:t> </w:t>
      </w:r>
      <w:r>
        <w:rPr>
          <w:spacing w:val="-72"/>
        </w:rPr>
      </w:r>
      <w:r>
        <w:rPr/>
        <w:t>估计的销售费用和相关税费后的金额，确定其可变现净值；需要经过加工的材料存货，在正常生产经</w:t>
      </w:r>
      <w:r>
        <w:rPr>
          <w:spacing w:val="-72"/>
        </w:rPr>
        <w:t> </w:t>
      </w:r>
      <w:r>
        <w:rPr>
          <w:spacing w:val="-72"/>
        </w:rPr>
      </w:r>
      <w:r>
        <w:rPr/>
        <w:t>营过程中，以所生产的产成品的估计售价减去至完工时估计将要发生的成本、估计的销售费用和相关</w:t>
      </w:r>
      <w:r>
        <w:rPr>
          <w:spacing w:val="-72"/>
        </w:rPr>
        <w:t> </w:t>
      </w:r>
      <w:r>
        <w:rPr>
          <w:spacing w:val="-72"/>
        </w:rPr>
      </w:r>
      <w:r>
        <w:rPr/>
        <w:t>税费后的金额，确定其可变现净值；为执行销售合同或者劳务合同而持有的存货，其可变现净值以合</w:t>
      </w:r>
      <w:r>
        <w:rPr>
          <w:spacing w:val="-72"/>
        </w:rPr>
        <w:t> </w:t>
      </w:r>
      <w:r>
        <w:rPr>
          <w:spacing w:val="-72"/>
        </w:rPr>
      </w:r>
      <w:r>
        <w:rPr/>
        <w:t>同价格为基础计算，若持有存货的数量多于销售合同订购数量的，超出部分的存货的可变现净值以一</w:t>
      </w:r>
      <w:r>
        <w:rPr>
          <w:spacing w:val="-72"/>
        </w:rPr>
        <w:t> </w:t>
      </w:r>
      <w:r>
        <w:rPr>
          <w:spacing w:val="-72"/>
        </w:rPr>
      </w:r>
      <w:r>
        <w:rPr/>
        <w:t>般销售价格为基础计算。</w:t>
      </w:r>
    </w:p>
    <w:p>
      <w:pPr>
        <w:pStyle w:val="Heading4"/>
        <w:spacing w:line="240" w:lineRule="auto" w:before="10"/>
        <w:ind w:left="934" w:right="102"/>
        <w:jc w:val="left"/>
      </w:pPr>
      <w:r>
        <w:rPr/>
        <w:t>期末按照单个存货项目计提存货跌价准备；但对于数量繁多、单价较低的存货，按照存货类别计</w:t>
      </w:r>
    </w:p>
    <w:p>
      <w:pPr>
        <w:spacing w:after="0" w:line="240" w:lineRule="auto"/>
        <w:jc w:val="left"/>
        <w:sectPr>
          <w:pgSz w:w="11910" w:h="16840"/>
          <w:pgMar w:header="747" w:footer="982" w:top="1060" w:bottom="1180" w:left="980" w:right="920"/>
        </w:sectPr>
      </w:pPr>
    </w:p>
    <w:p>
      <w:pPr>
        <w:spacing w:line="240" w:lineRule="auto" w:before="9"/>
        <w:rPr>
          <w:rFonts w:ascii="宋体" w:hAnsi="宋体" w:cs="宋体" w:eastAsia="宋体" w:hint="default"/>
          <w:sz w:val="24"/>
          <w:szCs w:val="24"/>
        </w:rPr>
      </w:pPr>
    </w:p>
    <w:p>
      <w:pPr>
        <w:pStyle w:val="Heading4"/>
        <w:spacing w:line="273" w:lineRule="auto" w:before="35"/>
        <w:ind w:left="514" w:right="0"/>
        <w:jc w:val="left"/>
      </w:pPr>
      <w:r>
        <w:rPr/>
        <w:t>提存货跌价准备；与在同一地区生产和销售的产品系列相关、具有相同或类似最终用途或目的，且难</w:t>
      </w:r>
      <w:r>
        <w:rPr>
          <w:spacing w:val="-72"/>
        </w:rPr>
        <w:t> </w:t>
      </w:r>
      <w:r>
        <w:rPr>
          <w:spacing w:val="-72"/>
        </w:rPr>
      </w:r>
      <w:r>
        <w:rPr/>
        <w:t>以与其他项目分开计量的存货，则合并计提存货跌价准备。</w:t>
      </w:r>
    </w:p>
    <w:p>
      <w:pPr>
        <w:pStyle w:val="Heading4"/>
        <w:spacing w:line="273" w:lineRule="auto"/>
        <w:ind w:left="513" w:right="0" w:firstLine="420"/>
        <w:jc w:val="left"/>
      </w:pPr>
      <w:r>
        <w:rPr/>
        <w:t>以前减记存货价值的影响因素已经消失的，减记的金额予以恢复，并在原已计提的存货跌价准备</w:t>
      </w:r>
      <w:r>
        <w:rPr>
          <w:spacing w:val="1"/>
        </w:rPr>
        <w:t> </w:t>
      </w:r>
      <w:r>
        <w:rPr/>
        <w:t>金额内转回，转回的金额计入当期损益。</w:t>
      </w:r>
    </w:p>
    <w:p>
      <w:pPr>
        <w:pStyle w:val="Heading3"/>
        <w:spacing w:line="240" w:lineRule="auto" w:before="7"/>
        <w:ind w:left="153" w:right="0"/>
        <w:jc w:val="left"/>
        <w:rPr>
          <w:b w:val="0"/>
          <w:bCs w:val="0"/>
        </w:rPr>
      </w:pPr>
      <w:r>
        <w:rPr/>
        <w:t>1.</w:t>
      </w:r>
      <w:r>
        <w:rPr>
          <w:spacing w:val="39"/>
        </w:rPr>
        <w:t> </w:t>
      </w:r>
      <w:r>
        <w:rPr/>
        <w:t>存货的盘存制度</w:t>
      </w:r>
      <w:r>
        <w:rPr>
          <w:b w:val="0"/>
          <w:bCs w:val="0"/>
        </w:rPr>
      </w:r>
    </w:p>
    <w:p>
      <w:pPr>
        <w:pStyle w:val="Heading4"/>
        <w:spacing w:line="240" w:lineRule="auto" w:before="37"/>
        <w:ind w:left="933" w:right="0"/>
        <w:jc w:val="left"/>
      </w:pPr>
      <w:r>
        <w:rPr/>
        <w:t>采用永续盘存制。</w:t>
      </w:r>
    </w:p>
    <w:p>
      <w:pPr>
        <w:pStyle w:val="Heading3"/>
        <w:spacing w:line="240" w:lineRule="auto" w:before="37"/>
        <w:ind w:left="153" w:right="0"/>
        <w:jc w:val="left"/>
        <w:rPr>
          <w:b w:val="0"/>
          <w:bCs w:val="0"/>
        </w:rPr>
      </w:pPr>
      <w:r>
        <w:rPr/>
        <w:t>1.</w:t>
      </w:r>
      <w:r>
        <w:rPr>
          <w:spacing w:val="39"/>
        </w:rPr>
        <w:t> </w:t>
      </w:r>
      <w:r>
        <w:rPr/>
        <w:t>低值易耗品和包装物的摊销方法</w:t>
      </w:r>
      <w:r>
        <w:rPr>
          <w:b w:val="0"/>
          <w:bCs w:val="0"/>
        </w:rPr>
      </w:r>
    </w:p>
    <w:p>
      <w:pPr>
        <w:pStyle w:val="Heading4"/>
        <w:spacing w:line="240" w:lineRule="auto" w:before="37"/>
        <w:ind w:left="573" w:right="0"/>
        <w:jc w:val="left"/>
      </w:pPr>
      <w:r>
        <w:rPr/>
        <w:t>（</w:t>
      </w:r>
      <w:r>
        <w:rPr>
          <w:rFonts w:ascii="Times New Roman" w:hAnsi="Times New Roman" w:cs="Times New Roman" w:eastAsia="Times New Roman" w:hint="default"/>
        </w:rPr>
        <w:t>1</w:t>
      </w:r>
      <w:r>
        <w:rPr/>
        <w:t>）低值易耗品采用一次转销法；</w:t>
      </w:r>
    </w:p>
    <w:p>
      <w:pPr>
        <w:pStyle w:val="Heading4"/>
        <w:spacing w:line="240" w:lineRule="auto" w:before="21"/>
        <w:ind w:left="574" w:right="0"/>
        <w:jc w:val="left"/>
      </w:pPr>
      <w:r>
        <w:rPr/>
        <w:t>（</w:t>
      </w:r>
      <w:r>
        <w:rPr>
          <w:rFonts w:ascii="Times New Roman" w:hAnsi="Times New Roman" w:cs="Times New Roman" w:eastAsia="Times New Roman" w:hint="default"/>
        </w:rPr>
        <w:t>2</w:t>
      </w:r>
      <w:r>
        <w:rPr/>
        <w:t>）包装物采用一次转销法。</w:t>
      </w:r>
    </w:p>
    <w:p>
      <w:pPr>
        <w:pStyle w:val="Heading4"/>
        <w:spacing w:line="240" w:lineRule="auto" w:before="21"/>
        <w:ind w:left="490" w:right="0"/>
        <w:jc w:val="left"/>
      </w:pPr>
      <w:r>
        <w:rPr/>
        <w:t>（</w:t>
      </w:r>
      <w:r>
        <w:rPr>
          <w:rFonts w:ascii="Times New Roman" w:hAnsi="Times New Roman" w:cs="Times New Roman" w:eastAsia="Times New Roman" w:hint="default"/>
        </w:rPr>
        <w:t>3</w:t>
      </w:r>
      <w:r>
        <w:rPr/>
        <w:t>）其他周转材料采用一次转销法。</w:t>
      </w:r>
    </w:p>
    <w:p>
      <w:pPr>
        <w:spacing w:line="240" w:lineRule="auto" w:before="8"/>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13</w:t>
      </w:r>
      <w:r>
        <w:rPr/>
        <w:t>、划分为持有待售资产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、投资成本的确定</w:t>
      </w:r>
      <w:r>
        <w:rPr>
          <w:b w:val="0"/>
          <w:bCs w:val="0"/>
        </w:rPr>
      </w:r>
    </w:p>
    <w:p>
      <w:pPr>
        <w:pStyle w:val="Heading4"/>
        <w:spacing w:line="256" w:lineRule="auto" w:before="21"/>
        <w:ind w:right="124" w:firstLine="419"/>
        <w:jc w:val="both"/>
      </w:pPr>
      <w:r>
        <w:rPr/>
        <w:t>（</w:t>
      </w:r>
      <w:r>
        <w:rPr>
          <w:rFonts w:ascii="Times New Roman" w:hAnsi="Times New Roman" w:cs="Times New Roman" w:eastAsia="Times New Roman" w:hint="default"/>
        </w:rPr>
        <w:t>1</w:t>
      </w:r>
      <w:r>
        <w:rPr/>
        <w:t>）企业合并形成的长期股权投资，具体会计政策详见本附注四、（四）</w:t>
      </w:r>
      <w:r>
        <w:rPr>
          <w:spacing w:val="5"/>
        </w:rPr>
        <w:t> </w:t>
      </w:r>
      <w:r>
        <w:rPr>
          <w:spacing w:val="20"/>
        </w:rPr>
        <w:t>同一控制下和非同一</w:t>
      </w:r>
      <w:r>
        <w:rPr>
          <w:spacing w:val="-81"/>
        </w:rPr>
        <w:t> </w:t>
      </w:r>
      <w:r>
        <w:rPr/>
        <w:t>控制下企业合并的会计处理方法</w:t>
      </w:r>
    </w:p>
    <w:p>
      <w:pPr>
        <w:pStyle w:val="Heading4"/>
        <w:spacing w:line="256" w:lineRule="auto" w:before="22"/>
        <w:ind w:left="574" w:right="0" w:hanging="1"/>
        <w:jc w:val="left"/>
      </w:pPr>
      <w:r>
        <w:rPr/>
        <w:t>（</w:t>
      </w:r>
      <w:r>
        <w:rPr>
          <w:rFonts w:ascii="Times New Roman" w:hAnsi="Times New Roman" w:cs="Times New Roman" w:eastAsia="Times New Roman" w:hint="default"/>
        </w:rPr>
        <w:t>2</w:t>
      </w:r>
      <w:r>
        <w:rPr/>
        <w:t>）其他方式取得的长期股权投资 </w:t>
      </w:r>
      <w:r>
        <w:rPr>
          <w:spacing w:val="-1"/>
        </w:rPr>
        <w:t>以支付现金方式取得的长期股权投资，按照实际支付的购买价款作为初始投资成本。初始投资成本包</w:t>
      </w:r>
    </w:p>
    <w:p>
      <w:pPr>
        <w:pStyle w:val="Heading4"/>
        <w:spacing w:line="273" w:lineRule="auto" w:before="22"/>
        <w:ind w:left="574" w:right="0" w:hanging="420"/>
        <w:jc w:val="left"/>
      </w:pPr>
      <w:r>
        <w:rPr/>
        <w:t>括与取得长期股权投资直接相关的费用、税金及其他必要支出。 </w:t>
      </w:r>
      <w:r>
        <w:rPr>
          <w:spacing w:val="-1"/>
        </w:rPr>
        <w:t>以发行权益性证券取得的长期股权投资，按照发行权益性证券的公允价值作为初始投资成本；发行或</w:t>
      </w:r>
    </w:p>
    <w:p>
      <w:pPr>
        <w:pStyle w:val="Heading4"/>
        <w:spacing w:line="273" w:lineRule="auto"/>
        <w:ind w:left="574" w:right="0" w:hanging="420"/>
        <w:jc w:val="left"/>
      </w:pPr>
      <w:r>
        <w:rPr/>
        <w:t>取得自身权益工具时发生的交易费用，可直接归属于权益性交易的从权益中扣减。 </w:t>
      </w:r>
      <w:r>
        <w:rPr>
          <w:spacing w:val="-1"/>
        </w:rPr>
        <w:t>在非货币性资产交换具备商业实质和换入资产或换出资产的公允价值能够可靠计量的前提下，非货币</w:t>
      </w:r>
    </w:p>
    <w:p>
      <w:pPr>
        <w:pStyle w:val="Heading4"/>
        <w:spacing w:line="273" w:lineRule="auto"/>
        <w:ind w:right="149"/>
        <w:jc w:val="both"/>
      </w:pPr>
      <w:r>
        <w:rPr>
          <w:spacing w:val="-1"/>
        </w:rPr>
        <w:t>性资产交换换入的长期股权投资以换出资产的公允价值为基础确定其初始投资成本，除非有确凿证据表明</w:t>
      </w:r>
      <w:r>
        <w:rPr>
          <w:spacing w:val="-81"/>
        </w:rPr>
        <w:t> </w:t>
      </w:r>
      <w:r>
        <w:rPr>
          <w:spacing w:val="-81"/>
        </w:rPr>
      </w:r>
      <w:r>
        <w:rPr>
          <w:spacing w:val="-1"/>
        </w:rPr>
        <w:t>换入资产的公允价值更加可靠；不满足上述前提的非货币性资产交换，以换出资产的账面价值和应支付的</w:t>
      </w:r>
      <w:r>
        <w:rPr>
          <w:spacing w:val="-81"/>
        </w:rPr>
        <w:t> </w:t>
      </w:r>
      <w:r>
        <w:rPr>
          <w:spacing w:val="-81"/>
        </w:rPr>
      </w:r>
      <w:r>
        <w:rPr/>
        <w:t>相关税费作为换入长期股权投资的初始投资成本。</w:t>
      </w:r>
    </w:p>
    <w:p>
      <w:pPr>
        <w:pStyle w:val="Heading4"/>
        <w:spacing w:line="240" w:lineRule="auto"/>
        <w:ind w:left="574" w:right="0"/>
        <w:jc w:val="left"/>
      </w:pPr>
      <w:r>
        <w:rPr/>
        <w:t>通过债务重组取得的长期股权投资，其初始投资成本按照公允价值为基础确定。</w:t>
      </w:r>
    </w:p>
    <w:p>
      <w:pPr>
        <w:pStyle w:val="Heading3"/>
        <w:spacing w:line="240" w:lineRule="auto" w:before="37"/>
        <w:ind w:right="0"/>
        <w:jc w:val="left"/>
        <w:rPr>
          <w:b w:val="0"/>
          <w:bCs w:val="0"/>
        </w:rPr>
      </w:pPr>
      <w:r>
        <w:rPr>
          <w:rFonts w:ascii="Times New Roman" w:hAnsi="Times New Roman" w:cs="Times New Roman" w:eastAsia="Times New Roman" w:hint="default"/>
        </w:rPr>
        <w:t>2</w:t>
      </w:r>
      <w:r>
        <w:rPr/>
        <w:t>、后续计量及损益确认</w:t>
      </w:r>
      <w:r>
        <w:rPr>
          <w:b w:val="0"/>
          <w:bCs w:val="0"/>
        </w:rPr>
      </w:r>
    </w:p>
    <w:p>
      <w:pPr>
        <w:pStyle w:val="Heading4"/>
        <w:spacing w:line="256" w:lineRule="auto" w:before="21"/>
        <w:ind w:left="574" w:right="0" w:hanging="1"/>
        <w:jc w:val="left"/>
      </w:pPr>
      <w:r>
        <w:rPr/>
        <w:t>（</w:t>
      </w:r>
      <w:r>
        <w:rPr>
          <w:rFonts w:ascii="Times New Roman" w:hAnsi="Times New Roman" w:cs="Times New Roman" w:eastAsia="Times New Roman" w:hint="default"/>
        </w:rPr>
        <w:t>1</w:t>
      </w:r>
      <w:r>
        <w:rPr/>
        <w:t>）成本法 </w:t>
      </w:r>
      <w:r>
        <w:rPr>
          <w:spacing w:val="-1"/>
        </w:rPr>
        <w:t>本公司能够对被投资单位实施控制的长期股权投资采用成本法核算，并按照初始投资成本计价，追加</w:t>
      </w:r>
    </w:p>
    <w:p>
      <w:pPr>
        <w:pStyle w:val="Heading4"/>
        <w:spacing w:line="273" w:lineRule="auto" w:before="22"/>
        <w:ind w:left="574" w:right="0" w:hanging="420"/>
        <w:jc w:val="left"/>
      </w:pPr>
      <w:r>
        <w:rPr/>
        <w:t>或收回投资调整长期股权投资的成本。 </w:t>
      </w:r>
      <w:r>
        <w:rPr>
          <w:spacing w:val="-1"/>
        </w:rPr>
        <w:t>除取得投资时实际支付的价款或对价中包含的已宣告但尚未发放的现金股利或利润外，本公司按照享</w:t>
      </w:r>
    </w:p>
    <w:p>
      <w:pPr>
        <w:pStyle w:val="Heading4"/>
        <w:spacing w:line="240" w:lineRule="auto"/>
        <w:ind w:right="0"/>
        <w:jc w:val="left"/>
      </w:pPr>
      <w:r>
        <w:rPr/>
        <w:t>有被投资单位宣告分派的现金股利或利润确认为当期投资收益。</w:t>
      </w:r>
    </w:p>
    <w:p>
      <w:pPr>
        <w:pStyle w:val="Heading4"/>
        <w:spacing w:line="256" w:lineRule="auto" w:before="37"/>
        <w:ind w:left="574" w:right="110" w:hanging="1"/>
        <w:jc w:val="left"/>
      </w:pPr>
      <w:r>
        <w:rPr/>
        <w:t>（</w:t>
      </w:r>
      <w:r>
        <w:rPr>
          <w:rFonts w:ascii="Times New Roman" w:hAnsi="Times New Roman" w:cs="Times New Roman" w:eastAsia="Times New Roman" w:hint="default"/>
        </w:rPr>
        <w:t>2</w:t>
      </w:r>
      <w:r>
        <w:rPr/>
        <w:t>）权益法 本公司对联营企业和合营企业的长期股权投资采用权益法核算；对于其中一部分通过风险投资机构、</w:t>
      </w:r>
    </w:p>
    <w:p>
      <w:pPr>
        <w:pStyle w:val="Heading4"/>
        <w:spacing w:line="273" w:lineRule="auto" w:before="22"/>
        <w:ind w:right="0"/>
        <w:jc w:val="left"/>
      </w:pPr>
      <w:r>
        <w:rPr>
          <w:spacing w:val="-1"/>
        </w:rPr>
        <w:t>共同基金、信托公司或包括投连险基金在内的类似主体间接持有的联营企业的权益性投资，采用公允价值</w:t>
      </w:r>
      <w:r>
        <w:rPr>
          <w:spacing w:val="-81"/>
        </w:rPr>
        <w:t> </w:t>
      </w:r>
      <w:r>
        <w:rPr>
          <w:spacing w:val="-81"/>
        </w:rPr>
      </w:r>
      <w:r>
        <w:rPr/>
        <w:t>计量且其变动计入损益。</w:t>
      </w:r>
    </w:p>
    <w:p>
      <w:pPr>
        <w:pStyle w:val="Heading4"/>
        <w:spacing w:line="273" w:lineRule="auto"/>
        <w:ind w:right="149" w:firstLine="420"/>
        <w:jc w:val="both"/>
      </w:pPr>
      <w:r>
        <w:rPr>
          <w:spacing w:val="-1"/>
        </w:rPr>
        <w:t>长期股权投资的初始投资成本大于投资时应享有被投资单位可辨认净资产公允价值份额的差额，不调</w:t>
      </w:r>
      <w:r>
        <w:rPr/>
        <w:t> </w:t>
      </w:r>
      <w:r>
        <w:rPr>
          <w:spacing w:val="-1"/>
        </w:rPr>
        <w:t>整长期股权投资的初始投资成本；初始投资成本小于投资时应享有被投资单位可辨认净资产公允价值份额</w:t>
      </w:r>
      <w:r>
        <w:rPr>
          <w:spacing w:val="-81"/>
        </w:rPr>
        <w:t> </w:t>
      </w:r>
      <w:r>
        <w:rPr>
          <w:spacing w:val="-81"/>
        </w:rPr>
      </w:r>
      <w:r>
        <w:rPr/>
        <w:t>的差额，计入当期损益。</w:t>
      </w:r>
    </w:p>
    <w:p>
      <w:pPr>
        <w:pStyle w:val="Heading4"/>
        <w:spacing w:line="273" w:lineRule="auto"/>
        <w:ind w:right="147" w:firstLine="420"/>
        <w:jc w:val="both"/>
      </w:pPr>
      <w:r>
        <w:rPr>
          <w:spacing w:val="3"/>
        </w:rPr>
        <w:t>本公司取得长期股权投资后，按照应享有或应分担的被投资单位实现的净损益和其他综合收益的份</w:t>
      </w:r>
      <w:r>
        <w:rPr/>
        <w:t> </w:t>
      </w:r>
      <w:r>
        <w:rPr>
          <w:spacing w:val="-1"/>
        </w:rPr>
        <w:t>额，分别确认投资收益和其他综合收益，同时调整长期股权投资的账面价值；并按照被投资单位宣告分派</w:t>
      </w:r>
      <w:r>
        <w:rPr>
          <w:spacing w:val="-83"/>
        </w:rPr>
        <w:t> </w:t>
      </w:r>
      <w:r>
        <w:rPr>
          <w:spacing w:val="-83"/>
        </w:rPr>
      </w:r>
      <w:r>
        <w:rPr>
          <w:spacing w:val="-1"/>
        </w:rPr>
        <w:t>的利润或现金股利计算应享有的部分，相应减少长期股权投资的账面价值；对于被投资单位除净损益、其</w:t>
      </w:r>
    </w:p>
    <w:p>
      <w:pPr>
        <w:spacing w:after="0" w:line="273" w:lineRule="auto"/>
        <w:jc w:val="both"/>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4"/>
        <w:spacing w:line="273" w:lineRule="auto" w:before="35"/>
        <w:ind w:left="894" w:right="0" w:hanging="420"/>
        <w:jc w:val="left"/>
      </w:pPr>
      <w:r>
        <w:rPr/>
        <w:t>他综合收益和利润分配以外所有者权益的其他变动，调整长期股权投资的账面价值并计入所有者权益。 </w:t>
      </w:r>
      <w:r>
        <w:rPr>
          <w:spacing w:val="-1"/>
        </w:rPr>
        <w:t>本公司在确认应享有被投资单位净损益的份额时，以取得投资时被投资单位各项可辨认资产等的公允</w:t>
      </w:r>
    </w:p>
    <w:p>
      <w:pPr>
        <w:pStyle w:val="Heading4"/>
        <w:spacing w:line="273" w:lineRule="auto"/>
        <w:ind w:left="474" w:right="150"/>
        <w:jc w:val="both"/>
      </w:pPr>
      <w:r>
        <w:rPr>
          <w:spacing w:val="-1"/>
        </w:rPr>
        <w:t>价值为基础，对被投资单位的净利润进行调整后确认。本公司与联营企业、合营企业之间发生的未实现内</w:t>
      </w:r>
      <w:r>
        <w:rPr>
          <w:spacing w:val="-83"/>
        </w:rPr>
        <w:t> </w:t>
      </w:r>
      <w:r>
        <w:rPr>
          <w:spacing w:val="-83"/>
        </w:rPr>
      </w:r>
      <w:r>
        <w:rPr/>
        <w:t>部交易损益按照应享有的比例计算归属于本公司的部分予以抵销，在此基础上确认投资损益。</w:t>
      </w:r>
    </w:p>
    <w:p>
      <w:pPr>
        <w:pStyle w:val="Heading4"/>
        <w:spacing w:line="273" w:lineRule="auto"/>
        <w:ind w:left="474" w:right="150" w:firstLine="420"/>
        <w:jc w:val="both"/>
      </w:pPr>
      <w:r>
        <w:rPr>
          <w:spacing w:val="-1"/>
        </w:rPr>
        <w:t>本公司确认应分担被投资单位发生的亏损时，按照以下顺序进行处理：首先，冲减长期股权投资的账</w:t>
      </w:r>
      <w:r>
        <w:rPr/>
        <w:t> </w:t>
      </w:r>
      <w:r>
        <w:rPr>
          <w:spacing w:val="-1"/>
        </w:rPr>
        <w:t>面价值。其次，长期股权投资的账面价值不足以冲减的，以其他实质上构成对被投资单位净投资的长期权</w:t>
      </w:r>
      <w:r>
        <w:rPr>
          <w:spacing w:val="-83"/>
        </w:rPr>
        <w:t> </w:t>
      </w:r>
      <w:r>
        <w:rPr>
          <w:spacing w:val="-83"/>
        </w:rPr>
      </w:r>
      <w:r>
        <w:rPr>
          <w:spacing w:val="-1"/>
        </w:rPr>
        <w:t>益账面价值为限继续确认投资损失，冲减长期应收项目等的账面价值。最后，经过上述处理，按照投资合</w:t>
      </w:r>
      <w:r>
        <w:rPr>
          <w:spacing w:val="-82"/>
        </w:rPr>
        <w:t> </w:t>
      </w:r>
      <w:r>
        <w:rPr>
          <w:spacing w:val="-82"/>
        </w:rPr>
      </w:r>
      <w:r>
        <w:rPr/>
        <w:t>同或协议约定企业仍承担额外义务的，按预计承担的义务确认预计负债，计入当期投资损失。</w:t>
      </w:r>
    </w:p>
    <w:p>
      <w:pPr>
        <w:pStyle w:val="Heading4"/>
        <w:spacing w:line="273" w:lineRule="auto"/>
        <w:ind w:left="474" w:right="150" w:firstLine="420"/>
        <w:jc w:val="both"/>
      </w:pPr>
      <w:r>
        <w:rPr>
          <w:spacing w:val="-1"/>
        </w:rPr>
        <w:t>被投资单位以后期间实现盈利的，公司在扣除未确认的亏损分担额后，按与上述相反的顺序处理，减</w:t>
      </w:r>
      <w:r>
        <w:rPr/>
        <w:t> </w:t>
      </w:r>
      <w:r>
        <w:rPr>
          <w:spacing w:val="-1"/>
        </w:rPr>
        <w:t>记已确认预计负债的账面余额、恢复其他实质上构成对被投资单位净投资的长期权益及长期股权投资的账</w:t>
      </w:r>
      <w:r>
        <w:rPr>
          <w:spacing w:val="-81"/>
        </w:rPr>
        <w:t> </w:t>
      </w:r>
      <w:r>
        <w:rPr>
          <w:spacing w:val="-81"/>
        </w:rPr>
      </w:r>
      <w:r>
        <w:rPr/>
        <w:t>面价值后，恢复确认投资收益。</w:t>
      </w:r>
    </w:p>
    <w:p>
      <w:pPr>
        <w:pStyle w:val="Heading3"/>
        <w:spacing w:line="240" w:lineRule="auto" w:before="7"/>
        <w:ind w:left="113" w:right="0"/>
        <w:jc w:val="left"/>
        <w:rPr>
          <w:b w:val="0"/>
          <w:bCs w:val="0"/>
        </w:rPr>
      </w:pPr>
      <w:r>
        <w:rPr/>
        <w:t>1.</w:t>
      </w:r>
      <w:r>
        <w:rPr>
          <w:spacing w:val="39"/>
        </w:rPr>
        <w:t> </w:t>
      </w:r>
      <w:r>
        <w:rPr>
          <w:rFonts w:ascii="Times New Roman" w:hAnsi="Times New Roman" w:cs="Times New Roman" w:eastAsia="Times New Roman" w:hint="default"/>
        </w:rPr>
        <w:t>3</w:t>
      </w:r>
      <w:r>
        <w:rPr/>
        <w:t>、长期股权投资核算方法的转换</w:t>
      </w:r>
      <w:r>
        <w:rPr>
          <w:b w:val="0"/>
          <w:bCs w:val="0"/>
        </w:rPr>
      </w:r>
    </w:p>
    <w:p>
      <w:pPr>
        <w:pStyle w:val="Heading4"/>
        <w:spacing w:line="256" w:lineRule="auto" w:before="21"/>
        <w:ind w:left="894" w:right="0" w:hanging="84"/>
        <w:jc w:val="left"/>
      </w:pPr>
      <w:r>
        <w:rPr/>
        <w:t>（</w:t>
      </w:r>
      <w:r>
        <w:rPr>
          <w:rFonts w:ascii="Times New Roman" w:hAnsi="Times New Roman" w:cs="Times New Roman" w:eastAsia="Times New Roman" w:hint="default"/>
        </w:rPr>
        <w:t>1</w:t>
      </w:r>
      <w:r>
        <w:rPr/>
        <w:t>）公允价值计量转权益法核算 </w:t>
      </w:r>
      <w:r>
        <w:rPr>
          <w:spacing w:val="-1"/>
        </w:rPr>
        <w:t>本公司原持有的对被投资单位不具有控制、共同控制或重大影响的按金融工具确认和计量准则进行会</w:t>
      </w:r>
    </w:p>
    <w:p>
      <w:pPr>
        <w:pStyle w:val="Heading4"/>
        <w:spacing w:line="264" w:lineRule="auto" w:before="22"/>
        <w:ind w:left="474" w:right="142"/>
        <w:jc w:val="both"/>
      </w:pPr>
      <w:r>
        <w:rPr>
          <w:spacing w:val="3"/>
        </w:rPr>
        <w:t>计处理的权益性投资，因追加投资等原因能够对被投资单位施加重大影响或实施共同控制但不构成控制</w:t>
      </w:r>
      <w:r>
        <w:rPr>
          <w:spacing w:val="-78"/>
        </w:rPr>
        <w:t> </w:t>
      </w:r>
      <w:r>
        <w:rPr>
          <w:spacing w:val="-78"/>
        </w:rPr>
      </w:r>
      <w:r>
        <w:rPr>
          <w:spacing w:val="-1"/>
        </w:rPr>
        <w:t>的，按照《企业会计准则第</w:t>
      </w:r>
      <w:r>
        <w:rPr>
          <w:rFonts w:ascii="Times New Roman" w:hAnsi="Times New Roman" w:cs="Times New Roman" w:eastAsia="Times New Roman" w:hint="default"/>
          <w:spacing w:val="-1"/>
        </w:rPr>
        <w:t>22</w:t>
      </w:r>
      <w:r>
        <w:rPr>
          <w:spacing w:val="-1"/>
        </w:rPr>
        <w:t>号</w:t>
      </w:r>
      <w:r>
        <w:rPr>
          <w:rFonts w:ascii="Times New Roman" w:hAnsi="Times New Roman" w:cs="Times New Roman" w:eastAsia="Times New Roman" w:hint="default"/>
          <w:spacing w:val="-1"/>
        </w:rPr>
        <w:t>——</w:t>
      </w:r>
      <w:r>
        <w:rPr>
          <w:spacing w:val="-1"/>
        </w:rPr>
        <w:t>金融工具确认和计量》确定的原持有的股权投资的公允价值加上新增</w:t>
      </w:r>
      <w:r>
        <w:rPr>
          <w:spacing w:val="-84"/>
        </w:rPr>
        <w:t> </w:t>
      </w:r>
      <w:r>
        <w:rPr>
          <w:spacing w:val="-84"/>
        </w:rPr>
      </w:r>
      <w:r>
        <w:rPr/>
        <w:t>投资成本之和，作为改按权益法核算的初始投资成本。</w:t>
      </w:r>
    </w:p>
    <w:p>
      <w:pPr>
        <w:pStyle w:val="Heading4"/>
        <w:spacing w:line="273" w:lineRule="auto" w:before="16"/>
        <w:ind w:left="474" w:right="151" w:firstLine="420"/>
        <w:jc w:val="both"/>
      </w:pPr>
      <w:r>
        <w:rPr>
          <w:spacing w:val="-1"/>
        </w:rPr>
        <w:t>原持有的股权投资分类为可供出售金融资产的，其公允价值与账面价值之间的差额，以及原计入其他</w:t>
      </w:r>
      <w:r>
        <w:rPr/>
        <w:t> 综合收益的累计公允价值变动转入改按权益法核算的当期损益。</w:t>
      </w:r>
    </w:p>
    <w:p>
      <w:pPr>
        <w:pStyle w:val="Heading4"/>
        <w:spacing w:line="273" w:lineRule="auto"/>
        <w:ind w:left="474" w:right="147" w:firstLine="420"/>
        <w:jc w:val="both"/>
      </w:pPr>
      <w:r>
        <w:rPr>
          <w:spacing w:val="3"/>
        </w:rPr>
        <w:t>按权益法核算的初始投资成本小于按照追加投资后全新的持股比例计算确定的应享有被投资单位在</w:t>
      </w:r>
      <w:r>
        <w:rPr/>
        <w:t> </w:t>
      </w:r>
      <w:r>
        <w:rPr>
          <w:spacing w:val="-1"/>
        </w:rPr>
        <w:t>追加投资日可辨认净资产公允价值份额之间的差额，调整长期股权投资的账面价值，并计入当期营业外收</w:t>
      </w:r>
      <w:r>
        <w:rPr>
          <w:spacing w:val="-81"/>
        </w:rPr>
        <w:t> </w:t>
      </w:r>
      <w:r>
        <w:rPr>
          <w:spacing w:val="-81"/>
        </w:rPr>
      </w:r>
      <w:r>
        <w:rPr/>
        <w:t>入。</w:t>
      </w:r>
    </w:p>
    <w:p>
      <w:pPr>
        <w:pStyle w:val="Heading4"/>
        <w:spacing w:line="256" w:lineRule="auto"/>
        <w:ind w:left="894" w:right="0" w:hanging="84"/>
        <w:jc w:val="left"/>
      </w:pPr>
      <w:r>
        <w:rPr/>
        <w:t>（</w:t>
      </w:r>
      <w:r>
        <w:rPr>
          <w:rFonts w:ascii="Times New Roman" w:hAnsi="Times New Roman" w:cs="Times New Roman" w:eastAsia="Times New Roman" w:hint="default"/>
        </w:rPr>
        <w:t>2</w:t>
      </w:r>
      <w:r>
        <w:rPr/>
        <w:t>）公允价值计量或权益法核算转成本法核算 </w:t>
      </w:r>
      <w:r>
        <w:rPr>
          <w:spacing w:val="-1"/>
        </w:rPr>
        <w:t>本公司原持有的对被投资单位不具有控制、共同控制或重大影响的按金融工具确认和计量准则进行会</w:t>
      </w:r>
    </w:p>
    <w:p>
      <w:pPr>
        <w:pStyle w:val="Heading4"/>
        <w:spacing w:line="273" w:lineRule="auto" w:before="22"/>
        <w:ind w:left="474" w:right="151"/>
        <w:jc w:val="both"/>
      </w:pPr>
      <w:r>
        <w:rPr>
          <w:spacing w:val="-1"/>
        </w:rPr>
        <w:t>计处理的权益性投资，或原持有对联营企业、合营企业的长期股权投资，因追加投资等原因能够对非同一</w:t>
      </w:r>
      <w:r>
        <w:rPr>
          <w:spacing w:val="-83"/>
        </w:rPr>
        <w:t> </w:t>
      </w:r>
      <w:r>
        <w:rPr>
          <w:spacing w:val="-83"/>
        </w:rPr>
      </w:r>
      <w:r>
        <w:rPr>
          <w:spacing w:val="-1"/>
        </w:rPr>
        <w:t>控制下的被投资单位实施控制的，在编制个别财务报表时，按照原持有的股权投资账面价值加上新增投资</w:t>
      </w:r>
      <w:r>
        <w:rPr>
          <w:spacing w:val="-81"/>
        </w:rPr>
        <w:t> </w:t>
      </w:r>
      <w:r>
        <w:rPr>
          <w:spacing w:val="-81"/>
        </w:rPr>
      </w:r>
      <w:r>
        <w:rPr/>
        <w:t>成本之和，作为改按成本法核算的初始投资成本。</w:t>
      </w:r>
    </w:p>
    <w:p>
      <w:pPr>
        <w:pStyle w:val="Heading4"/>
        <w:spacing w:line="273" w:lineRule="auto"/>
        <w:ind w:left="474" w:right="150" w:firstLine="420"/>
        <w:jc w:val="both"/>
      </w:pPr>
      <w:r>
        <w:rPr>
          <w:spacing w:val="-1"/>
        </w:rPr>
        <w:t>购买日之前持有的股权投资因采用权益法核算而确认的其他综合收益，在处置该项投资时采用与被投</w:t>
      </w:r>
      <w:r>
        <w:rPr/>
        <w:t> 资单位直接处置相关资产或负债相同的基础进行会计处理。</w:t>
      </w:r>
    </w:p>
    <w:p>
      <w:pPr>
        <w:pStyle w:val="Heading4"/>
        <w:spacing w:line="256" w:lineRule="auto"/>
        <w:ind w:left="474" w:right="151" w:firstLine="420"/>
        <w:jc w:val="both"/>
      </w:pPr>
      <w:r>
        <w:rPr>
          <w:spacing w:val="-1"/>
        </w:rPr>
        <w:t>购买日之前持有的股权投资按照《企业会计准则第</w:t>
      </w:r>
      <w:r>
        <w:rPr>
          <w:rFonts w:ascii="Times New Roman" w:hAnsi="Times New Roman" w:cs="Times New Roman" w:eastAsia="Times New Roman" w:hint="default"/>
          <w:spacing w:val="-1"/>
        </w:rPr>
        <w:t>22</w:t>
      </w:r>
      <w:r>
        <w:rPr>
          <w:spacing w:val="-1"/>
        </w:rPr>
        <w:t>号</w:t>
      </w:r>
      <w:r>
        <w:rPr>
          <w:rFonts w:ascii="Times New Roman" w:hAnsi="Times New Roman" w:cs="Times New Roman" w:eastAsia="Times New Roman" w:hint="default"/>
          <w:spacing w:val="-1"/>
        </w:rPr>
        <w:t>——</w:t>
      </w:r>
      <w:r>
        <w:rPr>
          <w:spacing w:val="-1"/>
        </w:rPr>
        <w:t>金融工具确认和计量》的有关规定进行会</w:t>
      </w:r>
      <w:r>
        <w:rPr/>
        <w:t> 计处理的，原计入其他综合收益的累计公允价值变动在改按成本法核算时转入当期损益。</w:t>
      </w:r>
    </w:p>
    <w:p>
      <w:pPr>
        <w:pStyle w:val="Heading4"/>
        <w:spacing w:line="256" w:lineRule="auto" w:before="22"/>
        <w:ind w:left="894" w:right="0" w:hanging="84"/>
        <w:jc w:val="left"/>
      </w:pPr>
      <w:r>
        <w:rPr/>
        <w:t>（</w:t>
      </w:r>
      <w:r>
        <w:rPr>
          <w:rFonts w:ascii="Times New Roman" w:hAnsi="Times New Roman" w:cs="Times New Roman" w:eastAsia="Times New Roman" w:hint="default"/>
        </w:rPr>
        <w:t>3</w:t>
      </w:r>
      <w:r>
        <w:rPr/>
        <w:t>）权益法核算转公允价值计量 </w:t>
      </w:r>
      <w:r>
        <w:rPr>
          <w:spacing w:val="-1"/>
        </w:rPr>
        <w:t>本公司因处置部分股权投资等原因丧失了对被投资单位的共同控制或重大影响的，处置后的剩余股权</w:t>
      </w:r>
    </w:p>
    <w:p>
      <w:pPr>
        <w:pStyle w:val="Heading4"/>
        <w:spacing w:line="256" w:lineRule="auto" w:before="22"/>
        <w:ind w:left="474" w:right="151"/>
        <w:jc w:val="both"/>
      </w:pPr>
      <w:r>
        <w:rPr>
          <w:spacing w:val="-1"/>
        </w:rPr>
        <w:t>改按《企业会计准则第</w:t>
      </w:r>
      <w:r>
        <w:rPr>
          <w:rFonts w:ascii="Times New Roman" w:hAnsi="Times New Roman" w:cs="Times New Roman" w:eastAsia="Times New Roman" w:hint="default"/>
          <w:spacing w:val="-1"/>
        </w:rPr>
        <w:t>22</w:t>
      </w:r>
      <w:r>
        <w:rPr>
          <w:spacing w:val="-1"/>
        </w:rPr>
        <w:t>号</w:t>
      </w:r>
      <w:r>
        <w:rPr>
          <w:rFonts w:ascii="Times New Roman" w:hAnsi="Times New Roman" w:cs="Times New Roman" w:eastAsia="Times New Roman" w:hint="default"/>
          <w:spacing w:val="-1"/>
        </w:rPr>
        <w:t>——</w:t>
      </w:r>
      <w:r>
        <w:rPr>
          <w:spacing w:val="-1"/>
        </w:rPr>
        <w:t>金融工具确认和计量》核算，其在丧失共同控制或重大影响之日的公允价</w:t>
      </w:r>
      <w:r>
        <w:rPr>
          <w:spacing w:val="-85"/>
        </w:rPr>
        <w:t> </w:t>
      </w:r>
      <w:r>
        <w:rPr>
          <w:spacing w:val="-85"/>
        </w:rPr>
      </w:r>
      <w:r>
        <w:rPr/>
        <w:t>值与账面价值之间的差额计入当期损益。</w:t>
      </w:r>
    </w:p>
    <w:p>
      <w:pPr>
        <w:pStyle w:val="Heading4"/>
        <w:spacing w:line="273" w:lineRule="auto" w:before="22"/>
        <w:ind w:left="474" w:right="150" w:firstLine="420"/>
        <w:jc w:val="both"/>
      </w:pPr>
      <w:r>
        <w:rPr>
          <w:spacing w:val="-1"/>
        </w:rPr>
        <w:t>原股权投资因采用权益法核算而确认的其他综合收益，在终止采用权益法核算时采用与被投资单位直</w:t>
      </w:r>
      <w:r>
        <w:rPr/>
        <w:t> 接处置相关资产或负债相同的基础进行会计处理。</w:t>
      </w:r>
    </w:p>
    <w:p>
      <w:pPr>
        <w:pStyle w:val="Heading4"/>
        <w:spacing w:line="256" w:lineRule="auto"/>
        <w:ind w:left="894" w:right="0" w:hanging="84"/>
        <w:jc w:val="left"/>
      </w:pPr>
      <w:r>
        <w:rPr/>
        <w:t>（</w:t>
      </w:r>
      <w:r>
        <w:rPr>
          <w:rFonts w:ascii="Times New Roman" w:hAnsi="Times New Roman" w:cs="Times New Roman" w:eastAsia="Times New Roman" w:hint="default"/>
        </w:rPr>
        <w:t>4</w:t>
      </w:r>
      <w:r>
        <w:rPr/>
        <w:t>）成本法转权益法 </w:t>
      </w:r>
      <w:r>
        <w:rPr>
          <w:spacing w:val="-1"/>
        </w:rPr>
        <w:t>本公司因处置部分权益性投资等原因丧失了对被投资单位的控制的，在编制个别财务报表时，处置后</w:t>
      </w:r>
    </w:p>
    <w:p>
      <w:pPr>
        <w:pStyle w:val="Heading4"/>
        <w:spacing w:line="273" w:lineRule="auto" w:before="22"/>
        <w:ind w:left="474" w:right="151"/>
        <w:jc w:val="both"/>
      </w:pPr>
      <w:r>
        <w:rPr>
          <w:spacing w:val="-1"/>
        </w:rPr>
        <w:t>的剩余股权能够对被投资单位实施共同控制或施加重大影响的，改按权益法核算，并对该剩余股权视同自</w:t>
      </w:r>
      <w:r>
        <w:rPr>
          <w:spacing w:val="-81"/>
        </w:rPr>
        <w:t> </w:t>
      </w:r>
      <w:r>
        <w:rPr>
          <w:spacing w:val="-81"/>
        </w:rPr>
      </w:r>
      <w:r>
        <w:rPr/>
        <w:t>取得时即采用权益法核算进行调整。</w:t>
      </w:r>
    </w:p>
    <w:p>
      <w:pPr>
        <w:pStyle w:val="Heading4"/>
        <w:spacing w:line="256" w:lineRule="auto"/>
        <w:ind w:left="894" w:right="0" w:hanging="84"/>
        <w:jc w:val="left"/>
      </w:pPr>
      <w:r>
        <w:rPr/>
        <w:t>（</w:t>
      </w:r>
      <w:r>
        <w:rPr>
          <w:rFonts w:ascii="Times New Roman" w:hAnsi="Times New Roman" w:cs="Times New Roman" w:eastAsia="Times New Roman" w:hint="default"/>
        </w:rPr>
        <w:t>5</w:t>
      </w:r>
      <w:r>
        <w:rPr/>
        <w:t>）成本法转公允价值计量 </w:t>
      </w:r>
      <w:r>
        <w:rPr>
          <w:spacing w:val="-1"/>
        </w:rPr>
        <w:t>本公司因处置部分权益性投资等原因丧失了对被投资单位的控制的，在编制个别财务报表时，处置后</w:t>
      </w:r>
    </w:p>
    <w:p>
      <w:pPr>
        <w:pStyle w:val="Heading4"/>
        <w:spacing w:line="240" w:lineRule="auto" w:before="22"/>
        <w:ind w:left="474" w:right="0"/>
        <w:jc w:val="both"/>
      </w:pPr>
      <w:r>
        <w:rPr/>
        <w:t>的剩余股权不能对被投资单位实施共同控制或施加重大影响的，改按《企业会计准则第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w:t>
      </w:r>
    </w:p>
    <w:p>
      <w:pPr>
        <w:spacing w:after="0" w:line="240" w:lineRule="auto"/>
        <w:jc w:val="both"/>
        <w:sectPr>
          <w:pgSz w:w="11910" w:h="16840"/>
          <w:pgMar w:header="747" w:footer="982" w:top="1060" w:bottom="1180" w:left="660" w:right="98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pPr>
      <w:r>
        <w:rPr>
          <w:spacing w:val="-3"/>
        </w:rPr>
        <w:t>确认和计量》的有关规定进行会计处理，其在丧失控制之日的公允价值与账面价值间的差额计入当期损益。</w:t>
      </w:r>
    </w:p>
    <w:p>
      <w:pPr>
        <w:spacing w:line="256" w:lineRule="auto" w:before="37"/>
        <w:ind w:left="574" w:right="102"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、长期股权投资的处置</w:t>
      </w:r>
      <w:r>
        <w:rPr>
          <w:rFonts w:ascii="宋体" w:hAnsi="宋体" w:cs="宋体" w:eastAsia="宋体" w:hint="default"/>
          <w:b/>
          <w:bCs/>
          <w:w w:val="99"/>
          <w:sz w:val="21"/>
          <w:szCs w:val="21"/>
        </w:rPr>
        <w:t> </w:t>
      </w:r>
      <w:r>
        <w:rPr>
          <w:rFonts w:ascii="宋体" w:hAnsi="宋体" w:cs="宋体" w:eastAsia="宋体" w:hint="default"/>
          <w:spacing w:val="-1"/>
          <w:sz w:val="21"/>
          <w:szCs w:val="21"/>
        </w:rPr>
        <w:t>处置长期股权投资，其账面价值与实际取得价款之间的差额，应当计入当期损益。采用权益法核算的</w:t>
      </w:r>
    </w:p>
    <w:p>
      <w:pPr>
        <w:pStyle w:val="Heading4"/>
        <w:spacing w:line="273" w:lineRule="auto" w:before="22"/>
        <w:ind w:right="102"/>
        <w:jc w:val="left"/>
      </w:pPr>
      <w:r>
        <w:rPr>
          <w:spacing w:val="-1"/>
        </w:rPr>
        <w:t>长期股权投资，在处置该项投资时，采用与被投资单位直接处置相关资产或负债相同的基础，按相应比例</w:t>
      </w:r>
      <w:r>
        <w:rPr>
          <w:spacing w:val="-83"/>
        </w:rPr>
        <w:t> </w:t>
      </w:r>
      <w:r>
        <w:rPr>
          <w:spacing w:val="-83"/>
        </w:rPr>
      </w:r>
      <w:r>
        <w:rPr/>
        <w:t>对原计入其他综合收益的部分进行会计处理。</w:t>
      </w:r>
    </w:p>
    <w:p>
      <w:pPr>
        <w:pStyle w:val="Heading4"/>
        <w:spacing w:line="273" w:lineRule="auto"/>
        <w:ind w:right="209" w:firstLine="420"/>
        <w:jc w:val="both"/>
      </w:pPr>
      <w:r>
        <w:rPr>
          <w:spacing w:val="-1"/>
        </w:rPr>
        <w:t>处置对子公司股权投资的各项交易的条款、条件以及经济影响符合以下一种或多种情况，将多次交易</w:t>
      </w:r>
      <w:r>
        <w:rPr/>
        <w:t> 事项作为一揽子交易进行会计处理：</w:t>
      </w:r>
    </w:p>
    <w:p>
      <w:pPr>
        <w:pStyle w:val="Heading4"/>
        <w:spacing w:line="240" w:lineRule="auto"/>
        <w:ind w:left="490" w:right="102"/>
        <w:jc w:val="left"/>
      </w:pPr>
      <w:r>
        <w:rPr/>
        <w:t>（</w:t>
      </w:r>
      <w:r>
        <w:rPr>
          <w:rFonts w:ascii="Times New Roman" w:hAnsi="Times New Roman" w:cs="Times New Roman" w:eastAsia="Times New Roman" w:hint="default"/>
        </w:rPr>
        <w:t>1</w:t>
      </w:r>
      <w:r>
        <w:rPr/>
        <w:t>）这些交易是同时或者在考虑了彼此影响的情况下订立的；</w:t>
      </w:r>
    </w:p>
    <w:p>
      <w:pPr>
        <w:pStyle w:val="Heading4"/>
        <w:spacing w:line="240" w:lineRule="auto" w:before="21"/>
        <w:ind w:left="490" w:right="102"/>
        <w:jc w:val="left"/>
      </w:pPr>
      <w:r>
        <w:rPr/>
        <w:t>（</w:t>
      </w:r>
      <w:r>
        <w:rPr>
          <w:rFonts w:ascii="Times New Roman" w:hAnsi="Times New Roman" w:cs="Times New Roman" w:eastAsia="Times New Roman" w:hint="default"/>
        </w:rPr>
        <w:t>2</w:t>
      </w:r>
      <w:r>
        <w:rPr/>
        <w:t>）这些交易整体才能达成一项完整的商业结果；</w:t>
      </w:r>
    </w:p>
    <w:p>
      <w:pPr>
        <w:pStyle w:val="Heading4"/>
        <w:spacing w:line="240" w:lineRule="auto" w:before="21"/>
        <w:ind w:left="490" w:right="102"/>
        <w:jc w:val="left"/>
      </w:pPr>
      <w:r>
        <w:rPr/>
        <w:t>（</w:t>
      </w:r>
      <w:r>
        <w:rPr>
          <w:rFonts w:ascii="Times New Roman" w:hAnsi="Times New Roman" w:cs="Times New Roman" w:eastAsia="Times New Roman" w:hint="default"/>
        </w:rPr>
        <w:t>3</w:t>
      </w:r>
      <w:r>
        <w:rPr/>
        <w:t>）一项交易的发生取决于其他至少一项交易的发生；</w:t>
      </w:r>
    </w:p>
    <w:p>
      <w:pPr>
        <w:pStyle w:val="Heading4"/>
        <w:spacing w:line="256" w:lineRule="auto" w:before="21"/>
        <w:ind w:left="574" w:right="102" w:hanging="84"/>
        <w:jc w:val="left"/>
      </w:pPr>
      <w:r>
        <w:rPr/>
        <w:t>（</w:t>
      </w:r>
      <w:r>
        <w:rPr>
          <w:rFonts w:ascii="Times New Roman" w:hAnsi="Times New Roman" w:cs="Times New Roman" w:eastAsia="Times New Roman" w:hint="default"/>
        </w:rPr>
        <w:t>4</w:t>
      </w:r>
      <w:r>
        <w:rPr/>
        <w:t>）一项交易单独看是不经济的，但是和其他交易一并考虑时是经济的。 </w:t>
      </w:r>
      <w:r>
        <w:rPr>
          <w:spacing w:val="-1"/>
        </w:rPr>
        <w:t>因处置部分股权投资或其他原因丧失了对原有子公司控制权的，不属于一揽子交易的，区分个别财务</w:t>
      </w:r>
    </w:p>
    <w:p>
      <w:pPr>
        <w:pStyle w:val="Heading4"/>
        <w:spacing w:line="240" w:lineRule="auto" w:before="22"/>
        <w:ind w:right="102"/>
        <w:jc w:val="left"/>
      </w:pPr>
      <w:r>
        <w:rPr/>
        <w:t>报表和合并财务报表进行相关会计处理：</w:t>
      </w:r>
    </w:p>
    <w:p>
      <w:pPr>
        <w:pStyle w:val="Heading4"/>
        <w:spacing w:line="264" w:lineRule="auto" w:before="37"/>
        <w:ind w:right="207" w:firstLine="420"/>
        <w:jc w:val="both"/>
      </w:pPr>
      <w:r>
        <w:rPr/>
        <w:t>（</w:t>
      </w:r>
      <w:r>
        <w:rPr>
          <w:rFonts w:ascii="Times New Roman" w:hAnsi="Times New Roman" w:cs="Times New Roman" w:eastAsia="Times New Roman" w:hint="default"/>
        </w:rPr>
        <w:t>1</w:t>
      </w:r>
      <w:r>
        <w:rPr/>
        <w:t>）在个别财务报表中，对于处置的股权，其账面价值与实际取得价款之间的差额计入当期损益。</w:t>
      </w:r>
      <w:r>
        <w:rPr>
          <w:spacing w:val="2"/>
        </w:rPr>
        <w:t> </w:t>
      </w:r>
      <w:r>
        <w:rPr>
          <w:spacing w:val="-1"/>
        </w:rPr>
        <w:t>处置后的剩余股权能够对被投资单位实施共同控制或施加重大影响的，改按权益法核算，并对该剩余股权</w:t>
      </w:r>
      <w:r>
        <w:rPr>
          <w:spacing w:val="-81"/>
        </w:rPr>
        <w:t> </w:t>
      </w:r>
      <w:r>
        <w:rPr>
          <w:spacing w:val="-81"/>
        </w:rPr>
      </w:r>
      <w:r>
        <w:rPr>
          <w:spacing w:val="-1"/>
        </w:rPr>
        <w:t>视同自取得时即采用权益法核算进行调整；处置后的剩余股权不能对被投资单位实施共同控制或施加重大</w:t>
      </w:r>
      <w:r>
        <w:rPr>
          <w:spacing w:val="-81"/>
        </w:rPr>
        <w:t> </w:t>
      </w:r>
      <w:r>
        <w:rPr>
          <w:spacing w:val="-81"/>
        </w:rPr>
      </w:r>
      <w:r>
        <w:rPr>
          <w:spacing w:val="-1"/>
        </w:rPr>
        <w:t>影响的，改按《企业会计准则第</w:t>
      </w:r>
      <w:r>
        <w:rPr>
          <w:rFonts w:ascii="Times New Roman" w:hAnsi="Times New Roman" w:cs="Times New Roman" w:eastAsia="Times New Roman" w:hint="default"/>
          <w:spacing w:val="-1"/>
        </w:rPr>
        <w:t>22</w:t>
      </w:r>
      <w:r>
        <w:rPr>
          <w:spacing w:val="-1"/>
        </w:rPr>
        <w:t>号</w:t>
      </w:r>
      <w:r>
        <w:rPr>
          <w:rFonts w:ascii="Times New Roman" w:hAnsi="Times New Roman" w:cs="Times New Roman" w:eastAsia="Times New Roman" w:hint="default"/>
          <w:spacing w:val="-1"/>
        </w:rPr>
        <w:t>——</w:t>
      </w:r>
      <w:r>
        <w:rPr>
          <w:spacing w:val="-1"/>
        </w:rPr>
        <w:t>金融工具确认和计量》的有关规定进行会计处理，其在丧失控制</w:t>
      </w:r>
      <w:r>
        <w:rPr>
          <w:spacing w:val="-82"/>
        </w:rPr>
        <w:t> </w:t>
      </w:r>
      <w:r>
        <w:rPr>
          <w:spacing w:val="-82"/>
        </w:rPr>
      </w:r>
      <w:r>
        <w:rPr/>
        <w:t>之日的公允价值与账面价值间的差额计入当期损益。</w:t>
      </w:r>
    </w:p>
    <w:p>
      <w:pPr>
        <w:pStyle w:val="Heading4"/>
        <w:spacing w:line="268" w:lineRule="auto" w:before="16"/>
        <w:ind w:right="188" w:firstLine="420"/>
        <w:jc w:val="both"/>
      </w:pPr>
      <w:r>
        <w:rPr/>
        <w:t>（</w:t>
      </w:r>
      <w:r>
        <w:rPr>
          <w:rFonts w:ascii="Times New Roman" w:hAnsi="Times New Roman" w:cs="Times New Roman" w:eastAsia="Times New Roman" w:hint="default"/>
        </w:rPr>
        <w:t>2</w:t>
      </w:r>
      <w:r>
        <w:rPr/>
        <w:t>）在合并财务报表中，对于在丧失对子公司控制权以前的各项交易，处置价款与处置长期股权投</w:t>
      </w:r>
      <w:r>
        <w:rPr>
          <w:spacing w:val="2"/>
        </w:rPr>
        <w:t> </w:t>
      </w:r>
      <w:r>
        <w:rPr>
          <w:spacing w:val="3"/>
        </w:rPr>
        <w:t>资相应对享有子公司自购买日或合并日开始持续计算的净资产份额之间的差额，调整资本公积（股本溢</w:t>
      </w:r>
      <w:r>
        <w:rPr>
          <w:spacing w:val="-78"/>
        </w:rPr>
        <w:t> </w:t>
      </w:r>
      <w:r>
        <w:rPr>
          <w:spacing w:val="-78"/>
        </w:rPr>
      </w:r>
      <w:r>
        <w:rPr>
          <w:spacing w:val="-1"/>
        </w:rPr>
        <w:t>价），资本公积不足冲减的，调整留存收益；在丧失对子公司控制权时，对于剩余股权，按照其在丧失控</w:t>
      </w:r>
      <w:r>
        <w:rPr>
          <w:spacing w:val="-83"/>
        </w:rPr>
        <w:t> </w:t>
      </w:r>
      <w:r>
        <w:rPr>
          <w:spacing w:val="-83"/>
        </w:rPr>
      </w:r>
      <w:r>
        <w:rPr>
          <w:spacing w:val="-1"/>
        </w:rPr>
        <w:t>制权日的公允价值进行重新计量。处置股权取得的对价与剩余股权公允价值之和，减去按原持股比例计算</w:t>
      </w:r>
      <w:r>
        <w:rPr>
          <w:spacing w:val="-81"/>
        </w:rPr>
        <w:t> </w:t>
      </w:r>
      <w:r>
        <w:rPr>
          <w:spacing w:val="-81"/>
        </w:rPr>
      </w:r>
      <w:r>
        <w:rPr/>
        <w:t>应享有原有子公司自购买日开始持续计算的净资产的份额之间的差额，计入丧失控制权当期的投资收益， 同时冲减商誉。与原有子公司股权投资相关的其他综合收益等，在丧失控制权时转为当期投资收益。</w:t>
      </w:r>
    </w:p>
    <w:p>
      <w:pPr>
        <w:pStyle w:val="Heading4"/>
        <w:spacing w:line="273" w:lineRule="auto" w:before="12"/>
        <w:ind w:right="211" w:firstLine="420"/>
        <w:jc w:val="both"/>
      </w:pPr>
      <w:r>
        <w:rPr>
          <w:spacing w:val="-1"/>
        </w:rPr>
        <w:t>处置对子公司股权投资直至丧失控制权的各项交易属于一揽子交易的，将各项交易作为一项处置子公</w:t>
      </w:r>
      <w:r>
        <w:rPr/>
        <w:t> 司股权投资并丧失控制权的交易进行会计处理，区分个别财务报表和合并财务报表进行相关会计处理：</w:t>
      </w:r>
    </w:p>
    <w:p>
      <w:pPr>
        <w:pStyle w:val="Heading4"/>
        <w:spacing w:line="256" w:lineRule="auto"/>
        <w:ind w:right="207" w:firstLine="420"/>
        <w:jc w:val="both"/>
      </w:pPr>
      <w:r>
        <w:rPr/>
        <w:t>（</w:t>
      </w:r>
      <w:r>
        <w:rPr>
          <w:rFonts w:ascii="Times New Roman" w:hAnsi="Times New Roman" w:cs="Times New Roman" w:eastAsia="Times New Roman" w:hint="default"/>
        </w:rPr>
        <w:t>1</w:t>
      </w:r>
      <w:r>
        <w:rPr/>
        <w:t>）在个别财务报表中，在丧失控制权之前每一次处置价款与处置的股权对应的长期股权投资账面</w:t>
      </w:r>
      <w:r>
        <w:rPr>
          <w:spacing w:val="2"/>
        </w:rPr>
        <w:t> </w:t>
      </w:r>
      <w:r>
        <w:rPr/>
        <w:t>价值之间的差额，确认为其他综合收益，在丧失控制权时一并转入丧失控制权当期的损益。</w:t>
      </w:r>
    </w:p>
    <w:p>
      <w:pPr>
        <w:pStyle w:val="Heading4"/>
        <w:spacing w:line="264" w:lineRule="auto" w:before="22"/>
        <w:ind w:right="102" w:firstLine="420"/>
        <w:jc w:val="left"/>
        <w:rPr>
          <w:rFonts w:ascii="宋体" w:hAnsi="宋体" w:cs="宋体" w:eastAsia="宋体" w:hint="default"/>
        </w:rPr>
      </w:pPr>
      <w:r>
        <w:rPr/>
        <w:t>（</w:t>
      </w:r>
      <w:r>
        <w:rPr>
          <w:rFonts w:ascii="Times New Roman" w:hAnsi="Times New Roman" w:cs="Times New Roman" w:eastAsia="Times New Roman" w:hint="default"/>
        </w:rPr>
        <w:t>2</w:t>
      </w:r>
      <w:r>
        <w:rPr/>
        <w:t>）在合并财务报表中，在丧失控制权之前每一次处置价款与处置投资对应的享有该子公司净资产</w:t>
      </w:r>
      <w:r>
        <w:rPr>
          <w:spacing w:val="2"/>
        </w:rPr>
        <w:t> </w:t>
      </w:r>
      <w:r>
        <w:rPr/>
        <w:t>份额的差额，确认为其他综合收益，在丧失控制权时一并转入丧失控制权当期的损益。</w:t>
      </w:r>
      <w:r>
        <w:rPr/>
        <w:t> </w:t>
      </w:r>
      <w:r>
        <w:rPr>
          <w:rFonts w:ascii="Times New Roman" w:hAnsi="Times New Roman" w:cs="Times New Roman" w:eastAsia="Times New Roman" w:hint="default"/>
          <w:b/>
          <w:bCs/>
        </w:rPr>
        <w:t>5</w:t>
      </w:r>
      <w:r>
        <w:rPr>
          <w:rFonts w:ascii="宋体" w:hAnsi="宋体" w:cs="宋体" w:eastAsia="宋体" w:hint="default"/>
          <w:b/>
          <w:bCs/>
        </w:rPr>
        <w:t>、共同控制、重大影响的判断标准</w:t>
      </w:r>
      <w:r>
        <w:rPr>
          <w:rFonts w:ascii="宋体" w:hAnsi="宋体" w:cs="宋体" w:eastAsia="宋体" w:hint="default"/>
        </w:rPr>
      </w:r>
    </w:p>
    <w:p>
      <w:pPr>
        <w:pStyle w:val="Heading4"/>
        <w:spacing w:line="273" w:lineRule="auto" w:before="0"/>
        <w:ind w:right="211" w:firstLine="420"/>
        <w:jc w:val="both"/>
      </w:pPr>
      <w:r>
        <w:rPr>
          <w:spacing w:val="-1"/>
        </w:rPr>
        <w:t>如果本公司按照相关约定与其他参与方集体控制某项安排，并且对该安排回报具有重大影响的活动决</w:t>
      </w:r>
      <w:r>
        <w:rPr/>
        <w:t> </w:t>
      </w:r>
      <w:r>
        <w:rPr>
          <w:spacing w:val="-1"/>
        </w:rPr>
        <w:t>策，需要经过分享控制权的参与方一致同意时才存在，则视为本公司与其他参与方共同控制某项安排，该</w:t>
      </w:r>
      <w:r>
        <w:rPr>
          <w:spacing w:val="-83"/>
        </w:rPr>
        <w:t> </w:t>
      </w:r>
      <w:r>
        <w:rPr>
          <w:spacing w:val="-83"/>
        </w:rPr>
      </w:r>
      <w:r>
        <w:rPr/>
        <w:t>安排即属于合营安排。</w:t>
      </w:r>
    </w:p>
    <w:p>
      <w:pPr>
        <w:pStyle w:val="Heading4"/>
        <w:spacing w:line="273" w:lineRule="auto"/>
        <w:ind w:right="209" w:firstLine="420"/>
        <w:jc w:val="both"/>
      </w:pPr>
      <w:r>
        <w:rPr>
          <w:spacing w:val="-1"/>
        </w:rPr>
        <w:t>合营安排通过单独主体达成的，根据相关约定判断本公司对该单独主体的净资产享有权利时，将该单</w:t>
      </w:r>
      <w:r>
        <w:rPr/>
        <w:t> </w:t>
      </w:r>
      <w:r>
        <w:rPr>
          <w:spacing w:val="-1"/>
        </w:rPr>
        <w:t>独主体作为合营企业，采用权益法核算。若根据相关约定判断本公司并非对该单独主体的净资产享有权利</w:t>
      </w:r>
      <w:r>
        <w:rPr>
          <w:spacing w:val="-81"/>
        </w:rPr>
        <w:t> </w:t>
      </w:r>
      <w:r>
        <w:rPr>
          <w:spacing w:val="-81"/>
        </w:rPr>
      </w:r>
      <w:r>
        <w:rPr>
          <w:spacing w:val="-1"/>
        </w:rPr>
        <w:t>时，该单独主体作为共同经营，本公司确认与共同经营利益份额相关的项目，并按照相关企业会计准则的</w:t>
      </w:r>
      <w:r>
        <w:rPr>
          <w:spacing w:val="-83"/>
        </w:rPr>
        <w:t> </w:t>
      </w:r>
      <w:r>
        <w:rPr>
          <w:spacing w:val="-83"/>
        </w:rPr>
      </w:r>
      <w:r>
        <w:rPr/>
        <w:t>规定进行会计处理。</w:t>
      </w:r>
    </w:p>
    <w:p>
      <w:pPr>
        <w:pStyle w:val="Heading4"/>
        <w:spacing w:line="264" w:lineRule="auto"/>
        <w:ind w:left="153" w:right="211" w:firstLine="336"/>
        <w:jc w:val="both"/>
      </w:pPr>
      <w:r>
        <w:rPr/>
        <w:t>重大影响，是指投资方对被投资单位的财务和经营政策有参与决策的权力，但并不能够控制或者与其</w:t>
      </w:r>
      <w:r>
        <w:rPr>
          <w:spacing w:val="1"/>
        </w:rPr>
        <w:t> </w:t>
      </w:r>
      <w:r>
        <w:rPr>
          <w:spacing w:val="-1"/>
        </w:rPr>
        <w:t>他方一起共同控制这些政策的制定。本公司通过以下一种或多种情形，并综合考虑所有事实和情况后，判</w:t>
      </w:r>
      <w:r>
        <w:rPr>
          <w:spacing w:val="-83"/>
        </w:rPr>
        <w:t> </w:t>
      </w:r>
      <w:r>
        <w:rPr>
          <w:spacing w:val="-83"/>
        </w:rPr>
      </w:r>
      <w:r>
        <w:rPr>
          <w:spacing w:val="-1"/>
        </w:rPr>
        <w:t>断对被投资单位具有重大影响。（</w:t>
      </w:r>
      <w:r>
        <w:rPr>
          <w:rFonts w:ascii="Times New Roman" w:hAnsi="Times New Roman" w:cs="Times New Roman" w:eastAsia="Times New Roman" w:hint="default"/>
          <w:spacing w:val="-1"/>
        </w:rPr>
        <w:t>1</w:t>
      </w:r>
      <w:r>
        <w:rPr>
          <w:spacing w:val="-1"/>
        </w:rPr>
        <w:t>）在被投资单位的董事会或类似权力机构中派有代表；（</w:t>
      </w:r>
      <w:r>
        <w:rPr>
          <w:rFonts w:ascii="Times New Roman" w:hAnsi="Times New Roman" w:cs="Times New Roman" w:eastAsia="Times New Roman" w:hint="default"/>
          <w:spacing w:val="-1"/>
        </w:rPr>
        <w:t>2</w:t>
      </w:r>
      <w:r>
        <w:rPr>
          <w:spacing w:val="-1"/>
        </w:rPr>
        <w:t>）参与被投</w:t>
      </w:r>
      <w:r>
        <w:rPr>
          <w:spacing w:val="-84"/>
        </w:rPr>
        <w:t> </w:t>
      </w:r>
      <w:r>
        <w:rPr>
          <w:spacing w:val="-84"/>
        </w:rPr>
      </w:r>
      <w:r>
        <w:rPr>
          <w:spacing w:val="-1"/>
        </w:rPr>
        <w:t>资单位财务和经营政策制定过程；（</w:t>
      </w:r>
      <w:r>
        <w:rPr>
          <w:rFonts w:ascii="Times New Roman" w:hAnsi="Times New Roman" w:cs="Times New Roman" w:eastAsia="Times New Roman" w:hint="default"/>
          <w:spacing w:val="-1"/>
        </w:rPr>
        <w:t>3</w:t>
      </w:r>
      <w:r>
        <w:rPr>
          <w:spacing w:val="-1"/>
        </w:rPr>
        <w:t>）与被投资单位之间发生重要交易；（</w:t>
      </w:r>
      <w:r>
        <w:rPr>
          <w:rFonts w:ascii="Times New Roman" w:hAnsi="Times New Roman" w:cs="Times New Roman" w:eastAsia="Times New Roman" w:hint="default"/>
          <w:spacing w:val="-1"/>
        </w:rPr>
        <w:t>4</w:t>
      </w:r>
      <w:r>
        <w:rPr>
          <w:spacing w:val="-1"/>
        </w:rPr>
        <w:t>）向被投资单位派出管理人</w:t>
      </w:r>
      <w:r>
        <w:rPr>
          <w:spacing w:val="-86"/>
        </w:rPr>
        <w:t> </w:t>
      </w:r>
      <w:r>
        <w:rPr>
          <w:spacing w:val="-86"/>
        </w:rPr>
      </w:r>
      <w:r>
        <w:rPr/>
        <w:t>员；（</w:t>
      </w:r>
      <w:r>
        <w:rPr>
          <w:rFonts w:ascii="Times New Roman" w:hAnsi="Times New Roman" w:cs="Times New Roman" w:eastAsia="Times New Roman" w:hint="default"/>
        </w:rPr>
        <w:t>5</w:t>
      </w:r>
      <w:r>
        <w:rPr/>
        <w:t>）向被投资单位提供关键技术资料。</w:t>
      </w:r>
    </w:p>
    <w:p>
      <w:pPr>
        <w:spacing w:after="0" w:line="264" w:lineRule="auto"/>
        <w:jc w:val="both"/>
        <w:sectPr>
          <w:pgSz w:w="11910" w:h="16840"/>
          <w:pgMar w:header="747" w:footer="982" w:top="1060" w:bottom="1180" w:left="980" w:right="92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before="0"/>
        <w:ind w:left="153" w:right="7971"/>
        <w:jc w:val="left"/>
      </w:pPr>
      <w:r>
        <w:rPr/>
        <w:t>投资性房地产计量模式 不适用</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8"/>
        <w:rPr>
          <w:rFonts w:ascii="宋体" w:hAnsi="宋体" w:cs="宋体" w:eastAsia="宋体" w:hint="default"/>
          <w:b/>
          <w:bCs/>
          <w:sz w:val="26"/>
          <w:szCs w:val="26"/>
        </w:rPr>
      </w:pPr>
    </w:p>
    <w:p>
      <w:pPr>
        <w:pStyle w:val="BodyText"/>
        <w:spacing w:line="319" w:lineRule="auto" w:before="0"/>
        <w:ind w:right="0"/>
        <w:jc w:val="left"/>
      </w:pPr>
      <w:r>
        <w:rPr>
          <w:spacing w:val="-2"/>
        </w:rPr>
        <w:t>固定资产指为生产商品、提供劳务、出租或经营管理而持有，并且使用寿命超过一个会计年度的有形资产。固定资产在同时</w:t>
      </w:r>
      <w:r>
        <w:rPr>
          <w:spacing w:val="-66"/>
        </w:rPr>
        <w:t> </w:t>
      </w:r>
      <w:r>
        <w:rPr>
          <w:spacing w:val="-66"/>
        </w:rPr>
      </w:r>
      <w:r>
        <w:rPr>
          <w:spacing w:val="-4"/>
        </w:rPr>
        <w:t>满足下列条件时予以确认：（</w:t>
      </w:r>
      <w:r>
        <w:rPr>
          <w:rFonts w:ascii="Times New Roman" w:hAnsi="Times New Roman" w:cs="Times New Roman" w:eastAsia="Times New Roman" w:hint="default"/>
          <w:spacing w:val="-4"/>
        </w:rPr>
        <w:t>1</w:t>
      </w:r>
      <w:r>
        <w:rPr>
          <w:spacing w:val="-4"/>
        </w:rPr>
        <w:t>）与该固定资产有关的经济利益很可能流入企业；（</w:t>
      </w:r>
      <w:r>
        <w:rPr>
          <w:rFonts w:ascii="Times New Roman" w:hAnsi="Times New Roman" w:cs="Times New Roman" w:eastAsia="Times New Roman" w:hint="default"/>
          <w:spacing w:val="-4"/>
        </w:rPr>
        <w:t>2</w:t>
      </w:r>
      <w:r>
        <w:rPr>
          <w:spacing w:val="-4"/>
        </w:rPr>
        <w:t>）该固定资产的成本能够可靠地计量。</w:t>
      </w: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2.375%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机</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7"/>
        <w:rPr>
          <w:rFonts w:ascii="宋体" w:hAnsi="宋体" w:cs="宋体" w:eastAsia="宋体" w:hint="default"/>
          <w:b/>
          <w:bCs/>
          <w:sz w:val="24"/>
          <w:szCs w:val="24"/>
        </w:rPr>
      </w:pPr>
    </w:p>
    <w:p>
      <w:pPr>
        <w:pStyle w:val="Heading4"/>
        <w:spacing w:line="256" w:lineRule="auto" w:before="0"/>
        <w:ind w:left="574" w:right="0" w:hanging="421"/>
        <w:jc w:val="left"/>
      </w:pPr>
      <w:r>
        <w:rPr>
          <w:rFonts w:ascii="Times New Roman" w:hAnsi="Times New Roman" w:cs="Times New Roman" w:eastAsia="Times New Roman" w:hint="default"/>
          <w:b/>
          <w:bCs/>
        </w:rPr>
        <w:t>1</w:t>
      </w:r>
      <w:r>
        <w:rPr>
          <w:rFonts w:ascii="宋体" w:hAnsi="宋体" w:cs="宋体" w:eastAsia="宋体" w:hint="default"/>
          <w:b/>
          <w:bCs/>
        </w:rPr>
        <w:t>、在建工程的类别</w:t>
      </w:r>
      <w:r>
        <w:rPr>
          <w:rFonts w:ascii="宋体" w:hAnsi="宋体" w:cs="宋体" w:eastAsia="宋体" w:hint="default"/>
          <w:b/>
          <w:bCs/>
          <w:spacing w:val="1"/>
          <w:w w:val="99"/>
        </w:rPr>
        <w:t> </w:t>
      </w:r>
      <w:r>
        <w:rPr>
          <w:spacing w:val="-1"/>
        </w:rPr>
        <w:t>本公司自行建造的在建工程按实际成本计价，实际成本由建造该项资产达到预定可使用状态前所发生</w:t>
      </w:r>
    </w:p>
    <w:p>
      <w:pPr>
        <w:pStyle w:val="Heading4"/>
        <w:spacing w:line="240" w:lineRule="auto" w:before="22"/>
        <w:ind w:right="0"/>
        <w:jc w:val="left"/>
      </w:pPr>
      <w:r>
        <w:rPr/>
        <w:t>的必要支出构成。本公司的在建工程以项目分类核算。</w:t>
      </w:r>
    </w:p>
    <w:p>
      <w:pPr>
        <w:spacing w:line="256" w:lineRule="auto" w:before="37"/>
        <w:ind w:left="490" w:right="0" w:hanging="337"/>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、在建工程结转为固定资产的标准和时点</w:t>
      </w:r>
      <w:r>
        <w:rPr>
          <w:rFonts w:ascii="宋体" w:hAnsi="宋体" w:cs="宋体" w:eastAsia="宋体" w:hint="default"/>
          <w:b/>
          <w:bCs/>
          <w:spacing w:val="1"/>
          <w:w w:val="99"/>
          <w:sz w:val="21"/>
          <w:szCs w:val="21"/>
        </w:rPr>
        <w:t> </w:t>
      </w:r>
      <w:r>
        <w:rPr>
          <w:rFonts w:ascii="宋体" w:hAnsi="宋体" w:cs="宋体" w:eastAsia="宋体" w:hint="default"/>
          <w:sz w:val="21"/>
          <w:szCs w:val="21"/>
        </w:rPr>
        <w:t>在建工程项目按建造该项资产达到预定可使用状态前所发生的全部支出，作为固定资产的入账价值。</w:t>
      </w:r>
    </w:p>
    <w:p>
      <w:pPr>
        <w:pStyle w:val="Heading4"/>
        <w:spacing w:line="273" w:lineRule="auto" w:before="22"/>
        <w:ind w:right="149"/>
        <w:jc w:val="both"/>
      </w:pPr>
      <w:r>
        <w:rPr>
          <w:spacing w:val="-1"/>
        </w:rPr>
        <w:t>所建造的固定资产在建工程已达到预定可使用状态，但尚未办理竣工决算的，自达到预定可使用状态之日</w:t>
      </w:r>
      <w:r>
        <w:rPr>
          <w:spacing w:val="-81"/>
        </w:rPr>
        <w:t> </w:t>
      </w:r>
      <w:r>
        <w:rPr>
          <w:spacing w:val="-81"/>
        </w:rPr>
      </w:r>
      <w:r>
        <w:rPr>
          <w:spacing w:val="-1"/>
        </w:rPr>
        <w:t>起，根据工程预算、造价或者工程实际成本等，按估计的价值转入固定资产，并按本公司固定资产折旧政</w:t>
      </w:r>
      <w:r>
        <w:rPr>
          <w:spacing w:val="-82"/>
        </w:rPr>
        <w:t> </w:t>
      </w:r>
      <w:r>
        <w:rPr>
          <w:spacing w:val="-82"/>
        </w:rPr>
      </w:r>
      <w:r>
        <w:rPr>
          <w:spacing w:val="-1"/>
        </w:rPr>
        <w:t>策计提固定资产的折旧，待办理竣工决算后，再按实际成本调整原来的暂估价值，但不调整原已计提的折</w:t>
      </w:r>
      <w:r>
        <w:rPr>
          <w:spacing w:val="-83"/>
        </w:rPr>
        <w:t> </w:t>
      </w:r>
      <w:r>
        <w:rPr>
          <w:spacing w:val="-83"/>
        </w:rPr>
      </w:r>
      <w:r>
        <w:rPr/>
        <w:t>旧额。</w:t>
      </w:r>
    </w:p>
    <w:p>
      <w:pPr>
        <w:spacing w:line="240" w:lineRule="auto" w:before="8"/>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4"/>
          <w:szCs w:val="24"/>
        </w:rPr>
      </w:pPr>
    </w:p>
    <w:p>
      <w:pPr>
        <w:spacing w:line="256" w:lineRule="auto" w:before="0"/>
        <w:ind w:left="574"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、借款费用资本化的确认原则</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公司发生的借款费用，可直接归属于符合资本化条件的资产的购建或者生产的，在符合资本化条件的</w:t>
      </w:r>
    </w:p>
    <w:p>
      <w:pPr>
        <w:pStyle w:val="Heading4"/>
        <w:spacing w:line="273" w:lineRule="auto" w:before="22"/>
        <w:ind w:right="0"/>
        <w:jc w:val="left"/>
      </w:pPr>
      <w:r>
        <w:rPr>
          <w:spacing w:val="-1"/>
        </w:rPr>
        <w:t>情况下开始资本化，计入相关资产成本；其他借款费用，在发生时根据其发生额确认为费用，计入当期损</w:t>
      </w:r>
      <w:r>
        <w:rPr>
          <w:spacing w:val="-82"/>
        </w:rPr>
        <w:t> </w:t>
      </w:r>
      <w:r>
        <w:rPr>
          <w:spacing w:val="-82"/>
        </w:rPr>
      </w:r>
      <w:r>
        <w:rPr/>
        <w:t>益。</w:t>
      </w:r>
    </w:p>
    <w:p>
      <w:pPr>
        <w:pStyle w:val="Heading4"/>
        <w:spacing w:line="273" w:lineRule="auto"/>
        <w:ind w:right="0" w:firstLine="420"/>
        <w:jc w:val="left"/>
      </w:pPr>
      <w:r>
        <w:rPr>
          <w:spacing w:val="-1"/>
        </w:rPr>
        <w:t>符合资本化条件的资产，是指需要经过相当长时间的购建或者生产活动才能达到预定可使用或者可销</w:t>
      </w:r>
      <w:r>
        <w:rPr/>
        <w:t> 售状态的固定资产、投资性房地产和存货等资产。</w:t>
      </w:r>
    </w:p>
    <w:p>
      <w:pPr>
        <w:spacing w:after="0" w:line="273"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4"/>
        <w:spacing w:line="240" w:lineRule="auto" w:before="35"/>
        <w:ind w:left="574" w:right="0"/>
        <w:jc w:val="left"/>
      </w:pPr>
      <w:r>
        <w:rPr/>
        <w:t>借款费用同时满足下列条件时开始资本化：</w:t>
      </w:r>
    </w:p>
    <w:p>
      <w:pPr>
        <w:pStyle w:val="Heading4"/>
        <w:spacing w:line="256" w:lineRule="auto" w:before="37"/>
        <w:ind w:left="153" w:right="0" w:firstLine="420"/>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w:t>
      </w:r>
      <w:r>
        <w:rPr>
          <w:spacing w:val="2"/>
        </w:rPr>
        <w:t> </w:t>
      </w:r>
      <w:r>
        <w:rPr/>
        <w:t>非现金资产或者承担带息债务形式发生的支出；</w:t>
      </w:r>
    </w:p>
    <w:p>
      <w:pPr>
        <w:pStyle w:val="Heading4"/>
        <w:spacing w:line="240" w:lineRule="auto" w:before="22"/>
        <w:ind w:left="573" w:right="0"/>
        <w:jc w:val="left"/>
      </w:pPr>
      <w:r>
        <w:rPr/>
        <w:t>（</w:t>
      </w:r>
      <w:r>
        <w:rPr>
          <w:rFonts w:ascii="Times New Roman" w:hAnsi="Times New Roman" w:cs="Times New Roman" w:eastAsia="Times New Roman" w:hint="default"/>
        </w:rPr>
        <w:t>2</w:t>
      </w:r>
      <w:r>
        <w:rPr/>
        <w:t>）借款费用已经发生；</w:t>
      </w:r>
    </w:p>
    <w:p>
      <w:pPr>
        <w:pStyle w:val="Heading4"/>
        <w:spacing w:line="240" w:lineRule="auto" w:before="21"/>
        <w:ind w:left="574" w:right="0"/>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spacing w:line="256" w:lineRule="auto" w:before="21"/>
        <w:ind w:left="574" w:right="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、借款费用资本化期间</w:t>
      </w:r>
      <w:r>
        <w:rPr>
          <w:rFonts w:ascii="宋体" w:hAnsi="宋体" w:cs="宋体" w:eastAsia="宋体" w:hint="default"/>
          <w:b/>
          <w:bCs/>
          <w:w w:val="99"/>
          <w:sz w:val="21"/>
          <w:szCs w:val="21"/>
        </w:rPr>
        <w:t> </w:t>
      </w:r>
      <w:r>
        <w:rPr>
          <w:rFonts w:ascii="宋体" w:hAnsi="宋体" w:cs="宋体" w:eastAsia="宋体" w:hint="default"/>
          <w:spacing w:val="-1"/>
          <w:sz w:val="21"/>
          <w:szCs w:val="21"/>
        </w:rPr>
        <w:t>资本化期间，指从借款费用开始资本化时点到停止资本化时点的期间，借款费用暂停资本化的期间不</w:t>
      </w:r>
    </w:p>
    <w:p>
      <w:pPr>
        <w:pStyle w:val="Heading4"/>
        <w:spacing w:line="240" w:lineRule="auto" w:before="22"/>
        <w:ind w:right="0"/>
        <w:jc w:val="left"/>
      </w:pPr>
      <w:r>
        <w:rPr/>
        <w:t>包括在内。</w:t>
      </w:r>
    </w:p>
    <w:p>
      <w:pPr>
        <w:pStyle w:val="Heading4"/>
        <w:spacing w:line="273" w:lineRule="auto" w:before="37"/>
        <w:ind w:left="574" w:right="0"/>
        <w:jc w:val="left"/>
      </w:pPr>
      <w:r>
        <w:rPr/>
        <w:t>当购建或者生产符合资本化条件的资产达到预定可使用或者可销售状态时，借款费用停止资本化。 </w:t>
      </w:r>
      <w:r>
        <w:rPr>
          <w:spacing w:val="-1"/>
        </w:rPr>
        <w:t>当购建或者生产符合资本化条件的资产中部分项目分别完工且可单独使用时，该部分资产借款费用停</w:t>
      </w:r>
    </w:p>
    <w:p>
      <w:pPr>
        <w:pStyle w:val="Heading4"/>
        <w:spacing w:line="240" w:lineRule="auto"/>
        <w:ind w:right="0"/>
        <w:jc w:val="left"/>
      </w:pPr>
      <w:r>
        <w:rPr/>
        <w:t>止资本化。</w:t>
      </w:r>
    </w:p>
    <w:p>
      <w:pPr>
        <w:pStyle w:val="Heading4"/>
        <w:spacing w:line="273" w:lineRule="auto" w:before="37"/>
        <w:ind w:right="0" w:firstLine="420"/>
        <w:jc w:val="left"/>
      </w:pPr>
      <w:r>
        <w:rPr>
          <w:spacing w:val="-1"/>
        </w:rPr>
        <w:t>购建或者生产的资产的各部分分别完工，但必须等到整体完工后才可使用或可对外销售的，在该资产</w:t>
      </w:r>
      <w:r>
        <w:rPr/>
        <w:t> 整体完工时停止借款费用资本化。</w:t>
      </w:r>
    </w:p>
    <w:p>
      <w:pPr>
        <w:pStyle w:val="Heading4"/>
        <w:spacing w:line="256" w:lineRule="auto"/>
        <w:ind w:left="574" w:right="0" w:hanging="421"/>
        <w:jc w:val="left"/>
      </w:pPr>
      <w:r>
        <w:rPr>
          <w:rFonts w:ascii="Times New Roman" w:hAnsi="Times New Roman" w:cs="Times New Roman" w:eastAsia="Times New Roman" w:hint="default"/>
          <w:b/>
          <w:bCs/>
        </w:rPr>
        <w:t>3</w:t>
      </w:r>
      <w:r>
        <w:rPr>
          <w:rFonts w:ascii="宋体" w:hAnsi="宋体" w:cs="宋体" w:eastAsia="宋体" w:hint="default"/>
          <w:b/>
          <w:bCs/>
        </w:rPr>
        <w:t>、暂停资本化期间</w:t>
      </w:r>
      <w:r>
        <w:rPr>
          <w:rFonts w:ascii="宋体" w:hAnsi="宋体" w:cs="宋体" w:eastAsia="宋体" w:hint="default"/>
          <w:b/>
          <w:bCs/>
          <w:spacing w:val="1"/>
          <w:w w:val="99"/>
        </w:rPr>
        <w:t> </w:t>
      </w:r>
      <w:r>
        <w:rPr/>
        <w:t>符合资本化条件的资产在购建或生产过程中发生的非正常中断、且中断时间连续超过</w:t>
      </w:r>
      <w:r>
        <w:rPr>
          <w:rFonts w:ascii="Times New Roman" w:hAnsi="Times New Roman" w:cs="Times New Roman" w:eastAsia="Times New Roman" w:hint="default"/>
        </w:rPr>
        <w:t>3</w:t>
      </w:r>
      <w:r>
        <w:rPr/>
        <w:t>个月的，则借</w:t>
      </w:r>
    </w:p>
    <w:p>
      <w:pPr>
        <w:pStyle w:val="Heading4"/>
        <w:spacing w:line="273" w:lineRule="auto" w:before="5"/>
        <w:ind w:right="149"/>
        <w:jc w:val="both"/>
      </w:pPr>
      <w:r>
        <w:rPr>
          <w:spacing w:val="-1"/>
        </w:rPr>
        <w:t>款费用暂停资本化；该项中断如是所购建或生产的符合资本化条件的资产达到预定可使用状态或者可销售</w:t>
      </w:r>
      <w:r>
        <w:rPr>
          <w:spacing w:val="-81"/>
        </w:rPr>
        <w:t> </w:t>
      </w:r>
      <w:r>
        <w:rPr>
          <w:spacing w:val="-81"/>
        </w:rPr>
      </w:r>
      <w:r>
        <w:rPr>
          <w:spacing w:val="-1"/>
        </w:rPr>
        <w:t>状态必要的程序，则借款费用继续资本化。在中断期间发生的借款费用确认为当期损益，直至资产的购建</w:t>
      </w:r>
      <w:r>
        <w:rPr>
          <w:spacing w:val="-83"/>
        </w:rPr>
        <w:t> </w:t>
      </w:r>
      <w:r>
        <w:rPr>
          <w:spacing w:val="-83"/>
        </w:rPr>
      </w:r>
      <w:r>
        <w:rPr/>
        <w:t>或者生产活动重新开始后借款费用继续资本化。</w:t>
      </w:r>
    </w:p>
    <w:p>
      <w:pPr>
        <w:spacing w:line="256" w:lineRule="auto" w:before="7"/>
        <w:ind w:left="574"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、借款费用资本化金额的计算方法</w:t>
      </w:r>
      <w:r>
        <w:rPr>
          <w:rFonts w:ascii="宋体" w:hAnsi="宋体" w:cs="宋体" w:eastAsia="宋体" w:hint="default"/>
          <w:b/>
          <w:bCs/>
          <w:w w:val="99"/>
          <w:sz w:val="21"/>
          <w:szCs w:val="21"/>
        </w:rPr>
        <w:t> </w:t>
      </w:r>
      <w:r>
        <w:rPr>
          <w:rFonts w:ascii="宋体" w:hAnsi="宋体" w:cs="宋体" w:eastAsia="宋体" w:hint="default"/>
          <w:spacing w:val="-1"/>
          <w:sz w:val="21"/>
          <w:szCs w:val="21"/>
        </w:rPr>
        <w:t>专门借款的利息费用（扣除尚未动用的借款资金存入银行取得的利息收入或者进行暂时性投资取得的</w:t>
      </w:r>
    </w:p>
    <w:p>
      <w:pPr>
        <w:pStyle w:val="Heading4"/>
        <w:spacing w:line="273" w:lineRule="auto" w:before="22"/>
        <w:ind w:right="110"/>
        <w:jc w:val="left"/>
      </w:pPr>
      <w:r>
        <w:rPr/>
        <w:t>投资收益）及其辅助费用在所购建或者生产的符合资本化条件的资产达到预定可使用或者可销售状态前， 予以资本化。</w:t>
      </w:r>
    </w:p>
    <w:p>
      <w:pPr>
        <w:pStyle w:val="Heading4"/>
        <w:spacing w:line="273" w:lineRule="auto"/>
        <w:ind w:right="0" w:firstLine="420"/>
        <w:jc w:val="left"/>
      </w:pPr>
      <w:r>
        <w:rPr>
          <w:spacing w:val="-1"/>
        </w:rPr>
        <w:t>根据累计资产支出超过专门借款部分的资产支出加权平均数乘以所占用一般借款的资本化率，计算确</w:t>
      </w:r>
      <w:r>
        <w:rPr/>
        <w:t> 定一般借款应予资本化的利息金额。资本化率根据一般借款加权平均利率计算确定。</w:t>
      </w:r>
    </w:p>
    <w:p>
      <w:pPr>
        <w:pStyle w:val="Heading4"/>
        <w:spacing w:line="273" w:lineRule="auto"/>
        <w:ind w:right="0" w:firstLine="336"/>
        <w:jc w:val="left"/>
      </w:pPr>
      <w:r>
        <w:rPr/>
        <w:t>借款存在折价或者溢价的，按照实际利率法确定每一会计期间应摊销的折价或者溢价金额，调整每期</w:t>
      </w:r>
      <w:r>
        <w:rPr>
          <w:spacing w:val="1"/>
        </w:rPr>
        <w:t> </w:t>
      </w:r>
      <w:r>
        <w:rPr/>
        <w:t>利息金额。</w:t>
      </w:r>
    </w:p>
    <w:p>
      <w:pPr>
        <w:spacing w:line="240" w:lineRule="auto" w:before="8"/>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19</w:t>
      </w:r>
      <w:r>
        <w:rPr/>
        <w:t>、生物资产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20</w:t>
      </w:r>
      <w:r>
        <w:rPr/>
        <w:t>、油气资产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21</w:t>
      </w:r>
      <w:r>
        <w:rPr/>
        <w:t>、无形资产</w:t>
      </w:r>
      <w:r>
        <w:rPr>
          <w:b w:val="0"/>
          <w:bCs w:val="0"/>
        </w:rPr>
      </w:r>
    </w:p>
    <w:p>
      <w:pPr>
        <w:spacing w:line="590" w:lineRule="atLeast" w:before="23"/>
        <w:ind w:left="574"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b/>
          <w:bCs/>
          <w:w w:val="99"/>
          <w:sz w:val="21"/>
          <w:szCs w:val="21"/>
        </w:rPr>
        <w:t> </w:t>
      </w:r>
      <w:r>
        <w:rPr>
          <w:rFonts w:ascii="宋体" w:hAnsi="宋体" w:cs="宋体" w:eastAsia="宋体" w:hint="default"/>
          <w:spacing w:val="3"/>
          <w:sz w:val="21"/>
          <w:szCs w:val="21"/>
        </w:rPr>
        <w:t>无形资产是指本公司拥有或者控制的没有实物形态的可辨认非货币性资产，包括土地使用权和软件</w:t>
      </w:r>
    </w:p>
    <w:p>
      <w:pPr>
        <w:pStyle w:val="Heading4"/>
        <w:spacing w:line="240" w:lineRule="auto" w:before="37"/>
        <w:ind w:right="0"/>
        <w:jc w:val="left"/>
      </w:pPr>
      <w:r>
        <w:rPr/>
        <w:t>等。</w:t>
      </w:r>
    </w:p>
    <w:p>
      <w:pPr>
        <w:spacing w:line="256" w:lineRule="auto" w:before="37"/>
        <w:ind w:left="574" w:right="0" w:hanging="6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、无形资产的初始计量</w:t>
      </w:r>
      <w:r>
        <w:rPr>
          <w:rFonts w:ascii="宋体" w:hAnsi="宋体" w:cs="宋体" w:eastAsia="宋体" w:hint="default"/>
          <w:b/>
          <w:bCs/>
          <w:w w:val="99"/>
          <w:sz w:val="21"/>
          <w:szCs w:val="21"/>
        </w:rPr>
        <w:t> </w:t>
      </w:r>
      <w:r>
        <w:rPr>
          <w:rFonts w:ascii="宋体" w:hAnsi="宋体" w:cs="宋体" w:eastAsia="宋体" w:hint="default"/>
          <w:spacing w:val="-1"/>
          <w:sz w:val="21"/>
          <w:szCs w:val="21"/>
        </w:rPr>
        <w:t>外购无形资产的成本，包括购买价款、相关税费以及直接归属于使该项资产达到预定用途所发生的其</w:t>
      </w:r>
    </w:p>
    <w:p>
      <w:pPr>
        <w:pStyle w:val="Heading4"/>
        <w:spacing w:line="273" w:lineRule="auto" w:before="22"/>
        <w:ind w:right="0"/>
        <w:jc w:val="left"/>
      </w:pPr>
      <w:r>
        <w:rPr>
          <w:spacing w:val="-1"/>
        </w:rPr>
        <w:t>他支出。购买无形资产的价款超过正常信用条件延期支付，实质上具有融资性质的，无形资产的成本以购</w:t>
      </w:r>
      <w:r>
        <w:rPr>
          <w:spacing w:val="-83"/>
        </w:rPr>
        <w:t> </w:t>
      </w:r>
      <w:r>
        <w:rPr>
          <w:spacing w:val="-83"/>
        </w:rPr>
      </w:r>
      <w:r>
        <w:rPr/>
        <w:t>买价款的现值为基础确定。</w:t>
      </w:r>
    </w:p>
    <w:p>
      <w:pPr>
        <w:pStyle w:val="Heading4"/>
        <w:spacing w:line="273" w:lineRule="auto"/>
        <w:ind w:right="0" w:firstLine="420"/>
        <w:jc w:val="left"/>
      </w:pPr>
      <w:r>
        <w:rPr>
          <w:spacing w:val="-1"/>
        </w:rPr>
        <w:t>债务重组取得债务人用以抵债的无形资产，以该无形资产的公允价值为基础确定其入账价值，并将重</w:t>
      </w:r>
      <w:r>
        <w:rPr/>
        <w:t> 组债务的账面价值与该用以抵债的无形资产公允价值之间的差额，计入当期损益。</w:t>
      </w:r>
    </w:p>
    <w:p>
      <w:pPr>
        <w:pStyle w:val="Heading4"/>
        <w:spacing w:line="240" w:lineRule="auto"/>
        <w:ind w:left="574" w:right="0"/>
        <w:jc w:val="left"/>
      </w:pPr>
      <w:r>
        <w:rPr/>
        <w:t>在非货币性资产交换具备商业实质且换入资产或换出资产的公允价值能够可靠计量的前提下，非货币</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4"/>
        <w:spacing w:line="273" w:lineRule="auto" w:before="35"/>
        <w:ind w:right="151"/>
        <w:jc w:val="both"/>
      </w:pPr>
      <w:r>
        <w:rPr>
          <w:spacing w:val="-1"/>
        </w:rPr>
        <w:t>性资产交换换入的无形资产以换出资产的公允价值为基础确定其入账价值，除非有确凿证据表明换入资产</w:t>
      </w:r>
      <w:r>
        <w:rPr>
          <w:spacing w:val="-81"/>
        </w:rPr>
        <w:t> </w:t>
      </w:r>
      <w:r>
        <w:rPr>
          <w:spacing w:val="-81"/>
        </w:rPr>
      </w:r>
      <w:r>
        <w:rPr>
          <w:spacing w:val="-1"/>
        </w:rPr>
        <w:t>的公允价值更加可靠；不满足上述前提的非货币性资产交换，以换出资产的账面价值和应支付的相关税费</w:t>
      </w:r>
      <w:r>
        <w:rPr>
          <w:spacing w:val="-81"/>
        </w:rPr>
        <w:t> </w:t>
      </w:r>
      <w:r>
        <w:rPr>
          <w:spacing w:val="-81"/>
        </w:rPr>
      </w:r>
      <w:r>
        <w:rPr/>
        <w:t>作为换入无形资产的成本，不确认损益。</w:t>
      </w:r>
    </w:p>
    <w:p>
      <w:pPr>
        <w:pStyle w:val="Heading4"/>
        <w:spacing w:line="273" w:lineRule="auto"/>
        <w:ind w:left="153" w:right="150" w:firstLine="420"/>
        <w:jc w:val="both"/>
      </w:pPr>
      <w:r>
        <w:rPr>
          <w:spacing w:val="-1"/>
        </w:rPr>
        <w:t>以同一控制下的企业吸收合并方式取得的无形资产按被合并方的账面价值确定其入账价值；以非同一</w:t>
      </w:r>
      <w:r>
        <w:rPr/>
        <w:t> 控制下的企业吸收合并方式取得的无形资产按公允价值确定其入账价值。</w:t>
      </w:r>
    </w:p>
    <w:p>
      <w:pPr>
        <w:pStyle w:val="Heading4"/>
        <w:spacing w:line="273" w:lineRule="auto"/>
        <w:ind w:left="153" w:right="150" w:firstLine="420"/>
        <w:jc w:val="both"/>
      </w:pPr>
      <w:r>
        <w:rPr>
          <w:spacing w:val="-1"/>
        </w:rPr>
        <w:t>内部自行开发的无形资产，其成本包括：开发该无形资产时耗用的材料、劳务成本、注册费、在开发</w:t>
      </w:r>
      <w:r>
        <w:rPr/>
        <w:t> </w:t>
      </w:r>
      <w:r>
        <w:rPr>
          <w:spacing w:val="-1"/>
        </w:rPr>
        <w:t>过程中使用的其他专利权和特许权的摊销以及满足资本化条件的利息费用，以及为使该无形资产达到预定</w:t>
      </w:r>
      <w:r>
        <w:rPr>
          <w:spacing w:val="-81"/>
        </w:rPr>
        <w:t> </w:t>
      </w:r>
      <w:r>
        <w:rPr>
          <w:spacing w:val="-81"/>
        </w:rPr>
      </w:r>
      <w:r>
        <w:rPr/>
        <w:t>用途前所发生的其他直接费用。</w:t>
      </w:r>
    </w:p>
    <w:p>
      <w:pPr>
        <w:spacing w:line="256" w:lineRule="auto" w:before="7"/>
        <w:ind w:left="573" w:right="111" w:firstLine="2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、无形资产的后续计量</w:t>
      </w:r>
      <w:r>
        <w:rPr>
          <w:rFonts w:ascii="宋体" w:hAnsi="宋体" w:cs="宋体" w:eastAsia="宋体" w:hint="default"/>
          <w:b/>
          <w:bCs/>
          <w:w w:val="99"/>
          <w:sz w:val="21"/>
          <w:szCs w:val="21"/>
        </w:rPr>
        <w:t> </w:t>
      </w:r>
      <w:r>
        <w:rPr>
          <w:rFonts w:ascii="宋体" w:hAnsi="宋体" w:cs="宋体" w:eastAsia="宋体" w:hint="default"/>
          <w:sz w:val="21"/>
          <w:szCs w:val="21"/>
        </w:rPr>
        <w:t>本公司在取得无形资产时分析判断其使用寿命，划分为使用寿命有限和使用寿命不确定的无形资产。</w:t>
      </w:r>
    </w:p>
    <w:p>
      <w:pPr>
        <w:pStyle w:val="Heading4"/>
        <w:spacing w:line="256" w:lineRule="auto" w:before="22"/>
        <w:ind w:left="573" w:right="0" w:hanging="84"/>
        <w:jc w:val="left"/>
      </w:pPr>
      <w:r>
        <w:rPr/>
        <w:t>（</w:t>
      </w:r>
      <w:r>
        <w:rPr>
          <w:rFonts w:ascii="Times New Roman" w:hAnsi="Times New Roman" w:cs="Times New Roman" w:eastAsia="Times New Roman" w:hint="default"/>
        </w:rPr>
        <w:t>1</w:t>
      </w:r>
      <w:r>
        <w:rPr/>
        <w:t>）使用寿命有限的无形资产 </w:t>
      </w:r>
      <w:r>
        <w:rPr>
          <w:spacing w:val="-1"/>
        </w:rPr>
        <w:t>对于使用寿命有限的无形资产，在为企业带来经济利益的期限内按直线法摊销。使用寿命有限的无形</w:t>
      </w:r>
    </w:p>
    <w:p>
      <w:pPr>
        <w:pStyle w:val="Heading4"/>
        <w:spacing w:line="240" w:lineRule="auto" w:before="22"/>
        <w:ind w:left="153" w:right="0"/>
        <w:jc w:val="both"/>
      </w:pPr>
      <w:r>
        <w:rPr/>
        <w:t>资产预计寿命及依据如下：</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2308"/>
        <w:gridCol w:w="3092"/>
        <w:gridCol w:w="3325"/>
      </w:tblGrid>
      <w:tr>
        <w:trPr>
          <w:trHeight w:val="355" w:hRule="exact"/>
        </w:trPr>
        <w:tc>
          <w:tcPr>
            <w:tcW w:w="23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332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508" w:hRule="exact"/>
        </w:trPr>
        <w:tc>
          <w:tcPr>
            <w:tcW w:w="23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30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332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按合同规定的使用年限</w:t>
            </w:r>
          </w:p>
        </w:tc>
      </w:tr>
      <w:tr>
        <w:trPr>
          <w:trHeight w:val="509" w:hRule="exact"/>
        </w:trPr>
        <w:tc>
          <w:tcPr>
            <w:tcW w:w="23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30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332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根据预计可使用年限</w:t>
            </w:r>
          </w:p>
        </w:tc>
      </w:tr>
    </w:tbl>
    <w:p>
      <w:pPr>
        <w:spacing w:line="240" w:lineRule="auto" w:before="4"/>
        <w:rPr>
          <w:rFonts w:ascii="宋体" w:hAnsi="宋体" w:cs="宋体" w:eastAsia="宋体" w:hint="default"/>
          <w:sz w:val="5"/>
          <w:szCs w:val="5"/>
        </w:rPr>
      </w:pPr>
    </w:p>
    <w:p>
      <w:pPr>
        <w:pStyle w:val="Heading4"/>
        <w:spacing w:line="273" w:lineRule="auto" w:before="35"/>
        <w:ind w:right="110" w:firstLine="420"/>
        <w:jc w:val="left"/>
      </w:pPr>
      <w:r>
        <w:rPr/>
        <w:t>每期末，对使用寿命有限的无形资产的使用寿命及摊销方法进行复核，如与原先估计数存在差异的， 进行相应的调整。</w:t>
      </w:r>
    </w:p>
    <w:p>
      <w:pPr>
        <w:pStyle w:val="Heading4"/>
        <w:spacing w:line="240" w:lineRule="auto"/>
        <w:ind w:left="573" w:right="0"/>
        <w:jc w:val="left"/>
      </w:pPr>
      <w:r>
        <w:rPr/>
        <w:t>经复核，本期期末无形资产的使用寿命及摊销方法与以前估计未有不同。</w:t>
      </w:r>
    </w:p>
    <w:p>
      <w:pPr>
        <w:pStyle w:val="Heading4"/>
        <w:spacing w:line="266" w:lineRule="auto" w:before="37"/>
        <w:ind w:left="573" w:right="1791" w:hanging="84"/>
        <w:jc w:val="left"/>
      </w:pPr>
      <w:r>
        <w:rPr/>
        <w:t>（</w:t>
      </w:r>
      <w:r>
        <w:rPr>
          <w:rFonts w:ascii="Times New Roman" w:hAnsi="Times New Roman" w:cs="Times New Roman" w:eastAsia="Times New Roman" w:hint="default"/>
        </w:rPr>
        <w:t>2</w:t>
      </w:r>
      <w:r>
        <w:rPr/>
        <w:t>）使用寿命不确定的无形资产 无法预见无形资产为企业带来经济利益期限的，视为使用寿命不确定的无形资产。 每期末，对使用寿命不确定的无形资产的使用寿命进行复核。 经复核，本公司无使用寿命不确定的无形资产。</w:t>
      </w:r>
    </w:p>
    <w:p>
      <w:pPr>
        <w:spacing w:line="240" w:lineRule="auto" w:before="1"/>
        <w:rPr>
          <w:rFonts w:ascii="宋体" w:hAnsi="宋体" w:cs="宋体" w:eastAsia="宋体" w:hint="default"/>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4"/>
          <w:szCs w:val="24"/>
        </w:rPr>
      </w:pPr>
    </w:p>
    <w:p>
      <w:pPr>
        <w:spacing w:line="264" w:lineRule="auto" w:before="0"/>
        <w:ind w:left="573" w:right="0" w:hanging="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、划分公司内部研究开发项目的研究阶段和开发阶段具体标准</w:t>
      </w:r>
      <w:r>
        <w:rPr>
          <w:rFonts w:ascii="宋体" w:hAnsi="宋体" w:cs="宋体" w:eastAsia="宋体" w:hint="default"/>
          <w:b/>
          <w:bCs/>
          <w:w w:val="99"/>
          <w:sz w:val="21"/>
          <w:szCs w:val="21"/>
        </w:rPr>
        <w:t> </w:t>
      </w:r>
      <w:r>
        <w:rPr>
          <w:rFonts w:ascii="宋体" w:hAnsi="宋体" w:cs="宋体" w:eastAsia="宋体" w:hint="default"/>
          <w:sz w:val="21"/>
          <w:szCs w:val="21"/>
        </w:rPr>
        <w:t>研究阶段：为获取并理解新的科学或技术知识等而进行的独创性的有计划调查、研究活动的阶段。 </w:t>
      </w:r>
      <w:r>
        <w:rPr>
          <w:rFonts w:ascii="宋体" w:hAnsi="宋体" w:cs="宋体" w:eastAsia="宋体" w:hint="default"/>
          <w:spacing w:val="-1"/>
          <w:sz w:val="21"/>
          <w:szCs w:val="21"/>
        </w:rPr>
        <w:t>开发阶段：在进行商业性生产或使用前，将研究成果或其他知识应用于某项计划或设计，以生产出新</w:t>
      </w:r>
    </w:p>
    <w:p>
      <w:pPr>
        <w:pStyle w:val="Heading4"/>
        <w:spacing w:line="266" w:lineRule="auto" w:before="16"/>
        <w:ind w:left="571" w:right="2423" w:hanging="418"/>
        <w:jc w:val="left"/>
      </w:pPr>
      <w:r>
        <w:rPr/>
        <w:t>的或具有实质性改进的材料、装置、产品等活动的阶段。 内部研究开发项目研究阶段的支出，在发生时计入当期损益。 </w:t>
      </w:r>
      <w:r>
        <w:rPr>
          <w:rFonts w:ascii="Times New Roman" w:hAnsi="Times New Roman" w:cs="Times New Roman" w:eastAsia="Times New Roman" w:hint="default"/>
          <w:b/>
          <w:bCs/>
        </w:rPr>
        <w:t>2</w:t>
      </w:r>
      <w:r>
        <w:rPr>
          <w:rFonts w:ascii="宋体" w:hAnsi="宋体" w:cs="宋体" w:eastAsia="宋体" w:hint="default"/>
          <w:b/>
          <w:bCs/>
        </w:rPr>
        <w:t>、开发阶段支出符合资本化的具体标准</w:t>
      </w:r>
      <w:r>
        <w:rPr>
          <w:rFonts w:ascii="宋体" w:hAnsi="宋体" w:cs="宋体" w:eastAsia="宋体" w:hint="default"/>
          <w:b/>
          <w:bCs/>
          <w:w w:val="99"/>
        </w:rPr>
        <w:t> </w:t>
      </w:r>
      <w:r>
        <w:rPr/>
        <w:t>内部研究开发项目开发阶段的支出，同时满足下列条件时确认为无形资产：</w:t>
      </w:r>
    </w:p>
    <w:p>
      <w:pPr>
        <w:pStyle w:val="Heading4"/>
        <w:spacing w:line="240" w:lineRule="auto" w:before="14"/>
        <w:ind w:left="573" w:right="0"/>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Heading4"/>
        <w:spacing w:line="240" w:lineRule="auto" w:before="21"/>
        <w:ind w:left="574" w:right="0"/>
        <w:jc w:val="left"/>
      </w:pPr>
      <w:r>
        <w:rPr/>
        <w:t>（</w:t>
      </w:r>
      <w:r>
        <w:rPr>
          <w:rFonts w:ascii="Times New Roman" w:hAnsi="Times New Roman" w:cs="Times New Roman" w:eastAsia="Times New Roman" w:hint="default"/>
        </w:rPr>
        <w:t>2</w:t>
      </w:r>
      <w:r>
        <w:rPr/>
        <w:t>）具有完成该无形资产并使用或出售的意图；</w:t>
      </w:r>
    </w:p>
    <w:p>
      <w:pPr>
        <w:pStyle w:val="Heading4"/>
        <w:spacing w:line="256" w:lineRule="auto" w:before="21"/>
        <w:ind w:right="0" w:firstLine="420"/>
        <w:jc w:val="left"/>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w:t>
      </w:r>
      <w:r>
        <w:rPr>
          <w:spacing w:val="2"/>
        </w:rPr>
        <w:t> </w:t>
      </w:r>
      <w:r>
        <w:rPr/>
        <w:t>自身存在市场，无形资产将在内部使用的，能够证明其有用性；</w:t>
      </w:r>
    </w:p>
    <w:p>
      <w:pPr>
        <w:pStyle w:val="Heading4"/>
        <w:spacing w:line="256" w:lineRule="auto" w:before="22"/>
        <w:ind w:right="0" w:firstLine="420"/>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w:t>
      </w:r>
      <w:r>
        <w:rPr>
          <w:spacing w:val="2"/>
        </w:rPr>
        <w:t> </w:t>
      </w:r>
      <w:r>
        <w:rPr/>
        <w:t>无形资产；</w:t>
      </w:r>
    </w:p>
    <w:p>
      <w:pPr>
        <w:pStyle w:val="Heading4"/>
        <w:spacing w:line="256" w:lineRule="auto" w:before="22"/>
        <w:ind w:left="490" w:right="0" w:firstLine="83"/>
        <w:jc w:val="left"/>
      </w:pPr>
      <w:r>
        <w:rPr/>
        <w:t>（</w:t>
      </w:r>
      <w:r>
        <w:rPr>
          <w:rFonts w:ascii="Times New Roman" w:hAnsi="Times New Roman" w:cs="Times New Roman" w:eastAsia="Times New Roman" w:hint="default"/>
        </w:rPr>
        <w:t>5</w:t>
      </w:r>
      <w:r>
        <w:rPr/>
        <w:t>）归属于该无形资产开发阶段的支出能够可靠地计量。 不满足上述条件的开发阶段的支出，于发生时计入当期损益。以前期间已计入损益的开发支出不在以</w:t>
      </w:r>
    </w:p>
    <w:p>
      <w:pPr>
        <w:pStyle w:val="Heading4"/>
        <w:spacing w:line="273" w:lineRule="auto" w:before="22"/>
        <w:ind w:right="0"/>
        <w:jc w:val="left"/>
      </w:pPr>
      <w:r>
        <w:rPr>
          <w:spacing w:val="-1"/>
        </w:rPr>
        <w:t>后期间重新确认为资产。已资本化的开发阶段的支出在资产负债表上列示为开发支出，自该项目达到预定</w:t>
      </w:r>
      <w:r>
        <w:rPr>
          <w:spacing w:val="-81"/>
        </w:rPr>
        <w:t> </w:t>
      </w:r>
      <w:r>
        <w:rPr>
          <w:spacing w:val="-81"/>
        </w:rPr>
      </w:r>
      <w:r>
        <w:rPr/>
        <w:t>用途之日起转为无形资产。</w:t>
      </w:r>
    </w:p>
    <w:p>
      <w:pPr>
        <w:spacing w:after="0" w:line="273"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24"/>
          <w:szCs w:val="24"/>
        </w:rPr>
      </w:pPr>
    </w:p>
    <w:p>
      <w:pPr>
        <w:pStyle w:val="Heading4"/>
        <w:spacing w:line="273" w:lineRule="auto" w:before="0"/>
        <w:ind w:left="153" w:right="151" w:firstLine="420"/>
        <w:jc w:val="both"/>
      </w:pPr>
      <w:r>
        <w:rPr>
          <w:spacing w:val="-1"/>
        </w:rPr>
        <w:t>公司在资产负债表日判断长期资产是否存在可能发生减值的迹象。如果长期资产存在减值迹象的，以</w:t>
      </w:r>
      <w:r>
        <w:rPr/>
        <w:t> </w:t>
      </w:r>
      <w:r>
        <w:rPr>
          <w:spacing w:val="-1"/>
        </w:rPr>
        <w:t>单项资产为基础估计其可收回金额；难以对单项资产的可收回金额进行估计的，以该资产所属的资产组为</w:t>
      </w:r>
      <w:r>
        <w:rPr>
          <w:spacing w:val="-81"/>
        </w:rPr>
        <w:t> </w:t>
      </w:r>
      <w:r>
        <w:rPr>
          <w:spacing w:val="-81"/>
        </w:rPr>
      </w:r>
      <w:r>
        <w:rPr/>
        <w:t>基础确定资产组的可收回金额。</w:t>
      </w:r>
    </w:p>
    <w:p>
      <w:pPr>
        <w:pStyle w:val="Heading4"/>
        <w:spacing w:line="273" w:lineRule="auto"/>
        <w:ind w:left="153" w:right="150" w:firstLine="420"/>
        <w:jc w:val="both"/>
      </w:pPr>
      <w:r>
        <w:rPr>
          <w:spacing w:val="-1"/>
        </w:rPr>
        <w:t>资产可收回金额的估计，根据其公允价值减去处置费用后的净额与资产预计未来现金流量的现值两者</w:t>
      </w:r>
      <w:r>
        <w:rPr/>
        <w:t> 之间较高者确定。</w:t>
      </w:r>
    </w:p>
    <w:p>
      <w:pPr>
        <w:pStyle w:val="Heading4"/>
        <w:spacing w:line="273" w:lineRule="auto"/>
        <w:ind w:left="153" w:right="151" w:firstLine="420"/>
        <w:jc w:val="both"/>
      </w:pPr>
      <w:r>
        <w:rPr>
          <w:spacing w:val="-1"/>
        </w:rPr>
        <w:t>可收回金额的计量结果表明，长期资产的可收回金额低于其账面价值的，将长期资产的账面价值减记</w:t>
      </w:r>
      <w:r>
        <w:rPr/>
        <w:t> </w:t>
      </w:r>
      <w:r>
        <w:rPr>
          <w:spacing w:val="-1"/>
        </w:rPr>
        <w:t>至可收回金额，减记的金额确认为资产减值损失，计入当期损益，同时计提相应的资产减值准备。资产减</w:t>
      </w:r>
      <w:r>
        <w:rPr>
          <w:spacing w:val="-82"/>
        </w:rPr>
        <w:t> </w:t>
      </w:r>
      <w:r>
        <w:rPr>
          <w:spacing w:val="-82"/>
        </w:rPr>
      </w:r>
      <w:r>
        <w:rPr/>
        <w:t>值损失一经确认，在以后会计期间不得转回。</w:t>
      </w:r>
    </w:p>
    <w:p>
      <w:pPr>
        <w:pStyle w:val="Heading4"/>
        <w:spacing w:line="273" w:lineRule="auto"/>
        <w:ind w:left="153" w:right="151" w:firstLine="420"/>
        <w:jc w:val="both"/>
      </w:pPr>
      <w:r>
        <w:rPr>
          <w:spacing w:val="-1"/>
        </w:rPr>
        <w:t>资产减值损失确认后，减值资产的折旧或者摊销费用在未来期间作相应调整，以使该资产在剩余使用</w:t>
      </w:r>
      <w:r>
        <w:rPr/>
        <w:t> 寿命内，系统地分摊调整后的资产账面价值（扣除预计净残值）。</w:t>
      </w:r>
    </w:p>
    <w:p>
      <w:pPr>
        <w:pStyle w:val="Heading4"/>
        <w:spacing w:line="273" w:lineRule="auto"/>
        <w:ind w:left="153" w:right="151" w:firstLine="420"/>
        <w:jc w:val="both"/>
      </w:pPr>
      <w:r>
        <w:rPr>
          <w:spacing w:val="-1"/>
        </w:rPr>
        <w:t>因企业合并所形成的商誉和使用寿命不确定的无形资产，无论是否存在减值迹象，每年都进行减值测</w:t>
      </w:r>
      <w:r>
        <w:rPr/>
        <w:t> 试。</w:t>
      </w:r>
    </w:p>
    <w:p>
      <w:pPr>
        <w:pStyle w:val="Heading4"/>
        <w:spacing w:line="273" w:lineRule="auto"/>
        <w:ind w:left="153" w:right="151" w:firstLine="336"/>
        <w:jc w:val="both"/>
      </w:pPr>
      <w:r>
        <w:rPr/>
        <w:t>商誉结合与其相关的资产组或者资产组组合进行减值测试。在对包含商誉的相关资产组或者资产组组</w:t>
      </w:r>
      <w:r>
        <w:rPr>
          <w:spacing w:val="1"/>
        </w:rPr>
        <w:t> </w:t>
      </w:r>
      <w:r>
        <w:rPr>
          <w:spacing w:val="-1"/>
        </w:rPr>
        <w:t>合进行减值测试时，如与商誉相关的资产组或者资产组组合存在减值迹象的，先对不包含商誉的资产组或</w:t>
      </w:r>
      <w:r>
        <w:rPr>
          <w:spacing w:val="-81"/>
        </w:rPr>
        <w:t> </w:t>
      </w:r>
      <w:r>
        <w:rPr>
          <w:spacing w:val="-81"/>
        </w:rPr>
      </w:r>
      <w:r>
        <w:rPr>
          <w:spacing w:val="-1"/>
        </w:rPr>
        <w:t>者资产组组合进行减值测试，计算可收回金额，并与相关账面价值相比较，确认相应的减值损失。再对包</w:t>
      </w:r>
      <w:r>
        <w:rPr>
          <w:spacing w:val="-82"/>
        </w:rPr>
        <w:t> </w:t>
      </w:r>
      <w:r>
        <w:rPr>
          <w:spacing w:val="-82"/>
        </w:rPr>
      </w:r>
      <w:r>
        <w:rPr>
          <w:spacing w:val="-1"/>
        </w:rPr>
        <w:t>含商誉的资产组或者资产组组合进行减值测试，比较这些相关资产组或者资产组组合的账面价值（包括所</w:t>
      </w:r>
      <w:r>
        <w:rPr>
          <w:spacing w:val="-81"/>
        </w:rPr>
        <w:t> </w:t>
      </w:r>
      <w:r>
        <w:rPr>
          <w:spacing w:val="-81"/>
        </w:rPr>
      </w:r>
      <w:r>
        <w:rPr>
          <w:spacing w:val="-1"/>
        </w:rPr>
        <w:t>分摊的商誉的账面价值部分）与其可收回金额，如相关资产组或者资产组组合的可收回金额低于其账面价</w:t>
      </w:r>
      <w:r>
        <w:rPr>
          <w:spacing w:val="-81"/>
        </w:rPr>
        <w:t> </w:t>
      </w:r>
      <w:r>
        <w:rPr>
          <w:spacing w:val="-81"/>
        </w:rPr>
      </w:r>
      <w:r>
        <w:rPr/>
        <w:t>值的，确认商誉的减值损失。</w:t>
      </w:r>
    </w:p>
    <w:p>
      <w:pPr>
        <w:spacing w:line="240" w:lineRule="auto" w:before="8"/>
        <w:rPr>
          <w:rFonts w:ascii="宋体" w:hAnsi="宋体" w:cs="宋体" w:eastAsia="宋体" w:hint="default"/>
          <w:sz w:val="23"/>
          <w:szCs w:val="23"/>
        </w:rPr>
      </w:pPr>
    </w:p>
    <w:p>
      <w:pPr>
        <w:pStyle w:val="Heading3"/>
        <w:spacing w:line="240" w:lineRule="auto"/>
        <w:ind w:left="153" w:right="0"/>
        <w:jc w:val="left"/>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4"/>
          <w:szCs w:val="24"/>
        </w:rPr>
      </w:pPr>
    </w:p>
    <w:p>
      <w:pPr>
        <w:pStyle w:val="Heading4"/>
        <w:spacing w:line="256" w:lineRule="auto" w:before="0"/>
        <w:ind w:left="574" w:right="0"/>
        <w:jc w:val="left"/>
      </w:pPr>
      <w:r>
        <w:rPr>
          <w:rFonts w:ascii="Times New Roman" w:hAnsi="Times New Roman" w:cs="Times New Roman" w:eastAsia="Times New Roman" w:hint="default"/>
          <w:b/>
          <w:bCs/>
        </w:rPr>
        <w:t>1</w:t>
      </w:r>
      <w:r>
        <w:rPr>
          <w:rFonts w:ascii="宋体" w:hAnsi="宋体" w:cs="宋体" w:eastAsia="宋体" w:hint="default"/>
          <w:b/>
          <w:bCs/>
        </w:rPr>
        <w:t>、摊销方法</w:t>
      </w:r>
      <w:r>
        <w:rPr>
          <w:rFonts w:ascii="宋体" w:hAnsi="宋体" w:cs="宋体" w:eastAsia="宋体" w:hint="default"/>
          <w:b/>
          <w:bCs/>
          <w:spacing w:val="1"/>
          <w:w w:val="99"/>
        </w:rPr>
        <w:t> </w:t>
      </w:r>
      <w:r>
        <w:rPr/>
        <w:t>长期待摊费用，是指本公司已经发生但应由本期和以后各期负担的分摊期限在</w:t>
      </w:r>
      <w:r>
        <w:rPr>
          <w:rFonts w:ascii="Times New Roman" w:hAnsi="Times New Roman" w:cs="Times New Roman" w:eastAsia="Times New Roman" w:hint="default"/>
        </w:rPr>
        <w:t>1</w:t>
      </w:r>
      <w:r>
        <w:rPr/>
        <w:t>年以上的各项费用。</w:t>
      </w:r>
    </w:p>
    <w:p>
      <w:pPr>
        <w:pStyle w:val="Heading4"/>
        <w:spacing w:line="240" w:lineRule="auto" w:before="5"/>
        <w:ind w:right="0"/>
        <w:jc w:val="left"/>
      </w:pPr>
      <w:r>
        <w:rPr/>
        <w:t>长期待摊费用在受益期内按直接法分期摊销。</w:t>
      </w:r>
    </w:p>
    <w:p>
      <w:pPr>
        <w:pStyle w:val="Heading3"/>
        <w:spacing w:line="240" w:lineRule="auto" w:before="37"/>
        <w:ind w:left="604" w:right="0"/>
        <w:jc w:val="left"/>
        <w:rPr>
          <w:b w:val="0"/>
          <w:bCs w:val="0"/>
        </w:rPr>
      </w:pPr>
      <w:r>
        <w:rPr>
          <w:rFonts w:ascii="Times New Roman" w:hAnsi="Times New Roman" w:cs="Times New Roman" w:eastAsia="Times New Roman" w:hint="default"/>
        </w:rPr>
        <w:t>2</w:t>
      </w:r>
      <w:r>
        <w:rPr/>
        <w:t>、摊销期限</w:t>
      </w:r>
      <w:r>
        <w:rPr>
          <w:b w:val="0"/>
          <w:bCs w:val="0"/>
        </w:rPr>
      </w:r>
    </w:p>
    <w:p>
      <w:pPr>
        <w:spacing w:line="240" w:lineRule="auto" w:before="10"/>
        <w:rPr>
          <w:rFonts w:ascii="宋体" w:hAnsi="宋体" w:cs="宋体" w:eastAsia="宋体" w:hint="default"/>
          <w:b/>
          <w:bCs/>
          <w:sz w:val="2"/>
          <w:szCs w:val="2"/>
        </w:rPr>
      </w:pPr>
    </w:p>
    <w:tbl>
      <w:tblPr>
        <w:tblW w:w="0" w:type="auto"/>
        <w:jc w:val="left"/>
        <w:tblInd w:w="288" w:type="dxa"/>
        <w:tblLayout w:type="fixed"/>
        <w:tblCellMar>
          <w:top w:w="0" w:type="dxa"/>
          <w:left w:w="0" w:type="dxa"/>
          <w:bottom w:w="0" w:type="dxa"/>
          <w:right w:w="0" w:type="dxa"/>
        </w:tblCellMar>
        <w:tblLook w:val="01E0"/>
      </w:tblPr>
      <w:tblGrid>
        <w:gridCol w:w="4222"/>
        <w:gridCol w:w="4352"/>
      </w:tblGrid>
      <w:tr>
        <w:trPr>
          <w:trHeight w:val="511" w:hRule="exact"/>
        </w:trPr>
        <w:tc>
          <w:tcPr>
            <w:tcW w:w="42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35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摊销年限</w:t>
            </w:r>
          </w:p>
        </w:tc>
      </w:tr>
      <w:tr>
        <w:trPr>
          <w:trHeight w:val="509" w:hRule="exact"/>
        </w:trPr>
        <w:tc>
          <w:tcPr>
            <w:tcW w:w="42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装修费</w:t>
            </w:r>
          </w:p>
        </w:tc>
        <w:tc>
          <w:tcPr>
            <w:tcW w:w="435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r>
      <w:tr>
        <w:trPr>
          <w:trHeight w:val="508" w:hRule="exact"/>
        </w:trPr>
        <w:tc>
          <w:tcPr>
            <w:tcW w:w="42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高尔夫会费</w:t>
            </w:r>
          </w:p>
        </w:tc>
        <w:tc>
          <w:tcPr>
            <w:tcW w:w="435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3"/>
        <w:spacing w:line="240" w:lineRule="auto" w:before="35"/>
        <w:ind w:right="0"/>
        <w:jc w:val="left"/>
        <w:rPr>
          <w:b w:val="0"/>
          <w:bCs w:val="0"/>
        </w:rPr>
      </w:pPr>
      <w:r>
        <w:rPr>
          <w:rFonts w:ascii="Times New Roman" w:hAnsi="Times New Roman" w:cs="Times New Roman" w:eastAsia="Times New Roman" w:hint="default"/>
        </w:rPr>
        <w:t>24</w:t>
      </w:r>
      <w:r>
        <w:rPr/>
        <w:t>、职工薪酬</w:t>
      </w:r>
      <w:r>
        <w:rPr>
          <w:b w:val="0"/>
          <w:bCs w:val="0"/>
        </w:rPr>
      </w:r>
    </w:p>
    <w:p>
      <w:pPr>
        <w:spacing w:line="590" w:lineRule="atLeast" w:before="23"/>
        <w:ind w:left="489" w:right="195" w:hanging="336"/>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spacing w:val="1"/>
          <w:w w:val="99"/>
          <w:sz w:val="21"/>
          <w:szCs w:val="21"/>
        </w:rPr>
        <w:t> </w:t>
      </w:r>
      <w:r>
        <w:rPr>
          <w:rFonts w:ascii="宋体" w:hAnsi="宋体" w:cs="宋体" w:eastAsia="宋体" w:hint="default"/>
          <w:sz w:val="21"/>
          <w:szCs w:val="21"/>
        </w:rPr>
        <w:t>短期薪酬是指本公司在职工提供相关服务的年度报告期间结束后十二个月内需要全部予以支付的职工</w:t>
      </w:r>
    </w:p>
    <w:p>
      <w:pPr>
        <w:pStyle w:val="Heading4"/>
        <w:spacing w:line="273" w:lineRule="auto" w:before="37"/>
        <w:ind w:left="153" w:right="111"/>
        <w:jc w:val="left"/>
      </w:pPr>
      <w:r>
        <w:rPr/>
        <w:t>薪酬，离职后福利和辞退福利除外。本公司在职工提供服务的会计期间，将应付的短期薪酬确认为负债， 并根据职工提供服务的受益对象计入相关资产成本和费用。</w:t>
      </w:r>
    </w:p>
    <w:p>
      <w:pPr>
        <w:spacing w:line="240" w:lineRule="auto" w:before="8"/>
        <w:rPr>
          <w:rFonts w:ascii="宋体" w:hAnsi="宋体" w:cs="宋体" w:eastAsia="宋体" w:hint="default"/>
          <w:sz w:val="23"/>
          <w:szCs w:val="23"/>
        </w:rPr>
      </w:pPr>
    </w:p>
    <w:p>
      <w:pPr>
        <w:spacing w:line="506" w:lineRule="auto" w:before="0"/>
        <w:ind w:left="573"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离职后福利是指本公司为获得职工提供的服务而在职工退休或与企业解除劳动关系后，提供的各种形</w:t>
      </w:r>
    </w:p>
    <w:p>
      <w:pPr>
        <w:spacing w:after="0" w:line="506" w:lineRule="auto"/>
        <w:jc w:val="left"/>
        <w:rPr>
          <w:rFonts w:ascii="宋体" w:hAnsi="宋体" w:cs="宋体" w:eastAsia="宋体" w:hint="default"/>
          <w:sz w:val="21"/>
          <w:szCs w:val="21"/>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4"/>
        <w:spacing w:line="273" w:lineRule="auto" w:before="35"/>
        <w:ind w:left="574" w:right="0" w:hanging="420"/>
        <w:jc w:val="left"/>
      </w:pPr>
      <w:r>
        <w:rPr/>
        <w:t>式的报酬和福利，短期薪酬和辞退福利除外。离职后福利计划分类为设定提存计划和设定受益计划。 </w:t>
      </w:r>
      <w:r>
        <w:rPr>
          <w:spacing w:val="-1"/>
        </w:rPr>
        <w:t>离职后福利设定提存计划主要为参加由各地劳动及社会保障机构组织实施的社会基本养老保险、失业</w:t>
      </w:r>
    </w:p>
    <w:p>
      <w:pPr>
        <w:pStyle w:val="Heading4"/>
        <w:spacing w:line="273" w:lineRule="auto"/>
        <w:ind w:right="0"/>
        <w:jc w:val="left"/>
      </w:pPr>
      <w:r>
        <w:rPr>
          <w:spacing w:val="-1"/>
        </w:rPr>
        <w:t>保险等；在职工为本公司提供服务的会计期间，将根据设定提存计划计算的应缴存金额确认为负债，并计</w:t>
      </w:r>
      <w:r>
        <w:rPr>
          <w:spacing w:val="-83"/>
        </w:rPr>
        <w:t> </w:t>
      </w:r>
      <w:r>
        <w:rPr>
          <w:spacing w:val="-83"/>
        </w:rPr>
      </w:r>
      <w:r>
        <w:rPr/>
        <w:t>入当期损益或相关资产成本。</w:t>
      </w:r>
    </w:p>
    <w:p>
      <w:pPr>
        <w:pStyle w:val="Heading4"/>
        <w:spacing w:line="240" w:lineRule="auto"/>
        <w:ind w:left="490" w:right="0"/>
        <w:jc w:val="left"/>
      </w:pPr>
      <w:r>
        <w:rPr/>
        <w:t>本公司按照国家规定的标准定期缴付上述款项后，不再有其他的支付义务。</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4"/>
          <w:szCs w:val="24"/>
        </w:rPr>
      </w:pPr>
    </w:p>
    <w:p>
      <w:pPr>
        <w:pStyle w:val="Heading4"/>
        <w:spacing w:line="273" w:lineRule="auto" w:before="0"/>
        <w:ind w:right="0"/>
        <w:jc w:val="left"/>
      </w:pPr>
      <w:r>
        <w:rPr>
          <w:spacing w:val="-1"/>
        </w:rPr>
        <w:t>辞退福利是指本公司在职工劳动合同到期之前解除与职工的劳动关系，或者为鼓励职工自愿接受裁减而给</w:t>
      </w:r>
      <w:r>
        <w:rPr>
          <w:spacing w:val="-81"/>
        </w:rPr>
        <w:t> </w:t>
      </w:r>
      <w:r>
        <w:rPr>
          <w:spacing w:val="-81"/>
        </w:rPr>
      </w:r>
      <w:r>
        <w:rPr/>
        <w:t>予职工的补偿，在发生当期计入当期损益。</w:t>
      </w:r>
    </w:p>
    <w:p>
      <w:pPr>
        <w:spacing w:line="240" w:lineRule="auto" w:before="8"/>
        <w:rPr>
          <w:rFonts w:ascii="宋体" w:hAnsi="宋体" w:cs="宋体" w:eastAsia="宋体" w:hint="default"/>
          <w:sz w:val="23"/>
          <w:szCs w:val="23"/>
        </w:rPr>
      </w:pPr>
    </w:p>
    <w:p>
      <w:pPr>
        <w:spacing w:line="520" w:lineRule="auto" w:before="0"/>
        <w:ind w:left="154" w:right="179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其他长期职工福利是指除短期薪酬、离职后福利、辞退福利之外的其他所有职工福利。 </w:t>
      </w: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、预计负债</w:t>
      </w:r>
      <w:r>
        <w:rPr>
          <w:rFonts w:ascii="宋体" w:hAnsi="宋体" w:cs="宋体" w:eastAsia="宋体" w:hint="default"/>
          <w:sz w:val="21"/>
          <w:szCs w:val="21"/>
        </w:rPr>
      </w:r>
    </w:p>
    <w:p>
      <w:pPr>
        <w:pStyle w:val="Heading4"/>
        <w:spacing w:line="268" w:lineRule="auto" w:before="49"/>
        <w:ind w:left="574" w:right="2840" w:hanging="421"/>
        <w:jc w:val="left"/>
      </w:pPr>
      <w:r>
        <w:rPr>
          <w:rFonts w:ascii="Times New Roman" w:hAnsi="Times New Roman" w:cs="Times New Roman" w:eastAsia="Times New Roman" w:hint="default"/>
          <w:b/>
          <w:bCs/>
        </w:rPr>
        <w:t>1</w:t>
      </w:r>
      <w:r>
        <w:rPr>
          <w:rFonts w:ascii="宋体" w:hAnsi="宋体" w:cs="宋体" w:eastAsia="宋体" w:hint="default"/>
          <w:b/>
          <w:bCs/>
        </w:rPr>
        <w:t>、预计负债的确认标准</w:t>
      </w:r>
      <w:r>
        <w:rPr>
          <w:rFonts w:ascii="宋体" w:hAnsi="宋体" w:cs="宋体" w:eastAsia="宋体" w:hint="default"/>
          <w:b/>
          <w:bCs/>
          <w:w w:val="99"/>
        </w:rPr>
        <w:t> </w:t>
      </w:r>
      <w:r>
        <w:rPr/>
        <w:t>与或有事项相关的义务同时满足下列条件时，本公司确认为预计负债： 该义务是本公司承担的现时义务； 履行该义务很可能导致经济利益流出本公司； 该义务的金额能够可靠地计量。</w:t>
      </w:r>
    </w:p>
    <w:p>
      <w:pPr>
        <w:spacing w:line="256" w:lineRule="auto" w:before="12"/>
        <w:ind w:left="574" w:right="221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、预计负债的计量方法</w:t>
      </w:r>
      <w:r>
        <w:rPr>
          <w:rFonts w:ascii="宋体" w:hAnsi="宋体" w:cs="宋体" w:eastAsia="宋体" w:hint="default"/>
          <w:b/>
          <w:bCs/>
          <w:w w:val="99"/>
          <w:sz w:val="21"/>
          <w:szCs w:val="21"/>
        </w:rPr>
        <w:t> </w:t>
      </w:r>
      <w:r>
        <w:rPr>
          <w:rFonts w:ascii="宋体" w:hAnsi="宋体" w:cs="宋体" w:eastAsia="宋体" w:hint="default"/>
          <w:sz w:val="21"/>
          <w:szCs w:val="21"/>
        </w:rPr>
        <w:t>本公司预计负债按履行相关现时义务所需的支出的最佳估计数进行初始计量。</w:t>
      </w:r>
    </w:p>
    <w:p>
      <w:pPr>
        <w:pStyle w:val="Heading4"/>
        <w:spacing w:line="273" w:lineRule="auto" w:before="22"/>
        <w:ind w:right="0" w:firstLine="420"/>
        <w:jc w:val="left"/>
      </w:pPr>
      <w:r>
        <w:rPr>
          <w:spacing w:val="-1"/>
        </w:rPr>
        <w:t>本公司在确定最佳估计数时，综合考虑与或有事项有关的风险、不确定性和货币时间价值等因素。对</w:t>
      </w:r>
      <w:r>
        <w:rPr/>
        <w:t> 于货币时间价值影响重大的，通过对相关未来现金流出进行折现后确定最佳估计数。</w:t>
      </w:r>
    </w:p>
    <w:p>
      <w:pPr>
        <w:pStyle w:val="Heading4"/>
        <w:spacing w:line="273" w:lineRule="auto"/>
        <w:ind w:left="574" w:right="0"/>
        <w:jc w:val="left"/>
      </w:pPr>
      <w:r>
        <w:rPr/>
        <w:t>最佳估计数分别以下情况处理： </w:t>
      </w:r>
      <w:r>
        <w:rPr>
          <w:spacing w:val="-1"/>
        </w:rPr>
        <w:t>所需支出存在一个连续范围（或区间），且该范围内各种结果发生的可能性相同的，则最佳估计数按</w:t>
      </w:r>
    </w:p>
    <w:p>
      <w:pPr>
        <w:pStyle w:val="Heading4"/>
        <w:spacing w:line="273" w:lineRule="auto"/>
        <w:ind w:left="574" w:right="0" w:hanging="420"/>
        <w:jc w:val="left"/>
      </w:pPr>
      <w:r>
        <w:rPr/>
        <w:t>照该范围的中间值即上下限金额的平均数确定。 </w:t>
      </w:r>
      <w:r>
        <w:rPr>
          <w:spacing w:val="-1"/>
        </w:rPr>
        <w:t>所需支出不存在一个连续范围（或区间），或虽然存在一个连续范围但该范围内各种结果发生的可能</w:t>
      </w:r>
    </w:p>
    <w:p>
      <w:pPr>
        <w:pStyle w:val="Heading4"/>
        <w:spacing w:line="273" w:lineRule="auto"/>
        <w:ind w:right="0"/>
        <w:jc w:val="left"/>
      </w:pPr>
      <w:r>
        <w:rPr>
          <w:spacing w:val="-1"/>
        </w:rPr>
        <w:t>性不相同的，如或有事项涉及单个项目的，则最佳估计数按照最可能发生金额确定；如或有事项涉及多个</w:t>
      </w:r>
      <w:r>
        <w:rPr>
          <w:spacing w:val="-83"/>
        </w:rPr>
        <w:t> </w:t>
      </w:r>
      <w:r>
        <w:rPr>
          <w:spacing w:val="-83"/>
        </w:rPr>
      </w:r>
      <w:r>
        <w:rPr/>
        <w:t>项目的，则最佳估计数按各种可能结果及相关概率计算确定。</w:t>
      </w:r>
    </w:p>
    <w:p>
      <w:pPr>
        <w:pStyle w:val="Heading4"/>
        <w:spacing w:line="273" w:lineRule="auto"/>
        <w:ind w:right="0" w:firstLine="336"/>
        <w:jc w:val="left"/>
      </w:pPr>
      <w:r>
        <w:rPr/>
        <w:t>本公司清偿预计负债所需支出全部或部分预期由第三方补偿的，补偿金额在基本确定能够收到时，作</w:t>
      </w:r>
      <w:r>
        <w:rPr>
          <w:spacing w:val="1"/>
        </w:rPr>
        <w:t> </w:t>
      </w:r>
      <w:r>
        <w:rPr/>
        <w:t>为资产单独确认，确认的补偿金额不超过预计负债的账面价值。</w:t>
      </w:r>
    </w:p>
    <w:p>
      <w:pPr>
        <w:spacing w:line="240" w:lineRule="auto" w:before="8"/>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1.</w:t>
      </w:r>
      <w:r>
        <w:rPr>
          <w:spacing w:val="39"/>
        </w:rPr>
        <w:t> </w:t>
      </w:r>
      <w:r>
        <w:rPr/>
        <w:t>股份支付的种类</w:t>
      </w:r>
      <w:r>
        <w:rPr>
          <w:b w:val="0"/>
          <w:bCs w:val="0"/>
        </w:rPr>
      </w:r>
    </w:p>
    <w:p>
      <w:pPr>
        <w:spacing w:line="273" w:lineRule="auto" w:before="37"/>
        <w:ind w:left="154" w:right="2270" w:firstLine="780"/>
        <w:jc w:val="left"/>
        <w:rPr>
          <w:rFonts w:ascii="宋体" w:hAnsi="宋体" w:cs="宋体" w:eastAsia="宋体" w:hint="default"/>
          <w:sz w:val="21"/>
          <w:szCs w:val="21"/>
        </w:rPr>
      </w:pPr>
      <w:r>
        <w:rPr>
          <w:rFonts w:ascii="宋体" w:hAnsi="宋体" w:cs="宋体" w:eastAsia="宋体" w:hint="default"/>
          <w:sz w:val="21"/>
          <w:szCs w:val="21"/>
        </w:rPr>
        <w:t>本公司的股份支付分为以权益结算的股份支付和以现金结算的股份支付。 </w:t>
      </w:r>
      <w:r>
        <w:rPr>
          <w:rFonts w:ascii="宋体" w:hAnsi="宋体" w:cs="宋体" w:eastAsia="宋体" w:hint="default"/>
          <w:b/>
          <w:bCs/>
          <w:sz w:val="21"/>
          <w:szCs w:val="21"/>
        </w:rPr>
        <w:t>1.</w:t>
      </w:r>
      <w:r>
        <w:rPr>
          <w:rFonts w:ascii="宋体" w:hAnsi="宋体" w:cs="宋体" w:eastAsia="宋体" w:hint="default"/>
          <w:b/>
          <w:bCs/>
          <w:spacing w:val="39"/>
          <w:sz w:val="21"/>
          <w:szCs w:val="21"/>
        </w:rPr>
        <w:t> </w:t>
      </w:r>
      <w:r>
        <w:rPr>
          <w:rFonts w:ascii="宋体" w:hAnsi="宋体" w:cs="宋体" w:eastAsia="宋体" w:hint="default"/>
          <w:b/>
          <w:bCs/>
          <w:sz w:val="21"/>
          <w:szCs w:val="21"/>
        </w:rPr>
        <w:t>权益工具公允价值的确定方法</w:t>
      </w:r>
      <w:r>
        <w:rPr>
          <w:rFonts w:ascii="宋体" w:hAnsi="宋体" w:cs="宋体" w:eastAsia="宋体" w:hint="default"/>
          <w:sz w:val="21"/>
          <w:szCs w:val="21"/>
        </w:rPr>
      </w:r>
    </w:p>
    <w:p>
      <w:pPr>
        <w:pStyle w:val="Heading4"/>
        <w:spacing w:line="266" w:lineRule="auto"/>
        <w:ind w:left="514" w:right="147" w:firstLine="420"/>
        <w:jc w:val="both"/>
      </w:pPr>
      <w:r>
        <w:rPr/>
        <w:t>对于授予的存在活跃市场的期权等权益工具，按照活跃市场中的报价确定其公允价值。对于授予</w:t>
      </w:r>
      <w:r>
        <w:rPr>
          <w:spacing w:val="1"/>
        </w:rPr>
        <w:t> </w:t>
      </w:r>
      <w:r>
        <w:rPr/>
        <w:t>的不存在活跃市场的期权等权益工具，采用期权定价模型等确定其公允价值，选用的期权定价模型考</w:t>
      </w:r>
      <w:r>
        <w:rPr>
          <w:spacing w:val="-72"/>
        </w:rPr>
        <w:t> </w:t>
      </w:r>
      <w:r>
        <w:rPr>
          <w:spacing w:val="-72"/>
        </w:rPr>
      </w:r>
      <w:r>
        <w:rPr/>
        <w:t>虑以下因素：（</w:t>
      </w:r>
      <w:r>
        <w:rPr>
          <w:rFonts w:ascii="Times New Roman" w:hAnsi="Times New Roman" w:cs="Times New Roman" w:eastAsia="Times New Roman" w:hint="default"/>
        </w:rPr>
        <w:t>1</w:t>
      </w:r>
      <w:r>
        <w:rPr/>
        <w:t>）期权的行权价格；（</w:t>
      </w:r>
      <w:r>
        <w:rPr>
          <w:rFonts w:ascii="Times New Roman" w:hAnsi="Times New Roman" w:cs="Times New Roman" w:eastAsia="Times New Roman" w:hint="default"/>
        </w:rPr>
        <w:t>2</w:t>
      </w:r>
      <w:r>
        <w:rPr/>
        <w:t>）期权的有效期；（</w:t>
      </w:r>
      <w:r>
        <w:rPr>
          <w:rFonts w:ascii="Times New Roman" w:hAnsi="Times New Roman" w:cs="Times New Roman" w:eastAsia="Times New Roman" w:hint="default"/>
        </w:rPr>
        <w:t>3</w:t>
      </w:r>
      <w:r>
        <w:rPr/>
        <w:t>）标的股份的现行价格；（</w:t>
      </w:r>
      <w:r>
        <w:rPr>
          <w:rFonts w:ascii="Times New Roman" w:hAnsi="Times New Roman" w:cs="Times New Roman" w:eastAsia="Times New Roman" w:hint="default"/>
        </w:rPr>
        <w:t>4</w:t>
      </w:r>
      <w:r>
        <w:rPr/>
        <w:t>）股价预</w:t>
      </w:r>
      <w:r>
        <w:rPr>
          <w:spacing w:val="-76"/>
        </w:rPr>
        <w:t> </w:t>
      </w:r>
      <w:r>
        <w:rPr>
          <w:spacing w:val="-76"/>
        </w:rPr>
      </w:r>
      <w:r>
        <w:rPr/>
        <w:t>计波动率；（</w:t>
      </w:r>
      <w:r>
        <w:rPr>
          <w:rFonts w:ascii="Times New Roman" w:hAnsi="Times New Roman" w:cs="Times New Roman" w:eastAsia="Times New Roman" w:hint="default"/>
        </w:rPr>
        <w:t>5</w:t>
      </w:r>
      <w:r>
        <w:rPr/>
        <w:t>）股份的预计股利；（</w:t>
      </w:r>
      <w:r>
        <w:rPr>
          <w:rFonts w:ascii="Times New Roman" w:hAnsi="Times New Roman" w:cs="Times New Roman" w:eastAsia="Times New Roman" w:hint="default"/>
        </w:rPr>
        <w:t>6</w:t>
      </w:r>
      <w:r>
        <w:rPr/>
        <w:t>）期权有效期内的无风险利率。</w:t>
      </w:r>
    </w:p>
    <w:p>
      <w:pPr>
        <w:pStyle w:val="Heading4"/>
        <w:spacing w:line="271" w:lineRule="exact" w:before="0"/>
        <w:ind w:left="934" w:right="0"/>
        <w:jc w:val="left"/>
      </w:pPr>
      <w:r>
        <w:rPr/>
        <w:t>在确定权益工具授予日的公允价值时，考虑股份支付协议规定的可行权条件中的市场条件和非可</w:t>
      </w:r>
    </w:p>
    <w:p>
      <w:pPr>
        <w:spacing w:after="0" w:line="271" w:lineRule="exact"/>
        <w:jc w:val="left"/>
        <w:sectPr>
          <w:footerReference w:type="default" r:id="rId17"/>
          <w:pgSz w:w="11910" w:h="16840"/>
          <w:pgMar w:footer="982" w:header="747" w:top="1060" w:bottom="1180" w:left="980" w:right="980"/>
        </w:sectPr>
      </w:pPr>
    </w:p>
    <w:p>
      <w:pPr>
        <w:spacing w:line="240" w:lineRule="auto" w:before="9"/>
        <w:rPr>
          <w:rFonts w:ascii="宋体" w:hAnsi="宋体" w:cs="宋体" w:eastAsia="宋体" w:hint="default"/>
          <w:sz w:val="24"/>
          <w:szCs w:val="24"/>
        </w:rPr>
      </w:pPr>
    </w:p>
    <w:p>
      <w:pPr>
        <w:pStyle w:val="Heading4"/>
        <w:spacing w:line="273" w:lineRule="auto" w:before="35"/>
        <w:ind w:left="514" w:right="102"/>
        <w:jc w:val="left"/>
      </w:pPr>
      <w:r>
        <w:rPr/>
        <w:t>行权条件的影响。股份支付存在非可行权条件的，只要职工或其他方满足了所有可行权条件中的非市</w:t>
      </w:r>
      <w:r>
        <w:rPr>
          <w:spacing w:val="-72"/>
        </w:rPr>
        <w:t> </w:t>
      </w:r>
      <w:r>
        <w:rPr>
          <w:spacing w:val="-72"/>
        </w:rPr>
      </w:r>
      <w:r>
        <w:rPr/>
        <w:t>场条件（如服务期限等），即确认已得到服务相对应的成本费用。</w:t>
      </w:r>
    </w:p>
    <w:p>
      <w:pPr>
        <w:spacing w:line="273" w:lineRule="auto" w:before="7"/>
        <w:ind w:left="933" w:right="102" w:hanging="78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42"/>
          <w:sz w:val="21"/>
          <w:szCs w:val="21"/>
        </w:rPr>
        <w:t> </w:t>
      </w:r>
      <w:r>
        <w:rPr>
          <w:rFonts w:ascii="宋体" w:hAnsi="宋体" w:cs="宋体" w:eastAsia="宋体" w:hint="default"/>
          <w:b/>
          <w:bCs/>
          <w:sz w:val="21"/>
          <w:szCs w:val="21"/>
        </w:rPr>
        <w:t>确定可行权权益工具最佳估计的依据</w:t>
      </w:r>
      <w:r>
        <w:rPr>
          <w:rFonts w:ascii="宋体" w:hAnsi="宋体" w:cs="宋体" w:eastAsia="宋体" w:hint="default"/>
          <w:b/>
          <w:bCs/>
          <w:w w:val="99"/>
          <w:sz w:val="21"/>
          <w:szCs w:val="21"/>
        </w:rPr>
        <w:t> </w:t>
      </w:r>
      <w:r>
        <w:rPr>
          <w:rFonts w:ascii="宋体" w:hAnsi="宋体" w:cs="宋体" w:eastAsia="宋体" w:hint="default"/>
          <w:sz w:val="21"/>
          <w:szCs w:val="21"/>
        </w:rPr>
        <w:t>等待期内每个资产负债表日，根据最新取得的可行权职工人数变动等后续信息作出最佳估计，修</w:t>
      </w:r>
    </w:p>
    <w:p>
      <w:pPr>
        <w:spacing w:line="273" w:lineRule="auto" w:before="7"/>
        <w:ind w:left="154" w:right="102" w:firstLine="360"/>
        <w:jc w:val="left"/>
        <w:rPr>
          <w:rFonts w:ascii="宋体" w:hAnsi="宋体" w:cs="宋体" w:eastAsia="宋体" w:hint="default"/>
          <w:sz w:val="21"/>
          <w:szCs w:val="21"/>
        </w:rPr>
      </w:pPr>
      <w:r>
        <w:rPr>
          <w:rFonts w:ascii="宋体" w:hAnsi="宋体" w:cs="宋体" w:eastAsia="宋体" w:hint="default"/>
          <w:spacing w:val="-2"/>
          <w:sz w:val="21"/>
          <w:szCs w:val="21"/>
        </w:rPr>
        <w:t>正预计可行权的权益工具数量。在可行权日，最终预计可行权权益工具的数量与实际可行权数量一致。</w:t>
      </w:r>
      <w:r>
        <w:rPr>
          <w:rFonts w:ascii="宋体" w:hAnsi="宋体" w:cs="宋体" w:eastAsia="宋体" w:hint="default"/>
          <w:sz w:val="21"/>
          <w:szCs w:val="21"/>
        </w:rPr>
        <w:t> </w:t>
      </w:r>
      <w:r>
        <w:rPr>
          <w:rFonts w:ascii="宋体" w:hAnsi="宋体" w:cs="宋体" w:eastAsia="宋体" w:hint="default"/>
          <w:b/>
          <w:bCs/>
          <w:sz w:val="21"/>
          <w:szCs w:val="21"/>
        </w:rPr>
        <w:t>1.</w:t>
      </w:r>
      <w:r>
        <w:rPr>
          <w:rFonts w:ascii="宋体" w:hAnsi="宋体" w:cs="宋体" w:eastAsia="宋体" w:hint="default"/>
          <w:b/>
          <w:bCs/>
          <w:spacing w:val="36"/>
          <w:sz w:val="21"/>
          <w:szCs w:val="21"/>
        </w:rPr>
        <w:t> </w:t>
      </w:r>
      <w:r>
        <w:rPr>
          <w:rFonts w:ascii="宋体" w:hAnsi="宋体" w:cs="宋体" w:eastAsia="宋体" w:hint="default"/>
          <w:b/>
          <w:bCs/>
          <w:sz w:val="21"/>
          <w:szCs w:val="21"/>
        </w:rPr>
        <w:t>实施、修改、终止股份支付计划的相关会计处理</w:t>
      </w:r>
      <w:r>
        <w:rPr>
          <w:rFonts w:ascii="宋体" w:hAnsi="宋体" w:cs="宋体" w:eastAsia="宋体" w:hint="default"/>
          <w:sz w:val="21"/>
          <w:szCs w:val="21"/>
        </w:rPr>
      </w:r>
    </w:p>
    <w:p>
      <w:pPr>
        <w:pStyle w:val="Heading4"/>
        <w:spacing w:line="273" w:lineRule="auto"/>
        <w:ind w:left="514" w:right="207" w:firstLine="420"/>
        <w:jc w:val="both"/>
      </w:pPr>
      <w:r>
        <w:rPr/>
        <w:t>以权益结算的股份支付，按授予职工权益工具的公允价值计量。授予后立即可行权的，在授予日</w:t>
      </w:r>
      <w:r>
        <w:rPr>
          <w:spacing w:val="1"/>
        </w:rPr>
        <w:t> </w:t>
      </w:r>
      <w:r>
        <w:rPr/>
        <w:t>按照权益工具的公允价值计入相关成本或费用，相应增加资本公积。在完成等待期内的服务或达到规</w:t>
      </w:r>
      <w:r>
        <w:rPr>
          <w:spacing w:val="-72"/>
        </w:rPr>
        <w:t> </w:t>
      </w:r>
      <w:r>
        <w:rPr>
          <w:spacing w:val="-72"/>
        </w:rPr>
      </w:r>
      <w:r>
        <w:rPr/>
        <w:t>定业绩条件才可行权的，在等待期内的每个资产负债表日，以对可行权权益工具数量的最佳估计为基</w:t>
      </w:r>
      <w:r>
        <w:rPr>
          <w:spacing w:val="-72"/>
        </w:rPr>
        <w:t> </w:t>
      </w:r>
      <w:r>
        <w:rPr>
          <w:spacing w:val="-72"/>
        </w:rPr>
      </w:r>
      <w:r>
        <w:rPr/>
        <w:t>础，按照权益工具授予日的公允价值，将当期取得的服务计入相关成本或费用和资本公积。在可行权</w:t>
      </w:r>
      <w:r>
        <w:rPr>
          <w:spacing w:val="-72"/>
        </w:rPr>
        <w:t> </w:t>
      </w:r>
      <w:r>
        <w:rPr>
          <w:spacing w:val="-72"/>
        </w:rPr>
      </w:r>
      <w:r>
        <w:rPr/>
        <w:t>日之后不再对已确认的相关成本或费用和所有者权益总额进行调整。</w:t>
      </w:r>
    </w:p>
    <w:p>
      <w:pPr>
        <w:pStyle w:val="Heading4"/>
        <w:spacing w:line="273" w:lineRule="auto"/>
        <w:ind w:left="514" w:right="207" w:firstLine="420"/>
        <w:jc w:val="both"/>
      </w:pPr>
      <w:r>
        <w:rPr/>
        <w:t>以现金结算的股份支付，按照本公司承担的以股份或其他权益工具为基础计算确定的负债的公允</w:t>
      </w:r>
      <w:r>
        <w:rPr>
          <w:spacing w:val="1"/>
        </w:rPr>
        <w:t> </w:t>
      </w:r>
      <w:r>
        <w:rPr/>
        <w:t>价值计量。授予后立即可行权的，在授予日以本公司承担负债的公允价值计入相关成本或费用，相应</w:t>
      </w:r>
      <w:r>
        <w:rPr>
          <w:spacing w:val="-72"/>
        </w:rPr>
        <w:t> </w:t>
      </w:r>
      <w:r>
        <w:rPr>
          <w:spacing w:val="-72"/>
        </w:rPr>
      </w:r>
      <w:r>
        <w:rPr/>
        <w:t>增加负债。在完成等待期内的服务或达到规定业绩条件以后才可行权的以现金结算的股份支付，在等</w:t>
      </w:r>
      <w:r>
        <w:rPr>
          <w:spacing w:val="-72"/>
        </w:rPr>
        <w:t> </w:t>
      </w:r>
      <w:r>
        <w:rPr>
          <w:spacing w:val="-72"/>
        </w:rPr>
      </w:r>
      <w:r>
        <w:rPr/>
        <w:t>待期内的每个资产负债表日，以对可行权情况的最佳估计为基础，按照本公司承担负债的公允价值金</w:t>
      </w:r>
      <w:r>
        <w:rPr>
          <w:spacing w:val="-72"/>
        </w:rPr>
        <w:t> </w:t>
      </w:r>
      <w:r>
        <w:rPr>
          <w:spacing w:val="-72"/>
        </w:rPr>
      </w:r>
      <w:r>
        <w:rPr/>
        <w:t>额，将当期取得的服务计入成本或费用和相应的负债。在相关负债结算前的每个资产负债表日以及结</w:t>
      </w:r>
      <w:r>
        <w:rPr>
          <w:spacing w:val="-72"/>
        </w:rPr>
        <w:t> </w:t>
      </w:r>
      <w:r>
        <w:rPr>
          <w:spacing w:val="-72"/>
        </w:rPr>
      </w:r>
      <w:r>
        <w:rPr/>
        <w:t>算日，对负债的公允价值重新计量，其变动计入当期损益。</w:t>
      </w:r>
    </w:p>
    <w:p>
      <w:pPr>
        <w:spacing w:line="273" w:lineRule="auto" w:before="7"/>
        <w:ind w:left="154" w:right="102" w:hanging="1"/>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42"/>
          <w:sz w:val="21"/>
          <w:szCs w:val="21"/>
        </w:rPr>
        <w:t> </w:t>
      </w:r>
      <w:r>
        <w:rPr>
          <w:rFonts w:ascii="宋体" w:hAnsi="宋体" w:cs="宋体" w:eastAsia="宋体" w:hint="default"/>
          <w:b/>
          <w:bCs/>
          <w:sz w:val="21"/>
          <w:szCs w:val="21"/>
        </w:rPr>
        <w:t>对于存在修改条款和条件的情况的，本期的修改情况及相关会计处理</w:t>
      </w:r>
      <w:r>
        <w:rPr>
          <w:rFonts w:ascii="宋体" w:hAnsi="宋体" w:cs="宋体" w:eastAsia="宋体" w:hint="default"/>
          <w:b/>
          <w:bCs/>
          <w:w w:val="99"/>
          <w:sz w:val="21"/>
          <w:szCs w:val="21"/>
        </w:rPr>
        <w:t> </w:t>
      </w:r>
      <w:r>
        <w:rPr>
          <w:rFonts w:ascii="宋体" w:hAnsi="宋体" w:cs="宋体" w:eastAsia="宋体" w:hint="default"/>
          <w:spacing w:val="-1"/>
          <w:sz w:val="21"/>
          <w:szCs w:val="21"/>
        </w:rPr>
        <w:t>若在等待期内取消了授予的权益工具，本公司对取消所授予的权益性工具作为加速行权处理，将剩余等待</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1"/>
          <w:sz w:val="21"/>
          <w:szCs w:val="21"/>
        </w:rPr>
        <w:t>期内应确认的金额立即计入当期损益，同时确认资本公积。职工或其他方能够选择满足非可行权条件但在</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等待期内未满足的，本公司将其作为授予权益工具的取消处理。</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3"/>
        <w:spacing w:line="240" w:lineRule="auto"/>
        <w:ind w:right="102"/>
        <w:jc w:val="left"/>
        <w:rPr>
          <w:b w:val="0"/>
          <w:bCs w:val="0"/>
        </w:rPr>
      </w:pPr>
      <w:r>
        <w:rPr>
          <w:rFonts w:ascii="Times New Roman" w:hAnsi="Times New Roman" w:cs="Times New Roman" w:eastAsia="Times New Roman" w:hint="default"/>
        </w:rPr>
        <w:t>27</w:t>
      </w:r>
      <w:r>
        <w:rPr/>
        <w:t>、优先股、永续债等其他金融工具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02"/>
        <w:jc w:val="left"/>
        <w:rPr>
          <w:b w:val="0"/>
          <w:bCs w:val="0"/>
        </w:rPr>
      </w:pPr>
      <w:r>
        <w:rPr>
          <w:rFonts w:ascii="Times New Roman" w:hAnsi="Times New Roman" w:cs="Times New Roman" w:eastAsia="Times New Roman" w:hint="default"/>
        </w:rPr>
        <w:t>28</w:t>
      </w:r>
      <w:r>
        <w:rPr/>
        <w:t>、收入</w:t>
      </w:r>
      <w:r>
        <w:rPr>
          <w:b w:val="0"/>
          <w:bCs w:val="0"/>
        </w:rPr>
      </w:r>
    </w:p>
    <w:p>
      <w:pPr>
        <w:spacing w:line="240" w:lineRule="auto" w:before="7"/>
        <w:rPr>
          <w:rFonts w:ascii="宋体" w:hAnsi="宋体" w:cs="宋体" w:eastAsia="宋体" w:hint="default"/>
          <w:b/>
          <w:bCs/>
          <w:sz w:val="24"/>
          <w:szCs w:val="24"/>
        </w:rPr>
      </w:pPr>
    </w:p>
    <w:p>
      <w:pPr>
        <w:spacing w:line="256" w:lineRule="auto" w:before="0"/>
        <w:ind w:left="574" w:right="102"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、销售商品收入确认时间的具体判断标准</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公司已将商品所有权上的主要风险和报酬转移给购买方；公司既没有保留与所有权相联系的继续管理</w:t>
      </w:r>
    </w:p>
    <w:p>
      <w:pPr>
        <w:pStyle w:val="Heading4"/>
        <w:spacing w:line="273" w:lineRule="auto" w:before="22"/>
        <w:ind w:right="101"/>
        <w:jc w:val="left"/>
        <w:rPr>
          <w:rFonts w:ascii="宋体" w:hAnsi="宋体" w:cs="宋体" w:eastAsia="宋体" w:hint="default"/>
        </w:rPr>
      </w:pPr>
      <w:r>
        <w:rPr>
          <w:spacing w:val="-3"/>
        </w:rPr>
        <w:t>权，也没有对已售出的商品实施有效控制；收入的金额能够可靠地计量；相关的经济利益很可能流入企业；</w:t>
      </w:r>
      <w:r>
        <w:rPr>
          <w:spacing w:val="-90"/>
        </w:rPr>
        <w:t> </w:t>
      </w:r>
      <w:r>
        <w:rPr>
          <w:spacing w:val="-90"/>
        </w:rPr>
      </w:r>
      <w:r>
        <w:rPr/>
        <w:t>相关的已发生或将发生的成本能够可靠地计量时，确认商品销售收入实现。 </w:t>
      </w:r>
      <w:r>
        <w:rPr>
          <w:rFonts w:ascii="Times New Roman" w:hAnsi="Times New Roman" w:cs="Times New Roman" w:eastAsia="Times New Roman" w:hint="default"/>
          <w:b/>
          <w:bCs/>
        </w:rPr>
        <w:t>2</w:t>
      </w:r>
      <w:r>
        <w:rPr>
          <w:rFonts w:ascii="宋体" w:hAnsi="宋体" w:cs="宋体" w:eastAsia="宋体" w:hint="default"/>
          <w:b/>
          <w:bCs/>
        </w:rPr>
        <w:t>、确认让渡资产使用权收入的依据</w:t>
      </w:r>
      <w:r>
        <w:rPr>
          <w:rFonts w:ascii="宋体" w:hAnsi="宋体" w:cs="宋体" w:eastAsia="宋体" w:hint="default"/>
        </w:rPr>
      </w:r>
    </w:p>
    <w:p>
      <w:pPr>
        <w:pStyle w:val="Heading4"/>
        <w:spacing w:line="273" w:lineRule="auto" w:before="0"/>
        <w:ind w:right="102" w:firstLine="420"/>
        <w:jc w:val="left"/>
      </w:pPr>
      <w:r>
        <w:rPr>
          <w:spacing w:val="-1"/>
        </w:rPr>
        <w:t>与交易相关的经济利益很可能流入企业，收入的金额能够可靠地计量时。分别下列情况确定让渡资产</w:t>
      </w:r>
      <w:r>
        <w:rPr/>
        <w:t> 使用权收入金额：</w:t>
      </w:r>
    </w:p>
    <w:p>
      <w:pPr>
        <w:pStyle w:val="Heading4"/>
        <w:spacing w:line="240" w:lineRule="auto"/>
        <w:ind w:left="574" w:right="102"/>
        <w:jc w:val="left"/>
      </w:pPr>
      <w:r>
        <w:rPr/>
        <w:t>（</w:t>
      </w:r>
      <w:r>
        <w:rPr>
          <w:rFonts w:ascii="Times New Roman" w:hAnsi="Times New Roman" w:cs="Times New Roman" w:eastAsia="Times New Roman" w:hint="default"/>
        </w:rPr>
        <w:t>1</w:t>
      </w:r>
      <w:r>
        <w:rPr/>
        <w:t>）利息收入金额，按照他人使用本企业货币资金的时间和实际利率计算确定。</w:t>
      </w:r>
    </w:p>
    <w:p>
      <w:pPr>
        <w:pStyle w:val="Heading4"/>
        <w:spacing w:line="240" w:lineRule="auto" w:before="21"/>
        <w:ind w:left="490" w:right="102"/>
        <w:jc w:val="left"/>
      </w:pPr>
      <w:r>
        <w:rPr/>
        <w:t>（</w:t>
      </w:r>
      <w:r>
        <w:rPr>
          <w:rFonts w:ascii="Times New Roman" w:hAnsi="Times New Roman" w:cs="Times New Roman" w:eastAsia="Times New Roman" w:hint="default"/>
        </w:rPr>
        <w:t>2</w:t>
      </w:r>
      <w:r>
        <w:rPr/>
        <w:t>）使用费收入金额，按照有关合同或协议约定的收费时间和方法计算确定。</w:t>
      </w:r>
    </w:p>
    <w:p>
      <w:pPr>
        <w:spacing w:line="240" w:lineRule="auto" w:before="8"/>
        <w:rPr>
          <w:rFonts w:ascii="宋体" w:hAnsi="宋体" w:cs="宋体" w:eastAsia="宋体" w:hint="default"/>
          <w:sz w:val="24"/>
          <w:szCs w:val="24"/>
        </w:rPr>
      </w:pPr>
    </w:p>
    <w:p>
      <w:pPr>
        <w:pStyle w:val="Heading3"/>
        <w:spacing w:line="240" w:lineRule="auto"/>
        <w:ind w:right="102"/>
        <w:jc w:val="left"/>
        <w:rPr>
          <w:b w:val="0"/>
          <w:bCs w:val="0"/>
        </w:rPr>
      </w:pPr>
      <w:r>
        <w:rPr>
          <w:rFonts w:ascii="Times New Roman" w:hAnsi="Times New Roman" w:cs="Times New Roman" w:eastAsia="Times New Roman" w:hint="default"/>
        </w:rPr>
        <w:t>29</w:t>
      </w:r>
      <w:r>
        <w:rPr/>
        <w:t>、政府补助</w:t>
      </w:r>
      <w:r>
        <w:rPr>
          <w:b w:val="0"/>
          <w:bCs w:val="0"/>
        </w:rPr>
      </w:r>
    </w:p>
    <w:p>
      <w:pPr>
        <w:spacing w:line="240" w:lineRule="auto" w:before="8"/>
        <w:rPr>
          <w:rFonts w:ascii="宋体" w:hAnsi="宋体" w:cs="宋体" w:eastAsia="宋体" w:hint="default"/>
          <w:b/>
          <w:bCs/>
          <w:sz w:val="24"/>
          <w:szCs w:val="24"/>
        </w:rPr>
      </w:pPr>
    </w:p>
    <w:p>
      <w:pPr>
        <w:spacing w:line="506" w:lineRule="auto" w:before="0"/>
        <w:ind w:left="154" w:right="31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b/>
          <w:bCs/>
          <w:spacing w:val="1"/>
          <w:w w:val="99"/>
          <w:sz w:val="21"/>
          <w:szCs w:val="21"/>
        </w:rPr>
        <w:t> </w:t>
      </w:r>
      <w:r>
        <w:rPr>
          <w:rFonts w:ascii="宋体" w:hAnsi="宋体" w:cs="宋体" w:eastAsia="宋体" w:hint="default"/>
          <w:sz w:val="21"/>
          <w:szCs w:val="21"/>
        </w:rPr>
        <w:t>确认为递延收益，按照所建造或购买的资产使用年限分期计入营业外收入</w:t>
      </w:r>
    </w:p>
    <w:p>
      <w:pPr>
        <w:spacing w:after="0" w:line="506" w:lineRule="auto"/>
        <w:jc w:val="left"/>
        <w:rPr>
          <w:rFonts w:ascii="宋体" w:hAnsi="宋体" w:cs="宋体" w:eastAsia="宋体" w:hint="default"/>
          <w:sz w:val="21"/>
          <w:szCs w:val="21"/>
        </w:rPr>
        <w:sectPr>
          <w:footerReference w:type="default" r:id="rId18"/>
          <w:pgSz w:w="11910" w:h="16840"/>
          <w:pgMar w:footer="982" w:header="747" w:top="1060" w:bottom="1180" w:left="980" w:right="920"/>
          <w:pgNumType w:start="101"/>
        </w:sectPr>
      </w:pPr>
    </w:p>
    <w:p>
      <w:pPr>
        <w:spacing w:line="240" w:lineRule="auto" w:before="10"/>
        <w:rPr>
          <w:rFonts w:ascii="宋体" w:hAnsi="宋体" w:cs="宋体" w:eastAsia="宋体" w:hint="default"/>
          <w:sz w:val="24"/>
          <w:szCs w:val="24"/>
        </w:rPr>
      </w:pPr>
    </w:p>
    <w:p>
      <w:pPr>
        <w:pStyle w:val="Heading3"/>
        <w:spacing w:line="240" w:lineRule="auto" w:before="35"/>
        <w:ind w:right="0"/>
        <w:jc w:val="both"/>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4"/>
          <w:szCs w:val="24"/>
        </w:rPr>
      </w:pPr>
    </w:p>
    <w:p>
      <w:pPr>
        <w:pStyle w:val="Heading4"/>
        <w:spacing w:line="273" w:lineRule="auto" w:before="0"/>
        <w:ind w:right="151"/>
        <w:jc w:val="both"/>
      </w:pPr>
      <w:r>
        <w:rPr>
          <w:spacing w:val="-1"/>
        </w:rPr>
        <w:t>用于补偿企业以后期间的相关费用或损失的，确认为递延收益，在确认相关费用的期间计入当期营业外收</w:t>
      </w:r>
      <w:r>
        <w:rPr>
          <w:spacing w:val="-81"/>
        </w:rPr>
        <w:t> </w:t>
      </w:r>
      <w:r>
        <w:rPr>
          <w:spacing w:val="-81"/>
        </w:rPr>
      </w:r>
      <w:r>
        <w:rPr/>
        <w:t>入；用于补偿企业已发生的相关费用或损失的，取得时直接计入当期营业外收入。</w:t>
      </w:r>
    </w:p>
    <w:p>
      <w:pPr>
        <w:spacing w:line="612" w:lineRule="exact" w:before="64"/>
        <w:ind w:left="574" w:right="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99"/>
          <w:sz w:val="21"/>
          <w:szCs w:val="21"/>
        </w:rPr>
        <w:t> </w:t>
      </w:r>
      <w:r>
        <w:rPr>
          <w:rFonts w:ascii="宋体" w:hAnsi="宋体" w:cs="宋体" w:eastAsia="宋体" w:hint="default"/>
          <w:sz w:val="21"/>
          <w:szCs w:val="21"/>
        </w:rPr>
        <w:t>递延所得税资产和递延所得税负债根据资产和负债的计税基础与其账面价值的差额</w:t>
      </w:r>
      <w:r>
        <w:rPr>
          <w:rFonts w:ascii="Times New Roman" w:hAnsi="Times New Roman" w:cs="Times New Roman" w:eastAsia="Times New Roman" w:hint="default"/>
          <w:sz w:val="21"/>
          <w:szCs w:val="21"/>
        </w:rPr>
        <w:t>(</w:t>
      </w:r>
      <w:r>
        <w:rPr>
          <w:rFonts w:ascii="宋体" w:hAnsi="宋体" w:cs="宋体" w:eastAsia="宋体" w:hint="default"/>
          <w:sz w:val="21"/>
          <w:szCs w:val="21"/>
        </w:rPr>
        <w:t>暂时性差异</w:t>
      </w:r>
      <w:r>
        <w:rPr>
          <w:rFonts w:ascii="Times New Roman" w:hAnsi="Times New Roman" w:cs="Times New Roman" w:eastAsia="Times New Roman" w:hint="default"/>
          <w:sz w:val="21"/>
          <w:szCs w:val="21"/>
        </w:rPr>
        <w:t>)</w:t>
      </w:r>
      <w:r>
        <w:rPr>
          <w:rFonts w:ascii="宋体" w:hAnsi="宋体" w:cs="宋体" w:eastAsia="宋体" w:hint="default"/>
          <w:sz w:val="21"/>
          <w:szCs w:val="21"/>
        </w:rPr>
        <w:t>计算</w:t>
      </w:r>
    </w:p>
    <w:p>
      <w:pPr>
        <w:pStyle w:val="Heading4"/>
        <w:spacing w:line="219" w:lineRule="exact" w:before="0"/>
        <w:ind w:right="0"/>
        <w:jc w:val="both"/>
      </w:pPr>
      <w:r>
        <w:rPr/>
        <w:t>确认。于资产负债表日，递延所得税资产和递延所得税负债，按照预期收回该资产或清偿该负债期间的适</w:t>
      </w:r>
    </w:p>
    <w:p>
      <w:pPr>
        <w:pStyle w:val="Heading4"/>
        <w:spacing w:line="240" w:lineRule="auto" w:before="37"/>
        <w:ind w:right="0"/>
        <w:jc w:val="both"/>
      </w:pPr>
      <w:r>
        <w:rPr/>
        <w:t>用税率计量。</w:t>
      </w:r>
    </w:p>
    <w:p>
      <w:pPr>
        <w:spacing w:line="256" w:lineRule="auto" w:before="37"/>
        <w:ind w:left="574" w:right="0" w:hanging="6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、确认递延所得税资产的依据</w:t>
      </w:r>
      <w:r>
        <w:rPr>
          <w:rFonts w:ascii="宋体" w:hAnsi="宋体" w:cs="宋体" w:eastAsia="宋体" w:hint="default"/>
          <w:b/>
          <w:bCs/>
          <w:w w:val="99"/>
          <w:sz w:val="21"/>
          <w:szCs w:val="21"/>
        </w:rPr>
        <w:t> </w:t>
      </w:r>
      <w:r>
        <w:rPr>
          <w:rFonts w:ascii="宋体" w:hAnsi="宋体" w:cs="宋体" w:eastAsia="宋体" w:hint="default"/>
          <w:spacing w:val="-1"/>
          <w:sz w:val="21"/>
          <w:szCs w:val="21"/>
        </w:rPr>
        <w:t>本公司以很可能取得用来抵扣可抵扣暂时性差异、能够结转以后年度的可抵扣亏损和税款抵减的应纳</w:t>
      </w:r>
    </w:p>
    <w:p>
      <w:pPr>
        <w:pStyle w:val="Heading4"/>
        <w:spacing w:line="264" w:lineRule="auto" w:before="22"/>
        <w:ind w:right="150"/>
        <w:jc w:val="both"/>
      </w:pPr>
      <w:r>
        <w:rPr>
          <w:spacing w:val="-1"/>
        </w:rPr>
        <w:t>税所得额为限，确认由可抵扣暂时性差异产生的递延所得税资产。但是，同时具有下列特征的交易中因资</w:t>
      </w:r>
      <w:r>
        <w:rPr>
          <w:spacing w:val="-83"/>
        </w:rPr>
        <w:t> </w:t>
      </w:r>
      <w:r>
        <w:rPr>
          <w:spacing w:val="-83"/>
        </w:rPr>
      </w:r>
      <w:r>
        <w:rPr>
          <w:spacing w:val="-1"/>
        </w:rPr>
        <w:t>产或负债的初始确认所产生的递延所得税资产不予确认：（</w:t>
      </w:r>
      <w:r>
        <w:rPr>
          <w:rFonts w:ascii="Times New Roman" w:hAnsi="Times New Roman" w:cs="Times New Roman" w:eastAsia="Times New Roman" w:hint="default"/>
          <w:spacing w:val="-1"/>
        </w:rPr>
        <w:t>1</w:t>
      </w:r>
      <w:r>
        <w:rPr>
          <w:spacing w:val="-1"/>
        </w:rPr>
        <w:t>）该交易不是企业合并；（</w:t>
      </w:r>
      <w:r>
        <w:rPr>
          <w:rFonts w:ascii="Times New Roman" w:hAnsi="Times New Roman" w:cs="Times New Roman" w:eastAsia="Times New Roman" w:hint="default"/>
          <w:spacing w:val="-1"/>
        </w:rPr>
        <w:t>2</w:t>
      </w:r>
      <w:r>
        <w:rPr>
          <w:spacing w:val="-1"/>
        </w:rPr>
        <w:t>）交易发生时既</w:t>
      </w:r>
      <w:r>
        <w:rPr>
          <w:spacing w:val="-86"/>
        </w:rPr>
        <w:t> </w:t>
      </w:r>
      <w:r>
        <w:rPr>
          <w:spacing w:val="-86"/>
        </w:rPr>
      </w:r>
      <w:r>
        <w:rPr/>
        <w:t>不影响会计利润也不影响应纳税所得额或可抵扣亏损。</w:t>
      </w:r>
    </w:p>
    <w:p>
      <w:pPr>
        <w:pStyle w:val="Heading4"/>
        <w:spacing w:line="273" w:lineRule="auto" w:before="16"/>
        <w:ind w:right="128" w:firstLine="420"/>
        <w:jc w:val="both"/>
      </w:pPr>
      <w:r>
        <w:rPr/>
        <w:t>对于与联营企业投资相关的可抵扣暂时性差异，同时满足下列条件的，确认相应的递延所得税资产： 暂时性差异在可预见的未来很可能转回，且未来很可能获得用来抵扣可抵扣暂时性差异的应纳税所得额。</w:t>
      </w:r>
    </w:p>
    <w:p>
      <w:pPr>
        <w:spacing w:line="256" w:lineRule="auto" w:before="7"/>
        <w:ind w:left="574" w:right="1160" w:hanging="6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、确认递延所得税负债的依据</w:t>
      </w:r>
      <w:r>
        <w:rPr>
          <w:rFonts w:ascii="宋体" w:hAnsi="宋体" w:cs="宋体" w:eastAsia="宋体" w:hint="default"/>
          <w:b/>
          <w:bCs/>
          <w:w w:val="99"/>
          <w:sz w:val="21"/>
          <w:szCs w:val="21"/>
        </w:rPr>
        <w:t> </w:t>
      </w:r>
      <w:r>
        <w:rPr>
          <w:rFonts w:ascii="宋体" w:hAnsi="宋体" w:cs="宋体" w:eastAsia="宋体" w:hint="default"/>
          <w:sz w:val="21"/>
          <w:szCs w:val="21"/>
        </w:rPr>
        <w:t>公司将当期与以前期间应交未交的应纳税暂时性差异确认为递延所得税负债。但不包括：</w:t>
      </w:r>
    </w:p>
    <w:p>
      <w:pPr>
        <w:pStyle w:val="Heading4"/>
        <w:spacing w:line="240" w:lineRule="auto" w:before="22"/>
        <w:ind w:left="574" w:right="0"/>
        <w:jc w:val="left"/>
      </w:pPr>
      <w:r>
        <w:rPr/>
        <w:t>（</w:t>
      </w:r>
      <w:r>
        <w:rPr>
          <w:rFonts w:ascii="Times New Roman" w:hAnsi="Times New Roman" w:cs="Times New Roman" w:eastAsia="Times New Roman" w:hint="default"/>
        </w:rPr>
        <w:t>1</w:t>
      </w:r>
      <w:r>
        <w:rPr/>
        <w:t>）商誉的初始确认所形成的暂时性差异；</w:t>
      </w:r>
    </w:p>
    <w:p>
      <w:pPr>
        <w:pStyle w:val="Heading4"/>
        <w:spacing w:line="256" w:lineRule="auto" w:before="21"/>
        <w:ind w:right="147" w:firstLine="420"/>
        <w:jc w:val="both"/>
      </w:pPr>
      <w:r>
        <w:rPr/>
        <w:t>（</w:t>
      </w:r>
      <w:r>
        <w:rPr>
          <w:rFonts w:ascii="Times New Roman" w:hAnsi="Times New Roman" w:cs="Times New Roman" w:eastAsia="Times New Roman" w:hint="default"/>
        </w:rPr>
        <w:t>2</w:t>
      </w:r>
      <w:r>
        <w:rPr/>
        <w:t>）非企业合并形成的交易或事项，且该交易或事项发生时既不影响会计利润，也不影响应纳税所</w:t>
      </w:r>
      <w:r>
        <w:rPr>
          <w:spacing w:val="2"/>
        </w:rPr>
        <w:t> </w:t>
      </w:r>
      <w:r>
        <w:rPr/>
        <w:t>得额（或可抵扣亏损）所形成的暂时性差异；</w:t>
      </w:r>
    </w:p>
    <w:p>
      <w:pPr>
        <w:pStyle w:val="Heading4"/>
        <w:spacing w:line="256" w:lineRule="auto" w:before="22"/>
        <w:ind w:right="147" w:firstLine="420"/>
        <w:jc w:val="both"/>
      </w:pPr>
      <w:r>
        <w:rPr/>
        <w:t>（</w:t>
      </w:r>
      <w:r>
        <w:rPr>
          <w:rFonts w:ascii="Times New Roman" w:hAnsi="Times New Roman" w:cs="Times New Roman" w:eastAsia="Times New Roman" w:hint="default"/>
        </w:rPr>
        <w:t>3</w:t>
      </w:r>
      <w:r>
        <w:rPr/>
        <w:t>）对于与子公司、联营企业投资相关的应纳税暂时性差异，该暂时性差异转回的时间能够控制并</w:t>
      </w:r>
      <w:r>
        <w:rPr>
          <w:spacing w:val="2"/>
        </w:rPr>
        <w:t> </w:t>
      </w:r>
      <w:r>
        <w:rPr/>
        <w:t>且该暂时性差异在可预见的未来很可能不会转回。</w:t>
      </w:r>
    </w:p>
    <w:p>
      <w:pPr>
        <w:pStyle w:val="Heading4"/>
        <w:spacing w:line="240" w:lineRule="auto" w:before="22"/>
        <w:ind w:left="490" w:right="0"/>
        <w:jc w:val="left"/>
      </w:pPr>
      <w:r>
        <w:rPr>
          <w:rFonts w:ascii="Times New Roman" w:hAnsi="Times New Roman" w:cs="Times New Roman" w:eastAsia="Times New Roman" w:hint="default"/>
        </w:rPr>
        <w:t>3</w:t>
      </w:r>
      <w:r>
        <w:rPr/>
        <w:t>、同时满足下列条件时，将递延所得税资产及递延所得税负债以抵销后的净额列示</w:t>
      </w:r>
    </w:p>
    <w:p>
      <w:pPr>
        <w:pStyle w:val="Heading4"/>
        <w:spacing w:line="240" w:lineRule="auto" w:before="21"/>
        <w:ind w:left="574" w:right="0"/>
        <w:jc w:val="left"/>
      </w:pPr>
      <w:r>
        <w:rPr/>
        <w:t>（</w:t>
      </w:r>
      <w:r>
        <w:rPr>
          <w:rFonts w:ascii="Times New Roman" w:hAnsi="Times New Roman" w:cs="Times New Roman" w:eastAsia="Times New Roman" w:hint="default"/>
        </w:rPr>
        <w:t>1</w:t>
      </w:r>
      <w:r>
        <w:rPr/>
        <w:t>）企业拥有以净额结算当期所得税资产及当期所得税负债的法定权利；</w:t>
      </w:r>
    </w:p>
    <w:p>
      <w:pPr>
        <w:pStyle w:val="Heading4"/>
        <w:spacing w:line="264" w:lineRule="auto" w:before="21"/>
        <w:ind w:right="149" w:firstLine="336"/>
        <w:jc w:val="both"/>
      </w:pPr>
      <w:r>
        <w:rPr>
          <w:spacing w:val="-1"/>
        </w:rPr>
        <w:t>（</w:t>
      </w:r>
      <w:r>
        <w:rPr>
          <w:rFonts w:ascii="Times New Roman" w:hAnsi="Times New Roman" w:cs="Times New Roman" w:eastAsia="Times New Roman" w:hint="default"/>
          <w:spacing w:val="-1"/>
        </w:rPr>
        <w:t>2</w:t>
      </w:r>
      <w:r>
        <w:rPr>
          <w:spacing w:val="-1"/>
        </w:rPr>
        <w:t>）递延所得税资产和递延所得税负债是与同一税收征管部门对同一纳税主体征收的所得税相关或者</w:t>
      </w:r>
      <w:r>
        <w:rPr/>
        <w:t> </w:t>
      </w:r>
      <w:r>
        <w:rPr>
          <w:spacing w:val="-1"/>
        </w:rPr>
        <w:t>对不同的纳税主体相关，但在未来每一具有重要性的递延所得税资产和递延所得税负债转回的期间内，涉</w:t>
      </w:r>
      <w:r>
        <w:rPr>
          <w:spacing w:val="-81"/>
        </w:rPr>
        <w:t> </w:t>
      </w:r>
      <w:r>
        <w:rPr>
          <w:spacing w:val="-81"/>
        </w:rPr>
      </w:r>
      <w:r>
        <w:rPr/>
        <w:t>及的纳税主体体意图以净额结算当期所得税资产及当期所得税负债或是同时取得资产、清偿债务。</w:t>
      </w:r>
    </w:p>
    <w:p>
      <w:pPr>
        <w:spacing w:line="240" w:lineRule="auto" w:before="3"/>
        <w:rPr>
          <w:rFonts w:ascii="宋体" w:hAnsi="宋体" w:cs="宋体" w:eastAsia="宋体" w:hint="default"/>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4"/>
          <w:szCs w:val="24"/>
        </w:rPr>
      </w:pPr>
    </w:p>
    <w:p>
      <w:pPr>
        <w:pStyle w:val="Heading4"/>
        <w:spacing w:line="256" w:lineRule="auto" w:before="0"/>
        <w:ind w:right="149" w:firstLine="384"/>
        <w:jc w:val="both"/>
      </w:pPr>
      <w:r>
        <w:rPr>
          <w:spacing w:val="-3"/>
        </w:rPr>
        <w:t>（</w:t>
      </w:r>
      <w:r>
        <w:rPr>
          <w:rFonts w:ascii="Times New Roman" w:hAnsi="Times New Roman" w:cs="Times New Roman" w:eastAsia="Times New Roman" w:hint="default"/>
          <w:spacing w:val="-3"/>
        </w:rPr>
        <w:t>1</w:t>
      </w:r>
      <w:r>
        <w:rPr>
          <w:spacing w:val="-3"/>
        </w:rPr>
        <w:t>）公司租入资产所支付的租赁费，在不扣除免租期的整个租赁期内，按直线法进行分摊，计入当期</w:t>
      </w:r>
      <w:r>
        <w:rPr/>
        <w:t> 费用。公司支付的与租赁交易相关的初始直接费用，计入当期费用。</w:t>
      </w:r>
    </w:p>
    <w:p>
      <w:pPr>
        <w:pStyle w:val="Heading4"/>
        <w:spacing w:line="273" w:lineRule="auto" w:before="22"/>
        <w:ind w:right="149" w:firstLine="420"/>
        <w:jc w:val="both"/>
      </w:pPr>
      <w:r>
        <w:rPr>
          <w:spacing w:val="-1"/>
        </w:rPr>
        <w:t>资产出租方承担了应由公司承担的与租赁相关的费用时，公司将该部分费用从租金总额中扣除，按扣</w:t>
      </w:r>
      <w:r>
        <w:rPr/>
        <w:t> 除后的租金费用在租赁期内分摊，计入当期费用。</w:t>
      </w:r>
    </w:p>
    <w:p>
      <w:pPr>
        <w:pStyle w:val="Heading4"/>
        <w:spacing w:line="264" w:lineRule="auto"/>
        <w:ind w:right="149" w:firstLine="384"/>
        <w:jc w:val="both"/>
      </w:pPr>
      <w:r>
        <w:rPr>
          <w:spacing w:val="-3"/>
        </w:rPr>
        <w:t>（</w:t>
      </w:r>
      <w:r>
        <w:rPr>
          <w:rFonts w:ascii="Times New Roman" w:hAnsi="Times New Roman" w:cs="Times New Roman" w:eastAsia="Times New Roman" w:hint="default"/>
          <w:spacing w:val="-3"/>
        </w:rPr>
        <w:t>2</w:t>
      </w:r>
      <w:r>
        <w:rPr>
          <w:spacing w:val="-3"/>
        </w:rPr>
        <w:t>）公司出租资产所收取的租赁费，在不扣除免租期的整个租赁期内，按直线法进行分摊，确认为租</w:t>
      </w:r>
      <w:r>
        <w:rPr/>
        <w:t> </w:t>
      </w:r>
      <w:r>
        <w:rPr>
          <w:spacing w:val="-1"/>
        </w:rPr>
        <w:t>赁收入。公司支付的与租赁交易相关的初始直接费用，计入当期费用；如金额较大的，则予以资本化，在</w:t>
      </w:r>
      <w:r>
        <w:rPr>
          <w:spacing w:val="-83"/>
        </w:rPr>
        <w:t> </w:t>
      </w:r>
      <w:r>
        <w:rPr>
          <w:spacing w:val="-83"/>
        </w:rPr>
      </w:r>
      <w:r>
        <w:rPr/>
        <w:t>整个租赁期间内按照与租赁收入确认相同的基础分期计入当期收益。</w:t>
      </w:r>
    </w:p>
    <w:p>
      <w:pPr>
        <w:pStyle w:val="Heading4"/>
        <w:spacing w:line="273" w:lineRule="auto" w:before="16"/>
        <w:ind w:right="150" w:firstLine="336"/>
        <w:jc w:val="both"/>
      </w:pPr>
      <w:r>
        <w:rPr/>
        <w:t>公司承担了应由承租方承担的与租赁相关的费用时，公司将该部分费用从租金收入总额中扣除，按扣</w:t>
      </w:r>
      <w:r>
        <w:rPr>
          <w:spacing w:val="1"/>
        </w:rPr>
        <w:t> </w:t>
      </w:r>
      <w:r>
        <w:rPr/>
        <w:t>除后的租金费用在租赁期内分配。</w:t>
      </w:r>
    </w:p>
    <w:p>
      <w:pPr>
        <w:spacing w:after="0" w:line="273" w:lineRule="auto"/>
        <w:jc w:val="both"/>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102"/>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4"/>
          <w:szCs w:val="24"/>
        </w:rPr>
      </w:pPr>
    </w:p>
    <w:p>
      <w:pPr>
        <w:pStyle w:val="Heading4"/>
        <w:spacing w:line="256" w:lineRule="auto" w:before="0"/>
        <w:ind w:left="153" w:right="102" w:firstLine="420"/>
        <w:jc w:val="left"/>
      </w:pPr>
      <w:r>
        <w:rPr/>
        <w:t>（</w:t>
      </w:r>
      <w:r>
        <w:rPr>
          <w:rFonts w:ascii="Times New Roman" w:hAnsi="Times New Roman" w:cs="Times New Roman" w:eastAsia="Times New Roman" w:hint="default"/>
        </w:rPr>
        <w:t>1</w:t>
      </w:r>
      <w:r>
        <w:rPr/>
        <w:t>）融资租入资产：公司在承租开始日，将租赁资产公允价值与最低租赁付款额现值两者中较低者</w:t>
      </w:r>
      <w:r>
        <w:rPr>
          <w:spacing w:val="2"/>
        </w:rPr>
        <w:t> </w:t>
      </w:r>
      <w:r>
        <w:rPr>
          <w:spacing w:val="-3"/>
        </w:rPr>
        <w:t>作为租入资产的入账价值，将最低租赁付款额作为长期应付款的入账价值，其差额作为未确认的融资费用。</w:t>
      </w:r>
    </w:p>
    <w:p>
      <w:pPr>
        <w:pStyle w:val="Heading4"/>
        <w:spacing w:line="240" w:lineRule="auto" w:before="22"/>
        <w:ind w:left="573" w:right="102"/>
        <w:jc w:val="left"/>
      </w:pPr>
      <w:r>
        <w:rPr/>
        <w:t>公司采用实际利率法对未确认的融资费用，在资产租赁期间内摊销，计入财务费用。</w:t>
      </w:r>
    </w:p>
    <w:p>
      <w:pPr>
        <w:pStyle w:val="Heading4"/>
        <w:spacing w:line="264" w:lineRule="auto" w:before="37"/>
        <w:ind w:left="153" w:right="209" w:firstLine="336"/>
        <w:jc w:val="both"/>
      </w:pPr>
      <w:r>
        <w:rPr>
          <w:spacing w:val="-1"/>
        </w:rPr>
        <w:t>（</w:t>
      </w:r>
      <w:r>
        <w:rPr>
          <w:rFonts w:ascii="Times New Roman" w:hAnsi="Times New Roman" w:cs="Times New Roman" w:eastAsia="Times New Roman" w:hint="default"/>
          <w:spacing w:val="-1"/>
        </w:rPr>
        <w:t>2</w:t>
      </w:r>
      <w:r>
        <w:rPr>
          <w:spacing w:val="-1"/>
        </w:rPr>
        <w:t>）融资租出资产：公司在租赁开始日，将应收融资租赁款，未担保余值之和与其现值的差额确认为</w:t>
      </w:r>
      <w:r>
        <w:rPr/>
        <w:t> </w:t>
      </w:r>
      <w:r>
        <w:rPr>
          <w:spacing w:val="-1"/>
        </w:rPr>
        <w:t>未实现融资收益，在将来收到租金的各期间内确认为租赁收入，公司发生的与出租交易相关的初始直接费</w:t>
      </w:r>
      <w:r>
        <w:rPr>
          <w:spacing w:val="-81"/>
        </w:rPr>
        <w:t> </w:t>
      </w:r>
      <w:r>
        <w:rPr>
          <w:spacing w:val="-81"/>
        </w:rPr>
      </w:r>
      <w:r>
        <w:rPr/>
        <w:t>用，计入应收融资租赁款的初始计量中，并减少租赁期内确认的收益金额。</w:t>
      </w:r>
    </w:p>
    <w:p>
      <w:pPr>
        <w:spacing w:line="240" w:lineRule="auto" w:before="3"/>
        <w:rPr>
          <w:rFonts w:ascii="宋体" w:hAnsi="宋体" w:cs="宋体" w:eastAsia="宋体" w:hint="default"/>
          <w:sz w:val="24"/>
          <w:szCs w:val="24"/>
        </w:rPr>
      </w:pPr>
    </w:p>
    <w:p>
      <w:pPr>
        <w:pStyle w:val="Heading3"/>
        <w:spacing w:line="240" w:lineRule="auto"/>
        <w:ind w:left="153" w:right="102"/>
        <w:jc w:val="left"/>
        <w:rPr>
          <w:b w:val="0"/>
          <w:bCs w:val="0"/>
        </w:rPr>
      </w:pPr>
      <w:r>
        <w:rPr>
          <w:rFonts w:ascii="Times New Roman" w:hAnsi="Times New Roman" w:cs="Times New Roman" w:eastAsia="Times New Roman" w:hint="default"/>
        </w:rPr>
        <w:t>32</w:t>
      </w:r>
      <w:r>
        <w:rPr/>
        <w:t>、其他重要的会计政策和会计估计</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02"/>
        <w:jc w:val="left"/>
        <w:rPr>
          <w:b w:val="0"/>
          <w:bCs w:val="0"/>
        </w:rPr>
      </w:pP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02"/>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8"/>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9"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Heading4"/>
        <w:spacing w:line="276" w:lineRule="exact" w:before="0"/>
        <w:ind w:right="102" w:firstLine="420"/>
        <w:jc w:val="left"/>
      </w:pPr>
      <w:r>
        <w:rPr/>
        <w:t>财政部于</w:t>
      </w:r>
      <w:r>
        <w:rPr>
          <w:rFonts w:ascii="Times New Roman" w:hAnsi="Times New Roman" w:cs="Times New Roman" w:eastAsia="Times New Roman" w:hint="default"/>
        </w:rPr>
        <w:t>2014</w:t>
      </w:r>
      <w:r>
        <w:rPr/>
        <w:t>年陆续颁布或修订了一系列企业会计准则，本公司已按要求于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日执行新的该</w:t>
      </w:r>
    </w:p>
    <w:p>
      <w:pPr>
        <w:pStyle w:val="Heading4"/>
        <w:spacing w:line="273" w:lineRule="auto" w:before="21"/>
        <w:ind w:right="102"/>
        <w:jc w:val="left"/>
      </w:pPr>
      <w:r>
        <w:rPr>
          <w:spacing w:val="-1"/>
        </w:rPr>
        <w:t>等企业会计准则，并按照新准则的衔接规定对比较财务报表进行调整。执行新准则对比较财务报表影响说</w:t>
      </w:r>
      <w:r>
        <w:rPr>
          <w:spacing w:val="-81"/>
        </w:rPr>
        <w:t> </w:t>
      </w:r>
      <w:r>
        <w:rPr>
          <w:spacing w:val="-81"/>
        </w:rPr>
      </w:r>
      <w:r>
        <w:rPr/>
        <w:t>明如下：</w:t>
      </w:r>
    </w:p>
    <w:p>
      <w:pPr>
        <w:pStyle w:val="Heading4"/>
        <w:spacing w:line="256" w:lineRule="auto" w:before="127"/>
        <w:ind w:left="153" w:right="102" w:firstLine="420"/>
        <w:jc w:val="left"/>
      </w:pPr>
      <w:r>
        <w:rPr>
          <w:rFonts w:ascii="Times New Roman" w:hAnsi="Times New Roman" w:cs="Times New Roman" w:eastAsia="Times New Roman" w:hint="default"/>
        </w:rPr>
        <w:t>1</w:t>
      </w:r>
      <w:r>
        <w:rPr/>
        <w:t>）本公司根据修订后的《企业会计准则第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财务报表列报》，根据列报要求将递延收益单独列</w:t>
      </w:r>
      <w:r>
        <w:rPr>
          <w:spacing w:val="2"/>
        </w:rPr>
        <w:t> </w:t>
      </w:r>
      <w:r>
        <w:rPr/>
        <w:t>报，并对年初数采用追溯调整法进行调整列报，追溯调整影响如下：</w:t>
      </w:r>
    </w:p>
    <w:p>
      <w:pPr>
        <w:spacing w:line="240" w:lineRule="auto" w:before="11"/>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2471"/>
        <w:gridCol w:w="1590"/>
        <w:gridCol w:w="1592"/>
        <w:gridCol w:w="1590"/>
        <w:gridCol w:w="1590"/>
      </w:tblGrid>
      <w:tr>
        <w:trPr>
          <w:trHeight w:val="355" w:hRule="exact"/>
        </w:trPr>
        <w:tc>
          <w:tcPr>
            <w:tcW w:w="2471" w:type="dxa"/>
            <w:vMerge w:val="restart"/>
            <w:tcBorders>
              <w:top w:val="single" w:sz="6" w:space="0" w:color="000000"/>
              <w:left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82"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0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3180"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9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52" w:hRule="exact"/>
        </w:trPr>
        <w:tc>
          <w:tcPr>
            <w:tcW w:w="2471" w:type="dxa"/>
            <w:vMerge/>
            <w:tcBorders>
              <w:left w:val="single" w:sz="6" w:space="0" w:color="000000"/>
              <w:bottom w:val="single" w:sz="12" w:space="0" w:color="000000"/>
              <w:right w:val="single" w:sz="6" w:space="0" w:color="000000"/>
            </w:tcBorders>
          </w:tcPr>
          <w:p>
            <w:pPr/>
          </w:p>
        </w:tc>
        <w:tc>
          <w:tcPr>
            <w:tcW w:w="15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518"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5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519"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5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517"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5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517"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353" w:hRule="exact"/>
        </w:trPr>
        <w:tc>
          <w:tcPr>
            <w:tcW w:w="24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5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5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9,450,000.00</w:t>
            </w:r>
          </w:p>
        </w:tc>
        <w:tc>
          <w:tcPr>
            <w:tcW w:w="15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w:t>
            </w:r>
          </w:p>
        </w:tc>
        <w:tc>
          <w:tcPr>
            <w:tcW w:w="15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12,870,000.00</w:t>
            </w:r>
          </w:p>
        </w:tc>
      </w:tr>
      <w:tr>
        <w:trPr>
          <w:trHeight w:val="352" w:hRule="exact"/>
        </w:trPr>
        <w:tc>
          <w:tcPr>
            <w:tcW w:w="24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5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9,450,000.00</w:t>
            </w:r>
          </w:p>
        </w:tc>
        <w:tc>
          <w:tcPr>
            <w:tcW w:w="15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5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12,870,000.00</w:t>
            </w:r>
          </w:p>
        </w:tc>
        <w:tc>
          <w:tcPr>
            <w:tcW w:w="15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z w:val="18"/>
              </w:rPr>
              <w:t>---</w:t>
            </w:r>
          </w:p>
        </w:tc>
      </w:tr>
      <w:tr>
        <w:trPr>
          <w:trHeight w:val="352" w:hRule="exact"/>
        </w:trPr>
        <w:tc>
          <w:tcPr>
            <w:tcW w:w="24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9,450,000.00</w:t>
            </w:r>
          </w:p>
        </w:tc>
        <w:tc>
          <w:tcPr>
            <w:tcW w:w="15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9,450,000.00</w:t>
            </w:r>
          </w:p>
        </w:tc>
        <w:tc>
          <w:tcPr>
            <w:tcW w:w="15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12,870,000.00</w:t>
            </w:r>
          </w:p>
        </w:tc>
        <w:tc>
          <w:tcPr>
            <w:tcW w:w="15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12,870,000.00</w:t>
            </w:r>
          </w:p>
        </w:tc>
      </w:tr>
    </w:tbl>
    <w:p>
      <w:pPr>
        <w:spacing w:line="240" w:lineRule="auto" w:before="4"/>
        <w:rPr>
          <w:rFonts w:ascii="宋体" w:hAnsi="宋体" w:cs="宋体" w:eastAsia="宋体" w:hint="default"/>
          <w:sz w:val="5"/>
          <w:szCs w:val="5"/>
        </w:rPr>
      </w:pPr>
    </w:p>
    <w:p>
      <w:pPr>
        <w:pStyle w:val="Heading4"/>
        <w:spacing w:line="266" w:lineRule="auto" w:before="35"/>
        <w:ind w:right="209" w:firstLine="419"/>
        <w:jc w:val="both"/>
      </w:pPr>
      <w:r>
        <w:rPr>
          <w:rFonts w:ascii="Times New Roman" w:hAnsi="Times New Roman" w:cs="Times New Roman" w:eastAsia="Times New Roman" w:hint="default"/>
        </w:rPr>
        <w:t>2</w:t>
      </w:r>
      <w:r>
        <w:rPr/>
        <w:t>）</w:t>
      </w:r>
      <w:r>
        <w:rPr>
          <w:spacing w:val="-22"/>
        </w:rPr>
        <w:t> </w:t>
      </w:r>
      <w:r>
        <w:rPr/>
        <w:t>本公司根据新修订的《长期股权投资准则》，将原成本法核算的对被投资单位不具有控制、共同</w:t>
      </w:r>
      <w:r>
        <w:rPr/>
        <w:t> </w:t>
      </w:r>
      <w:r>
        <w:rPr>
          <w:spacing w:val="-1"/>
        </w:rPr>
        <w:t>控制或重大影响的权益性投资纳入可供出售金融资产核算，其中：在活跃市场中没有报价、公允价值不能</w:t>
      </w:r>
      <w:r>
        <w:rPr>
          <w:spacing w:val="-83"/>
        </w:rPr>
        <w:t> </w:t>
      </w:r>
      <w:r>
        <w:rPr>
          <w:spacing w:val="-83"/>
        </w:rPr>
      </w:r>
      <w:r>
        <w:rPr>
          <w:spacing w:val="-1"/>
        </w:rPr>
        <w:t>可靠计量的权益工具按照成本进行后续计量，其他权益工具按公允价值进行后续计量。上述会计政策变更</w:t>
      </w:r>
      <w:r>
        <w:rPr>
          <w:spacing w:val="-81"/>
        </w:rPr>
        <w:t> </w:t>
      </w:r>
      <w:r>
        <w:rPr>
          <w:spacing w:val="-81"/>
        </w:rPr>
      </w:r>
      <w:r>
        <w:rPr/>
        <w:t>追溯调整影响如下：</w:t>
      </w:r>
    </w:p>
    <w:p>
      <w:pPr>
        <w:spacing w:line="240" w:lineRule="auto" w:before="3"/>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2471"/>
        <w:gridCol w:w="1590"/>
        <w:gridCol w:w="1592"/>
        <w:gridCol w:w="1590"/>
        <w:gridCol w:w="1590"/>
      </w:tblGrid>
      <w:tr>
        <w:trPr>
          <w:trHeight w:val="356" w:hRule="exact"/>
        </w:trPr>
        <w:tc>
          <w:tcPr>
            <w:tcW w:w="2471" w:type="dxa"/>
            <w:vMerge w:val="restart"/>
            <w:tcBorders>
              <w:top w:val="single" w:sz="6" w:space="0" w:color="000000"/>
              <w:left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82"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0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3180"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9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52" w:hRule="exact"/>
        </w:trPr>
        <w:tc>
          <w:tcPr>
            <w:tcW w:w="2471" w:type="dxa"/>
            <w:vMerge/>
            <w:tcBorders>
              <w:left w:val="single" w:sz="6" w:space="0" w:color="000000"/>
              <w:bottom w:val="single" w:sz="12" w:space="0" w:color="000000"/>
              <w:right w:val="single" w:sz="6" w:space="0" w:color="000000"/>
            </w:tcBorders>
          </w:tcPr>
          <w:p>
            <w:pPr/>
          </w:p>
        </w:tc>
        <w:tc>
          <w:tcPr>
            <w:tcW w:w="15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518"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5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519"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5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517"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5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517"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352" w:hRule="exact"/>
        </w:trPr>
        <w:tc>
          <w:tcPr>
            <w:tcW w:w="24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5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5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3,121,250.00</w:t>
            </w:r>
          </w:p>
        </w:tc>
        <w:tc>
          <w:tcPr>
            <w:tcW w:w="15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w:t>
            </w:r>
          </w:p>
        </w:tc>
        <w:tc>
          <w:tcPr>
            <w:tcW w:w="15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3,121,250.00</w:t>
            </w:r>
          </w:p>
        </w:tc>
      </w:tr>
      <w:tr>
        <w:trPr>
          <w:trHeight w:val="353" w:hRule="exact"/>
        </w:trPr>
        <w:tc>
          <w:tcPr>
            <w:tcW w:w="24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5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3,121,250.00</w:t>
            </w:r>
          </w:p>
        </w:tc>
        <w:tc>
          <w:tcPr>
            <w:tcW w:w="15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5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3,121,250.00</w:t>
            </w:r>
          </w:p>
        </w:tc>
        <w:tc>
          <w:tcPr>
            <w:tcW w:w="15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z w:val="18"/>
              </w:rPr>
              <w:t>---</w:t>
            </w:r>
          </w:p>
        </w:tc>
      </w:tr>
      <w:tr>
        <w:trPr>
          <w:trHeight w:val="352" w:hRule="exact"/>
        </w:trPr>
        <w:tc>
          <w:tcPr>
            <w:tcW w:w="24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3,121,250.00</w:t>
            </w:r>
          </w:p>
        </w:tc>
        <w:tc>
          <w:tcPr>
            <w:tcW w:w="15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3,121,250.00</w:t>
            </w:r>
          </w:p>
        </w:tc>
        <w:tc>
          <w:tcPr>
            <w:tcW w:w="15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3,121,250.00</w:t>
            </w:r>
          </w:p>
        </w:tc>
        <w:tc>
          <w:tcPr>
            <w:tcW w:w="15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pacing w:val="-1"/>
                <w:sz w:val="18"/>
              </w:rPr>
              <w:t>3,121,250.00</w:t>
            </w:r>
          </w:p>
        </w:tc>
      </w:tr>
    </w:tbl>
    <w:p>
      <w:pPr>
        <w:spacing w:line="240" w:lineRule="auto" w:before="2"/>
        <w:rPr>
          <w:rFonts w:ascii="宋体" w:hAnsi="宋体" w:cs="宋体" w:eastAsia="宋体" w:hint="default"/>
          <w:sz w:val="19"/>
          <w:szCs w:val="19"/>
        </w:rPr>
      </w:pPr>
    </w:p>
    <w:p>
      <w:pPr>
        <w:pStyle w:val="Heading3"/>
        <w:spacing w:line="240" w:lineRule="auto" w:before="35"/>
        <w:ind w:right="102"/>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6"/>
        <w:gridCol w:w="2388"/>
        <w:gridCol w:w="2392"/>
        <w:gridCol w:w="2392"/>
      </w:tblGrid>
      <w:tr>
        <w:trPr>
          <w:trHeight w:val="402" w:hRule="exact"/>
        </w:trPr>
        <w:tc>
          <w:tcPr>
            <w:tcW w:w="23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2" w:right="0"/>
              <w:jc w:val="left"/>
              <w:rPr>
                <w:rFonts w:ascii="宋体" w:hAnsi="宋体" w:cs="宋体" w:eastAsia="宋体" w:hint="default"/>
                <w:sz w:val="18"/>
                <w:szCs w:val="18"/>
              </w:rPr>
            </w:pPr>
            <w:r>
              <w:rPr>
                <w:rFonts w:ascii="宋体" w:hAnsi="宋体" w:cs="宋体" w:eastAsia="宋体" w:hint="default"/>
                <w:sz w:val="18"/>
                <w:szCs w:val="18"/>
              </w:rPr>
              <w:t>会计估计变更的内容和原因</w:t>
            </w:r>
          </w:p>
        </w:tc>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开始适用的时点</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2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6"/>
        <w:gridCol w:w="2388"/>
        <w:gridCol w:w="2392"/>
        <w:gridCol w:w="2392"/>
      </w:tblGrid>
      <w:tr>
        <w:trPr>
          <w:trHeight w:val="358" w:hRule="exact"/>
        </w:trPr>
        <w:tc>
          <w:tcPr>
            <w:tcW w:w="23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公司房屋及建筑物资产重新核</w:t>
            </w:r>
          </w:p>
        </w:tc>
        <w:tc>
          <w:tcPr>
            <w:tcW w:w="2388" w:type="dxa"/>
            <w:tcBorders>
              <w:top w:val="single" w:sz="4" w:space="0" w:color="000000"/>
              <w:left w:val="single" w:sz="4" w:space="0" w:color="000000"/>
              <w:bottom w:val="nil" w:sz="6" w:space="0" w:color="auto"/>
              <w:right w:val="single" w:sz="4" w:space="0" w:color="000000"/>
            </w:tcBorders>
          </w:tcPr>
          <w:p>
            <w:pPr/>
          </w:p>
        </w:tc>
        <w:tc>
          <w:tcPr>
            <w:tcW w:w="2392" w:type="dxa"/>
            <w:tcBorders>
              <w:top w:val="single" w:sz="4" w:space="0" w:color="000000"/>
              <w:left w:val="single" w:sz="4" w:space="0" w:color="000000"/>
              <w:bottom w:val="nil" w:sz="6" w:space="0" w:color="auto"/>
              <w:right w:val="single" w:sz="4" w:space="0" w:color="000000"/>
            </w:tcBorders>
          </w:tcPr>
          <w:p>
            <w:pPr/>
          </w:p>
        </w:tc>
        <w:tc>
          <w:tcPr>
            <w:tcW w:w="2392" w:type="dxa"/>
            <w:vMerge w:val="restart"/>
            <w:tcBorders>
              <w:top w:val="single" w:sz="4" w:space="0" w:color="000000"/>
              <w:left w:val="single" w:sz="4" w:space="0" w:color="000000"/>
              <w:right w:val="single" w:sz="4" w:space="0" w:color="000000"/>
            </w:tcBorders>
          </w:tcPr>
          <w:p>
            <w:pPr/>
          </w:p>
        </w:tc>
      </w:tr>
      <w:tr>
        <w:trPr>
          <w:trHeight w:val="630" w:hRule="exact"/>
        </w:trPr>
        <w:tc>
          <w:tcPr>
            <w:tcW w:w="239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定资产折旧年限，变更前折旧 年限为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年，变更后折旧年限</w:t>
            </w:r>
          </w:p>
        </w:tc>
        <w:tc>
          <w:tcPr>
            <w:tcW w:w="2388"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193"/>
              <w:jc w:val="left"/>
              <w:rPr>
                <w:rFonts w:ascii="宋体" w:hAnsi="宋体" w:cs="宋体" w:eastAsia="宋体" w:hint="default"/>
                <w:sz w:val="18"/>
                <w:szCs w:val="18"/>
              </w:rPr>
            </w:pPr>
            <w:r>
              <w:rPr>
                <w:rFonts w:ascii="宋体" w:hAnsi="宋体" w:cs="宋体" w:eastAsia="宋体" w:hint="default"/>
                <w:sz w:val="18"/>
                <w:szCs w:val="18"/>
              </w:rPr>
              <w:t>通过公司第三届董事会第六 次会议审议通过</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vMerge/>
            <w:tcBorders>
              <w:left w:val="single" w:sz="4" w:space="0" w:color="000000"/>
              <w:right w:val="single" w:sz="4" w:space="0" w:color="000000"/>
            </w:tcBorders>
          </w:tcPr>
          <w:p>
            <w:pPr/>
          </w:p>
        </w:tc>
      </w:tr>
      <w:tr>
        <w:trPr>
          <w:trHeight w:val="351" w:hRule="exact"/>
        </w:trPr>
        <w:tc>
          <w:tcPr>
            <w:tcW w:w="23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88" w:type="dxa"/>
            <w:tcBorders>
              <w:top w:val="nil" w:sz="6" w:space="0" w:color="auto"/>
              <w:left w:val="single" w:sz="4" w:space="0" w:color="000000"/>
              <w:bottom w:val="single" w:sz="4" w:space="0" w:color="000000"/>
              <w:right w:val="single" w:sz="4" w:space="0" w:color="000000"/>
            </w:tcBorders>
          </w:tcPr>
          <w:p>
            <w:pPr/>
          </w:p>
        </w:tc>
        <w:tc>
          <w:tcPr>
            <w:tcW w:w="2392" w:type="dxa"/>
            <w:tcBorders>
              <w:top w:val="nil" w:sz="6" w:space="0" w:color="auto"/>
              <w:left w:val="single" w:sz="4" w:space="0" w:color="000000"/>
              <w:bottom w:val="single" w:sz="4" w:space="0" w:color="000000"/>
              <w:right w:val="single" w:sz="4" w:space="0" w:color="000000"/>
            </w:tcBorders>
          </w:tcPr>
          <w:p>
            <w:pPr/>
          </w:p>
        </w:tc>
        <w:tc>
          <w:tcPr>
            <w:tcW w:w="2392" w:type="dxa"/>
            <w:vMerge/>
            <w:tcBorders>
              <w:left w:val="single" w:sz="4" w:space="0" w:color="000000"/>
              <w:bottom w:val="single" w:sz="4" w:space="0" w:color="000000"/>
              <w:right w:val="single" w:sz="4" w:space="0" w:color="000000"/>
            </w:tcBorders>
          </w:tcPr>
          <w:p>
            <w:pPr/>
          </w:p>
        </w:tc>
      </w:tr>
    </w:tbl>
    <w:p>
      <w:pPr>
        <w:pStyle w:val="Heading4"/>
        <w:spacing w:line="276" w:lineRule="exact" w:before="0"/>
        <w:ind w:left="153" w:right="0" w:firstLine="42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17</w:t>
      </w:r>
      <w:r>
        <w:rPr/>
        <w:t>日，经第三届董事会第六次会议决议，通过《关于变更固定资产折旧年限的议案》，由</w:t>
      </w:r>
    </w:p>
    <w:p>
      <w:pPr>
        <w:pStyle w:val="Heading4"/>
        <w:spacing w:line="256" w:lineRule="auto" w:before="21"/>
        <w:ind w:left="153" w:right="0"/>
        <w:jc w:val="left"/>
      </w:pPr>
      <w:r>
        <w:rPr>
          <w:spacing w:val="2"/>
        </w:rPr>
        <w:t>于公司现有房屋及建筑物资产折旧年限与房屋及建筑物资产的预计实际使用年限相差较远</w:t>
      </w:r>
      <w:r>
        <w:rPr>
          <w:rFonts w:ascii="Times New Roman" w:hAnsi="Times New Roman" w:cs="Times New Roman" w:eastAsia="Times New Roman" w:hint="default"/>
          <w:spacing w:val="2"/>
        </w:rPr>
        <w:t>,</w:t>
      </w:r>
      <w:r>
        <w:rPr>
          <w:spacing w:val="2"/>
        </w:rPr>
        <w:t>为了更科学的</w:t>
      </w:r>
      <w:r>
        <w:rPr>
          <w:spacing w:val="-81"/>
        </w:rPr>
        <w:t> </w:t>
      </w:r>
      <w:r>
        <w:rPr>
          <w:spacing w:val="-81"/>
        </w:rPr>
      </w:r>
      <w:r>
        <w:rPr/>
        <w:t>核算公司资产</w:t>
      </w:r>
      <w:r>
        <w:rPr>
          <w:rFonts w:ascii="Times New Roman" w:hAnsi="Times New Roman" w:cs="Times New Roman" w:eastAsia="Times New Roman" w:hint="default"/>
        </w:rPr>
        <w:t>,</w:t>
      </w:r>
      <w:r>
        <w:rPr/>
        <w:t>更准确的反映公司财务状况，将</w:t>
      </w:r>
      <w:r>
        <w:rPr>
          <w:rFonts w:ascii="Times New Roman" w:hAnsi="Times New Roman" w:cs="Times New Roman" w:eastAsia="Times New Roman" w:hint="default"/>
        </w:rPr>
        <w:t>“</w:t>
      </w:r>
      <w:r>
        <w:rPr/>
        <w:t>固定资产使用年限</w:t>
      </w:r>
      <w:r>
        <w:rPr>
          <w:rFonts w:ascii="Times New Roman" w:hAnsi="Times New Roman" w:cs="Times New Roman" w:eastAsia="Times New Roman" w:hint="default"/>
        </w:rPr>
        <w:t>”</w:t>
      </w:r>
      <w:r>
        <w:rPr/>
        <w:t>会计估计予以变更：</w:t>
      </w:r>
    </w:p>
    <w:tbl>
      <w:tblPr>
        <w:tblW w:w="0" w:type="auto"/>
        <w:jc w:val="left"/>
        <w:tblInd w:w="146" w:type="dxa"/>
        <w:tblLayout w:type="fixed"/>
        <w:tblCellMar>
          <w:top w:w="0" w:type="dxa"/>
          <w:left w:w="0" w:type="dxa"/>
          <w:bottom w:w="0" w:type="dxa"/>
          <w:right w:w="0" w:type="dxa"/>
        </w:tblCellMar>
        <w:tblLook w:val="01E0"/>
      </w:tblPr>
      <w:tblGrid>
        <w:gridCol w:w="2471"/>
        <w:gridCol w:w="1590"/>
        <w:gridCol w:w="1592"/>
        <w:gridCol w:w="1590"/>
        <w:gridCol w:w="1590"/>
      </w:tblGrid>
      <w:tr>
        <w:trPr>
          <w:trHeight w:val="355" w:hRule="exact"/>
        </w:trPr>
        <w:tc>
          <w:tcPr>
            <w:tcW w:w="2471" w:type="dxa"/>
            <w:vMerge w:val="restart"/>
            <w:tcBorders>
              <w:top w:val="single" w:sz="6" w:space="0" w:color="000000"/>
              <w:left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资产类别</w:t>
            </w:r>
          </w:p>
        </w:tc>
        <w:tc>
          <w:tcPr>
            <w:tcW w:w="3182"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变更前</w:t>
            </w:r>
          </w:p>
        </w:tc>
        <w:tc>
          <w:tcPr>
            <w:tcW w:w="3180"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7"/>
              <w:jc w:val="center"/>
              <w:rPr>
                <w:rFonts w:ascii="宋体" w:hAnsi="宋体" w:cs="宋体" w:eastAsia="宋体" w:hint="default"/>
                <w:sz w:val="18"/>
                <w:szCs w:val="18"/>
              </w:rPr>
            </w:pPr>
            <w:r>
              <w:rPr>
                <w:rFonts w:ascii="宋体" w:hAnsi="宋体" w:cs="宋体" w:eastAsia="宋体" w:hint="default"/>
                <w:sz w:val="18"/>
                <w:szCs w:val="18"/>
              </w:rPr>
              <w:t>变更后</w:t>
            </w:r>
          </w:p>
        </w:tc>
      </w:tr>
      <w:tr>
        <w:trPr>
          <w:trHeight w:val="353" w:hRule="exact"/>
        </w:trPr>
        <w:tc>
          <w:tcPr>
            <w:tcW w:w="2471" w:type="dxa"/>
            <w:vMerge/>
            <w:tcBorders>
              <w:left w:val="single" w:sz="6" w:space="0" w:color="000000"/>
              <w:bottom w:val="single" w:sz="12" w:space="0" w:color="000000"/>
              <w:right w:val="single" w:sz="6" w:space="0" w:color="000000"/>
            </w:tcBorders>
          </w:tcPr>
          <w:p>
            <w:pPr/>
          </w:p>
        </w:tc>
        <w:tc>
          <w:tcPr>
            <w:tcW w:w="15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58" w:right="0"/>
              <w:jc w:val="left"/>
              <w:rPr>
                <w:rFonts w:ascii="宋体" w:hAnsi="宋体" w:cs="宋体" w:eastAsia="宋体" w:hint="default"/>
                <w:sz w:val="18"/>
                <w:szCs w:val="18"/>
              </w:rPr>
            </w:pPr>
            <w:r>
              <w:rPr>
                <w:rFonts w:ascii="宋体" w:hAnsi="宋体" w:cs="宋体" w:eastAsia="宋体" w:hint="default"/>
                <w:sz w:val="18"/>
                <w:szCs w:val="18"/>
              </w:rPr>
              <w:t>使用年限（年）</w:t>
            </w:r>
          </w:p>
        </w:tc>
        <w:tc>
          <w:tcPr>
            <w:tcW w:w="15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29" w:right="0"/>
              <w:jc w:val="left"/>
              <w:rPr>
                <w:rFonts w:ascii="宋体" w:hAnsi="宋体" w:cs="宋体" w:eastAsia="宋体" w:hint="default"/>
                <w:sz w:val="18"/>
                <w:szCs w:val="18"/>
              </w:rPr>
            </w:pPr>
            <w:r>
              <w:rPr>
                <w:rFonts w:ascii="宋体" w:hAnsi="宋体" w:cs="宋体" w:eastAsia="宋体" w:hint="default"/>
                <w:sz w:val="18"/>
                <w:szCs w:val="18"/>
              </w:rPr>
              <w:t>年折旧率</w:t>
            </w:r>
          </w:p>
        </w:tc>
        <w:tc>
          <w:tcPr>
            <w:tcW w:w="15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57" w:right="0"/>
              <w:jc w:val="left"/>
              <w:rPr>
                <w:rFonts w:ascii="宋体" w:hAnsi="宋体" w:cs="宋体" w:eastAsia="宋体" w:hint="default"/>
                <w:sz w:val="18"/>
                <w:szCs w:val="18"/>
              </w:rPr>
            </w:pPr>
            <w:r>
              <w:rPr>
                <w:rFonts w:ascii="宋体" w:hAnsi="宋体" w:cs="宋体" w:eastAsia="宋体" w:hint="default"/>
                <w:sz w:val="18"/>
                <w:szCs w:val="18"/>
              </w:rPr>
              <w:t>使用年限（年）</w:t>
            </w:r>
          </w:p>
        </w:tc>
        <w:tc>
          <w:tcPr>
            <w:tcW w:w="15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427"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352" w:hRule="exact"/>
        </w:trPr>
        <w:tc>
          <w:tcPr>
            <w:tcW w:w="24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20</w:t>
            </w:r>
          </w:p>
        </w:tc>
        <w:tc>
          <w:tcPr>
            <w:tcW w:w="15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1021" w:right="0"/>
              <w:jc w:val="left"/>
              <w:rPr>
                <w:rFonts w:ascii="Times New Roman" w:hAnsi="Times New Roman" w:cs="Times New Roman" w:eastAsia="Times New Roman" w:hint="default"/>
                <w:sz w:val="18"/>
                <w:szCs w:val="18"/>
              </w:rPr>
            </w:pPr>
            <w:r>
              <w:rPr>
                <w:rFonts w:ascii="Times New Roman"/>
                <w:sz w:val="18"/>
              </w:rPr>
              <w:t>4.750%</w:t>
            </w:r>
          </w:p>
        </w:tc>
        <w:tc>
          <w:tcPr>
            <w:tcW w:w="15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40</w:t>
            </w:r>
          </w:p>
        </w:tc>
        <w:tc>
          <w:tcPr>
            <w:tcW w:w="15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1017" w:right="0"/>
              <w:jc w:val="left"/>
              <w:rPr>
                <w:rFonts w:ascii="Times New Roman" w:hAnsi="Times New Roman" w:cs="Times New Roman" w:eastAsia="Times New Roman" w:hint="default"/>
                <w:sz w:val="18"/>
                <w:szCs w:val="18"/>
              </w:rPr>
            </w:pPr>
            <w:r>
              <w:rPr>
                <w:rFonts w:ascii="Times New Roman"/>
                <w:sz w:val="18"/>
              </w:rPr>
              <w:t>2.375%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spacing w:line="487" w:lineRule="auto" w:before="35"/>
        <w:ind w:left="154" w:right="798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6"/>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销售货物、应税劳务收入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应纳税营业额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right="0"/>
        <w:jc w:val="left"/>
      </w:pPr>
      <w:r>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深圳市易联技术有限公司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南京市新国都技术有限公司</w:t>
            </w:r>
          </w:p>
        </w:tc>
        <w:tc>
          <w:tcPr>
            <w:tcW w:w="47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广州市新国都信息科技有限公司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苏州新国都电子技术有限公司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3"/>
        <w:spacing w:line="240" w:lineRule="auto" w:before="35"/>
        <w:ind w:right="0"/>
        <w:jc w:val="both"/>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4"/>
          <w:szCs w:val="24"/>
        </w:rPr>
      </w:pPr>
    </w:p>
    <w:p>
      <w:pPr>
        <w:pStyle w:val="Heading4"/>
        <w:spacing w:line="256" w:lineRule="auto" w:before="0"/>
        <w:ind w:left="573" w:right="0"/>
        <w:jc w:val="left"/>
      </w:pPr>
      <w:r>
        <w:rPr>
          <w:rFonts w:ascii="Times New Roman" w:hAnsi="Times New Roman" w:cs="Times New Roman" w:eastAsia="Times New Roman" w:hint="default"/>
        </w:rPr>
        <w:t>(1)</w:t>
      </w:r>
      <w:r>
        <w:rPr/>
        <w:t>增值税 </w:t>
      </w:r>
      <w:r>
        <w:rPr>
          <w:spacing w:val="-2"/>
        </w:rPr>
        <w:t>根据国发</w:t>
      </w:r>
      <w:r>
        <w:rPr>
          <w:rFonts w:ascii="Times New Roman" w:hAnsi="Times New Roman" w:cs="Times New Roman" w:eastAsia="Times New Roman" w:hint="default"/>
          <w:spacing w:val="-2"/>
        </w:rPr>
        <w:t>[2011]4</w:t>
      </w:r>
      <w:r>
        <w:rPr>
          <w:spacing w:val="-2"/>
        </w:rPr>
        <w:t>号《国务院关于印发进一步鼓励软件产业和集成电路产业发展若干政策的通知》的规</w:t>
      </w:r>
    </w:p>
    <w:p>
      <w:pPr>
        <w:pStyle w:val="Heading4"/>
        <w:spacing w:line="256" w:lineRule="auto" w:before="5"/>
        <w:ind w:left="153" w:right="147"/>
        <w:jc w:val="both"/>
      </w:pPr>
      <w:r>
        <w:rPr>
          <w:spacing w:val="-1"/>
        </w:rPr>
        <w:t>定，对增值税一般纳税人销售其自行开发的软件产品，按</w:t>
      </w:r>
      <w:r>
        <w:rPr>
          <w:rFonts w:ascii="Times New Roman" w:hAnsi="Times New Roman" w:cs="Times New Roman" w:eastAsia="Times New Roman" w:hint="default"/>
          <w:spacing w:val="-1"/>
        </w:rPr>
        <w:t>17</w:t>
      </w:r>
      <w:r>
        <w:rPr>
          <w:spacing w:val="-1"/>
        </w:rPr>
        <w:t>％的法定税率征收增值税，对其增值税实际税</w:t>
      </w:r>
      <w:r>
        <w:rPr>
          <w:spacing w:val="-85"/>
        </w:rPr>
        <w:t> </w:t>
      </w:r>
      <w:r>
        <w:rPr>
          <w:spacing w:val="-85"/>
        </w:rPr>
      </w:r>
      <w:r>
        <w:rPr/>
        <w:t>负超过</w:t>
      </w:r>
      <w:r>
        <w:rPr>
          <w:rFonts w:ascii="Times New Roman" w:hAnsi="Times New Roman" w:cs="Times New Roman" w:eastAsia="Times New Roman" w:hint="default"/>
        </w:rPr>
        <w:t>3</w:t>
      </w:r>
      <w:r>
        <w:rPr/>
        <w:t>％的部分即征即退，由企业用于研究开发软件产品和扩大再生产，不作为企业所得税应征收入，</w:t>
      </w:r>
      <w:r>
        <w:rPr>
          <w:spacing w:val="-35"/>
        </w:rPr>
        <w:t> </w:t>
      </w:r>
      <w:r>
        <w:rPr>
          <w:spacing w:val="-35"/>
        </w:rPr>
      </w:r>
      <w:r>
        <w:rPr/>
        <w:t>不予征收企业所得税。</w:t>
      </w:r>
    </w:p>
    <w:p>
      <w:pPr>
        <w:spacing w:after="0" w:line="256" w:lineRule="auto"/>
        <w:jc w:val="both"/>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4"/>
        <w:spacing w:line="261" w:lineRule="auto" w:before="35"/>
        <w:ind w:left="153" w:right="207" w:firstLine="420"/>
        <w:jc w:val="both"/>
      </w:pPr>
      <w:r>
        <w:rPr/>
        <w:t>本公司于</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8</w:t>
      </w:r>
      <w:r>
        <w:rPr/>
        <w:t>月通过软件企业认证</w:t>
      </w:r>
      <w:r>
        <w:rPr>
          <w:rFonts w:ascii="Times New Roman" w:hAnsi="Times New Roman" w:cs="Times New Roman" w:eastAsia="Times New Roman" w:hint="default"/>
        </w:rPr>
        <w:t>(</w:t>
      </w:r>
      <w:r>
        <w:rPr/>
        <w:t>证书号码深</w:t>
      </w:r>
      <w:r>
        <w:rPr>
          <w:rFonts w:ascii="Times New Roman" w:hAnsi="Times New Roman" w:cs="Times New Roman" w:eastAsia="Times New Roman" w:hint="default"/>
        </w:rPr>
        <w:t>R-2001-0043)</w:t>
      </w:r>
      <w:r>
        <w:rPr/>
        <w:t>，本公司的软件产品新国都</w:t>
      </w:r>
      <w:r>
        <w:rPr>
          <w:rFonts w:ascii="Times New Roman" w:hAnsi="Times New Roman" w:cs="Times New Roman" w:eastAsia="Times New Roman" w:hint="default"/>
        </w:rPr>
        <w:t>POS</w:t>
      </w:r>
      <w:r>
        <w:rPr/>
        <w:t>软件</w:t>
      </w:r>
      <w:r>
        <w:rPr>
          <w:spacing w:val="3"/>
        </w:rPr>
        <w:t> </w:t>
      </w:r>
      <w:r>
        <w:rPr>
          <w:rFonts w:ascii="Times New Roman" w:hAnsi="Times New Roman" w:cs="Times New Roman" w:eastAsia="Times New Roman" w:hint="default"/>
          <w:spacing w:val="-1"/>
        </w:rPr>
        <w:t>V2.0</w:t>
      </w:r>
      <w:r>
        <w:rPr>
          <w:spacing w:val="-1"/>
        </w:rPr>
        <w:t>于</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12</w:t>
      </w:r>
      <w:r>
        <w:rPr>
          <w:spacing w:val="-1"/>
        </w:rPr>
        <w:t>月通过了深圳市科技局的软件产品认证</w:t>
      </w:r>
      <w:r>
        <w:rPr>
          <w:rFonts w:ascii="Times New Roman" w:hAnsi="Times New Roman" w:cs="Times New Roman" w:eastAsia="Times New Roman" w:hint="default"/>
          <w:spacing w:val="-1"/>
        </w:rPr>
        <w:t>(</w:t>
      </w:r>
      <w:r>
        <w:rPr>
          <w:spacing w:val="-1"/>
        </w:rPr>
        <w:t>证书号码深</w:t>
      </w:r>
      <w:r>
        <w:rPr>
          <w:rFonts w:ascii="Times New Roman" w:hAnsi="Times New Roman" w:cs="Times New Roman" w:eastAsia="Times New Roman" w:hint="default"/>
          <w:spacing w:val="-1"/>
        </w:rPr>
        <w:t>DGY-2007-1230)</w:t>
      </w:r>
      <w:r>
        <w:rPr>
          <w:spacing w:val="-1"/>
        </w:rPr>
        <w:t>。本公司自</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4</w:t>
      </w:r>
      <w:r>
        <w:rPr>
          <w:spacing w:val="-1"/>
        </w:rPr>
        <w:t>月</w:t>
      </w:r>
      <w:r>
        <w:rPr>
          <w:spacing w:val="-78"/>
        </w:rPr>
        <w:t> </w:t>
      </w:r>
      <w:r>
        <w:rPr>
          <w:spacing w:val="-1"/>
        </w:rPr>
        <w:t>起对于销售的产品实行软硬件产品价格在合同中单独列示，并分别开具销售发票，单独核算软硬件产品收</w:t>
      </w:r>
      <w:r>
        <w:rPr>
          <w:spacing w:val="-81"/>
        </w:rPr>
        <w:t> </w:t>
      </w:r>
      <w:r>
        <w:rPr>
          <w:spacing w:val="-81"/>
        </w:rPr>
      </w:r>
      <w:r>
        <w:rPr/>
        <w:t>入</w:t>
      </w:r>
      <w:r>
        <w:rPr>
          <w:rFonts w:ascii="Times New Roman" w:hAnsi="Times New Roman" w:cs="Times New Roman" w:eastAsia="Times New Roman" w:hint="default"/>
        </w:rPr>
        <w:t>,</w:t>
      </w:r>
      <w:r>
        <w:rPr>
          <w:rFonts w:ascii="Times New Roman" w:hAnsi="Times New Roman" w:cs="Times New Roman" w:eastAsia="Times New Roman" w:hint="default"/>
          <w:spacing w:val="31"/>
        </w:rPr>
        <w:t> </w:t>
      </w:r>
      <w:r>
        <w:rPr/>
        <w:t>并开始享受软件产品的增值税税收优惠政策。</w:t>
      </w:r>
    </w:p>
    <w:p>
      <w:pPr>
        <w:pStyle w:val="Heading4"/>
        <w:spacing w:line="256" w:lineRule="auto" w:before="0"/>
        <w:ind w:left="153" w:right="199" w:firstLine="420"/>
        <w:jc w:val="both"/>
      </w:pPr>
      <w:r>
        <w:rPr>
          <w:spacing w:val="-2"/>
        </w:rPr>
        <w:t>深圳市易联技术有限公司的软件产品</w:t>
      </w:r>
      <w:r>
        <w:rPr>
          <w:rFonts w:ascii="Times New Roman" w:hAnsi="Times New Roman" w:cs="Times New Roman" w:eastAsia="Times New Roman" w:hint="default"/>
          <w:spacing w:val="-2"/>
        </w:rPr>
        <w:t>(</w:t>
      </w:r>
      <w:r>
        <w:rPr>
          <w:spacing w:val="-2"/>
        </w:rPr>
        <w:t>该公司由原深圳市新国都软件技术有限公司更名而来</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新国都</w:t>
      </w:r>
      <w:r>
        <w:rPr/>
        <w:t> </w:t>
      </w:r>
      <w:r>
        <w:rPr>
          <w:spacing w:val="-2"/>
        </w:rPr>
        <w:t>移动终端应用软件</w:t>
      </w:r>
      <w:r>
        <w:rPr>
          <w:rFonts w:ascii="Times New Roman" w:hAnsi="Times New Roman" w:cs="Times New Roman" w:eastAsia="Times New Roman" w:hint="default"/>
          <w:spacing w:val="-2"/>
        </w:rPr>
        <w:t>V1.0”</w:t>
      </w:r>
      <w:r>
        <w:rPr>
          <w:spacing w:val="-2"/>
        </w:rPr>
        <w:t>和</w:t>
      </w:r>
      <w:r>
        <w:rPr>
          <w:rFonts w:ascii="Times New Roman" w:hAnsi="Times New Roman" w:cs="Times New Roman" w:eastAsia="Times New Roman" w:hint="default"/>
          <w:spacing w:val="-2"/>
        </w:rPr>
        <w:t>“</w:t>
      </w:r>
      <w:r>
        <w:rPr>
          <w:spacing w:val="-2"/>
        </w:rPr>
        <w:t>新国都</w:t>
      </w:r>
      <w:r>
        <w:rPr>
          <w:rFonts w:ascii="Times New Roman" w:hAnsi="Times New Roman" w:cs="Times New Roman" w:eastAsia="Times New Roman" w:hint="default"/>
          <w:spacing w:val="-2"/>
        </w:rPr>
        <w:t>SZM11</w:t>
      </w:r>
      <w:r>
        <w:rPr>
          <w:spacing w:val="-2"/>
        </w:rPr>
        <w:t>电子支付密码软件</w:t>
      </w:r>
      <w:r>
        <w:rPr>
          <w:rFonts w:ascii="Times New Roman" w:hAnsi="Times New Roman" w:cs="Times New Roman" w:eastAsia="Times New Roman" w:hint="default"/>
          <w:spacing w:val="-2"/>
        </w:rPr>
        <w:t>V4.0”</w:t>
      </w:r>
      <w:r>
        <w:rPr>
          <w:spacing w:val="-2"/>
        </w:rPr>
        <w:t>符合深圳市人民政府《关于鼓励软件产业</w:t>
      </w:r>
      <w:r>
        <w:rPr>
          <w:spacing w:val="-98"/>
        </w:rPr>
        <w:t> </w:t>
      </w:r>
      <w:r>
        <w:rPr>
          <w:spacing w:val="-98"/>
        </w:rPr>
      </w:r>
      <w:r>
        <w:rPr>
          <w:spacing w:val="8"/>
        </w:rPr>
        <w:t>发展的若干政策》</w:t>
      </w:r>
      <w:r>
        <w:rPr>
          <w:rFonts w:ascii="Times New Roman" w:hAnsi="Times New Roman" w:cs="Times New Roman" w:eastAsia="Times New Roman" w:hint="default"/>
          <w:spacing w:val="8"/>
        </w:rPr>
        <w:t>(2001-1-19)</w:t>
      </w:r>
      <w:r>
        <w:rPr>
          <w:spacing w:val="8"/>
        </w:rPr>
        <w:t>的规定，并于</w:t>
      </w:r>
      <w:r>
        <w:rPr>
          <w:rFonts w:ascii="Times New Roman" w:hAnsi="Times New Roman" w:cs="Times New Roman" w:eastAsia="Times New Roman" w:hint="default"/>
          <w:spacing w:val="8"/>
        </w:rPr>
        <w:t>2008</w:t>
      </w:r>
      <w:r>
        <w:rPr>
          <w:spacing w:val="8"/>
        </w:rPr>
        <w:t>年</w:t>
      </w:r>
      <w:r>
        <w:rPr>
          <w:rFonts w:ascii="Times New Roman" w:hAnsi="Times New Roman" w:cs="Times New Roman" w:eastAsia="Times New Roman" w:hint="default"/>
          <w:spacing w:val="8"/>
        </w:rPr>
        <w:t>3</w:t>
      </w:r>
      <w:r>
        <w:rPr>
          <w:spacing w:val="8"/>
        </w:rPr>
        <w:t>月</w:t>
      </w:r>
      <w:r>
        <w:rPr>
          <w:rFonts w:ascii="Times New Roman" w:hAnsi="Times New Roman" w:cs="Times New Roman" w:eastAsia="Times New Roman" w:hint="default"/>
          <w:spacing w:val="8"/>
        </w:rPr>
        <w:t>31</w:t>
      </w:r>
      <w:r>
        <w:rPr>
          <w:spacing w:val="8"/>
        </w:rPr>
        <w:t>日获得上述两款软件的登记证书</w:t>
      </w:r>
      <w:r>
        <w:rPr>
          <w:rFonts w:ascii="Times New Roman" w:hAnsi="Times New Roman" w:cs="Times New Roman" w:eastAsia="Times New Roman" w:hint="default"/>
          <w:spacing w:val="8"/>
        </w:rPr>
        <w:t>(</w:t>
      </w:r>
      <w:r>
        <w:rPr>
          <w:spacing w:val="8"/>
        </w:rPr>
        <w:t>证书号码深</w:t>
      </w:r>
      <w:r>
        <w:rPr>
          <w:spacing w:val="-68"/>
        </w:rPr>
        <w:t> </w:t>
      </w:r>
      <w:r>
        <w:rPr>
          <w:rFonts w:ascii="Times New Roman" w:hAnsi="Times New Roman" w:cs="Times New Roman" w:eastAsia="Times New Roman" w:hint="default"/>
          <w:spacing w:val="-1"/>
        </w:rPr>
        <w:t>DGY-2008-0172</w:t>
      </w:r>
      <w:r>
        <w:rPr>
          <w:spacing w:val="-1"/>
        </w:rPr>
        <w:t>和深</w:t>
      </w:r>
      <w:r>
        <w:rPr>
          <w:rFonts w:ascii="Times New Roman" w:hAnsi="Times New Roman" w:cs="Times New Roman" w:eastAsia="Times New Roman" w:hint="default"/>
          <w:spacing w:val="-1"/>
        </w:rPr>
        <w:t>DGY-2008-0173)</w:t>
      </w:r>
      <w:r>
        <w:rPr>
          <w:spacing w:val="-1"/>
        </w:rPr>
        <w:t>，深圳市易联技术有限公司自</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11</w:t>
      </w:r>
      <w:r>
        <w:rPr>
          <w:spacing w:val="-1"/>
        </w:rPr>
        <w:t>月开始享受软件产品的增值税</w:t>
      </w:r>
      <w:r>
        <w:rPr>
          <w:spacing w:val="-79"/>
        </w:rPr>
        <w:t> </w:t>
      </w:r>
      <w:r>
        <w:rPr>
          <w:spacing w:val="-79"/>
        </w:rPr>
      </w:r>
      <w:r>
        <w:rPr/>
        <w:t>税收优惠政策。</w:t>
      </w:r>
    </w:p>
    <w:p>
      <w:pPr>
        <w:pStyle w:val="Heading4"/>
        <w:spacing w:line="256" w:lineRule="auto" w:before="22"/>
        <w:ind w:left="573" w:right="102"/>
        <w:jc w:val="left"/>
        <w:rPr>
          <w:rFonts w:ascii="Times New Roman" w:hAnsi="Times New Roman" w:cs="Times New Roman" w:eastAsia="Times New Roman" w:hint="default"/>
        </w:rPr>
      </w:pPr>
      <w:r>
        <w:rPr>
          <w:rFonts w:ascii="Times New Roman" w:hAnsi="Times New Roman" w:cs="Times New Roman" w:eastAsia="Times New Roman" w:hint="default"/>
        </w:rPr>
        <w:t>(2)</w:t>
      </w:r>
      <w:r>
        <w:rPr/>
        <w:t>企业所得税 </w:t>
      </w:r>
      <w:r>
        <w:rPr>
          <w:spacing w:val="-6"/>
        </w:rPr>
        <w:t>本公司</w:t>
      </w:r>
      <w:r>
        <w:rPr>
          <w:rFonts w:ascii="Times New Roman" w:hAnsi="Times New Roman" w:cs="Times New Roman" w:eastAsia="Times New Roman" w:hint="default"/>
          <w:spacing w:val="-6"/>
        </w:rPr>
        <w:t>2011</w:t>
      </w:r>
      <w:r>
        <w:rPr>
          <w:spacing w:val="-6"/>
        </w:rPr>
        <w:t>年</w:t>
      </w:r>
      <w:r>
        <w:rPr>
          <w:rFonts w:ascii="Times New Roman" w:hAnsi="Times New Roman" w:cs="Times New Roman" w:eastAsia="Times New Roman" w:hint="default"/>
          <w:spacing w:val="-6"/>
        </w:rPr>
        <w:t>10</w:t>
      </w:r>
      <w:r>
        <w:rPr>
          <w:spacing w:val="-6"/>
        </w:rPr>
        <w:t>月</w:t>
      </w:r>
      <w:r>
        <w:rPr>
          <w:rFonts w:ascii="Times New Roman" w:hAnsi="Times New Roman" w:cs="Times New Roman" w:eastAsia="Times New Roman" w:hint="default"/>
          <w:spacing w:val="-6"/>
        </w:rPr>
        <w:t>31</w:t>
      </w:r>
      <w:r>
        <w:rPr>
          <w:spacing w:val="-6"/>
        </w:rPr>
        <w:t>日取得国家级高新技术企业证书，证书编号：</w:t>
      </w:r>
      <w:r>
        <w:rPr>
          <w:rFonts w:ascii="Times New Roman" w:hAnsi="Times New Roman" w:cs="Times New Roman" w:eastAsia="Times New Roman" w:hint="default"/>
          <w:spacing w:val="-6"/>
        </w:rPr>
        <w:t>GF201144200147</w:t>
      </w:r>
      <w:r>
        <w:rPr>
          <w:spacing w:val="-6"/>
        </w:rPr>
        <w:t>，有效期三年，</w:t>
      </w:r>
      <w:r>
        <w:rPr>
          <w:rFonts w:ascii="Times New Roman" w:hAnsi="Times New Roman" w:cs="Times New Roman" w:eastAsia="Times New Roman" w:hint="default"/>
          <w:spacing w:val="-6"/>
        </w:rPr>
        <w:t>2014</w:t>
      </w:r>
    </w:p>
    <w:p>
      <w:pPr>
        <w:pStyle w:val="Heading4"/>
        <w:spacing w:line="256" w:lineRule="auto" w:before="5"/>
        <w:ind w:left="573" w:right="102" w:hanging="420"/>
        <w:jc w:val="left"/>
      </w:pPr>
      <w:r>
        <w:rPr/>
        <w:t>年度本公司企业所得税税率减按</w:t>
      </w:r>
      <w:r>
        <w:rPr>
          <w:rFonts w:ascii="Times New Roman" w:hAnsi="Times New Roman" w:cs="Times New Roman" w:eastAsia="Times New Roman" w:hint="default"/>
        </w:rPr>
        <w:t>15%</w:t>
      </w:r>
      <w:r>
        <w:rPr/>
        <w:t>执行。 根据财税</w:t>
      </w:r>
      <w:r>
        <w:rPr>
          <w:rFonts w:ascii="Times New Roman" w:hAnsi="Times New Roman" w:cs="Times New Roman" w:eastAsia="Times New Roman" w:hint="default"/>
        </w:rPr>
        <w:t>[2012]27</w:t>
      </w:r>
      <w:r>
        <w:rPr/>
        <w:t>号《财政部、国家税务总局关于进一步鼓励软件产业和集成电路产业发展企业所得</w:t>
      </w:r>
    </w:p>
    <w:p>
      <w:pPr>
        <w:pStyle w:val="Heading4"/>
        <w:spacing w:line="256" w:lineRule="auto" w:before="5"/>
        <w:ind w:right="102" w:hanging="1"/>
        <w:jc w:val="left"/>
      </w:pPr>
      <w:r>
        <w:rPr/>
        <w:t>税政策的通知》和</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13</w:t>
      </w:r>
      <w:r>
        <w:rPr/>
        <w:t>日深圳市南山区国家税务局深国税南减免备案</w:t>
      </w:r>
      <w:r>
        <w:rPr>
          <w:rFonts w:ascii="Times New Roman" w:hAnsi="Times New Roman" w:cs="Times New Roman" w:eastAsia="Times New Roman" w:hint="default"/>
        </w:rPr>
        <w:t>[2014]25</w:t>
      </w:r>
      <w:r>
        <w:rPr/>
        <w:t>号文件《税收优惠登 </w:t>
      </w:r>
      <w:r>
        <w:rPr>
          <w:spacing w:val="-2"/>
        </w:rPr>
        <w:t>记备案通知书》，深圳市易联技术有限公司</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日按</w:t>
      </w:r>
      <w:r>
        <w:rPr>
          <w:rFonts w:ascii="Times New Roman" w:hAnsi="Times New Roman" w:cs="Times New Roman" w:eastAsia="Times New Roman" w:hint="default"/>
          <w:spacing w:val="-2"/>
        </w:rPr>
        <w:t>10%</w:t>
      </w:r>
      <w:r>
        <w:rPr>
          <w:spacing w:val="-2"/>
        </w:rPr>
        <w:t>的税率征收企业所得税。</w:t>
      </w:r>
    </w:p>
    <w:p>
      <w:pPr>
        <w:pStyle w:val="Heading4"/>
        <w:spacing w:line="256" w:lineRule="auto" w:before="5"/>
        <w:ind w:right="202" w:firstLine="336"/>
        <w:jc w:val="both"/>
      </w:pPr>
      <w:r>
        <w:rPr>
          <w:spacing w:val="-2"/>
        </w:rPr>
        <w:t>根据财税</w:t>
      </w:r>
      <w:r>
        <w:rPr>
          <w:rFonts w:ascii="Times New Roman" w:hAnsi="Times New Roman" w:cs="Times New Roman" w:eastAsia="Times New Roman" w:hint="default"/>
          <w:spacing w:val="-2"/>
        </w:rPr>
        <w:t>[2012]27</w:t>
      </w:r>
      <w:r>
        <w:rPr>
          <w:spacing w:val="-2"/>
        </w:rPr>
        <w:t>号《财政部、国家税务总局关于进一步鼓励软件产业和集成电路产业发展企业所得税</w:t>
      </w:r>
      <w:r>
        <w:rPr/>
        <w:t> </w:t>
      </w:r>
      <w:r>
        <w:rPr>
          <w:spacing w:val="3"/>
        </w:rPr>
        <w:t>政策的通知》和南京市栖霞区国家税务局减免备案信息，南京市新国都技术有限公司自</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日至</w:t>
      </w:r>
      <w:r>
        <w:rPr>
          <w:spacing w:val="-87"/>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日免征企业所得税。</w:t>
      </w:r>
    </w:p>
    <w:p>
      <w:pPr>
        <w:spacing w:line="240" w:lineRule="auto" w:before="5"/>
        <w:rPr>
          <w:rFonts w:ascii="宋体" w:hAnsi="宋体" w:cs="宋体" w:eastAsia="宋体" w:hint="default"/>
          <w:sz w:val="23"/>
          <w:szCs w:val="23"/>
        </w:rPr>
      </w:pPr>
    </w:p>
    <w:p>
      <w:pPr>
        <w:spacing w:line="487" w:lineRule="auto" w:before="0"/>
        <w:ind w:left="154" w:right="693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七、合并财务报表项目注释</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8"/>
        <w:ind w:left="0" w:right="21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99,745.11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153,107.24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496,643,593.64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670,601,448.96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19,226,665.98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12,298,000.10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515,970,004.73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683,052,556.30</w:t>
            </w:r>
          </w:p>
        </w:tc>
      </w:tr>
    </w:tbl>
    <w:p>
      <w:pPr>
        <w:pStyle w:val="BodyText"/>
        <w:spacing w:line="240" w:lineRule="auto" w:before="51"/>
        <w:ind w:right="102"/>
        <w:jc w:val="left"/>
      </w:pPr>
      <w:r>
        <w:rPr/>
        <w:t>其他说明</w:t>
      </w:r>
    </w:p>
    <w:p>
      <w:pPr>
        <w:spacing w:line="240" w:lineRule="auto" w:before="1"/>
        <w:rPr>
          <w:rFonts w:ascii="宋体" w:hAnsi="宋体" w:cs="宋体" w:eastAsia="宋体" w:hint="default"/>
          <w:sz w:val="13"/>
          <w:szCs w:val="13"/>
        </w:rPr>
      </w:pPr>
    </w:p>
    <w:p>
      <w:pPr>
        <w:pStyle w:val="Heading3"/>
        <w:spacing w:line="240" w:lineRule="auto"/>
        <w:ind w:left="576" w:right="102"/>
        <w:jc w:val="left"/>
        <w:rPr>
          <w:b w:val="0"/>
          <w:bCs w:val="0"/>
        </w:rPr>
      </w:pPr>
      <w:r>
        <w:rPr>
          <w:rFonts w:ascii="Times New Roman" w:hAnsi="Times New Roman" w:cs="Times New Roman" w:eastAsia="Times New Roman" w:hint="default"/>
        </w:rPr>
        <w:t>1</w:t>
      </w:r>
      <w:r>
        <w:rPr/>
        <w:t>、其中受限制的货币资金明细如下：</w:t>
      </w:r>
      <w:r>
        <w:rPr>
          <w:b w:val="0"/>
          <w:bCs w:val="0"/>
        </w:rPr>
      </w:r>
    </w:p>
    <w:p>
      <w:pPr>
        <w:spacing w:line="240" w:lineRule="auto" w:before="9"/>
        <w:rPr>
          <w:rFonts w:ascii="宋体" w:hAnsi="宋体" w:cs="宋体" w:eastAsia="宋体" w:hint="default"/>
          <w:b/>
          <w:bCs/>
          <w:sz w:val="2"/>
          <w:szCs w:val="2"/>
        </w:rPr>
      </w:pPr>
    </w:p>
    <w:tbl>
      <w:tblPr>
        <w:tblW w:w="0" w:type="auto"/>
        <w:jc w:val="left"/>
        <w:tblInd w:w="146" w:type="dxa"/>
        <w:tblLayout w:type="fixed"/>
        <w:tblCellMar>
          <w:top w:w="0" w:type="dxa"/>
          <w:left w:w="0" w:type="dxa"/>
          <w:bottom w:w="0" w:type="dxa"/>
          <w:right w:w="0" w:type="dxa"/>
        </w:tblCellMar>
        <w:tblLook w:val="01E0"/>
      </w:tblPr>
      <w:tblGrid>
        <w:gridCol w:w="3193"/>
        <w:gridCol w:w="3190"/>
        <w:gridCol w:w="3221"/>
      </w:tblGrid>
      <w:tr>
        <w:trPr>
          <w:trHeight w:val="355" w:hRule="exact"/>
        </w:trPr>
        <w:tc>
          <w:tcPr>
            <w:tcW w:w="3193" w:type="dxa"/>
            <w:tcBorders>
              <w:top w:val="single" w:sz="6" w:space="0" w:color="000000"/>
              <w:left w:val="single" w:sz="6" w:space="0" w:color="000000"/>
              <w:bottom w:val="single" w:sz="12" w:space="0" w:color="000000"/>
              <w:right w:val="single" w:sz="6" w:space="0" w:color="000000"/>
            </w:tcBorders>
          </w:tcPr>
          <w:p>
            <w:pPr>
              <w:pStyle w:val="TableParagraph"/>
              <w:tabs>
                <w:tab w:pos="397" w:val="left" w:leader="none"/>
              </w:tabs>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1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2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7"/>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3" w:hRule="exact"/>
        </w:trPr>
        <w:tc>
          <w:tcPr>
            <w:tcW w:w="31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31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12,213,000.10</w:t>
            </w:r>
          </w:p>
        </w:tc>
        <w:tc>
          <w:tcPr>
            <w:tcW w:w="322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12,298,000.10</w:t>
            </w:r>
          </w:p>
        </w:tc>
      </w:tr>
      <w:tr>
        <w:trPr>
          <w:trHeight w:val="352" w:hRule="exact"/>
        </w:trPr>
        <w:tc>
          <w:tcPr>
            <w:tcW w:w="31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售后质量保证金</w:t>
            </w:r>
          </w:p>
        </w:tc>
        <w:tc>
          <w:tcPr>
            <w:tcW w:w="31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7,013,665.88</w:t>
            </w:r>
          </w:p>
        </w:tc>
        <w:tc>
          <w:tcPr>
            <w:tcW w:w="322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w:t>
            </w:r>
          </w:p>
        </w:tc>
      </w:tr>
      <w:tr>
        <w:trPr>
          <w:trHeight w:val="352" w:hRule="exact"/>
        </w:trPr>
        <w:tc>
          <w:tcPr>
            <w:tcW w:w="3193" w:type="dxa"/>
            <w:tcBorders>
              <w:top w:val="single" w:sz="12" w:space="0" w:color="000000"/>
              <w:left w:val="single" w:sz="6" w:space="0" w:color="000000"/>
              <w:bottom w:val="single" w:sz="12" w:space="0" w:color="000000"/>
              <w:right w:val="single" w:sz="6" w:space="0" w:color="000000"/>
            </w:tcBorders>
          </w:tcPr>
          <w:p>
            <w:pPr>
              <w:pStyle w:val="TableParagraph"/>
              <w:tabs>
                <w:tab w:pos="539" w:val="left" w:leader="none"/>
              </w:tabs>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31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19,226,665.98</w:t>
            </w:r>
          </w:p>
        </w:tc>
        <w:tc>
          <w:tcPr>
            <w:tcW w:w="322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12,298,000.10</w:t>
            </w:r>
          </w:p>
        </w:tc>
      </w:tr>
    </w:tbl>
    <w:p>
      <w:pPr>
        <w:spacing w:line="240" w:lineRule="auto" w:before="0"/>
        <w:rPr>
          <w:rFonts w:ascii="宋体" w:hAnsi="宋体" w:cs="宋体" w:eastAsia="宋体" w:hint="default"/>
          <w:b/>
          <w:bCs/>
          <w:sz w:val="20"/>
          <w:szCs w:val="20"/>
        </w:rPr>
      </w:pPr>
    </w:p>
    <w:p>
      <w:pPr>
        <w:pStyle w:val="Heading3"/>
        <w:spacing w:line="256" w:lineRule="auto" w:before="35"/>
        <w:ind w:left="153" w:right="102"/>
        <w:jc w:val="left"/>
        <w:rPr>
          <w:b w:val="0"/>
          <w:bCs w:val="0"/>
        </w:rPr>
      </w:pPr>
      <w:r>
        <w:rPr/>
        <w:t>货币资金余额期末比期初减少</w:t>
      </w:r>
      <w:r>
        <w:rPr>
          <w:rFonts w:ascii="Times New Roman" w:hAnsi="Times New Roman" w:cs="Times New Roman" w:eastAsia="Times New Roman" w:hint="default"/>
        </w:rPr>
        <w:t>167,082,551.57</w:t>
      </w:r>
      <w:r>
        <w:rPr/>
        <w:t>元，减少比例</w:t>
      </w:r>
      <w:r>
        <w:rPr>
          <w:rFonts w:ascii="Times New Roman" w:hAnsi="Times New Roman" w:cs="Times New Roman" w:eastAsia="Times New Roman" w:hint="default"/>
        </w:rPr>
        <w:t>24.46%</w:t>
      </w:r>
      <w:r>
        <w:rPr/>
        <w:t>，主要原因系本公司投资建设苏州电子</w:t>
      </w:r>
      <w:r>
        <w:rPr>
          <w:spacing w:val="-77"/>
        </w:rPr>
        <w:t> </w:t>
      </w:r>
      <w:r>
        <w:rPr>
          <w:spacing w:val="-77"/>
        </w:rPr>
      </w:r>
      <w:r>
        <w:rPr/>
        <w:t>支付研发基地项目。</w:t>
      </w:r>
      <w:r>
        <w:rPr>
          <w:b w:val="0"/>
          <w:bCs w:val="0"/>
        </w:rPr>
      </w:r>
    </w:p>
    <w:p>
      <w:pPr>
        <w:spacing w:after="0" w:line="256" w:lineRule="auto"/>
        <w:jc w:val="left"/>
        <w:sectPr>
          <w:pgSz w:w="11910" w:h="16840"/>
          <w:pgMar w:header="747" w:footer="982" w:top="1060" w:bottom="1180" w:left="980" w:right="920"/>
        </w:sectPr>
      </w:pPr>
    </w:p>
    <w:p>
      <w:pPr>
        <w:spacing w:line="240" w:lineRule="auto" w:before="10"/>
        <w:rPr>
          <w:rFonts w:ascii="宋体" w:hAnsi="宋体" w:cs="宋体" w:eastAsia="宋体" w:hint="default"/>
          <w:b/>
          <w:bCs/>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75,755,288.58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75,753,289.04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75,755,288.58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75,753,289.04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8"/>
        <w:rPr>
          <w:rFonts w:ascii="宋体" w:hAnsi="宋体" w:cs="宋体" w:eastAsia="宋体" w:hint="default"/>
          <w:sz w:val="7"/>
          <w:szCs w:val="7"/>
        </w:rPr>
      </w:pPr>
    </w:p>
    <w:p>
      <w:pPr>
        <w:spacing w:line="422"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5pt;mso-position-horizontal-relative:char;mso-position-vertical-relative:line" coordorigin="0,0" coordsize="9587,423">
            <v:group style="position:absolute;left:4765;top:16;width:23;height:392" coordorigin="4765,16" coordsize="23,392">
              <v:shape style="position:absolute;left:4765;top:16;width:23;height:392" coordorigin="4765,16" coordsize="23,392" path="m4765,407l4788,407,4788,16,4765,16,4765,407xe" filled="true" fillcolor="#d3d3d3" stroked="false">
                <v:path arrowok="t"/>
                <v:fill type="solid"/>
              </v:shape>
            </v:group>
            <v:group style="position:absolute;left:14;top:16;width:23;height:392" coordorigin="14,16" coordsize="23,392">
              <v:shape style="position:absolute;left:14;top:16;width:23;height:392" coordorigin="14,16" coordsize="23,392" path="m14,407l37,407,37,16,14,16,14,407xe" filled="true" fillcolor="#d3d3d3" stroked="false">
                <v:path arrowok="t"/>
                <v:fill type="solid"/>
              </v:shape>
            </v:group>
            <v:group style="position:absolute;left:37;top:16;width:4728;height:392" coordorigin="37,16" coordsize="4728,392">
              <v:shape style="position:absolute;left:37;top:16;width:4728;height:392" coordorigin="37,16" coordsize="4728,392" path="m37,407l4765,407,4765,16,37,16,37,407xe" filled="true" fillcolor="#d3d3d3" stroked="false">
                <v:path arrowok="t"/>
                <v:fill type="solid"/>
              </v:shape>
            </v:group>
            <v:group style="position:absolute;left:4799;top:16;width:23;height:392" coordorigin="4799,16" coordsize="23,392">
              <v:shape style="position:absolute;left:4799;top:16;width:23;height:392" coordorigin="4799,16" coordsize="23,392" path="m4799,407l4822,407,4822,16,4799,16,4799,407xe" filled="true" fillcolor="#d3d3d3" stroked="false">
                <v:path arrowok="t"/>
                <v:fill type="solid"/>
              </v:shape>
            </v:group>
            <v:group style="position:absolute;left:9550;top:16;width:23;height:392" coordorigin="9550,16" coordsize="23,392">
              <v:shape style="position:absolute;left:9550;top:16;width:23;height:392" coordorigin="9550,16" coordsize="23,392" path="m9550,407l9572,407,9572,16,9550,16,9550,407xe" filled="true" fillcolor="#d3d3d3" stroked="false">
                <v:path arrowok="t"/>
                <v:fill type="solid"/>
              </v:shape>
            </v:group>
            <v:group style="position:absolute;left:4822;top:16;width:4728;height:392" coordorigin="4822,16" coordsize="4728,392">
              <v:shape style="position:absolute;left:4822;top:16;width:4728;height:392" coordorigin="4822,16" coordsize="4728,392" path="m4822,407l9550,407,9550,16,4822,16,4822,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1pt" strokecolor="#000000">
                <v:path arrowok="t"/>
              </v:shape>
            </v:group>
            <v:group style="position:absolute;left:10;top:5;width:2;height:413" coordorigin="10,5" coordsize="2,413">
              <v:shape style="position:absolute;left:10;top:5;width:2;height:413" coordorigin="10,5" coordsize="0,413" path="m10,5l10,418e" filled="false" stroked="true" strokeweight=".48001pt" strokecolor="#000000">
                <v:path arrowok="t"/>
              </v:shape>
            </v:group>
            <v:group style="position:absolute;left:5;top:413;width:4785;height:2" coordorigin="5,413" coordsize="4785,2">
              <v:shape style="position:absolute;left:5;top:413;width:4785;height:2" coordorigin="5,413" coordsize="4785,0" path="m5,413l4789,413e" filled="false" stroked="true" strokeweight=".48001pt" strokecolor="#000000">
                <v:path arrowok="t"/>
              </v:shape>
            </v:group>
            <v:group style="position:absolute;left:4794;top:14;width:2;height:404" coordorigin="4794,14" coordsize="2,404">
              <v:shape style="position:absolute;left:4794;top:14;width:2;height:404" coordorigin="4794,14" coordsize="0,404" path="m4794,14l4794,418e" filled="false" stroked="true" strokeweight=".48001pt" strokecolor="#000000">
                <v:path arrowok="t"/>
              </v:shape>
            </v:group>
            <v:group style="position:absolute;left:4799;top:413;width:4774;height:2" coordorigin="4799,413" coordsize="4774,2">
              <v:shape style="position:absolute;left:4799;top:413;width:4774;height:2" coordorigin="4799,413" coordsize="4774,0" path="m4799,413l9572,413e" filled="false" stroked="true" strokeweight=".48001pt" strokecolor="#000000">
                <v:path arrowok="t"/>
              </v:shape>
            </v:group>
            <v:group style="position:absolute;left:9577;top:5;width:2;height:413" coordorigin="9577,5" coordsize="2,413">
              <v:shape style="position:absolute;left:9577;top:5;width:2;height:413" coordorigin="9577,5" coordsize="0,413" path="m9577,5l9577,418e" filled="false" stroked="true" strokeweight=".47998pt" strokecolor="#000000">
                <v:path arrowok="t"/>
              </v:shape>
              <v:shape style="position:absolute;left:2221;top:12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4;top:10;width:4784;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期末已质押金额</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8"/>
          <w:szCs w:val="18"/>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8"/>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4765;top:14;width:23;height:393" coordorigin="4765,14" coordsize="23,393">
              <v:shape style="position:absolute;left:4765;top:14;width:23;height:393" coordorigin="4765,14" coordsize="23,393" path="m4765,407l4788,407,4788,14,4765,14,4765,407xe" filled="true" fillcolor="#d3d3d3" stroked="false">
                <v:path arrowok="t"/>
                <v:fill type="solid"/>
              </v:shape>
            </v:group>
            <v:group style="position:absolute;left:14;top:14;width:23;height:393" coordorigin="14,14" coordsize="23,393">
              <v:shape style="position:absolute;left:14;top:14;width:23;height:393" coordorigin="14,14" coordsize="23,393" path="m14,407l37,407,37,14,14,14,14,407xe" filled="true" fillcolor="#d3d3d3" stroked="false">
                <v:path arrowok="t"/>
                <v:fill type="solid"/>
              </v:shape>
            </v:group>
            <v:group style="position:absolute;left:37;top:14;width:4728;height:393" coordorigin="37,14" coordsize="4728,393">
              <v:shape style="position:absolute;left:37;top:14;width:4728;height:393" coordorigin="37,14" coordsize="4728,393" path="m37,407l4765,407,4765,14,37,14,37,407xe" filled="true" fillcolor="#d3d3d3" stroked="false">
                <v:path arrowok="t"/>
                <v:fill type="solid"/>
              </v:shape>
            </v:group>
            <v:group style="position:absolute;left:4799;top:14;width:23;height:393" coordorigin="4799,14" coordsize="23,393">
              <v:shape style="position:absolute;left:4799;top:14;width:23;height:393" coordorigin="4799,14" coordsize="23,393" path="m4799,407l4822,407,4822,14,4799,14,4799,407xe" filled="true" fillcolor="#d3d3d3" stroked="false">
                <v:path arrowok="t"/>
                <v:fill type="solid"/>
              </v:shape>
            </v:group>
            <v:group style="position:absolute;left:9550;top:14;width:23;height:393" coordorigin="9550,14" coordsize="23,393">
              <v:shape style="position:absolute;left:9550;top:14;width:23;height:393" coordorigin="9550,14" coordsize="23,393" path="m9550,407l9572,407,9572,14,9550,14,9550,407xe" filled="true" fillcolor="#d3d3d3" stroked="false">
                <v:path arrowok="t"/>
                <v:fill type="solid"/>
              </v:shape>
            </v:group>
            <v:group style="position:absolute;left:4822;top:14;width:4728;height:393" coordorigin="4822,14" coordsize="4728,393">
              <v:shape style="position:absolute;left:4822;top:14;width:4728;height:393" coordorigin="4822,14" coordsize="4728,393" path="m4822,407l9550,407,9550,14,4822,14,4822,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785;height:2" coordorigin="5,412" coordsize="4785,2">
              <v:shape style="position:absolute;left:5;top:412;width:4785;height:2" coordorigin="5,412" coordsize="4785,0" path="m5,412l4789,412e" filled="false" stroked="true" strokeweight=".48pt" strokecolor="#000000">
                <v:path arrowok="t"/>
              </v:shape>
            </v:group>
            <v:group style="position:absolute;left:4794;top:14;width:2;height:402" coordorigin="4794,14" coordsize="2,402">
              <v:shape style="position:absolute;left:4794;top:14;width:2;height:402" coordorigin="4794,14" coordsize="0,402" path="m4794,14l4794,416e" filled="false" stroked="true" strokeweight=".48001pt" strokecolor="#000000">
                <v:path arrowok="t"/>
              </v:shape>
            </v:group>
            <v:group style="position:absolute;left:4799;top:412;width:4774;height:2" coordorigin="4799,412" coordsize="4774,2">
              <v:shape style="position:absolute;left:4799;top:412;width:4774;height:2" coordorigin="4799,412" coordsize="4774,0" path="m4799,412l9572,412e" filled="false" stroked="true" strokeweight=".48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222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4;top:10;width:4784;height:402" type="#_x0000_t202" filled="false" stroked="false">
                <v:textbox inset="0,0,0,0">
                  <w:txbxContent>
                    <w:p>
                      <w:pPr>
                        <w:spacing w:before="56"/>
                        <w:ind w:left="1581" w:right="0" w:firstLine="0"/>
                        <w:jc w:val="left"/>
                        <w:rPr>
                          <w:rFonts w:ascii="宋体" w:hAnsi="宋体" w:cs="宋体" w:eastAsia="宋体" w:hint="default"/>
                          <w:sz w:val="18"/>
                          <w:szCs w:val="18"/>
                        </w:rPr>
                      </w:pPr>
                      <w:r>
                        <w:rPr>
                          <w:rFonts w:ascii="宋体" w:hAnsi="宋体" w:cs="宋体" w:eastAsia="宋体" w:hint="default"/>
                          <w:sz w:val="18"/>
                          <w:szCs w:val="18"/>
                        </w:rPr>
                        <w:t>期末转应收账款金额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6"/>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4"/>
        <w:gridCol w:w="3839"/>
        <w:gridCol w:w="4093"/>
      </w:tblGrid>
      <w:tr>
        <w:trPr>
          <w:trHeight w:val="402"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2"/>
        <w:gridCol w:w="762"/>
        <w:gridCol w:w="762"/>
        <w:gridCol w:w="790"/>
        <w:gridCol w:w="654"/>
        <w:gridCol w:w="762"/>
        <w:gridCol w:w="812"/>
        <w:gridCol w:w="932"/>
        <w:gridCol w:w="932"/>
      </w:tblGrid>
      <w:tr>
        <w:trPr>
          <w:trHeight w:val="402" w:hRule="exact"/>
        </w:trPr>
        <w:tc>
          <w:tcPr>
            <w:tcW w:w="163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tcBorders>
              <w:top w:val="nil" w:sz="6" w:space="0" w:color="auto"/>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319,187,</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964.41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20,082,0</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03.95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299,105,9</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60.46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197,361</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,175.33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14,883,32</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4.35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182,477,85</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0.98</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319,187,</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964.41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20,082,0</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03.95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299,105,9</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60.46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197,361</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,175.33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14,883,32</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4.35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182,477,85</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0.98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pStyle w:val="BodyText"/>
        <w:spacing w:line="240" w:lineRule="auto" w:before="51"/>
        <w:ind w:right="-20"/>
        <w:jc w:val="left"/>
      </w:pPr>
      <w:r>
        <w:rPr/>
        <w:t>期末单项金额重大并单项计提坏账准备的应收账款：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80" w:left="980" w:right="980"/>
          <w:cols w:num="2" w:equalWidth="0">
            <w:col w:w="4295" w:space="4534"/>
            <w:col w:w="112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206" w:hRule="exact"/>
        </w:trPr>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7176"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9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2392" w:type="dxa"/>
            <w:vMerge/>
            <w:tcBorders>
              <w:left w:val="single" w:sz="4" w:space="0" w:color="000000"/>
              <w:bottom w:val="nil" w:sz="6" w:space="0" w:color="auto"/>
              <w:right w:val="single" w:sz="4" w:space="0" w:color="000000"/>
            </w:tcBorders>
            <w:shd w:val="clear" w:color="auto" w:fill="D3D3D3"/>
          </w:tcPr>
          <w:p>
            <w:pPr/>
          </w:p>
        </w:tc>
        <w:tc>
          <w:tcPr>
            <w:tcW w:w="23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3" w:type="dxa"/>
            <w:vMerge/>
            <w:tcBorders>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302,444,930.56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15,122,246.53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12,489,618.36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2,497,923.67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3,583,163.49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1,791,581.75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670,252.00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670,252.00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319,187,964.41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20,082,003.95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6.29%</w:t>
            </w:r>
          </w:p>
        </w:tc>
      </w:tr>
    </w:tbl>
    <w:p>
      <w:pPr>
        <w:pStyle w:val="BodyText"/>
        <w:spacing w:line="357" w:lineRule="auto" w:before="51"/>
        <w:ind w:left="153" w:right="5451"/>
        <w:jc w:val="left"/>
      </w:pPr>
      <w:r>
        <w:rPr/>
        <w:t>确定该组合依据的说明： 组合中，采用余额百分比法计提坏账准备的应收账款：</w:t>
      </w:r>
    </w:p>
    <w:p>
      <w:pPr>
        <w:pStyle w:val="BodyText"/>
        <w:spacing w:line="338" w:lineRule="auto" w:before="29"/>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80" w:left="980" w:right="980"/>
        </w:sectPr>
      </w:pPr>
    </w:p>
    <w:p>
      <w:pPr>
        <w:pStyle w:val="BodyText"/>
        <w:spacing w:line="338" w:lineRule="auto"/>
        <w:ind w:right="-19"/>
        <w:jc w:val="left"/>
      </w:pPr>
      <w:r>
        <w:rPr/>
        <w:t>本期计提坏账准备金额</w:t>
      </w:r>
      <w:r>
        <w:rPr>
          <w:spacing w:val="-46"/>
        </w:rPr>
        <w:t> </w:t>
      </w:r>
      <w:r>
        <w:rPr>
          <w:rFonts w:ascii="Times New Roman" w:hAnsi="Times New Roman" w:cs="Times New Roman" w:eastAsia="Times New Roman" w:hint="default"/>
        </w:rPr>
        <w:t>5,198,679.60</w:t>
      </w:r>
      <w:r>
        <w:rPr>
          <w:rFonts w:ascii="Times New Roman" w:hAnsi="Times New Roman" w:cs="Times New Roman" w:eastAsia="Times New Roman" w:hint="default"/>
          <w:spacing w:val="-1"/>
        </w:rPr>
        <w:t> </w:t>
      </w:r>
      <w:r>
        <w:rPr/>
        <w:t>元；本期收回或转回坏账准备金额元。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80" w:left="980" w:right="980"/>
          <w:cols w:num="2" w:equalWidth="0">
            <w:col w:w="6049" w:space="2779"/>
            <w:col w:w="1122"/>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9"/>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4765;top:14;width:23;height:393" coordorigin="4765,14" coordsize="23,393">
              <v:shape style="position:absolute;left:4765;top:14;width:23;height:393" coordorigin="4765,14" coordsize="23,393" path="m4765,407l4788,407,4788,14,4765,14,4765,407xe" filled="true" fillcolor="#d3d3d3" stroked="false">
                <v:path arrowok="t"/>
                <v:fill type="solid"/>
              </v:shape>
            </v:group>
            <v:group style="position:absolute;left:14;top:14;width:23;height:393" coordorigin="14,14" coordsize="23,393">
              <v:shape style="position:absolute;left:14;top:14;width:23;height:393" coordorigin="14,14" coordsize="23,393" path="m14,407l37,407,37,14,14,14,14,407xe" filled="true" fillcolor="#d3d3d3" stroked="false">
                <v:path arrowok="t"/>
                <v:fill type="solid"/>
              </v:shape>
            </v:group>
            <v:group style="position:absolute;left:37;top:14;width:4728;height:393" coordorigin="37,14" coordsize="4728,393">
              <v:shape style="position:absolute;left:37;top:14;width:4728;height:393" coordorigin="37,14" coordsize="4728,393" path="m37,407l4765,407,4765,14,37,14,37,407xe" filled="true" fillcolor="#d3d3d3" stroked="false">
                <v:path arrowok="t"/>
                <v:fill type="solid"/>
              </v:shape>
            </v:group>
            <v:group style="position:absolute;left:4799;top:14;width:23;height:393" coordorigin="4799,14" coordsize="23,393">
              <v:shape style="position:absolute;left:4799;top:14;width:23;height:393" coordorigin="4799,14" coordsize="23,393" path="m4799,407l4822,407,4822,14,4799,14,4799,407xe" filled="true" fillcolor="#d3d3d3" stroked="false">
                <v:path arrowok="t"/>
                <v:fill type="solid"/>
              </v:shape>
            </v:group>
            <v:group style="position:absolute;left:9550;top:14;width:23;height:393" coordorigin="9550,14" coordsize="23,393">
              <v:shape style="position:absolute;left:9550;top:14;width:23;height:393" coordorigin="9550,14" coordsize="23,393" path="m9550,407l9572,407,9572,14,9550,14,9550,407xe" filled="true" fillcolor="#d3d3d3" stroked="false">
                <v:path arrowok="t"/>
                <v:fill type="solid"/>
              </v:shape>
            </v:group>
            <v:group style="position:absolute;left:4822;top:14;width:4728;height:393" coordorigin="4822,14" coordsize="4728,393">
              <v:shape style="position:absolute;left:4822;top:14;width:4728;height:393" coordorigin="4822,14" coordsize="4728,393" path="m4822,407l9550,407,9550,14,4822,14,4822,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1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785;height:2" coordorigin="5,412" coordsize="4785,2">
              <v:shape style="position:absolute;left:5;top:412;width:4785;height:2" coordorigin="5,412" coordsize="4785,0" path="m5,412l4789,412e" filled="false" stroked="true" strokeweight=".47998pt" strokecolor="#000000">
                <v:path arrowok="t"/>
              </v:shape>
            </v:group>
            <v:group style="position:absolute;left:4794;top:14;width:2;height:402" coordorigin="4794,14" coordsize="2,402">
              <v:shape style="position:absolute;left:4794;top:14;width:2;height:402" coordorigin="4794,14" coordsize="0,402" path="m4794,14l4794,416e" filled="false" stroked="true" strokeweight=".48001pt" strokecolor="#000000">
                <v:path arrowok="t"/>
              </v:shape>
            </v:group>
            <v:group style="position:absolute;left:4799;top:412;width:4774;height:2" coordorigin="4799,412" coordsize="4774,2">
              <v:shape style="position:absolute;left:4799;top:412;width:4774;height:2" coordorigin="4799,412" coordsize="4774,0" path="m4799,412l9572,412e" filled="false" stroked="true" strokeweight=".47998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222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4;top:10;width:4784;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6"/>
        <w:ind w:right="0"/>
        <w:jc w:val="left"/>
      </w:pPr>
      <w:r>
        <w:rPr/>
        <w:t>其中重要的应收账款核销情况：</w:t>
      </w:r>
    </w:p>
    <w:p>
      <w:pPr>
        <w:spacing w:after="0" w:line="240" w:lineRule="auto"/>
        <w:jc w:val="left"/>
        <w:sectPr>
          <w:type w:val="continuous"/>
          <w:pgSz w:w="11910" w:h="16840"/>
          <w:pgMar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1"/>
              <w:jc w:val="left"/>
              <w:rPr>
                <w:rFonts w:ascii="宋体" w:hAnsi="宋体" w:cs="宋体" w:eastAsia="宋体" w:hint="default"/>
                <w:sz w:val="18"/>
                <w:szCs w:val="18"/>
              </w:rPr>
            </w:pPr>
            <w:r>
              <w:rPr>
                <w:rFonts w:ascii="宋体" w:hAnsi="宋体" w:cs="宋体" w:eastAsia="宋体" w:hint="default"/>
                <w:sz w:val="18"/>
                <w:szCs w:val="18"/>
              </w:rPr>
              <w:t>中国民生银行股份 有限公司深圳分行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董事会决议</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1"/>
              <w:jc w:val="left"/>
              <w:rPr>
                <w:rFonts w:ascii="宋体" w:hAnsi="宋体" w:cs="宋体" w:eastAsia="宋体" w:hint="default"/>
                <w:sz w:val="18"/>
                <w:szCs w:val="18"/>
              </w:rPr>
            </w:pPr>
            <w:r>
              <w:rPr>
                <w:rFonts w:ascii="宋体" w:hAnsi="宋体" w:cs="宋体" w:eastAsia="宋体" w:hint="default"/>
                <w:sz w:val="18"/>
                <w:szCs w:val="18"/>
              </w:rPr>
              <w:t>中国农业银行股份 有限公司十堰分行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1,260.00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董事会决议</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1"/>
              <w:jc w:val="left"/>
              <w:rPr>
                <w:rFonts w:ascii="宋体" w:hAnsi="宋体" w:cs="宋体" w:eastAsia="宋体" w:hint="default"/>
                <w:sz w:val="18"/>
                <w:szCs w:val="18"/>
              </w:rPr>
            </w:pPr>
            <w:r>
              <w:rPr>
                <w:rFonts w:ascii="宋体" w:hAnsi="宋体" w:cs="宋体" w:eastAsia="宋体" w:hint="default"/>
                <w:sz w:val="18"/>
                <w:szCs w:val="18"/>
              </w:rPr>
              <w:t>中国农业银行股份 有限公司黄石分行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1,260.00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董事会决议</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1"/>
              <w:jc w:val="left"/>
              <w:rPr>
                <w:rFonts w:ascii="宋体" w:hAnsi="宋体" w:cs="宋体" w:eastAsia="宋体" w:hint="default"/>
                <w:sz w:val="18"/>
                <w:szCs w:val="18"/>
              </w:rPr>
            </w:pPr>
            <w:r>
              <w:rPr>
                <w:rFonts w:ascii="宋体" w:hAnsi="宋体" w:cs="宋体" w:eastAsia="宋体" w:hint="default"/>
                <w:sz w:val="18"/>
                <w:szCs w:val="18"/>
              </w:rPr>
              <w:t>茂名好易联网络科 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董事会决议</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1"/>
              <w:jc w:val="left"/>
              <w:rPr>
                <w:rFonts w:ascii="宋体" w:hAnsi="宋体" w:cs="宋体" w:eastAsia="宋体" w:hint="default"/>
                <w:sz w:val="18"/>
                <w:szCs w:val="18"/>
              </w:rPr>
            </w:pPr>
            <w:r>
              <w:rPr>
                <w:rFonts w:ascii="宋体" w:hAnsi="宋体" w:cs="宋体" w:eastAsia="宋体" w:hint="default"/>
                <w:sz w:val="18"/>
                <w:szCs w:val="18"/>
              </w:rPr>
              <w:t>北京邮政信息技术 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31,787.00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董事会决议</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1"/>
              <w:jc w:val="left"/>
              <w:rPr>
                <w:rFonts w:ascii="宋体" w:hAnsi="宋体" w:cs="宋体" w:eastAsia="宋体" w:hint="default"/>
                <w:sz w:val="18"/>
                <w:szCs w:val="18"/>
              </w:rPr>
            </w:pPr>
            <w:r>
              <w:rPr>
                <w:rFonts w:ascii="宋体" w:hAnsi="宋体" w:cs="宋体" w:eastAsia="宋体" w:hint="default"/>
                <w:sz w:val="18"/>
                <w:szCs w:val="18"/>
              </w:rPr>
              <w:t>北京数字王府井科 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董事会决议</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1"/>
              <w:jc w:val="both"/>
              <w:rPr>
                <w:rFonts w:ascii="宋体" w:hAnsi="宋体" w:cs="宋体" w:eastAsia="宋体" w:hint="default"/>
                <w:sz w:val="18"/>
                <w:szCs w:val="18"/>
              </w:rPr>
            </w:pPr>
            <w:r>
              <w:rPr>
                <w:rFonts w:ascii="宋体" w:hAnsi="宋体" w:cs="宋体" w:eastAsia="宋体" w:hint="default"/>
                <w:sz w:val="18"/>
                <w:szCs w:val="18"/>
              </w:rPr>
              <w:t>中国农业银行股份 有限公司内江市分 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1,680.00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董事会决议</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1"/>
              <w:jc w:val="both"/>
              <w:rPr>
                <w:rFonts w:ascii="宋体" w:hAnsi="宋体" w:cs="宋体" w:eastAsia="宋体" w:hint="default"/>
                <w:sz w:val="18"/>
                <w:szCs w:val="18"/>
              </w:rPr>
            </w:pPr>
            <w:r>
              <w:rPr>
                <w:rFonts w:ascii="宋体" w:hAnsi="宋体" w:cs="宋体" w:eastAsia="宋体" w:hint="default"/>
                <w:sz w:val="18"/>
                <w:szCs w:val="18"/>
              </w:rPr>
              <w:t>通联支付网络服务 股份有限公司辽宁 分公司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董事会决议</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1"/>
              <w:jc w:val="left"/>
              <w:rPr>
                <w:rFonts w:ascii="宋体" w:hAnsi="宋体" w:cs="宋体" w:eastAsia="宋体" w:hint="default"/>
                <w:sz w:val="18"/>
                <w:szCs w:val="18"/>
              </w:rPr>
            </w:pPr>
            <w:r>
              <w:rPr>
                <w:rFonts w:ascii="宋体" w:hAnsi="宋体" w:cs="宋体" w:eastAsia="宋体" w:hint="default"/>
                <w:sz w:val="18"/>
                <w:szCs w:val="18"/>
              </w:rPr>
              <w:t>佛山市顺德区联鑫 信息技术有限公司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2,410.00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董事会决议</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1"/>
              <w:jc w:val="both"/>
              <w:rPr>
                <w:rFonts w:ascii="宋体" w:hAnsi="宋体" w:cs="宋体" w:eastAsia="宋体" w:hint="default"/>
                <w:sz w:val="18"/>
                <w:szCs w:val="18"/>
              </w:rPr>
            </w:pPr>
            <w:r>
              <w:rPr>
                <w:rFonts w:ascii="宋体" w:hAnsi="宋体" w:cs="宋体" w:eastAsia="宋体" w:hint="default"/>
                <w:sz w:val="18"/>
                <w:szCs w:val="18"/>
              </w:rPr>
              <w:t>渤海易生商务服务 有限公司杭州分公 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董事会决议</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1"/>
              <w:jc w:val="left"/>
              <w:rPr>
                <w:rFonts w:ascii="宋体" w:hAnsi="宋体" w:cs="宋体" w:eastAsia="宋体" w:hint="default"/>
                <w:sz w:val="18"/>
                <w:szCs w:val="18"/>
              </w:rPr>
            </w:pPr>
            <w:r>
              <w:rPr>
                <w:rFonts w:ascii="宋体" w:hAnsi="宋体" w:cs="宋体" w:eastAsia="宋体" w:hint="default"/>
                <w:sz w:val="18"/>
                <w:szCs w:val="18"/>
              </w:rPr>
              <w:t>上海商业高新技术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134,475.00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董事会决议</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180,392.00</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应收账款核销说明：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9"/>
          <w:szCs w:val="29"/>
        </w:rPr>
      </w:pPr>
    </w:p>
    <w:tbl>
      <w:tblPr>
        <w:tblW w:w="0" w:type="auto"/>
        <w:jc w:val="left"/>
        <w:tblInd w:w="146" w:type="dxa"/>
        <w:tblLayout w:type="fixed"/>
        <w:tblCellMar>
          <w:top w:w="0" w:type="dxa"/>
          <w:left w:w="0" w:type="dxa"/>
          <w:bottom w:w="0" w:type="dxa"/>
          <w:right w:w="0" w:type="dxa"/>
        </w:tblCellMar>
        <w:tblLook w:val="01E0"/>
      </w:tblPr>
      <w:tblGrid>
        <w:gridCol w:w="3119"/>
        <w:gridCol w:w="1442"/>
        <w:gridCol w:w="1726"/>
        <w:gridCol w:w="1175"/>
        <w:gridCol w:w="1372"/>
      </w:tblGrid>
      <w:tr>
        <w:trPr>
          <w:trHeight w:val="667" w:hRule="exact"/>
        </w:trPr>
        <w:tc>
          <w:tcPr>
            <w:tcW w:w="31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7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7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372" w:type="dxa"/>
            <w:tcBorders>
              <w:top w:val="single" w:sz="6" w:space="0" w:color="000000"/>
              <w:left w:val="single" w:sz="6" w:space="0" w:color="000000"/>
              <w:bottom w:val="single" w:sz="12" w:space="0" w:color="000000"/>
              <w:right w:val="nil" w:sz="6" w:space="0" w:color="auto"/>
            </w:tcBorders>
          </w:tcPr>
          <w:p>
            <w:pPr>
              <w:pStyle w:val="TableParagraph"/>
              <w:spacing w:line="316" w:lineRule="auto" w:before="21"/>
              <w:ind w:left="408" w:right="54" w:hanging="360"/>
              <w:jc w:val="left"/>
              <w:rPr>
                <w:rFonts w:ascii="宋体" w:hAnsi="宋体" w:cs="宋体" w:eastAsia="宋体" w:hint="default"/>
                <w:sz w:val="18"/>
                <w:szCs w:val="18"/>
              </w:rPr>
            </w:pPr>
            <w:r>
              <w:rPr>
                <w:rFonts w:ascii="宋体" w:hAnsi="宋体" w:cs="宋体" w:eastAsia="宋体" w:hint="default"/>
                <w:sz w:val="18"/>
                <w:szCs w:val="18"/>
              </w:rPr>
              <w:t>占应收账款总额 的比例</w:t>
            </w:r>
          </w:p>
        </w:tc>
      </w:tr>
      <w:tr>
        <w:trPr>
          <w:trHeight w:val="353" w:hRule="exact"/>
        </w:trPr>
        <w:tc>
          <w:tcPr>
            <w:tcW w:w="3119" w:type="dxa"/>
            <w:vMerge w:val="restart"/>
            <w:tcBorders>
              <w:top w:val="single" w:sz="12" w:space="0" w:color="000000"/>
              <w:left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银联商务有限公司</w:t>
            </w:r>
          </w:p>
        </w:tc>
        <w:tc>
          <w:tcPr>
            <w:tcW w:w="1442" w:type="dxa"/>
            <w:vMerge w:val="restart"/>
            <w:tcBorders>
              <w:top w:val="single" w:sz="12"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7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127,271,613.20</w:t>
            </w:r>
          </w:p>
        </w:tc>
        <w:tc>
          <w:tcPr>
            <w:tcW w:w="11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37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39.87%</w:t>
            </w:r>
          </w:p>
        </w:tc>
      </w:tr>
      <w:tr>
        <w:trPr>
          <w:trHeight w:val="352" w:hRule="exact"/>
        </w:trPr>
        <w:tc>
          <w:tcPr>
            <w:tcW w:w="3119" w:type="dxa"/>
            <w:vMerge/>
            <w:tcBorders>
              <w:left w:val="single" w:sz="6" w:space="0" w:color="000000"/>
              <w:right w:val="single" w:sz="6" w:space="0" w:color="000000"/>
            </w:tcBorders>
          </w:tcPr>
          <w:p>
            <w:pPr/>
          </w:p>
        </w:tc>
        <w:tc>
          <w:tcPr>
            <w:tcW w:w="1442" w:type="dxa"/>
            <w:vMerge/>
            <w:tcBorders>
              <w:left w:val="single" w:sz="6" w:space="0" w:color="000000"/>
              <w:right w:val="single" w:sz="6" w:space="0" w:color="000000"/>
            </w:tcBorders>
          </w:tcPr>
          <w:p>
            <w:pPr/>
          </w:p>
        </w:tc>
        <w:tc>
          <w:tcPr>
            <w:tcW w:w="17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474,186.24</w:t>
            </w:r>
          </w:p>
        </w:tc>
        <w:tc>
          <w:tcPr>
            <w:tcW w:w="11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137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0.15%</w:t>
            </w:r>
          </w:p>
        </w:tc>
      </w:tr>
      <w:tr>
        <w:trPr>
          <w:trHeight w:val="352" w:hRule="exact"/>
        </w:trPr>
        <w:tc>
          <w:tcPr>
            <w:tcW w:w="3119" w:type="dxa"/>
            <w:vMerge/>
            <w:tcBorders>
              <w:left w:val="single" w:sz="6" w:space="0" w:color="000000"/>
              <w:bottom w:val="single" w:sz="12" w:space="0" w:color="000000"/>
              <w:right w:val="single" w:sz="6" w:space="0" w:color="000000"/>
            </w:tcBorders>
          </w:tcPr>
          <w:p>
            <w:pPr/>
          </w:p>
        </w:tc>
        <w:tc>
          <w:tcPr>
            <w:tcW w:w="1442" w:type="dxa"/>
            <w:vMerge/>
            <w:tcBorders>
              <w:left w:val="single" w:sz="6" w:space="0" w:color="000000"/>
              <w:bottom w:val="single" w:sz="12" w:space="0" w:color="000000"/>
              <w:right w:val="single" w:sz="6" w:space="0" w:color="000000"/>
            </w:tcBorders>
          </w:tcPr>
          <w:p>
            <w:pPr/>
          </w:p>
        </w:tc>
        <w:tc>
          <w:tcPr>
            <w:tcW w:w="17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50,943.50</w:t>
            </w:r>
          </w:p>
        </w:tc>
        <w:tc>
          <w:tcPr>
            <w:tcW w:w="11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137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0.02%</w:t>
            </w:r>
          </w:p>
        </w:tc>
      </w:tr>
      <w:tr>
        <w:trPr>
          <w:trHeight w:val="353" w:hRule="exact"/>
        </w:trPr>
        <w:tc>
          <w:tcPr>
            <w:tcW w:w="31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通联支付网络服务股份有限公司</w:t>
            </w:r>
          </w:p>
        </w:tc>
        <w:tc>
          <w:tcPr>
            <w:tcW w:w="1442" w:type="dxa"/>
            <w:tcBorders>
              <w:top w:val="single" w:sz="12" w:space="0" w:color="000000"/>
              <w:left w:val="single" w:sz="6" w:space="0" w:color="000000"/>
              <w:bottom w:val="single" w:sz="12" w:space="0" w:color="000000"/>
              <w:right w:val="single" w:sz="6" w:space="0" w:color="000000"/>
            </w:tcBorders>
          </w:tcPr>
          <w:p>
            <w:pPr/>
          </w:p>
        </w:tc>
        <w:tc>
          <w:tcPr>
            <w:tcW w:w="17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41,290,881.95</w:t>
            </w:r>
          </w:p>
        </w:tc>
        <w:tc>
          <w:tcPr>
            <w:tcW w:w="11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37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12.94%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6" w:type="dxa"/>
        <w:tblLayout w:type="fixed"/>
        <w:tblCellMar>
          <w:top w:w="0" w:type="dxa"/>
          <w:left w:w="0" w:type="dxa"/>
          <w:bottom w:w="0" w:type="dxa"/>
          <w:right w:w="0" w:type="dxa"/>
        </w:tblCellMar>
        <w:tblLook w:val="01E0"/>
      </w:tblPr>
      <w:tblGrid>
        <w:gridCol w:w="3119"/>
        <w:gridCol w:w="1442"/>
        <w:gridCol w:w="1726"/>
        <w:gridCol w:w="1175"/>
        <w:gridCol w:w="1372"/>
      </w:tblGrid>
      <w:tr>
        <w:trPr>
          <w:trHeight w:val="667" w:hRule="exact"/>
        </w:trPr>
        <w:tc>
          <w:tcPr>
            <w:tcW w:w="3119" w:type="dxa"/>
            <w:tcBorders>
              <w:top w:val="single" w:sz="6" w:space="0" w:color="000000"/>
              <w:left w:val="single" w:sz="6" w:space="0" w:color="000000"/>
              <w:bottom w:val="single" w:sz="12" w:space="0" w:color="000000"/>
              <w:right w:val="single" w:sz="6" w:space="0" w:color="000000"/>
            </w:tcBorders>
          </w:tcPr>
          <w:p>
            <w:pPr/>
          </w:p>
        </w:tc>
        <w:tc>
          <w:tcPr>
            <w:tcW w:w="14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35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7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1,612,890.01</w:t>
            </w:r>
          </w:p>
        </w:tc>
        <w:tc>
          <w:tcPr>
            <w:tcW w:w="11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137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0.51%</w:t>
            </w:r>
          </w:p>
        </w:tc>
      </w:tr>
      <w:tr>
        <w:trPr>
          <w:trHeight w:val="352" w:hRule="exact"/>
        </w:trPr>
        <w:tc>
          <w:tcPr>
            <w:tcW w:w="3119" w:type="dxa"/>
            <w:vMerge w:val="restart"/>
            <w:tcBorders>
              <w:top w:val="single" w:sz="12" w:space="0" w:color="000000"/>
              <w:left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广东嘉联支付技术有限公司</w:t>
            </w:r>
          </w:p>
        </w:tc>
        <w:tc>
          <w:tcPr>
            <w:tcW w:w="1442" w:type="dxa"/>
            <w:vMerge w:val="restart"/>
            <w:tcBorders>
              <w:top w:val="single" w:sz="12"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7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19,756,444.00</w:t>
            </w:r>
          </w:p>
        </w:tc>
        <w:tc>
          <w:tcPr>
            <w:tcW w:w="11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37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6.19%</w:t>
            </w:r>
          </w:p>
        </w:tc>
      </w:tr>
      <w:tr>
        <w:trPr>
          <w:trHeight w:val="624" w:hRule="exact"/>
        </w:trPr>
        <w:tc>
          <w:tcPr>
            <w:tcW w:w="3119" w:type="dxa"/>
            <w:vMerge/>
            <w:tcBorders>
              <w:left w:val="single" w:sz="6" w:space="0" w:color="000000"/>
              <w:bottom w:val="single" w:sz="12" w:space="0" w:color="000000"/>
              <w:right w:val="single" w:sz="6" w:space="0" w:color="000000"/>
            </w:tcBorders>
          </w:tcPr>
          <w:p>
            <w:pPr/>
          </w:p>
        </w:tc>
        <w:tc>
          <w:tcPr>
            <w:tcW w:w="1442" w:type="dxa"/>
            <w:vMerge/>
            <w:tcBorders>
              <w:left w:val="single" w:sz="6" w:space="0" w:color="000000"/>
              <w:bottom w:val="single" w:sz="12" w:space="0" w:color="000000"/>
              <w:right w:val="single" w:sz="6" w:space="0" w:color="000000"/>
            </w:tcBorders>
          </w:tcPr>
          <w:p>
            <w:pPr/>
          </w:p>
        </w:tc>
        <w:tc>
          <w:tcPr>
            <w:tcW w:w="17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1,874,790.96</w:t>
            </w:r>
          </w:p>
        </w:tc>
        <w:tc>
          <w:tcPr>
            <w:tcW w:w="11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137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0.59%</w:t>
            </w:r>
          </w:p>
        </w:tc>
      </w:tr>
      <w:tr>
        <w:trPr>
          <w:trHeight w:val="353" w:hRule="exact"/>
        </w:trPr>
        <w:tc>
          <w:tcPr>
            <w:tcW w:w="31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深圳市信利康供应链管理有限公司</w:t>
            </w:r>
          </w:p>
        </w:tc>
        <w:tc>
          <w:tcPr>
            <w:tcW w:w="14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35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7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17,345,871.63</w:t>
            </w:r>
          </w:p>
        </w:tc>
        <w:tc>
          <w:tcPr>
            <w:tcW w:w="11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37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5.43%</w:t>
            </w:r>
          </w:p>
        </w:tc>
      </w:tr>
      <w:tr>
        <w:trPr>
          <w:trHeight w:val="352" w:hRule="exact"/>
        </w:trPr>
        <w:tc>
          <w:tcPr>
            <w:tcW w:w="31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河北省邮政局</w:t>
            </w:r>
          </w:p>
        </w:tc>
        <w:tc>
          <w:tcPr>
            <w:tcW w:w="14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35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7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12,149,100.00</w:t>
            </w:r>
          </w:p>
        </w:tc>
        <w:tc>
          <w:tcPr>
            <w:tcW w:w="11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37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3.81%</w:t>
            </w:r>
          </w:p>
        </w:tc>
      </w:tr>
      <w:tr>
        <w:trPr>
          <w:trHeight w:val="352" w:hRule="exact"/>
        </w:trPr>
        <w:tc>
          <w:tcPr>
            <w:tcW w:w="31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42" w:type="dxa"/>
            <w:tcBorders>
              <w:top w:val="single" w:sz="12" w:space="0" w:color="000000"/>
              <w:left w:val="single" w:sz="6" w:space="0" w:color="000000"/>
              <w:bottom w:val="single" w:sz="12" w:space="0" w:color="000000"/>
              <w:right w:val="single" w:sz="6" w:space="0" w:color="000000"/>
            </w:tcBorders>
          </w:tcPr>
          <w:p>
            <w:pPr/>
          </w:p>
        </w:tc>
        <w:tc>
          <w:tcPr>
            <w:tcW w:w="17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221,826,721.49</w:t>
            </w:r>
          </w:p>
        </w:tc>
        <w:tc>
          <w:tcPr>
            <w:tcW w:w="1175" w:type="dxa"/>
            <w:tcBorders>
              <w:top w:val="single" w:sz="12" w:space="0" w:color="000000"/>
              <w:left w:val="single" w:sz="6" w:space="0" w:color="000000"/>
              <w:bottom w:val="single" w:sz="12" w:space="0" w:color="000000"/>
              <w:right w:val="single" w:sz="6" w:space="0" w:color="000000"/>
            </w:tcBorders>
          </w:tcPr>
          <w:p>
            <w:pPr/>
          </w:p>
        </w:tc>
        <w:tc>
          <w:tcPr>
            <w:tcW w:w="137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69.51%</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其他说明：</w:t>
      </w:r>
    </w:p>
    <w:p>
      <w:pPr>
        <w:pStyle w:val="Heading4"/>
        <w:spacing w:line="256" w:lineRule="auto" w:before="89"/>
        <w:ind w:left="153" w:right="0"/>
        <w:jc w:val="left"/>
      </w:pPr>
      <w:r>
        <w:rPr/>
        <w:t>期末应收账款中无应收持本公司</w:t>
      </w:r>
      <w:r>
        <w:rPr>
          <w:rFonts w:ascii="Times New Roman" w:hAnsi="Times New Roman" w:cs="Times New Roman" w:eastAsia="Times New Roman" w:hint="default"/>
        </w:rPr>
        <w:t>5</w:t>
      </w:r>
      <w:r>
        <w:rPr/>
        <w:t>％以上（含</w:t>
      </w:r>
      <w:r>
        <w:rPr>
          <w:rFonts w:ascii="Times New Roman" w:hAnsi="Times New Roman" w:cs="Times New Roman" w:eastAsia="Times New Roman" w:hint="default"/>
        </w:rPr>
        <w:t>5</w:t>
      </w:r>
      <w:r>
        <w:rPr/>
        <w:t>％）表决权股份的股东单位款项。 </w:t>
      </w:r>
      <w:r>
        <w:rPr>
          <w:spacing w:val="-2"/>
        </w:rPr>
        <w:t>应收账款余额期末比期初增加</w:t>
      </w:r>
      <w:r>
        <w:rPr>
          <w:rFonts w:ascii="Times New Roman" w:hAnsi="Times New Roman" w:cs="Times New Roman" w:eastAsia="Times New Roman" w:hint="default"/>
          <w:spacing w:val="-2"/>
        </w:rPr>
        <w:t>121,826,789.08</w:t>
      </w:r>
      <w:r>
        <w:rPr>
          <w:spacing w:val="-2"/>
        </w:rPr>
        <w:t>元，增加比例</w:t>
      </w:r>
      <w:r>
        <w:rPr>
          <w:rFonts w:ascii="Times New Roman" w:hAnsi="Times New Roman" w:cs="Times New Roman" w:eastAsia="Times New Roman" w:hint="default"/>
          <w:spacing w:val="-2"/>
        </w:rPr>
        <w:t>61.73%</w:t>
      </w:r>
      <w:r>
        <w:rPr>
          <w:spacing w:val="-2"/>
        </w:rPr>
        <w:t>，主要原因系本公司的销售收入较上年有</w:t>
      </w:r>
      <w:r>
        <w:rPr>
          <w:spacing w:val="-94"/>
        </w:rPr>
        <w:t> </w:t>
      </w:r>
      <w:r>
        <w:rPr>
          <w:spacing w:val="-94"/>
        </w:rPr>
      </w:r>
      <w:r>
        <w:rPr/>
        <w:t>较大增长，导致账期内的应收账款增加。</w:t>
      </w:r>
    </w:p>
    <w:p>
      <w:pPr>
        <w:spacing w:line="240" w:lineRule="auto" w:before="10"/>
        <w:rPr>
          <w:rFonts w:ascii="宋体" w:hAnsi="宋体" w:cs="宋体" w:eastAsia="宋体" w:hint="default"/>
          <w:sz w:val="24"/>
          <w:szCs w:val="24"/>
        </w:rPr>
      </w:pPr>
    </w:p>
    <w:p>
      <w:pPr>
        <w:pStyle w:val="Heading3"/>
        <w:spacing w:line="240" w:lineRule="auto"/>
        <w:ind w:left="153" w:right="0"/>
        <w:jc w:val="left"/>
        <w:rPr>
          <w:b w:val="0"/>
          <w:bCs w:val="0"/>
        </w:rPr>
      </w:pPr>
      <w:r>
        <w:rPr>
          <w:rFonts w:ascii="Times New Roman" w:hAnsi="Times New Roman" w:cs="Times New Roman" w:eastAsia="Times New Roman" w:hint="default"/>
        </w:rPr>
        <w:t>6</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2,860,158.14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89.01%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3,142,175.68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37" w:right="0"/>
              <w:jc w:val="lef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353,228.22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10.99%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3,213,386.36</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3,142,175.68</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9"/>
          <w:szCs w:val="29"/>
        </w:rPr>
      </w:pPr>
    </w:p>
    <w:tbl>
      <w:tblPr>
        <w:tblW w:w="0" w:type="auto"/>
        <w:jc w:val="left"/>
        <w:tblInd w:w="161" w:type="dxa"/>
        <w:tblLayout w:type="fixed"/>
        <w:tblCellMar>
          <w:top w:w="0" w:type="dxa"/>
          <w:left w:w="0" w:type="dxa"/>
          <w:bottom w:w="0" w:type="dxa"/>
          <w:right w:w="0" w:type="dxa"/>
        </w:tblCellMar>
        <w:tblLook w:val="01E0"/>
      </w:tblPr>
      <w:tblGrid>
        <w:gridCol w:w="2680"/>
        <w:gridCol w:w="1366"/>
        <w:gridCol w:w="1302"/>
        <w:gridCol w:w="1375"/>
        <w:gridCol w:w="2082"/>
      </w:tblGrid>
      <w:tr>
        <w:trPr>
          <w:trHeight w:val="355" w:hRule="exact"/>
        </w:trPr>
        <w:tc>
          <w:tcPr>
            <w:tcW w:w="26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3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46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08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4"/>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53" w:hRule="exact"/>
        </w:trPr>
        <w:tc>
          <w:tcPr>
            <w:tcW w:w="26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深圳市海联城科技有限公司</w:t>
            </w:r>
          </w:p>
        </w:tc>
        <w:tc>
          <w:tcPr>
            <w:tcW w:w="13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3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75" w:right="0"/>
              <w:jc w:val="left"/>
              <w:rPr>
                <w:rFonts w:ascii="Times New Roman" w:hAnsi="Times New Roman" w:cs="Times New Roman" w:eastAsia="Times New Roman" w:hint="default"/>
                <w:sz w:val="18"/>
                <w:szCs w:val="18"/>
              </w:rPr>
            </w:pPr>
            <w:r>
              <w:rPr>
                <w:rFonts w:ascii="Times New Roman"/>
                <w:sz w:val="18"/>
              </w:rPr>
              <w:t>677,300.00</w:t>
            </w:r>
          </w:p>
        </w:tc>
        <w:tc>
          <w:tcPr>
            <w:tcW w:w="13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08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合同尚未完成</w:t>
            </w:r>
          </w:p>
        </w:tc>
      </w:tr>
      <w:tr>
        <w:trPr>
          <w:trHeight w:val="352" w:hRule="exact"/>
        </w:trPr>
        <w:tc>
          <w:tcPr>
            <w:tcW w:w="26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ExaDigm</w:t>
            </w:r>
            <w:r>
              <w:rPr>
                <w:rFonts w:ascii="Times New Roman"/>
                <w:spacing w:val="-1"/>
                <w:sz w:val="18"/>
              </w:rPr>
              <w:t> </w:t>
            </w:r>
            <w:r>
              <w:rPr>
                <w:rFonts w:ascii="Times New Roman"/>
                <w:sz w:val="18"/>
              </w:rPr>
              <w:t>Inc</w:t>
            </w:r>
          </w:p>
        </w:tc>
        <w:tc>
          <w:tcPr>
            <w:tcW w:w="13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3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75" w:right="0"/>
              <w:jc w:val="left"/>
              <w:rPr>
                <w:rFonts w:ascii="Times New Roman" w:hAnsi="Times New Roman" w:cs="Times New Roman" w:eastAsia="Times New Roman" w:hint="default"/>
                <w:sz w:val="18"/>
                <w:szCs w:val="18"/>
              </w:rPr>
            </w:pPr>
            <w:r>
              <w:rPr>
                <w:rFonts w:ascii="Times New Roman"/>
                <w:sz w:val="18"/>
              </w:rPr>
              <w:t>351,505.25</w:t>
            </w:r>
          </w:p>
        </w:tc>
        <w:tc>
          <w:tcPr>
            <w:tcW w:w="13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08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合同尚未完成</w:t>
            </w:r>
          </w:p>
        </w:tc>
      </w:tr>
      <w:tr>
        <w:trPr>
          <w:trHeight w:val="352" w:hRule="exact"/>
        </w:trPr>
        <w:tc>
          <w:tcPr>
            <w:tcW w:w="26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张慧（预付租赁款）</w:t>
            </w:r>
          </w:p>
        </w:tc>
        <w:tc>
          <w:tcPr>
            <w:tcW w:w="13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3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75" w:right="0"/>
              <w:jc w:val="left"/>
              <w:rPr>
                <w:rFonts w:ascii="Times New Roman" w:hAnsi="Times New Roman" w:cs="Times New Roman" w:eastAsia="Times New Roman" w:hint="default"/>
                <w:sz w:val="18"/>
                <w:szCs w:val="18"/>
              </w:rPr>
            </w:pPr>
            <w:r>
              <w:rPr>
                <w:rFonts w:ascii="Times New Roman"/>
                <w:sz w:val="18"/>
              </w:rPr>
              <w:t>309,768.20</w:t>
            </w:r>
          </w:p>
        </w:tc>
        <w:tc>
          <w:tcPr>
            <w:tcW w:w="13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08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合同尚未完成</w:t>
            </w:r>
          </w:p>
        </w:tc>
      </w:tr>
      <w:tr>
        <w:trPr>
          <w:trHeight w:val="353" w:hRule="exact"/>
        </w:trPr>
        <w:tc>
          <w:tcPr>
            <w:tcW w:w="26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深圳市广屏科技有限公司</w:t>
            </w:r>
          </w:p>
        </w:tc>
        <w:tc>
          <w:tcPr>
            <w:tcW w:w="13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3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75" w:right="0"/>
              <w:jc w:val="left"/>
              <w:rPr>
                <w:rFonts w:ascii="Times New Roman" w:hAnsi="Times New Roman" w:cs="Times New Roman" w:eastAsia="Times New Roman" w:hint="default"/>
                <w:sz w:val="18"/>
                <w:szCs w:val="18"/>
              </w:rPr>
            </w:pPr>
            <w:r>
              <w:rPr>
                <w:rFonts w:ascii="Times New Roman"/>
                <w:sz w:val="18"/>
              </w:rPr>
              <w:t>296,000.00</w:t>
            </w:r>
          </w:p>
        </w:tc>
        <w:tc>
          <w:tcPr>
            <w:tcW w:w="13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08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合同尚未完成</w:t>
            </w:r>
          </w:p>
        </w:tc>
      </w:tr>
      <w:tr>
        <w:trPr>
          <w:trHeight w:val="352" w:hRule="exact"/>
        </w:trPr>
        <w:tc>
          <w:tcPr>
            <w:tcW w:w="26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比亚迪精密制造有限公司</w:t>
            </w:r>
          </w:p>
        </w:tc>
        <w:tc>
          <w:tcPr>
            <w:tcW w:w="13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3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75" w:right="0"/>
              <w:jc w:val="left"/>
              <w:rPr>
                <w:rFonts w:ascii="Times New Roman" w:hAnsi="Times New Roman" w:cs="Times New Roman" w:eastAsia="Times New Roman" w:hint="default"/>
                <w:sz w:val="18"/>
                <w:szCs w:val="18"/>
              </w:rPr>
            </w:pPr>
            <w:r>
              <w:rPr>
                <w:rFonts w:ascii="Times New Roman"/>
                <w:sz w:val="18"/>
              </w:rPr>
              <w:t>269,960.00</w:t>
            </w:r>
          </w:p>
        </w:tc>
        <w:tc>
          <w:tcPr>
            <w:tcW w:w="13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08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合同尚未完成</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12"/>
        <w:rPr>
          <w:rFonts w:ascii="宋体" w:hAnsi="宋体" w:cs="宋体" w:eastAsia="宋体" w:hint="default"/>
          <w:b/>
          <w:bCs/>
          <w:sz w:val="27"/>
          <w:szCs w:val="27"/>
        </w:rPr>
      </w:pPr>
    </w:p>
    <w:p>
      <w:pPr>
        <w:spacing w:line="384" w:lineRule="exact"/>
        <w:ind w:left="146"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42.1pt;height:19.2pt;mso-position-horizontal-relative:char;mso-position-vertical-relative:line" coordorigin="0,0" coordsize="8842,384">
            <v:group style="position:absolute;left:15;top:14;width:2680;height:2" coordorigin="15,14" coordsize="2680,2">
              <v:shape style="position:absolute;left:15;top:14;width:2680;height:2" coordorigin="15,14" coordsize="2680,0" path="m15,14l2695,14e" filled="false" stroked="true" strokeweight=".72003pt" strokecolor="#000000">
                <v:path arrowok="t"/>
              </v:shape>
            </v:group>
            <v:group style="position:absolute;left:2709;top:14;width:1352;height:2" coordorigin="2709,14" coordsize="1352,2">
              <v:shape style="position:absolute;left:2709;top:14;width:1352;height:2" coordorigin="2709,14" coordsize="1352,0" path="m2709,14l4060,14e" filled="false" stroked="true" strokeweight=".72003pt" strokecolor="#000000">
                <v:path arrowok="t"/>
              </v:shape>
            </v:group>
            <v:group style="position:absolute;left:4075;top:14;width:1288;height:2" coordorigin="4075,14" coordsize="1288,2">
              <v:shape style="position:absolute;left:4075;top:14;width:1288;height:2" coordorigin="4075,14" coordsize="1288,0" path="m4075,14l5362,14e" filled="false" stroked="true" strokeweight=".72003pt" strokecolor="#000000">
                <v:path arrowok="t"/>
              </v:shape>
            </v:group>
            <v:group style="position:absolute;left:5377;top:14;width:1361;height:2" coordorigin="5377,14" coordsize="1361,2">
              <v:shape style="position:absolute;left:5377;top:14;width:1361;height:2" coordorigin="5377,14" coordsize="1361,0" path="m5377,14l6737,14e" filled="false" stroked="true" strokeweight=".72003pt" strokecolor="#000000">
                <v:path arrowok="t"/>
              </v:shape>
            </v:group>
            <v:group style="position:absolute;left:6752;top:14;width:2075;height:2" coordorigin="6752,14" coordsize="2075,2">
              <v:shape style="position:absolute;left:6752;top:14;width:2075;height:2" coordorigin="6752,14" coordsize="2075,0" path="m6752,14l8827,14e" filled="false" stroked="true" strokeweight=".72pt" strokecolor="#000000">
                <v:path arrowok="t"/>
              </v:shape>
            </v:group>
            <v:group style="position:absolute;left:22;top:7;width:2;height:347" coordorigin="22,7" coordsize="2,347">
              <v:shape style="position:absolute;left:22;top:7;width:2;height:347" coordorigin="22,7" coordsize="0,347" path="m22,7l22,354e" filled="false" stroked="true" strokeweight=".72pt" strokecolor="#000000">
                <v:path arrowok="t"/>
              </v:shape>
            </v:group>
            <v:group style="position:absolute;left:15;top:369;width:2680;height:2" coordorigin="15,369" coordsize="2680,2">
              <v:shape style="position:absolute;left:15;top:369;width:2680;height:2" coordorigin="15,369" coordsize="2680,0" path="m15,369l2695,369e" filled="false" stroked="true" strokeweight="1.5pt" strokecolor="#000000">
                <v:path arrowok="t"/>
              </v:shape>
            </v:group>
            <v:group style="position:absolute;left:2702;top:7;width:2;height:347" coordorigin="2702,7" coordsize="2,347">
              <v:shape style="position:absolute;left:2702;top:7;width:2;height:347" coordorigin="2702,7" coordsize="0,347" path="m2702,7l2702,354e" filled="false" stroked="true" strokeweight=".72pt" strokecolor="#000000">
                <v:path arrowok="t"/>
              </v:shape>
            </v:group>
            <v:group style="position:absolute;left:2695;top:369;width:1366;height:2" coordorigin="2695,369" coordsize="1366,2">
              <v:shape style="position:absolute;left:2695;top:369;width:1366;height:2" coordorigin="2695,369" coordsize="1366,0" path="m2695,369l4060,369e" filled="false" stroked="true" strokeweight="1.5pt" strokecolor="#000000">
                <v:path arrowok="t"/>
              </v:shape>
            </v:group>
            <v:group style="position:absolute;left:4067;top:7;width:2;height:347" coordorigin="4067,7" coordsize="2,347">
              <v:shape style="position:absolute;left:4067;top:7;width:2;height:347" coordorigin="4067,7" coordsize="0,347" path="m4067,7l4067,354e" filled="false" stroked="true" strokeweight=".72pt" strokecolor="#000000">
                <v:path arrowok="t"/>
              </v:shape>
            </v:group>
            <v:group style="position:absolute;left:4060;top:369;width:1302;height:2" coordorigin="4060,369" coordsize="1302,2">
              <v:shape style="position:absolute;left:4060;top:369;width:1302;height:2" coordorigin="4060,369" coordsize="1302,0" path="m4060,369l5362,369e" filled="false" stroked="true" strokeweight="1.5pt" strokecolor="#000000">
                <v:path arrowok="t"/>
              </v:shape>
            </v:group>
            <v:group style="position:absolute;left:5369;top:7;width:2;height:347" coordorigin="5369,7" coordsize="2,347">
              <v:shape style="position:absolute;left:5369;top:7;width:2;height:347" coordorigin="5369,7" coordsize="0,347" path="m5369,7l5369,354e" filled="false" stroked="true" strokeweight=".72pt" strokecolor="#000000">
                <v:path arrowok="t"/>
              </v:shape>
            </v:group>
            <v:group style="position:absolute;left:5362;top:369;width:1376;height:2" coordorigin="5362,369" coordsize="1376,2">
              <v:shape style="position:absolute;left:5362;top:369;width:1376;height:2" coordorigin="5362,369" coordsize="1376,0" path="m5362,369l6737,369e" filled="false" stroked="true" strokeweight="1.5pt" strokecolor="#000000">
                <v:path arrowok="t"/>
              </v:shape>
            </v:group>
            <v:group style="position:absolute;left:6745;top:7;width:2;height:347" coordorigin="6745,7" coordsize="2,347">
              <v:shape style="position:absolute;left:6745;top:7;width:2;height:347" coordorigin="6745,7" coordsize="0,347" path="m6745,7l6745,354e" filled="false" stroked="true" strokeweight=".71997pt" strokecolor="#000000">
                <v:path arrowok="t"/>
              </v:shape>
            </v:group>
            <v:group style="position:absolute;left:6737;top:369;width:2090;height:2" coordorigin="6737,369" coordsize="2090,2">
              <v:shape style="position:absolute;left:6737;top:369;width:2090;height:2" coordorigin="6737,369" coordsize="2090,0" path="m6737,369l8827,369e" filled="false" stroked="true" strokeweight="1.5pt" strokecolor="#000000">
                <v:path arrowok="t"/>
              </v:shape>
              <v:shape style="position:absolute;left:22;top:14;width:2680;height:355" type="#_x0000_t202" filled="false" stroked="false">
                <v:textbox inset="0,0,0,0">
                  <w:txbxContent>
                    <w:p>
                      <w:pPr>
                        <w:spacing w:before="28"/>
                        <w:ind w:left="0" w:right="1" w:firstLine="0"/>
                        <w:jc w:val="center"/>
                        <w:rPr>
                          <w:rFonts w:ascii="宋体" w:hAnsi="宋体" w:cs="宋体" w:eastAsia="宋体" w:hint="default"/>
                          <w:sz w:val="18"/>
                          <w:szCs w:val="18"/>
                        </w:rPr>
                      </w:pPr>
                      <w:r>
                        <w:rPr>
                          <w:rFonts w:ascii="宋体" w:hAnsi="宋体" w:cs="宋体" w:eastAsia="宋体" w:hint="default"/>
                          <w:sz w:val="18"/>
                          <w:szCs w:val="18"/>
                        </w:rPr>
                        <w:t>合计</w:t>
                      </w:r>
                    </w:p>
                  </w:txbxContent>
                </v:textbox>
                <w10:wrap type="none"/>
              </v:shape>
              <v:shape style="position:absolute;left:4067;top:14;width:1302;height:355" type="#_x0000_t202" filled="false" stroked="false">
                <v:textbox inset="0,0,0,0">
                  <w:txbxContent>
                    <w:p>
                      <w:pPr>
                        <w:spacing w:before="68"/>
                        <w:ind w:left="348" w:right="0" w:firstLine="0"/>
                        <w:jc w:val="left"/>
                        <w:rPr>
                          <w:rFonts w:ascii="Times New Roman" w:hAnsi="Times New Roman" w:cs="Times New Roman" w:eastAsia="Times New Roman" w:hint="default"/>
                          <w:sz w:val="18"/>
                          <w:szCs w:val="18"/>
                        </w:rPr>
                      </w:pPr>
                      <w:r>
                        <w:rPr>
                          <w:rFonts w:ascii="Times New Roman"/>
                          <w:sz w:val="18"/>
                        </w:rPr>
                        <w:t>1,904,533.45</w:t>
                      </w:r>
                    </w:p>
                  </w:txbxContent>
                </v:textbox>
                <w10:wrap type="none"/>
              </v:shape>
            </v:group>
          </v:group>
        </w:pict>
      </w:r>
      <w:r>
        <w:rPr>
          <w:rFonts w:ascii="宋体" w:hAnsi="宋体" w:cs="宋体" w:eastAsia="宋体" w:hint="default"/>
          <w:position w:val="-7"/>
          <w:sz w:val="20"/>
          <w:szCs w:val="20"/>
        </w:rPr>
      </w:r>
    </w:p>
    <w:p>
      <w:pPr>
        <w:spacing w:line="240" w:lineRule="auto" w:before="5"/>
        <w:rPr>
          <w:rFonts w:ascii="宋体" w:hAnsi="宋体" w:cs="宋体" w:eastAsia="宋体" w:hint="default"/>
          <w:b/>
          <w:bCs/>
          <w:sz w:val="24"/>
          <w:szCs w:val="24"/>
        </w:rPr>
      </w:pPr>
    </w:p>
    <w:p>
      <w:pPr>
        <w:pStyle w:val="BodyText"/>
        <w:spacing w:line="240" w:lineRule="auto"/>
        <w:ind w:right="0"/>
        <w:jc w:val="left"/>
      </w:pPr>
      <w:r>
        <w:rPr/>
        <w:t>其他说明：</w:t>
      </w:r>
    </w:p>
    <w:p>
      <w:pPr>
        <w:pStyle w:val="Heading4"/>
        <w:spacing w:line="240" w:lineRule="auto" w:before="90"/>
        <w:ind w:right="0"/>
        <w:jc w:val="left"/>
      </w:pPr>
      <w:r>
        <w:rPr/>
        <w:t>期末预付款项中无预付持本公司</w:t>
      </w:r>
      <w:r>
        <w:rPr>
          <w:rFonts w:ascii="Times New Roman" w:hAnsi="Times New Roman" w:cs="Times New Roman" w:eastAsia="Times New Roman" w:hint="default"/>
        </w:rPr>
        <w:t>5</w:t>
      </w:r>
      <w:r>
        <w:rPr/>
        <w:t>％以上（含</w:t>
      </w:r>
      <w:r>
        <w:rPr>
          <w:rFonts w:ascii="Times New Roman" w:hAnsi="Times New Roman" w:cs="Times New Roman" w:eastAsia="Times New Roman" w:hint="default"/>
        </w:rPr>
        <w:t>5</w:t>
      </w:r>
      <w:r>
        <w:rPr/>
        <w:t>％）表决权股份的股东单位及其他关联方款项。</w:t>
      </w:r>
    </w:p>
    <w:p>
      <w:pPr>
        <w:spacing w:line="240" w:lineRule="auto" w:before="8"/>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7</w:t>
      </w:r>
      <w:r>
        <w:rPr/>
        <w:t>、应收利息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）应收利息分类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8"/>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1,856,222.19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3,695,225.62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1,856,222.19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3,695,225.62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）重要逾期利息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71"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8</w:t>
      </w:r>
      <w:r>
        <w:rPr/>
        <w:t>、应收股利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8"/>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）重要的账龄超过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71"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9</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1525"/>
        <w:gridCol w:w="1524"/>
        <w:gridCol w:w="790"/>
        <w:gridCol w:w="1416"/>
        <w:gridCol w:w="1745"/>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1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2"/>
        <w:gridCol w:w="762"/>
        <w:gridCol w:w="762"/>
        <w:gridCol w:w="790"/>
        <w:gridCol w:w="654"/>
        <w:gridCol w:w="762"/>
        <w:gridCol w:w="812"/>
        <w:gridCol w:w="932"/>
        <w:gridCol w:w="932"/>
      </w:tblGrid>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1,497,5</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80.00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17.10%</w:t>
            </w:r>
          </w:p>
        </w:tc>
        <w:tc>
          <w:tcPr>
            <w:tcW w:w="81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1,497,580.0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7,854,94</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7.82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1,765,38</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2.21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22.47%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6,089,565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6,858,8</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95.51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78.33%</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1,175,712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17.14%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5,683,182.6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06"/>
              <w:ind w:left="396" w:right="0"/>
              <w:jc w:val="lef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4.57%</w:t>
            </w:r>
          </w:p>
        </w:tc>
        <w:tc>
          <w:tcPr>
            <w:tcW w:w="81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400,000.00</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7,854,94</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7.82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1,765,38</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2.21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22.47%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6,089,565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8,756,4</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75.51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1,175,712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13.43%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7,580,762.6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pStyle w:val="BodyText"/>
        <w:spacing w:line="240" w:lineRule="auto" w:before="51"/>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80" w:left="980" w:right="980"/>
          <w:cols w:num="2" w:equalWidth="0">
            <w:col w:w="4475" w:space="4354"/>
            <w:col w:w="112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206" w:hRule="exact"/>
        </w:trPr>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7176"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9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2392" w:type="dxa"/>
            <w:vMerge/>
            <w:tcBorders>
              <w:left w:val="single" w:sz="4" w:space="0" w:color="000000"/>
              <w:bottom w:val="nil" w:sz="6" w:space="0" w:color="auto"/>
              <w:right w:val="single" w:sz="4" w:space="0" w:color="000000"/>
            </w:tcBorders>
            <w:shd w:val="clear" w:color="auto" w:fill="D3D3D3"/>
          </w:tcPr>
          <w:p>
            <w:pPr/>
          </w:p>
        </w:tc>
        <w:tc>
          <w:tcPr>
            <w:tcW w:w="23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3" w:type="dxa"/>
            <w:vMerge/>
            <w:tcBorders>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4,199,693.16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209,984.66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1,423,658.75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284,731.75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1,921,860.22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960,930.11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309,735.69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309,735.69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7,854,947.82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1,765,382.21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22.47%</w:t>
            </w:r>
          </w:p>
        </w:tc>
      </w:tr>
    </w:tbl>
    <w:p>
      <w:pPr>
        <w:pStyle w:val="BodyText"/>
        <w:spacing w:line="357" w:lineRule="auto" w:before="51"/>
        <w:ind w:left="153" w:right="5271"/>
        <w:jc w:val="left"/>
      </w:pPr>
      <w:r>
        <w:rPr/>
        <w:t>确定该组合依据的说明： 组合中，采用余额百分比法计提坏账准备的其他应收款：</w:t>
      </w:r>
    </w:p>
    <w:p>
      <w:pPr>
        <w:pStyle w:val="BodyText"/>
        <w:spacing w:line="338" w:lineRule="auto" w:before="29"/>
        <w:ind w:right="56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80" w:left="980" w:right="980"/>
        </w:sectPr>
      </w:pPr>
    </w:p>
    <w:p>
      <w:pPr>
        <w:pStyle w:val="BodyText"/>
        <w:spacing w:line="340" w:lineRule="auto"/>
        <w:ind w:left="153" w:right="-17"/>
        <w:jc w:val="left"/>
      </w:pPr>
      <w:r>
        <w:rPr/>
        <w:t>本期计提坏账准备金额</w:t>
      </w:r>
      <w:r>
        <w:rPr>
          <w:spacing w:val="-46"/>
        </w:rPr>
        <w:t> </w:t>
      </w:r>
      <w:r>
        <w:rPr>
          <w:rFonts w:ascii="Times New Roman" w:hAnsi="Times New Roman" w:cs="Times New Roman" w:eastAsia="Times New Roman" w:hint="default"/>
        </w:rPr>
        <w:t>589,669.36</w:t>
      </w:r>
      <w:r>
        <w:rPr>
          <w:rFonts w:ascii="Times New Roman" w:hAnsi="Times New Roman" w:cs="Times New Roman" w:eastAsia="Times New Roman" w:hint="default"/>
          <w:spacing w:val="-1"/>
        </w:rPr>
        <w:t> </w:t>
      </w:r>
      <w:r>
        <w:rPr/>
        <w:t>元；本期收回或转回坏账准备金额元。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80" w:left="980" w:right="980"/>
          <w:cols w:num="2" w:equalWidth="0">
            <w:col w:w="5915" w:space="2914"/>
            <w:col w:w="112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59"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type w:val="continuous"/>
          <w:pgSz w:w="11910" w:h="16840"/>
          <w:pgMar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8"/>
        <w:rPr>
          <w:rFonts w:ascii="宋体" w:hAnsi="宋体" w:cs="宋体" w:eastAsia="宋体" w:hint="default"/>
          <w:sz w:val="7"/>
          <w:szCs w:val="7"/>
        </w:rPr>
      </w:pPr>
    </w:p>
    <w:p>
      <w:pPr>
        <w:spacing w:line="422"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5pt;mso-position-horizontal-relative:char;mso-position-vertical-relative:line" coordorigin="0,0" coordsize="9587,423">
            <v:group style="position:absolute;left:4762;top:16;width:23;height:392" coordorigin="4762,16" coordsize="23,392">
              <v:shape style="position:absolute;left:4762;top:16;width:23;height:392" coordorigin="4762,16" coordsize="23,392" path="m4762,407l4784,407,4784,16,4762,16,4762,407xe" filled="true" fillcolor="#d3d3d3" stroked="false">
                <v:path arrowok="t"/>
                <v:fill type="solid"/>
              </v:shape>
            </v:group>
            <v:group style="position:absolute;left:14;top:16;width:23;height:392" coordorigin="14,16" coordsize="23,392">
              <v:shape style="position:absolute;left:14;top:16;width:23;height:392" coordorigin="14,16" coordsize="23,392" path="m14,407l37,407,37,16,14,16,14,407xe" filled="true" fillcolor="#d3d3d3" stroked="false">
                <v:path arrowok="t"/>
                <v:fill type="solid"/>
              </v:shape>
            </v:group>
            <v:group style="position:absolute;left:37;top:16;width:4725;height:392" coordorigin="37,16" coordsize="4725,392">
              <v:shape style="position:absolute;left:37;top:16;width:4725;height:392" coordorigin="37,16" coordsize="4725,392" path="m37,407l4762,407,4762,16,37,16,37,407xe" filled="true" fillcolor="#d3d3d3" stroked="false">
                <v:path arrowok="t"/>
                <v:fill type="solid"/>
              </v:shape>
            </v:group>
            <v:group style="position:absolute;left:4794;top:16;width:24;height:392" coordorigin="4794,16" coordsize="24,392">
              <v:shape style="position:absolute;left:4794;top:16;width:24;height:392" coordorigin="4794,16" coordsize="24,392" path="m4794,407l4818,407,4818,16,4794,16,4794,407xe" filled="true" fillcolor="#d3d3d3" stroked="false">
                <v:path arrowok="t"/>
                <v:fill type="solid"/>
              </v:shape>
            </v:group>
            <v:group style="position:absolute;left:9550;top:16;width:23;height:392" coordorigin="9550,16" coordsize="23,392">
              <v:shape style="position:absolute;left:9550;top:16;width:23;height:392" coordorigin="9550,16" coordsize="23,392" path="m9550,407l9572,407,9572,16,9550,16,9550,407xe" filled="true" fillcolor="#d3d3d3" stroked="false">
                <v:path arrowok="t"/>
                <v:fill type="solid"/>
              </v:shape>
            </v:group>
            <v:group style="position:absolute;left:4818;top:16;width:4732;height:392" coordorigin="4818,16" coordsize="4732,392">
              <v:shape style="position:absolute;left:4818;top:16;width:4732;height:392" coordorigin="4818,16" coordsize="4732,392" path="m4818,407l9550,407,9550,16,4818,16,4818,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4pt" strokecolor="#000000">
                <v:path arrowok="t"/>
              </v:shape>
            </v:group>
            <v:group style="position:absolute;left:10;top:5;width:2;height:413" coordorigin="10,5" coordsize="2,413">
              <v:shape style="position:absolute;left:10;top:5;width:2;height:413" coordorigin="10,5" coordsize="0,413" path="m10,5l10,418e" filled="false" stroked="true" strokeweight=".48001pt" strokecolor="#000000">
                <v:path arrowok="t"/>
              </v:shape>
            </v:group>
            <v:group style="position:absolute;left:5;top:413;width:4780;height:2" coordorigin="5,413" coordsize="4780,2">
              <v:shape style="position:absolute;left:5;top:413;width:4780;height:2" coordorigin="5,413" coordsize="4780,0" path="m5,413l4784,413e" filled="false" stroked="true" strokeweight=".48004pt" strokecolor="#000000">
                <v:path arrowok="t"/>
              </v:shape>
            </v:group>
            <v:group style="position:absolute;left:4789;top:14;width:2;height:404" coordorigin="4789,14" coordsize="2,404">
              <v:shape style="position:absolute;left:4789;top:14;width:2;height:404" coordorigin="4789,14" coordsize="0,404" path="m4789,14l4789,418e" filled="false" stroked="true" strokeweight=".48001pt" strokecolor="#000000">
                <v:path arrowok="t"/>
              </v:shape>
            </v:group>
            <v:group style="position:absolute;left:4794;top:413;width:4779;height:2" coordorigin="4794,413" coordsize="4779,2">
              <v:shape style="position:absolute;left:4794;top:413;width:4779;height:2" coordorigin="4794,413" coordsize="4779,0" path="m4794,413l9572,413e" filled="false" stroked="true" strokeweight=".48004pt" strokecolor="#000000">
                <v:path arrowok="t"/>
              </v:shape>
            </v:group>
            <v:group style="position:absolute;left:9577;top:5;width:2;height:413" coordorigin="9577,5" coordsize="2,413">
              <v:shape style="position:absolute;left:9577;top:5;width:2;height:413" coordorigin="9577,5" coordsize="0,413" path="m9577,5l9577,418e" filled="false" stroked="true" strokeweight=".47998pt" strokecolor="#000000">
                <v:path arrowok="t"/>
              </v:shape>
              <v:shape style="position:absolute;left:2219;top:12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89;top:10;width:4788;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7"/>
        <w:ind w:right="0"/>
        <w:jc w:val="left"/>
      </w:pPr>
      <w:r>
        <w:rPr/>
        <w:t>其中重要的其他应收款核销情况：</w:t>
      </w:r>
    </w:p>
    <w:p>
      <w:pPr>
        <w:pStyle w:val="BodyText"/>
        <w:spacing w:line="240" w:lineRule="auto" w:before="116"/>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right="0"/>
        <w:jc w:val="left"/>
      </w:pPr>
      <w:r>
        <w:rPr/>
        <w:t>其他应收款核销说明：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职员借款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1,552,679.61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2,603,769.21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6,177,186.26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6,098,036.67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代垫社保款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125,081.95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54,669.63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7,854,947.82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8,756,475.51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麦启光</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房屋租赁押金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1,159,920.00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579,960.00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昆山财政局花桥支 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工程质量保证金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山西三公招标代理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招标保证金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广州羊城通公司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代付客户款、押金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540,671.03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27,033.55</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江苏省国际招标公 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招标保证金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3,600,591.03</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1,296,993.55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83" w:right="50"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after="0" w:line="316"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其他说明：</w:t>
      </w:r>
    </w:p>
    <w:p>
      <w:pPr>
        <w:pStyle w:val="Heading4"/>
        <w:spacing w:line="240" w:lineRule="auto" w:before="89"/>
        <w:ind w:right="0"/>
        <w:jc w:val="left"/>
      </w:pPr>
      <w:r>
        <w:rPr/>
        <w:t>期末其他应收款中无应收持本公司</w:t>
      </w:r>
      <w:r>
        <w:rPr>
          <w:rFonts w:ascii="Times New Roman" w:hAnsi="Times New Roman" w:cs="Times New Roman" w:eastAsia="Times New Roman" w:hint="default"/>
        </w:rPr>
        <w:t>5</w:t>
      </w:r>
      <w:r>
        <w:rPr/>
        <w:t>％以上（含</w:t>
      </w:r>
      <w:r>
        <w:rPr>
          <w:rFonts w:ascii="Times New Roman" w:hAnsi="Times New Roman" w:cs="Times New Roman" w:eastAsia="Times New Roman" w:hint="default"/>
        </w:rPr>
        <w:t>5</w:t>
      </w:r>
      <w:r>
        <w:rPr/>
        <w:t>％）表决权股份的股东单位及其他关联方款项。</w:t>
      </w:r>
    </w:p>
    <w:p>
      <w:pPr>
        <w:spacing w:line="240" w:lineRule="auto" w:before="8"/>
        <w:rPr>
          <w:rFonts w:ascii="宋体" w:hAnsi="宋体" w:cs="宋体" w:eastAsia="宋体" w:hint="default"/>
          <w:sz w:val="24"/>
          <w:szCs w:val="24"/>
        </w:rPr>
      </w:pPr>
    </w:p>
    <w:p>
      <w:pPr>
        <w:pStyle w:val="Heading3"/>
        <w:spacing w:line="240" w:lineRule="auto"/>
        <w:ind w:left="153" w:right="0"/>
        <w:jc w:val="left"/>
        <w:rPr>
          <w:b w:val="0"/>
          <w:bCs w:val="0"/>
        </w:rPr>
      </w:pPr>
      <w:r>
        <w:rPr>
          <w:rFonts w:ascii="Times New Roman" w:hAnsi="Times New Roman" w:cs="Times New Roman" w:eastAsia="Times New Roman" w:hint="default"/>
        </w:rPr>
        <w:t>10</w:t>
      </w:r>
      <w:r>
        <w:rPr/>
        <w:t>、存货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26,264,411.71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1,156,324.92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25,108,086.79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26,249,887.52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684,990.06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25,564,897.46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3,170,718.70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3,170,718.70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2,432,966.63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2,432,966.63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5,049,967.93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98,688.36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4,951,279.57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8,139,552.15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362,576.52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7,776,975.63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3,854,858.07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3,854,858.07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9,606,620.92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9,606,620.92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36,473,280.71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93,675.85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36,379,604.86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31,988,597.30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559,104.71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31,429,492.59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56,568,148.38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2,625,590.37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53,942,558.01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38,052,046.79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803,259.22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37,248,787.57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131,381,385.50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3,974,279.50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127,407,106.00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116,469,671.31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2,409,930.51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114,059,740.80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2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684,990.06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525,306.26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53,971.40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1,156,324.92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362,576.52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73,906.73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337,794.89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98,688.36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559,104.71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465,428.86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93,675.85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803,259.22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1,822,331.15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2,625,590.37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2,409,930.51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2,421,544.14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857,195.15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3,974,279.50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9"/>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4764;top:14;width:24;height:393" coordorigin="4764,14" coordsize="24,393">
              <v:shape style="position:absolute;left:4764;top:14;width:24;height:393" coordorigin="4764,14" coordsize="24,393" path="m4764,407l4788,407,4788,14,4764,14,4764,407xe" filled="true" fillcolor="#d3d3d3" stroked="false">
                <v:path arrowok="t"/>
                <v:fill type="solid"/>
              </v:shape>
            </v:group>
            <v:group style="position:absolute;left:14;top:14;width:23;height:393" coordorigin="14,14" coordsize="23,393">
              <v:shape style="position:absolute;left:14;top:14;width:23;height:393" coordorigin="14,14" coordsize="23,393" path="m14,407l37,407,37,14,14,14,14,407xe" filled="true" fillcolor="#d3d3d3" stroked="false">
                <v:path arrowok="t"/>
                <v:fill type="solid"/>
              </v:shape>
            </v:group>
            <v:group style="position:absolute;left:37;top:14;width:4727;height:393" coordorigin="37,14" coordsize="4727,393">
              <v:shape style="position:absolute;left:37;top:14;width:4727;height:393" coordorigin="37,14" coordsize="4727,393" path="m37,407l4764,407,4764,14,37,14,37,407xe" filled="true" fillcolor="#d3d3d3" stroked="false">
                <v:path arrowok="t"/>
                <v:fill type="solid"/>
              </v:shape>
            </v:group>
            <v:group style="position:absolute;left:4798;top:14;width:23;height:393" coordorigin="4798,14" coordsize="23,393">
              <v:shape style="position:absolute;left:4798;top:14;width:23;height:393" coordorigin="4798,14" coordsize="23,393" path="m4798,407l4820,407,4820,14,4798,14,4798,407xe" filled="true" fillcolor="#d3d3d3" stroked="false">
                <v:path arrowok="t"/>
                <v:fill type="solid"/>
              </v:shape>
            </v:group>
            <v:group style="position:absolute;left:9550;top:14;width:23;height:393" coordorigin="9550,14" coordsize="23,393">
              <v:shape style="position:absolute;left:9550;top:14;width:23;height:393" coordorigin="9550,14" coordsize="23,393" path="m9550,407l9572,407,9572,14,9550,14,9550,407xe" filled="true" fillcolor="#d3d3d3" stroked="false">
                <v:path arrowok="t"/>
                <v:fill type="solid"/>
              </v:shape>
            </v:group>
            <v:group style="position:absolute;left:4820;top:14;width:4730;height:393" coordorigin="4820,14" coordsize="4730,393">
              <v:shape style="position:absolute;left:4820;top:14;width:4730;height:393" coordorigin="4820,14" coordsize="4730,393" path="m4820,407l9550,407,9550,14,4820,14,4820,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1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784;height:2" coordorigin="5,412" coordsize="4784,2">
              <v:shape style="position:absolute;left:5;top:412;width:4784;height:2" coordorigin="5,412" coordsize="4784,0" path="m5,412l4788,412e" filled="false" stroked="true" strokeweight=".47998pt" strokecolor="#000000">
                <v:path arrowok="t"/>
              </v:shape>
            </v:group>
            <v:group style="position:absolute;left:4793;top:14;width:2;height:402" coordorigin="4793,14" coordsize="2,402">
              <v:shape style="position:absolute;left:4793;top:14;width:2;height:402" coordorigin="4793,14" coordsize="0,402" path="m4793,14l4793,416e" filled="false" stroked="true" strokeweight=".48001pt" strokecolor="#000000">
                <v:path arrowok="t"/>
              </v:shape>
            </v:group>
            <v:group style="position:absolute;left:4798;top:412;width:4775;height:2" coordorigin="4798,412" coordsize="4775,2">
              <v:shape style="position:absolute;left:4798;top:412;width:4775;height:2" coordorigin="4798,412" coordsize="4775,0" path="m4798,412l9572,412e" filled="false" stroked="true" strokeweight=".47998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2220;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004;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spacing w:after="0" w:line="421" w:lineRule="exact"/>
        <w:rPr>
          <w:rFonts w:ascii="宋体" w:hAnsi="宋体" w:cs="宋体" w:eastAsia="宋体" w:hint="default"/>
          <w:sz w:val="20"/>
          <w:szCs w:val="20"/>
        </w:rPr>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ind w:left="153"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11</w:t>
      </w:r>
      <w:r>
        <w:rPr/>
        <w:t>、划分为持有待售的资产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12</w:t>
      </w:r>
      <w:r>
        <w:rPr/>
        <w:t>、一年内到期的非流动资产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13</w:t>
      </w:r>
      <w:r>
        <w:rPr/>
        <w:t>、其他流动资产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871,991.00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980,350.81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待抵扣的进项税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6,621,820.49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19,398,137.35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7,493,811.49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20,378,488.16</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14</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00"/>
        <w:gridCol w:w="1195"/>
        <w:gridCol w:w="1195"/>
        <w:gridCol w:w="1196"/>
        <w:gridCol w:w="1248"/>
        <w:gridCol w:w="1367"/>
        <w:gridCol w:w="1367"/>
      </w:tblGrid>
      <w:tr>
        <w:trPr>
          <w:trHeight w:val="402" w:hRule="exact"/>
        </w:trPr>
        <w:tc>
          <w:tcPr>
            <w:tcW w:w="20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000"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7" w:right="0"/>
              <w:jc w:val="left"/>
              <w:rPr>
                <w:rFonts w:ascii="Times New Roman" w:hAnsi="Times New Roman" w:cs="Times New Roman" w:eastAsia="Times New Roman" w:hint="default"/>
                <w:sz w:val="18"/>
                <w:szCs w:val="18"/>
              </w:rPr>
            </w:pPr>
            <w:r>
              <w:rPr>
                <w:rFonts w:ascii="Times New Roman"/>
                <w:sz w:val="18"/>
              </w:rPr>
              <w:t>3,121,250.00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3,121,250.00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9" w:right="0"/>
              <w:jc w:val="left"/>
              <w:rPr>
                <w:rFonts w:ascii="Times New Roman" w:hAnsi="Times New Roman" w:cs="Times New Roman" w:eastAsia="Times New Roman" w:hint="default"/>
                <w:sz w:val="18"/>
                <w:szCs w:val="18"/>
              </w:rPr>
            </w:pPr>
            <w:r>
              <w:rPr>
                <w:rFonts w:ascii="Times New Roman"/>
                <w:sz w:val="18"/>
              </w:rPr>
              <w:t>3,121,250.00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3,121,250.00</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7" w:right="0"/>
              <w:jc w:val="left"/>
              <w:rPr>
                <w:rFonts w:ascii="Times New Roman" w:hAnsi="Times New Roman" w:cs="Times New Roman" w:eastAsia="Times New Roman" w:hint="default"/>
                <w:sz w:val="18"/>
                <w:szCs w:val="18"/>
              </w:rPr>
            </w:pPr>
            <w:r>
              <w:rPr>
                <w:rFonts w:ascii="Times New Roman"/>
                <w:sz w:val="18"/>
              </w:rPr>
              <w:t>3,121,250.00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3,121,250.00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9" w:right="0"/>
              <w:jc w:val="left"/>
              <w:rPr>
                <w:rFonts w:ascii="Times New Roman" w:hAnsi="Times New Roman" w:cs="Times New Roman" w:eastAsia="Times New Roman" w:hint="default"/>
                <w:sz w:val="18"/>
                <w:szCs w:val="18"/>
              </w:rPr>
            </w:pPr>
            <w:r>
              <w:rPr>
                <w:rFonts w:ascii="Times New Roman"/>
                <w:sz w:val="18"/>
              </w:rPr>
              <w:t>3,121,250.00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3,121,250.00</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7" w:right="0"/>
              <w:jc w:val="left"/>
              <w:rPr>
                <w:rFonts w:ascii="Times New Roman" w:hAnsi="Times New Roman" w:cs="Times New Roman" w:eastAsia="Times New Roman" w:hint="default"/>
                <w:sz w:val="18"/>
                <w:szCs w:val="18"/>
              </w:rPr>
            </w:pPr>
            <w:r>
              <w:rPr>
                <w:rFonts w:ascii="Times New Roman"/>
                <w:sz w:val="18"/>
              </w:rPr>
              <w:t>3,121,250.00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3,121,250.00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9" w:right="0"/>
              <w:jc w:val="left"/>
              <w:rPr>
                <w:rFonts w:ascii="Times New Roman" w:hAnsi="Times New Roman" w:cs="Times New Roman" w:eastAsia="Times New Roman" w:hint="default"/>
                <w:sz w:val="18"/>
                <w:szCs w:val="18"/>
              </w:rPr>
            </w:pPr>
            <w:r>
              <w:rPr>
                <w:rFonts w:ascii="Times New Roman"/>
                <w:sz w:val="18"/>
              </w:rPr>
              <w:t>3,121,250.00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3,121,250.00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09"/>
        <w:gridCol w:w="1915"/>
        <w:gridCol w:w="1915"/>
        <w:gridCol w:w="1914"/>
        <w:gridCol w:w="1915"/>
      </w:tblGrid>
      <w:tr>
        <w:trPr>
          <w:trHeight w:val="714" w:hRule="exact"/>
        </w:trPr>
        <w:tc>
          <w:tcPr>
            <w:tcW w:w="19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9"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411" w:right="26" w:hanging="386"/>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 具的摊余成本</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41" w:right="50" w:hanging="90"/>
              <w:jc w:val="left"/>
              <w:rPr>
                <w:rFonts w:ascii="宋体" w:hAnsi="宋体" w:cs="宋体" w:eastAsia="宋体" w:hint="default"/>
                <w:sz w:val="18"/>
                <w:szCs w:val="18"/>
              </w:rPr>
            </w:pPr>
            <w:r>
              <w:rPr>
                <w:rFonts w:ascii="宋体" w:hAnsi="宋体" w:cs="宋体" w:eastAsia="宋体" w:hint="default"/>
                <w:sz w:val="18"/>
                <w:szCs w:val="18"/>
              </w:rPr>
              <w:t>累计计入其他综合收益 的公允价值变动金额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3" w:hRule="exact"/>
        </w:trPr>
        <w:tc>
          <w:tcPr>
            <w:tcW w:w="863" w:type="dxa"/>
            <w:vMerge/>
            <w:tcBorders>
              <w:left w:val="single" w:sz="4" w:space="0" w:color="000000"/>
              <w:bottom w:val="single" w:sz="4" w:space="0" w:color="000000"/>
              <w:right w:val="single" w:sz="4" w:space="0" w:color="000000"/>
            </w:tcBorders>
            <w:shd w:val="clear" w:color="auto" w:fill="D3D3D3"/>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3D3D3"/>
          </w:tcPr>
          <w:p>
            <w:pPr/>
          </w:p>
        </w:tc>
        <w:tc>
          <w:tcPr>
            <w:tcW w:w="870"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72"/>
              <w:jc w:val="left"/>
              <w:rPr>
                <w:rFonts w:ascii="Times New Roman" w:hAnsi="Times New Roman" w:cs="Times New Roman" w:eastAsia="Times New Roman" w:hint="default"/>
                <w:sz w:val="18"/>
                <w:szCs w:val="18"/>
              </w:rPr>
            </w:pPr>
            <w:r>
              <w:rPr>
                <w:rFonts w:ascii="Times New Roman"/>
                <w:sz w:val="18"/>
              </w:rPr>
              <w:t>Exadigm,I nc.</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3,121,250.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3,121,250.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3.33%</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3,121,250.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3,121,250.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02"/>
        <w:gridCol w:w="1327"/>
        <w:gridCol w:w="1328"/>
        <w:gridCol w:w="1327"/>
        <w:gridCol w:w="1327"/>
        <w:gridCol w:w="1328"/>
        <w:gridCol w:w="1327"/>
      </w:tblGrid>
      <w:tr>
        <w:trPr>
          <w:trHeight w:val="714" w:hRule="exact"/>
        </w:trPr>
        <w:tc>
          <w:tcPr>
            <w:tcW w:w="16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15" w:right="74" w:hanging="540"/>
              <w:jc w:val="left"/>
              <w:rPr>
                <w:rFonts w:ascii="宋体" w:hAnsi="宋体" w:cs="宋体" w:eastAsia="宋体" w:hint="default"/>
                <w:sz w:val="18"/>
                <w:szCs w:val="18"/>
              </w:rPr>
            </w:pPr>
            <w:r>
              <w:rPr>
                <w:rFonts w:ascii="宋体" w:hAnsi="宋体" w:cs="宋体" w:eastAsia="宋体" w:hint="default"/>
                <w:sz w:val="18"/>
                <w:szCs w:val="18"/>
              </w:rPr>
              <w:t>可供出售金融资产 分类</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77" w:right="29" w:hanging="450"/>
              <w:jc w:val="left"/>
              <w:rPr>
                <w:rFonts w:ascii="宋体" w:hAnsi="宋体" w:cs="宋体" w:eastAsia="宋体" w:hint="default"/>
                <w:sz w:val="18"/>
                <w:szCs w:val="18"/>
              </w:rPr>
            </w:pPr>
            <w:r>
              <w:rPr>
                <w:rFonts w:ascii="宋体" w:hAnsi="宋体" w:cs="宋体" w:eastAsia="宋体" w:hint="default"/>
                <w:sz w:val="18"/>
                <w:szCs w:val="18"/>
              </w:rPr>
              <w:t>期初已计提减值 余额</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8"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08" w:right="26" w:hanging="180"/>
              <w:jc w:val="left"/>
              <w:rPr>
                <w:rFonts w:ascii="宋体" w:hAnsi="宋体" w:cs="宋体" w:eastAsia="宋体" w:hint="default"/>
                <w:sz w:val="18"/>
                <w:szCs w:val="18"/>
              </w:rPr>
            </w:pPr>
            <w:r>
              <w:rPr>
                <w:rFonts w:ascii="宋体" w:hAnsi="宋体" w:cs="宋体" w:eastAsia="宋体" w:hint="default"/>
                <w:sz w:val="18"/>
                <w:szCs w:val="18"/>
              </w:rPr>
              <w:t>其中：从其他综 合收益转入</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8" w:right="29" w:hanging="90"/>
              <w:jc w:val="left"/>
              <w:rPr>
                <w:rFonts w:ascii="宋体" w:hAnsi="宋体" w:cs="宋体" w:eastAsia="宋体" w:hint="default"/>
                <w:sz w:val="18"/>
                <w:szCs w:val="18"/>
              </w:rPr>
            </w:pPr>
            <w:r>
              <w:rPr>
                <w:rFonts w:ascii="宋体" w:hAnsi="宋体" w:cs="宋体" w:eastAsia="宋体" w:hint="default"/>
                <w:sz w:val="18"/>
                <w:szCs w:val="18"/>
              </w:rPr>
              <w:t>其中：期后公允 价值回升转回</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78" w:right="26" w:hanging="450"/>
              <w:jc w:val="left"/>
              <w:rPr>
                <w:rFonts w:ascii="宋体" w:hAnsi="宋体" w:cs="宋体" w:eastAsia="宋体" w:hint="default"/>
                <w:sz w:val="18"/>
                <w:szCs w:val="18"/>
              </w:rPr>
            </w:pPr>
            <w:r>
              <w:rPr>
                <w:rFonts w:ascii="宋体" w:hAnsi="宋体" w:cs="宋体" w:eastAsia="宋体" w:hint="default"/>
                <w:sz w:val="18"/>
                <w:szCs w:val="18"/>
              </w:rPr>
              <w:t>期末已计提减值 余额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07"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15</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）持有至到期投资情况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其他说明</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8"/>
        <w:gridCol w:w="1166"/>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9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3D3D3"/>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3D3D3"/>
          </w:tcPr>
          <w:p>
            <w:pP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17</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02" w:right="31"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深圳市瑞 柏泰电子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22,062,16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4.22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2,464,437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24,526,60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1.30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22,062,16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4.22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2,464,437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24,526,60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1.30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22,062,16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4.22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2,464,437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24,526,60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1.30</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pStyle w:val="BodyText"/>
        <w:spacing w:line="300" w:lineRule="auto" w:before="115"/>
        <w:ind w:left="153" w:right="151" w:firstLine="360"/>
        <w:jc w:val="both"/>
      </w:pP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26</w:t>
      </w:r>
      <w:r>
        <w:rPr>
          <w:spacing w:val="-1"/>
        </w:rPr>
        <w:t>日，本公司与深圳市瑞柏泰电子有限公司股东蔡敏签署了《关于受让深圳市瑞柏泰电子有限公司</w:t>
      </w:r>
      <w:r>
        <w:rPr>
          <w:rFonts w:ascii="Times New Roman" w:hAnsi="Times New Roman" w:cs="Times New Roman" w:eastAsia="Times New Roman" w:hint="default"/>
          <w:spacing w:val="-1"/>
        </w:rPr>
        <w:t>20%</w:t>
      </w:r>
      <w:r>
        <w:rPr>
          <w:spacing w:val="-1"/>
        </w:rPr>
        <w:t>股权</w:t>
      </w:r>
      <w:r>
        <w:rPr/>
        <w:t> </w:t>
      </w:r>
      <w:r>
        <w:rPr>
          <w:spacing w:val="-1"/>
        </w:rPr>
        <w:t>的股权受让合同》，本公司以人民币</w:t>
      </w:r>
      <w:r>
        <w:rPr>
          <w:rFonts w:ascii="Times New Roman" w:hAnsi="Times New Roman" w:cs="Times New Roman" w:eastAsia="Times New Roman" w:hint="default"/>
          <w:spacing w:val="-1"/>
        </w:rPr>
        <w:t>2,000.00</w:t>
      </w:r>
      <w:r>
        <w:rPr>
          <w:spacing w:val="-1"/>
        </w:rPr>
        <w:t>万元的价格受让深圳市瑞柏泰电子有限公司</w:t>
      </w:r>
      <w:r>
        <w:rPr>
          <w:rFonts w:ascii="Times New Roman" w:hAnsi="Times New Roman" w:cs="Times New Roman" w:eastAsia="Times New Roman" w:hint="default"/>
          <w:spacing w:val="-1"/>
        </w:rPr>
        <w:t>20%</w:t>
      </w:r>
      <w:r>
        <w:rPr>
          <w:spacing w:val="-1"/>
        </w:rPr>
        <w:t>的股份，</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11</w:t>
      </w:r>
      <w:r>
        <w:rPr>
          <w:spacing w:val="-1"/>
        </w:rPr>
        <w:t>日，深圳</w:t>
      </w:r>
      <w:r>
        <w:rPr>
          <w:spacing w:val="-83"/>
        </w:rPr>
        <w:t> </w:t>
      </w:r>
      <w:r>
        <w:rPr>
          <w:spacing w:val="-83"/>
        </w:rPr>
      </w:r>
      <w:r>
        <w:rPr/>
        <w:t>市瑞柏泰电子有限公司完成工商变更。</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18</w:t>
      </w:r>
      <w:r>
        <w:rPr/>
        <w:t>、投资性房地产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19</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2"/>
        <w:gridCol w:w="1195"/>
        <w:gridCol w:w="1196"/>
        <w:gridCol w:w="1196"/>
        <w:gridCol w:w="1195"/>
        <w:gridCol w:w="1285"/>
        <w:gridCol w:w="1367"/>
      </w:tblGrid>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2,061,404.85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2,153,082.75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13,438,118.08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4,069,394.70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21,680,497.59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43,402,497.97</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2,061,404.85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1,967,033.18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9,963,945.86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4,069,394.70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22,439,515.94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40,501,294.53</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186,049.57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3,711,804.71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16,146,767.08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20,044,621.36</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186,049.57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3,711,804.71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16,146,767.08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20,044,621.36</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237,632.49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16,905,785.43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17,143,417.92</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0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237,632.49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16,905,785.43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17,143,417.92</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2,061,404.85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2,153,082.75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13,438,118.08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4,069,394.70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21,680,497.59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43,402,497.97</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218,198.51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1,229,152.93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7,086,556.61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2,826,376.67</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5,060,918.43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16,421,203.15</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120,240.35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938,491.55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5,246,859.64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2,273,766.11</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11,277,190.95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19,856,548.60</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97,958.16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290,661.38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1,858,505.57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552,610.56</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2,426,299.21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5,226,034.88</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97,958.16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290,661.38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1,858,505.57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552,610.56</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2,426,299.21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5,226,034.88</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18,808.60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8,642,571.73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8,661,380.33</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0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18,808.60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8,642,571.73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8,661,380.33</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218,198.51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1,229,152.93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7,086,556.61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2,826,376.67</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5,060,918.43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16,421,203.15</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26,981,294.82</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1,843,206.34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923,929.82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6,351,561.47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1,243,018.03</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16,619,579.16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26,981,294.82</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1,941,164.50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1,028,541.63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4,717,086.22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1,795,628.59</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11,162,324.99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20,644,745.93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机</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16,619,579.16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357" w:lineRule="auto" w:before="51"/>
        <w:ind w:right="770"/>
        <w:jc w:val="left"/>
      </w:pPr>
      <w:r>
        <w:rPr/>
        <w:t>其他说明 期末固定资产，不存在抵押、担保的情况；不存在可收回金额低于账面价值的情形，故未计提固定资产减值准备。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20</w:t>
      </w:r>
      <w:r>
        <w:rPr/>
        <w:t>、在建工程</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3"/>
              <w:jc w:val="left"/>
              <w:rPr>
                <w:rFonts w:ascii="宋体" w:hAnsi="宋体" w:cs="宋体" w:eastAsia="宋体" w:hint="default"/>
                <w:sz w:val="18"/>
                <w:szCs w:val="18"/>
              </w:rPr>
            </w:pPr>
            <w:r>
              <w:rPr>
                <w:rFonts w:ascii="宋体" w:hAnsi="宋体" w:cs="宋体" w:eastAsia="宋体" w:hint="default"/>
                <w:sz w:val="18"/>
                <w:szCs w:val="18"/>
              </w:rPr>
              <w:t>苏州电子支付研 发基地项目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230,792,939.85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230,792,939.85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1" w:right="0"/>
              <w:jc w:val="left"/>
              <w:rPr>
                <w:rFonts w:ascii="Times New Roman" w:hAnsi="Times New Roman" w:cs="Times New Roman" w:eastAsia="Times New Roman" w:hint="default"/>
                <w:sz w:val="18"/>
                <w:szCs w:val="18"/>
              </w:rPr>
            </w:pPr>
            <w:r>
              <w:rPr>
                <w:rFonts w:ascii="Times New Roman"/>
                <w:sz w:val="18"/>
              </w:rPr>
              <w:t>73,749,092.60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73,749,092.60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230,792,939.85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230,792,939.85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1" w:right="0"/>
              <w:jc w:val="left"/>
              <w:rPr>
                <w:rFonts w:ascii="Times New Roman" w:hAnsi="Times New Roman" w:cs="Times New Roman" w:eastAsia="Times New Roman" w:hint="default"/>
                <w:sz w:val="18"/>
                <w:szCs w:val="18"/>
              </w:rPr>
            </w:pPr>
            <w:r>
              <w:rPr>
                <w:rFonts w:ascii="Times New Roman"/>
                <w:sz w:val="18"/>
              </w:rPr>
              <w:t>73,749,092.60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73,749,092.60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69"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358"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苏州电</w:t>
            </w: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57"/>
              <w:jc w:val="left"/>
              <w:rPr>
                <w:rFonts w:ascii="宋体" w:hAnsi="宋体" w:cs="宋体" w:eastAsia="宋体" w:hint="default"/>
                <w:sz w:val="18"/>
                <w:szCs w:val="18"/>
              </w:rPr>
            </w:pPr>
            <w:r>
              <w:rPr>
                <w:rFonts w:ascii="宋体" w:hAnsi="宋体" w:cs="宋体" w:eastAsia="宋体" w:hint="default"/>
                <w:sz w:val="18"/>
                <w:szCs w:val="18"/>
              </w:rPr>
              <w:t>子支付 研发基</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50" w:right="0"/>
              <w:jc w:val="center"/>
              <w:rPr>
                <w:rFonts w:ascii="Times New Roman" w:hAnsi="Times New Roman" w:cs="Times New Roman" w:eastAsia="Times New Roman" w:hint="default"/>
                <w:sz w:val="18"/>
                <w:szCs w:val="18"/>
              </w:rPr>
            </w:pPr>
            <w:r>
              <w:rPr>
                <w:rFonts w:ascii="Times New Roman"/>
                <w:sz w:val="18"/>
              </w:rPr>
              <w:t>278,060,</w:t>
            </w:r>
          </w:p>
          <w:p>
            <w:pPr>
              <w:pStyle w:val="TableParagraph"/>
              <w:spacing w:line="240" w:lineRule="auto" w:before="106"/>
              <w:ind w:left="187"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74" w:right="0"/>
              <w:jc w:val="left"/>
              <w:rPr>
                <w:rFonts w:ascii="Times New Roman" w:hAnsi="Times New Roman" w:cs="Times New Roman" w:eastAsia="Times New Roman" w:hint="default"/>
                <w:sz w:val="18"/>
                <w:szCs w:val="18"/>
              </w:rPr>
            </w:pPr>
            <w:r>
              <w:rPr>
                <w:rFonts w:ascii="Times New Roman"/>
                <w:sz w:val="18"/>
              </w:rPr>
              <w:t>73,749,0</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92.60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50" w:right="0"/>
              <w:jc w:val="center"/>
              <w:rPr>
                <w:rFonts w:ascii="Times New Roman" w:hAnsi="Times New Roman" w:cs="Times New Roman" w:eastAsia="Times New Roman" w:hint="default"/>
                <w:sz w:val="18"/>
                <w:szCs w:val="18"/>
              </w:rPr>
            </w:pPr>
            <w:r>
              <w:rPr>
                <w:rFonts w:ascii="Times New Roman"/>
                <w:sz w:val="18"/>
              </w:rPr>
              <w:t>157,043,</w:t>
            </w:r>
          </w:p>
          <w:p>
            <w:pPr>
              <w:pStyle w:val="TableParagraph"/>
              <w:spacing w:line="240" w:lineRule="auto" w:before="106"/>
              <w:ind w:left="187" w:right="0"/>
              <w:jc w:val="center"/>
              <w:rPr>
                <w:rFonts w:ascii="Times New Roman" w:hAnsi="Times New Roman" w:cs="Times New Roman" w:eastAsia="Times New Roman" w:hint="default"/>
                <w:sz w:val="18"/>
                <w:szCs w:val="18"/>
              </w:rPr>
            </w:pPr>
            <w:r>
              <w:rPr>
                <w:rFonts w:ascii="Times New Roman"/>
                <w:sz w:val="18"/>
              </w:rPr>
              <w:t>847.25</w:t>
            </w: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50" w:right="0"/>
              <w:jc w:val="center"/>
              <w:rPr>
                <w:rFonts w:ascii="Times New Roman" w:hAnsi="Times New Roman" w:cs="Times New Roman" w:eastAsia="Times New Roman" w:hint="default"/>
                <w:sz w:val="18"/>
                <w:szCs w:val="18"/>
              </w:rPr>
            </w:pPr>
            <w:r>
              <w:rPr>
                <w:rFonts w:ascii="Times New Roman"/>
                <w:sz w:val="18"/>
              </w:rPr>
              <w:t>230,792,</w:t>
            </w:r>
          </w:p>
          <w:p>
            <w:pPr>
              <w:pStyle w:val="TableParagraph"/>
              <w:spacing w:line="240" w:lineRule="auto" w:before="106"/>
              <w:ind w:left="187" w:right="0"/>
              <w:jc w:val="center"/>
              <w:rPr>
                <w:rFonts w:ascii="Times New Roman" w:hAnsi="Times New Roman" w:cs="Times New Roman" w:eastAsia="Times New Roman" w:hint="default"/>
                <w:sz w:val="18"/>
                <w:szCs w:val="18"/>
              </w:rPr>
            </w:pPr>
            <w:r>
              <w:rPr>
                <w:rFonts w:ascii="Times New Roman"/>
                <w:sz w:val="18"/>
              </w:rPr>
              <w:t>939.85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83.00%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83.00%</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351"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地项目</w:t>
            </w: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6"/>
        <w:gridCol w:w="736"/>
        <w:gridCol w:w="736"/>
        <w:gridCol w:w="737"/>
        <w:gridCol w:w="736"/>
      </w:tblGrid>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278,060,</w:t>
            </w:r>
          </w:p>
          <w:p>
            <w:pPr>
              <w:pStyle w:val="TableParagraph"/>
              <w:spacing w:line="240" w:lineRule="auto" w:before="106"/>
              <w:ind w:left="187"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73,749,0</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92.60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157,043,</w:t>
            </w:r>
          </w:p>
          <w:p>
            <w:pPr>
              <w:pStyle w:val="TableParagraph"/>
              <w:spacing w:line="240" w:lineRule="auto" w:before="106"/>
              <w:ind w:left="187" w:right="0"/>
              <w:jc w:val="center"/>
              <w:rPr>
                <w:rFonts w:ascii="Times New Roman" w:hAnsi="Times New Roman" w:cs="Times New Roman" w:eastAsia="Times New Roman" w:hint="default"/>
                <w:sz w:val="18"/>
                <w:szCs w:val="18"/>
              </w:rPr>
            </w:pPr>
            <w:r>
              <w:rPr>
                <w:rFonts w:ascii="Times New Roman"/>
                <w:sz w:val="18"/>
              </w:rPr>
              <w:t>847.25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230,792,</w:t>
            </w:r>
          </w:p>
          <w:p>
            <w:pPr>
              <w:pStyle w:val="TableParagraph"/>
              <w:spacing w:line="240" w:lineRule="auto" w:before="106"/>
              <w:ind w:left="187" w:right="0"/>
              <w:jc w:val="center"/>
              <w:rPr>
                <w:rFonts w:ascii="Times New Roman" w:hAnsi="Times New Roman" w:cs="Times New Roman" w:eastAsia="Times New Roman" w:hint="default"/>
                <w:sz w:val="18"/>
                <w:szCs w:val="18"/>
              </w:rPr>
            </w:pPr>
            <w:r>
              <w:rPr>
                <w:rFonts w:ascii="Times New Roman"/>
                <w:sz w:val="18"/>
              </w:rPr>
              <w:t>939.85</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357" w:lineRule="auto" w:before="51"/>
        <w:ind w:right="4730"/>
        <w:jc w:val="left"/>
      </w:pPr>
      <w:r>
        <w:rPr/>
        <w:t>其他说明 期末在建工程不存在减值的迹象，故未计提在建工程减值准备。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21</w:t>
      </w:r>
      <w:r>
        <w:rPr/>
        <w:t>、工程物资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22</w:t>
      </w:r>
      <w:r>
        <w:rPr/>
        <w:t>、固定资产清理</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24</w:t>
      </w:r>
      <w:r>
        <w:rPr/>
        <w:t>、油气资产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25</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after="0" w:line="240" w:lineRule="auto"/>
        <w:jc w:val="righ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64"/>
        <w:gridCol w:w="1396"/>
        <w:gridCol w:w="1368"/>
        <w:gridCol w:w="1382"/>
        <w:gridCol w:w="1380"/>
        <w:gridCol w:w="1579"/>
      </w:tblGrid>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33,376,838.80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3,269,778.13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36,646,616.93</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33,376,838.80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2,742,720.54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36,119,559.34</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5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527,057.59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527,057.59</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527,057.59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527,057.59</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33,376,838.80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3,269,778.13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36,646,616.93</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2,655,188.81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1,445,159.67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4,100,348.48</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1,987,632.05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838,040.47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2,825,672.52</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5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667,556.76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607,119.20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1,274,675.96</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667,556.76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607,119.20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1,274,675.96</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2,655,188.81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1,445,159.67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4,100,348.48</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30,721,649.99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1,824,618.46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32,546,268.45</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5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30,721,649.99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1,824,618.46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32,546,268.45</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5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31,389,206.75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1,904,680.07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33,293,886.82</w:t>
            </w:r>
          </w:p>
        </w:tc>
      </w:tr>
    </w:tbl>
    <w:p>
      <w:pPr>
        <w:pStyle w:val="BodyText"/>
        <w:spacing w:line="240" w:lineRule="auto" w:before="51"/>
        <w:ind w:right="0"/>
        <w:jc w:val="left"/>
      </w:pPr>
      <w:r>
        <w:rPr/>
        <w:t>本期末通过公司内部研发形成的无形资产占无形资产余额的比例。</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357" w:lineRule="auto" w:before="51"/>
        <w:ind w:right="2570"/>
        <w:jc w:val="left"/>
      </w:pPr>
      <w:r>
        <w:rPr/>
        <w:t>其他说明： 期末无形资产不存在抵押、担保的情况。不存在减值的迹象，故未计提无形资产减值准备。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26</w:t>
      </w:r>
      <w:r>
        <w:rPr/>
        <w:t>、开发支出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5"/>
        <w:gridCol w:w="1196"/>
        <w:gridCol w:w="1196"/>
        <w:gridCol w:w="1196"/>
        <w:gridCol w:w="1195"/>
        <w:gridCol w:w="1196"/>
        <w:gridCol w:w="1196"/>
        <w:gridCol w:w="1195"/>
      </w:tblGrid>
      <w:tr>
        <w:trPr>
          <w:trHeight w:val="402" w:hRule="exact"/>
        </w:trPr>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58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本期减少金额</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195"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02" w:right="50" w:hanging="450"/>
              <w:jc w:val="left"/>
              <w:rPr>
                <w:rFonts w:ascii="宋体" w:hAnsi="宋体" w:cs="宋体" w:eastAsia="宋体" w:hint="default"/>
                <w:sz w:val="18"/>
                <w:szCs w:val="18"/>
              </w:rPr>
            </w:pPr>
            <w:r>
              <w:rPr>
                <w:rFonts w:ascii="宋体" w:hAnsi="宋体" w:cs="宋体" w:eastAsia="宋体" w:hint="default"/>
                <w:sz w:val="18"/>
                <w:szCs w:val="18"/>
              </w:rPr>
              <w:t>确认为无形资 产</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vMerge/>
            <w:tcBorders>
              <w:left w:val="single" w:sz="4" w:space="0" w:color="000000"/>
              <w:bottom w:val="single" w:sz="4" w:space="0" w:color="000000"/>
              <w:right w:val="single" w:sz="4" w:space="0" w:color="000000"/>
            </w:tcBorders>
            <w:shd w:val="clear" w:color="auto" w:fill="D3D3D3"/>
          </w:tcPr>
          <w:p>
            <w:pP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27</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2734"/>
        <w:gridCol w:w="2735"/>
        <w:gridCol w:w="1367"/>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47"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67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587" w:right="47" w:hanging="540"/>
              <w:jc w:val="left"/>
              <w:rPr>
                <w:rFonts w:ascii="宋体" w:hAnsi="宋体" w:cs="宋体" w:eastAsia="宋体" w:hint="default"/>
                <w:sz w:val="18"/>
                <w:szCs w:val="18"/>
              </w:rPr>
            </w:pPr>
            <w:r>
              <w:rPr>
                <w:rFonts w:ascii="宋体" w:hAnsi="宋体" w:cs="宋体" w:eastAsia="宋体" w:hint="default"/>
                <w:sz w:val="18"/>
                <w:szCs w:val="18"/>
              </w:rPr>
              <w:t>或形成商誉的事 项</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402" w:hRule="exact"/>
        </w:trPr>
        <w:tc>
          <w:tcPr>
            <w:tcW w:w="136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被投资单位名称</w:t>
            </w:r>
          </w:p>
        </w:tc>
        <w:tc>
          <w:tcPr>
            <w:tcW w:w="1369" w:type="dxa"/>
            <w:tcBorders>
              <w:top w:val="single" w:sz="4" w:space="0" w:color="000000"/>
              <w:left w:val="single" w:sz="4" w:space="0" w:color="000000"/>
              <w:bottom w:val="nil" w:sz="6" w:space="0" w:color="auto"/>
              <w:right w:val="single" w:sz="4" w:space="0" w:color="000000"/>
            </w:tcBorders>
            <w:shd w:val="clear" w:color="auto" w:fill="D3D3D3"/>
          </w:tcPr>
          <w:p>
            <w:pP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68" w:hRule="exact"/>
        </w:trPr>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01" w:lineRule="exact"/>
              <w:ind w:right="1"/>
              <w:jc w:val="center"/>
              <w:rPr>
                <w:rFonts w:ascii="宋体" w:hAnsi="宋体" w:cs="宋体" w:eastAsia="宋体" w:hint="default"/>
                <w:sz w:val="18"/>
                <w:szCs w:val="18"/>
              </w:rPr>
            </w:pPr>
            <w:r>
              <w:rPr>
                <w:rFonts w:ascii="宋体" w:hAnsi="宋体" w:cs="宋体" w:eastAsia="宋体" w:hint="default"/>
                <w:sz w:val="18"/>
                <w:szCs w:val="18"/>
              </w:rPr>
              <w:t>或形成商誉的事</w:t>
            </w:r>
          </w:p>
        </w:tc>
        <w:tc>
          <w:tcPr>
            <w:tcW w:w="13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02" w:lineRule="exact"/>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02" w:lineRule="exact"/>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6" w:hRule="exact"/>
        </w:trPr>
        <w:tc>
          <w:tcPr>
            <w:tcW w:w="136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w:t>
            </w:r>
          </w:p>
        </w:tc>
        <w:tc>
          <w:tcPr>
            <w:tcW w:w="1369"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r>
    </w:tbl>
    <w:p>
      <w:pPr>
        <w:pStyle w:val="BodyText"/>
        <w:spacing w:line="357" w:lineRule="auto" w:before="52"/>
        <w:ind w:left="153" w:right="5091"/>
        <w:jc w:val="left"/>
      </w:pPr>
      <w:r>
        <w:rPr/>
        <w:t>说明商誉减值测试过程、参数及商誉减值损失的确认方法： 其他说明</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28</w:t>
      </w:r>
      <w:r>
        <w:rPr/>
        <w:t>、长期待摊费用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1,923,172.31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1,656,577.00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715,224.31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2,864,525.00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地图平台服务费</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4,999.98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45,000.02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高尔夫会费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1,299,606.00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193,158.00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2,456,448.00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3,222,778.31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3,056,577.00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913,382.29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5,365,973.02</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25,601,457.11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3,809,038.97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18,409,125.41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2,771,387.97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11,320,000.00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1,698,000.00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12,870,000.00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1,727,000.00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26,076,142.01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3,899,621.95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内部未实现销售利润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6,902,254.30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1,035,338.15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14,297,700.85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2,144,655.13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69,899,853.42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10,441,999.07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45,576,826.26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6,643,043.10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3830"/>
        <w:gridCol w:w="3828"/>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4"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14"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11"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5" w:right="0"/>
              <w:jc w:val="left"/>
              <w:rPr>
                <w:rFonts w:ascii="Times New Roman" w:hAnsi="Times New Roman" w:cs="Times New Roman" w:eastAsia="Times New Roman" w:hint="default"/>
                <w:sz w:val="18"/>
                <w:szCs w:val="18"/>
              </w:rPr>
            </w:pPr>
            <w:r>
              <w:rPr>
                <w:rFonts w:ascii="Times New Roman"/>
                <w:sz w:val="18"/>
              </w:rPr>
              <w:t>10,441,999.07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6,643,043.10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220,208.55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59,842.30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220,208.55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59,842.30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30</w:t>
      </w:r>
      <w:r>
        <w:rPr/>
        <w:t>、其他非流动资产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预付购房款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10,592,314.00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10,592,314.00</w:t>
            </w:r>
          </w:p>
        </w:tc>
        <w:tc>
          <w:tcPr>
            <w:tcW w:w="318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31</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t>短期借款分类的说明：</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t>本期末已逾期未偿还的短期借款总额为元，其中重要的已逾期未偿还的短期借款情况如下：</w:t>
      </w:r>
    </w:p>
    <w:p>
      <w:pPr>
        <w:pStyle w:val="BodyText"/>
        <w:spacing w:line="240" w:lineRule="auto" w:before="116"/>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33</w:t>
      </w:r>
      <w:r>
        <w:rPr/>
        <w:t>、衍生金融负债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34</w:t>
      </w:r>
      <w:r>
        <w:rPr/>
        <w:t>、应付票据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48,847,926.39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49,183,745.40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48,847,926.39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49,183,745.40</w:t>
            </w:r>
          </w:p>
        </w:tc>
      </w:tr>
    </w:tbl>
    <w:p>
      <w:pPr>
        <w:pStyle w:val="BodyText"/>
        <w:spacing w:line="240" w:lineRule="auto" w:before="51"/>
        <w:ind w:right="0"/>
        <w:jc w:val="left"/>
      </w:pPr>
      <w:r>
        <w:rPr/>
        <w:t>本期末已到期未支付的应付票据总额为元。</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35</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115,584,733.05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71,856,867.67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152,572.21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2,110,882.04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332,436.71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102,844.87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156,015.29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53,170.42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116,225,757.26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74,123,765.00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after="0" w:line="240" w:lineRule="auto"/>
        <w:jc w:val="righ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357" w:lineRule="auto" w:before="51"/>
        <w:ind w:right="1730"/>
        <w:jc w:val="left"/>
      </w:pPr>
      <w:r>
        <w:rPr/>
        <w:t>其他说明： 期末余额中，无应付持本公司</w:t>
      </w:r>
      <w:r>
        <w:rPr>
          <w:rFonts w:ascii="Times New Roman" w:hAnsi="Times New Roman" w:cs="Times New Roman" w:eastAsia="Times New Roman" w:hint="default"/>
        </w:rPr>
        <w:t>5%</w:t>
      </w:r>
      <w:r>
        <w:rPr/>
        <w:t>以上（含</w:t>
      </w:r>
      <w:r>
        <w:rPr>
          <w:rFonts w:ascii="Times New Roman" w:hAnsi="Times New Roman" w:cs="Times New Roman" w:eastAsia="Times New Roman" w:hint="default"/>
        </w:rPr>
        <w:t>5%</w:t>
      </w:r>
      <w:r>
        <w:rPr/>
        <w:t>）表决权股份的股东单位款项，无应付其他关联方款项。</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36</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24,170,404.98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38,599,137.46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5,076,979.00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6,789,384.73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2,142,930.00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765,655.98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750,276.00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135,564.65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32,140,589.98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46,289,742.82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78"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8"/>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4760;top:14;width:23;height:393" coordorigin="4760,14" coordsize="23,393">
              <v:shape style="position:absolute;left:4760;top:14;width:23;height:393" coordorigin="4760,14" coordsize="23,393" path="m4760,407l4783,407,4783,14,4760,14,4760,407xe" filled="true" fillcolor="#d3d3d3" stroked="false">
                <v:path arrowok="t"/>
                <v:fill type="solid"/>
              </v:shape>
            </v:group>
            <v:group style="position:absolute;left:14;top:14;width:23;height:393" coordorigin="14,14" coordsize="23,393">
              <v:shape style="position:absolute;left:14;top:14;width:23;height:393" coordorigin="14,14" coordsize="23,393" path="m14,407l37,407,37,14,14,14,14,407xe" filled="true" fillcolor="#d3d3d3" stroked="false">
                <v:path arrowok="t"/>
                <v:fill type="solid"/>
              </v:shape>
            </v:group>
            <v:group style="position:absolute;left:37;top:14;width:4724;height:393" coordorigin="37,14" coordsize="4724,393">
              <v:shape style="position:absolute;left:37;top:14;width:4724;height:393" coordorigin="37,14" coordsize="4724,393" path="m37,407l4760,407,4760,14,37,14,37,407xe" filled="true" fillcolor="#d3d3d3" stroked="false">
                <v:path arrowok="t"/>
                <v:fill type="solid"/>
              </v:shape>
            </v:group>
            <v:group style="position:absolute;left:4794;top:14;width:23;height:393" coordorigin="4794,14" coordsize="23,393">
              <v:shape style="position:absolute;left:4794;top:14;width:23;height:393" coordorigin="4794,14" coordsize="23,393" path="m4794,407l4817,407,4817,14,4794,14,4794,407xe" filled="true" fillcolor="#d3d3d3" stroked="false">
                <v:path arrowok="t"/>
                <v:fill type="solid"/>
              </v:shape>
            </v:group>
            <v:group style="position:absolute;left:9550;top:14;width:23;height:393" coordorigin="9550,14" coordsize="23,393">
              <v:shape style="position:absolute;left:9550;top:14;width:23;height:393" coordorigin="9550,14" coordsize="23,393" path="m9550,407l9572,407,9572,14,9550,14,9550,407xe" filled="true" fillcolor="#d3d3d3" stroked="false">
                <v:path arrowok="t"/>
                <v:fill type="solid"/>
              </v:shape>
            </v:group>
            <v:group style="position:absolute;left:4817;top:14;width:4733;height:393" coordorigin="4817,14" coordsize="4733,393">
              <v:shape style="position:absolute;left:4817;top:14;width:4733;height:393" coordorigin="4817,14" coordsize="4733,393" path="m4817,407l9550,407,9550,14,4817,14,4817,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7998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780;height:2" coordorigin="5,412" coordsize="4780,2">
              <v:shape style="position:absolute;left:5;top:412;width:4780;height:2" coordorigin="5,412" coordsize="4780,0" path="m5,412l4784,412e" filled="false" stroked="true" strokeweight=".47998pt" strokecolor="#000000">
                <v:path arrowok="t"/>
              </v:shape>
            </v:group>
            <v:group style="position:absolute;left:4789;top:14;width:2;height:402" coordorigin="4789,14" coordsize="2,402">
              <v:shape style="position:absolute;left:4789;top:14;width:2;height:402" coordorigin="4789,14" coordsize="0,402" path="m4789,14l4789,416e" filled="false" stroked="true" strokeweight=".48001pt" strokecolor="#000000">
                <v:path arrowok="t"/>
              </v:shape>
            </v:group>
            <v:group style="position:absolute;left:4794;top:412;width:4779;height:2" coordorigin="4794,412" coordsize="4779,2">
              <v:shape style="position:absolute;left:4794;top:412;width:4779;height:2" coordorigin="4794,412" coordsize="4779,0" path="m4794,412l9572,412e" filled="false" stroked="true" strokeweight=".47998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2219;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003;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pStyle w:val="BodyText"/>
        <w:spacing w:line="357" w:lineRule="auto" w:before="46"/>
        <w:ind w:right="1730"/>
        <w:jc w:val="left"/>
      </w:pPr>
      <w:r>
        <w:rPr/>
        <w:t>其他说明： 期末余额中，无预收持本公司</w:t>
      </w:r>
      <w:r>
        <w:rPr>
          <w:rFonts w:ascii="Times New Roman" w:hAnsi="Times New Roman" w:cs="Times New Roman" w:eastAsia="Times New Roman" w:hint="default"/>
        </w:rPr>
        <w:t>5%</w:t>
      </w:r>
      <w:r>
        <w:rPr/>
        <w:t>以上（含</w:t>
      </w:r>
      <w:r>
        <w:rPr>
          <w:rFonts w:ascii="Times New Roman" w:hAnsi="Times New Roman" w:cs="Times New Roman" w:eastAsia="Times New Roman" w:hint="default"/>
        </w:rPr>
        <w:t>5%</w:t>
      </w:r>
      <w:r>
        <w:rPr/>
        <w:t>）表决权股份的股东单位款项，无预收其他关联方款项。</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37</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17,013,087.82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123,050,667.82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114,863,340.90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25,200,414.74</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4,930,416.06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4,930,416.06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17,013,087.82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127,981,083.88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119,793,756.96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25,200,414.74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2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17,013,087.82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117,908,994.26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109,721,667.34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25,200,414.74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239,276.20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239,276.20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2,251,835.57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2,251,835.57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1,989,367.22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1,989,367.22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108,860.18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108,860.18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153,608.17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153,608.17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1,837,522.95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1,837,522.95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2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813,038.84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813,038.84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17,013,087.82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123,050,667.82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114,863,340.90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25,200,414.74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4,508,130.63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4,508,130.63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422,285.43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422,285.43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4,930,416.06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4,930,416.06</w:t>
            </w: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38</w:t>
      </w:r>
      <w:r>
        <w:rPr/>
        <w:t>、应交税费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9,974,535.01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7,739,653.45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1,334,510.57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476.40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530,995.96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295,323.44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666,917.71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506,162.60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476,375.15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361,550.07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335,862.29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185,646.83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13,319,196.69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9,088,812.79</w:t>
            </w:r>
          </w:p>
        </w:tc>
      </w:tr>
    </w:tbl>
    <w:p>
      <w:pPr>
        <w:pStyle w:val="BodyText"/>
        <w:spacing w:line="240" w:lineRule="auto" w:before="51"/>
        <w:ind w:right="0"/>
        <w:jc w:val="left"/>
      </w:pPr>
      <w:r>
        <w:rPr/>
        <w:t>其他说明：</w:t>
      </w:r>
    </w:p>
    <w:p>
      <w:pPr>
        <w:spacing w:after="0" w:line="240" w:lineRule="auto"/>
        <w:jc w:val="left"/>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240" w:lineRule="auto"/>
        <w:ind w:left="153" w:right="0"/>
        <w:jc w:val="left"/>
      </w:pPr>
      <w:r>
        <w:rPr/>
        <w:t>应交税费余额期末比期初增加</w:t>
      </w:r>
      <w:r>
        <w:rPr>
          <w:rFonts w:ascii="Times New Roman" w:hAnsi="Times New Roman" w:cs="Times New Roman" w:eastAsia="Times New Roman" w:hint="default"/>
        </w:rPr>
        <w:t>4,230,383.9</w:t>
      </w:r>
      <w:r>
        <w:rPr/>
        <w:t>元，增加比例</w:t>
      </w:r>
      <w:r>
        <w:rPr>
          <w:rFonts w:ascii="Times New Roman" w:hAnsi="Times New Roman" w:cs="Times New Roman" w:eastAsia="Times New Roman" w:hint="default"/>
        </w:rPr>
        <w:t>46.54%</w:t>
      </w:r>
      <w:r>
        <w:rPr/>
        <w:t>，主要原因系本公司增值税、企业所得税增加所致。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39</w:t>
      </w:r>
      <w:r>
        <w:rPr/>
        <w:t>、应付利息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t>重要的已逾期未支付的利息情况：</w:t>
      </w:r>
    </w:p>
    <w:p>
      <w:pPr>
        <w:pStyle w:val="BodyText"/>
        <w:spacing w:line="240" w:lineRule="auto" w:before="116"/>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40</w:t>
      </w:r>
      <w:r>
        <w:rPr/>
        <w:t>、应付股利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未付报销款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476,148.31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2,410,744.53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428,262.24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762,131.26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904,410.55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8,372,875.79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357" w:lineRule="auto" w:before="51"/>
        <w:ind w:right="1670"/>
        <w:jc w:val="left"/>
      </w:pPr>
      <w:r>
        <w:rPr/>
        <w:t>其他说明 期末余额中，无应付持本公司</w:t>
      </w:r>
      <w:r>
        <w:rPr>
          <w:rFonts w:ascii="Times New Roman" w:hAnsi="Times New Roman" w:cs="Times New Roman" w:eastAsia="Times New Roman" w:hint="default"/>
        </w:rPr>
        <w:t>5</w:t>
      </w:r>
      <w:r>
        <w:rPr/>
        <w:t>％以上（含</w:t>
      </w:r>
      <w:r>
        <w:rPr>
          <w:rFonts w:ascii="Times New Roman" w:hAnsi="Times New Roman" w:cs="Times New Roman" w:eastAsia="Times New Roman" w:hint="default"/>
        </w:rPr>
        <w:t>5</w:t>
      </w:r>
      <w:r>
        <w:rPr/>
        <w:t>％）表决权股份的股东单位款项；无应付其他关联方款项。</w:t>
      </w:r>
    </w:p>
    <w:p>
      <w:pPr>
        <w:pStyle w:val="BodyText"/>
        <w:spacing w:line="214" w:lineRule="exact" w:before="0"/>
        <w:ind w:left="153" w:right="0"/>
        <w:jc w:val="left"/>
      </w:pPr>
      <w:r>
        <w:rPr/>
        <w:t>其他应付款余额期末比期初减少</w:t>
      </w:r>
      <w:r>
        <w:rPr>
          <w:rFonts w:ascii="Times New Roman" w:hAnsi="Times New Roman" w:cs="Times New Roman" w:eastAsia="Times New Roman" w:hint="default"/>
        </w:rPr>
        <w:t>7,468,465.24</w:t>
      </w:r>
      <w:r>
        <w:rPr/>
        <w:t>元，减少比例</w:t>
      </w:r>
      <w:r>
        <w:rPr>
          <w:rFonts w:ascii="Times New Roman" w:hAnsi="Times New Roman" w:cs="Times New Roman" w:eastAsia="Times New Roman" w:hint="default"/>
        </w:rPr>
        <w:t>89.20%</w:t>
      </w:r>
      <w:r>
        <w:rPr/>
        <w:t>，主要原因系本公司之子公司支付了苏州电子支付研发基</w:t>
      </w:r>
    </w:p>
    <w:p>
      <w:pPr>
        <w:pStyle w:val="BodyText"/>
        <w:spacing w:line="240" w:lineRule="auto" w:before="63"/>
        <w:ind w:right="0"/>
        <w:jc w:val="left"/>
      </w:pPr>
      <w:r>
        <w:rPr/>
        <w:t>地工程款</w:t>
      </w:r>
      <w:r>
        <w:rPr>
          <w:rFonts w:ascii="Times New Roman" w:hAnsi="Times New Roman" w:cs="Times New Roman" w:eastAsia="Times New Roman" w:hint="default"/>
        </w:rPr>
        <w:t>5,200,000.00</w:t>
      </w:r>
      <w:r>
        <w:rPr/>
        <w:t>元。</w:t>
      </w:r>
    </w:p>
    <w:p>
      <w:pPr>
        <w:spacing w:after="0" w:line="240"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42</w:t>
      </w:r>
      <w:r>
        <w:rPr/>
        <w:t>、划分为持有待售的负债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43</w:t>
      </w:r>
      <w:r>
        <w:rPr/>
        <w:t>、一年内到期的非流动负债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44</w:t>
      </w:r>
      <w:r>
        <w:rPr/>
        <w:t>、其他流动负债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短期应付债券的增减变动：</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9"/>
        <w:gridCol w:w="799"/>
        <w:gridCol w:w="799"/>
        <w:gridCol w:w="798"/>
        <w:gridCol w:w="798"/>
        <w:gridCol w:w="797"/>
        <w:gridCol w:w="797"/>
        <w:gridCol w:w="797"/>
        <w:gridCol w:w="797"/>
        <w:gridCol w:w="797"/>
        <w:gridCol w:w="798"/>
        <w:gridCol w:w="797"/>
      </w:tblGrid>
      <w:tr>
        <w:trPr>
          <w:trHeight w:val="714" w:hRule="exact"/>
        </w:trPr>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23" w:right="31"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03" w:right="31"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45</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60" w:lineRule="auto" w:before="51"/>
        <w:ind w:left="153" w:right="7611"/>
        <w:jc w:val="left"/>
      </w:pPr>
      <w:r>
        <w:rPr/>
        <w:t>长期借款分类的说明： 其他说明，包括利率区间：</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after="0" w:line="240" w:lineRule="auto"/>
        <w:jc w:val="righ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9"/>
        <w:gridCol w:w="799"/>
        <w:gridCol w:w="799"/>
        <w:gridCol w:w="798"/>
        <w:gridCol w:w="798"/>
        <w:gridCol w:w="797"/>
        <w:gridCol w:w="797"/>
        <w:gridCol w:w="797"/>
        <w:gridCol w:w="797"/>
        <w:gridCol w:w="797"/>
        <w:gridCol w:w="798"/>
        <w:gridCol w:w="797"/>
      </w:tblGrid>
      <w:tr>
        <w:trPr>
          <w:trHeight w:val="714" w:hRule="exact"/>
        </w:trPr>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23" w:right="31"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03" w:right="31"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80"/>
        </w:sectPr>
      </w:pPr>
    </w:p>
    <w:p>
      <w:pPr>
        <w:pStyle w:val="BodyText"/>
        <w:spacing w:line="360" w:lineRule="auto"/>
        <w:ind w:left="153" w:right="-19"/>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80" w:left="980" w:right="980"/>
          <w:cols w:num="2" w:equalWidth="0">
            <w:col w:w="4655" w:space="4174"/>
            <w:col w:w="112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62"/>
      </w:tblGrid>
      <w:tr>
        <w:trPr>
          <w:trHeight w:val="401" w:hRule="exact"/>
        </w:trPr>
        <w:tc>
          <w:tcPr>
            <w:tcW w:w="1066"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6"/>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3" w:hRule="exact"/>
        </w:trPr>
        <w:tc>
          <w:tcPr>
            <w:tcW w:w="1066" w:type="dxa"/>
            <w:vMerge/>
            <w:tcBorders>
              <w:left w:val="single" w:sz="4" w:space="0" w:color="000000"/>
              <w:bottom w:val="single" w:sz="4" w:space="0" w:color="000000"/>
              <w:right w:val="single" w:sz="4" w:space="0" w:color="000000"/>
            </w:tcBorders>
            <w:shd w:val="clear" w:color="auto" w:fill="D3D3D3"/>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57" w:lineRule="auto" w:before="52"/>
        <w:ind w:left="153" w:right="6531"/>
        <w:jc w:val="left"/>
      </w:pPr>
      <w:r>
        <w:rPr/>
        <w:t>其他金融工具划分为金融负债的依据说明 其他说明</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47</w:t>
      </w:r>
      <w:r>
        <w:rPr/>
        <w:t>、长期应付款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48</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）长期应付职工薪酬表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t>设定受益计划义务现值：</w:t>
      </w:r>
    </w:p>
    <w:p>
      <w:pPr>
        <w:pStyle w:val="BodyText"/>
        <w:spacing w:line="240" w:lineRule="auto" w:before="116"/>
        <w:ind w:left="0" w:right="151"/>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right="0"/>
        <w:jc w:val="left"/>
      </w:pPr>
      <w:r>
        <w:rPr/>
        <w:t>计划资产：</w:t>
      </w:r>
    </w:p>
    <w:p>
      <w:pPr>
        <w:pStyle w:val="BodyText"/>
        <w:spacing w:line="240" w:lineRule="auto" w:before="116"/>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0"/>
        <w:jc w:val="left"/>
      </w:pPr>
      <w:r>
        <w:rPr/>
        <w:t>设定受益计划净负债（净资产）</w:t>
      </w:r>
    </w:p>
    <w:p>
      <w:pPr>
        <w:pStyle w:val="BodyText"/>
        <w:spacing w:line="240" w:lineRule="auto" w:before="117"/>
        <w:ind w:left="0" w:right="151"/>
        <w:jc w:val="right"/>
      </w:pPr>
      <w:r>
        <w:rPr/>
        <w:t>单位： 元</w:t>
      </w:r>
    </w:p>
    <w:p>
      <w:pPr>
        <w:spacing w:after="0" w:line="240" w:lineRule="auto"/>
        <w:jc w:val="right"/>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60" w:lineRule="auto" w:before="51"/>
        <w:ind w:left="153" w:right="2571"/>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26"/>
        <w:ind w:left="153"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49</w:t>
      </w:r>
      <w:r>
        <w:rPr/>
        <w:t>、专项应付款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50</w:t>
      </w:r>
      <w:r>
        <w:rPr/>
        <w:t>、预计负债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1"/>
        <w:ind w:right="0"/>
        <w:jc w:val="left"/>
      </w:pPr>
      <w:r>
        <w:rPr/>
        <w:t>其他说明，包括重要预计负债的相关重要假设、估计说明：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51</w:t>
      </w:r>
      <w:r>
        <w:rPr/>
        <w:t>、递延收益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12,870,000.00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9,283,200.00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10,833,200.00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11,320,000.00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12,870,000.00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9,283,200.00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10,833,200.00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11,320,000.00</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涉及政府补助的项目：</w:t>
      </w:r>
    </w:p>
    <w:p>
      <w:pPr>
        <w:pStyle w:val="BodyText"/>
        <w:spacing w:line="240" w:lineRule="auto" w:before="117"/>
        <w:ind w:left="0" w:right="151"/>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87"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408"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电子信息产业发 展基金工业和信 息化部发展资金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2"/>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PCI2.X</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的金融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技术方案国 际科技合作研发 项目资金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银行卡身份认证 管理安全系统项 目资助资金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8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城市一卡通小额 射频电子支付受 理设备的研发、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500,000.00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500,000.00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67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应用示范及推广 项目资金</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脚本化</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支撑 系统设计及推广 项目资金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爱用</w:t>
            </w:r>
            <w:r>
              <w:rPr>
                <w:rFonts w:ascii="Times New Roman" w:hAnsi="Times New Roman" w:cs="Times New Roman" w:eastAsia="Times New Roman" w:hint="default"/>
                <w:sz w:val="18"/>
                <w:szCs w:val="18"/>
              </w:rPr>
              <w:t>'</w:t>
            </w:r>
            <w:r>
              <w:rPr>
                <w:rFonts w:ascii="宋体" w:hAnsi="宋体" w:cs="宋体" w:eastAsia="宋体" w:hint="default"/>
                <w:sz w:val="18"/>
                <w:szCs w:val="18"/>
              </w:rPr>
              <w:t>网银宝</w:t>
            </w:r>
            <w:r>
              <w:rPr>
                <w:rFonts w:ascii="Times New Roman" w:hAnsi="Times New Roman" w:cs="Times New Roman" w:eastAsia="Times New Roman" w:hint="default"/>
                <w:sz w:val="18"/>
                <w:szCs w:val="18"/>
              </w:rPr>
              <w:t>'</w:t>
            </w:r>
            <w:r>
              <w:rPr>
                <w:rFonts w:ascii="宋体" w:hAnsi="宋体" w:cs="宋体" w:eastAsia="宋体" w:hint="default"/>
                <w:sz w:val="18"/>
                <w:szCs w:val="18"/>
              </w:rPr>
              <w:t>互 联网支付系统研 发项目资金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电子支付综合平 台产业化项目资 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深圳市战略性新 兴产业发展专项 资金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国际科技合作计 划资助项目资金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技术创新计划技 术开发项目（电 子信息领域）资 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1,200,000.00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福田区产业发展 专项资金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科技型中小企业 技术创新基金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易联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电子签 名技术研发项目 资金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49"/>
              <w:jc w:val="left"/>
              <w:rPr>
                <w:rFonts w:ascii="宋体" w:hAnsi="宋体" w:cs="宋体" w:eastAsia="宋体" w:hint="default"/>
                <w:sz w:val="18"/>
                <w:szCs w:val="18"/>
              </w:rPr>
            </w:pPr>
            <w:r>
              <w:rPr>
                <w:rFonts w:ascii="宋体" w:hAnsi="宋体" w:cs="宋体" w:eastAsia="宋体" w:hint="default"/>
                <w:sz w:val="18"/>
                <w:szCs w:val="18"/>
              </w:rPr>
              <w:t>金融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品牌 培育项目资金</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收到福田区知识 产权专项补贴</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福田区科学技术 奖配套支持资金</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深圳市市场监督 管理局资助资金</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福田区产业发展 专项资金（</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年度第二批）</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40,400.00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40,400.00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福田区产业发展 专项资金</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196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深圳市新一代信 息技术产业发展 专项资金（基于 移动互联网的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G </w:t>
            </w:r>
            <w:r>
              <w:rPr>
                <w:rFonts w:ascii="宋体" w:hAnsi="宋体" w:cs="宋体" w:eastAsia="宋体" w:hint="default"/>
                <w:sz w:val="18"/>
                <w:szCs w:val="18"/>
              </w:rPr>
              <w:t>系列支付终端产 业化）</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产业技术研究与 开发高技术产业 发展项目资金</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31"/>
              <w:jc w:val="both"/>
              <w:rPr>
                <w:rFonts w:ascii="宋体" w:hAnsi="宋体" w:cs="宋体" w:eastAsia="宋体" w:hint="default"/>
                <w:sz w:val="18"/>
                <w:szCs w:val="18"/>
              </w:rPr>
            </w:pPr>
            <w:r>
              <w:rPr>
                <w:rFonts w:ascii="宋体" w:hAnsi="宋体" w:cs="宋体" w:eastAsia="宋体" w:hint="default"/>
                <w:sz w:val="18"/>
                <w:szCs w:val="18"/>
              </w:rPr>
              <w:t>基于云计算应用 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S-POS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平台软 件研发及产业化 项目资金</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马群地区重点税 源企业奖金</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深圳市</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年度 知识产权优势企 业认定资助款</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深圳市高新技术 产业研发专项补 助资金</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1,101,800.00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1,101,800.00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深圳市基层党组 织教育活动经费</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1" w:right="0"/>
              <w:jc w:val="left"/>
              <w:rPr>
                <w:rFonts w:ascii="Times New Roman" w:hAnsi="Times New Roman" w:cs="Times New Roman" w:eastAsia="Times New Roman" w:hint="default"/>
                <w:sz w:val="18"/>
                <w:szCs w:val="18"/>
              </w:rPr>
            </w:pPr>
            <w:r>
              <w:rPr>
                <w:rFonts w:ascii="Times New Roman"/>
                <w:sz w:val="18"/>
              </w:rPr>
              <w:t>12,870,000.00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9,283,200.00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10,833,200.00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11,320,000.00</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660"/>
        <w:jc w:val="left"/>
      </w:pPr>
      <w:r>
        <w:rPr/>
        <w:t>其他说明：</w:t>
      </w:r>
    </w:p>
    <w:p>
      <w:pPr>
        <w:pStyle w:val="Heading4"/>
        <w:spacing w:line="256" w:lineRule="auto" w:before="90"/>
        <w:ind w:right="190" w:firstLine="420"/>
        <w:jc w:val="both"/>
      </w:pPr>
      <w:r>
        <w:rPr/>
        <w:t>（</w:t>
      </w:r>
      <w:r>
        <w:rPr>
          <w:rFonts w:ascii="Times New Roman" w:hAnsi="Times New Roman" w:cs="Times New Roman" w:eastAsia="Times New Roman" w:hint="default"/>
        </w:rPr>
        <w:t>1</w:t>
      </w:r>
      <w:r>
        <w:rPr/>
        <w:t>）根据工信部财</w:t>
      </w:r>
      <w:r>
        <w:rPr>
          <w:rFonts w:ascii="Times New Roman" w:hAnsi="Times New Roman" w:cs="Times New Roman" w:eastAsia="Times New Roman" w:hint="default"/>
        </w:rPr>
        <w:t>[2009]480</w:t>
      </w:r>
      <w:r>
        <w:rPr/>
        <w:t>号文件相关规定，本公司收到电子信息产业发展基金工业和信息化部发</w:t>
      </w:r>
      <w:r>
        <w:rPr>
          <w:spacing w:val="1"/>
        </w:rPr>
        <w:t> </w:t>
      </w:r>
      <w:r>
        <w:rPr/>
        <w:t>展资金</w:t>
      </w:r>
      <w:r>
        <w:rPr>
          <w:rFonts w:ascii="Times New Roman" w:hAnsi="Times New Roman" w:cs="Times New Roman" w:eastAsia="Times New Roman" w:hint="default"/>
        </w:rPr>
        <w:t>100.00</w:t>
      </w:r>
      <w:r>
        <w:rPr/>
        <w:t>万元。</w:t>
      </w:r>
    </w:p>
    <w:p>
      <w:pPr>
        <w:pStyle w:val="Heading4"/>
        <w:spacing w:line="256" w:lineRule="auto" w:before="5"/>
        <w:ind w:left="153" w:right="187" w:firstLine="420"/>
        <w:jc w:val="both"/>
      </w:pPr>
      <w:r>
        <w:rPr/>
        <w:t>（</w:t>
      </w:r>
      <w:r>
        <w:rPr>
          <w:rFonts w:ascii="Times New Roman" w:hAnsi="Times New Roman" w:cs="Times New Roman" w:eastAsia="Times New Roman" w:hint="default"/>
        </w:rPr>
        <w:t>2</w:t>
      </w:r>
      <w:r>
        <w:rPr/>
        <w:t>）根据《深圳市科技研发资金管理暂行办法》、《深圳市科技计划项目管理暂行办法》等文件规</w:t>
      </w:r>
      <w:r>
        <w:rPr>
          <w:spacing w:val="2"/>
        </w:rPr>
        <w:t> </w:t>
      </w:r>
      <w:r>
        <w:rPr/>
        <w:t>定，为完成深科工贸信计财字</w:t>
      </w:r>
      <w:r>
        <w:rPr>
          <w:rFonts w:ascii="Times New Roman" w:hAnsi="Times New Roman" w:cs="Times New Roman" w:eastAsia="Times New Roman" w:hint="default"/>
        </w:rPr>
        <w:t>[2009]84</w:t>
      </w:r>
      <w:r>
        <w:rPr/>
        <w:t>号文件下达的深圳市科技计划符合</w:t>
      </w:r>
      <w:r>
        <w:rPr>
          <w:rFonts w:ascii="Times New Roman" w:hAnsi="Times New Roman" w:cs="Times New Roman" w:eastAsia="Times New Roman" w:hint="default"/>
        </w:rPr>
        <w:t>PCI2.X</w:t>
      </w:r>
      <w:r>
        <w:rPr/>
        <w:t>的金融</w:t>
      </w:r>
      <w:r>
        <w:rPr>
          <w:rFonts w:ascii="Times New Roman" w:hAnsi="Times New Roman" w:cs="Times New Roman" w:eastAsia="Times New Roman" w:hint="default"/>
        </w:rPr>
        <w:t>POS</w:t>
      </w:r>
      <w:r>
        <w:rPr/>
        <w:t>技术方案国际</w:t>
      </w:r>
      <w:r>
        <w:rPr>
          <w:spacing w:val="-45"/>
        </w:rPr>
        <w:t> </w:t>
      </w:r>
      <w:r>
        <w:rPr/>
        <w:t>科技合作研发项目，本公司收到项目资助资金</w:t>
      </w:r>
      <w:r>
        <w:rPr>
          <w:rFonts w:ascii="Times New Roman" w:hAnsi="Times New Roman" w:cs="Times New Roman" w:eastAsia="Times New Roman" w:hint="default"/>
        </w:rPr>
        <w:t>100.00</w:t>
      </w:r>
      <w:r>
        <w:rPr/>
        <w:t>万元。</w:t>
      </w:r>
    </w:p>
    <w:p>
      <w:pPr>
        <w:pStyle w:val="Heading4"/>
        <w:spacing w:line="256" w:lineRule="auto" w:before="5"/>
        <w:ind w:right="190" w:firstLine="420"/>
        <w:jc w:val="both"/>
      </w:pPr>
      <w:r>
        <w:rPr/>
        <w:t>（</w:t>
      </w:r>
      <w:r>
        <w:rPr>
          <w:rFonts w:ascii="Times New Roman" w:hAnsi="Times New Roman" w:cs="Times New Roman" w:eastAsia="Times New Roman" w:hint="default"/>
        </w:rPr>
        <w:t>3</w:t>
      </w:r>
      <w:r>
        <w:rPr/>
        <w:t>）根据国科发计</w:t>
      </w:r>
      <w:r>
        <w:rPr>
          <w:rFonts w:ascii="Times New Roman" w:hAnsi="Times New Roman" w:cs="Times New Roman" w:eastAsia="Times New Roman" w:hint="default"/>
        </w:rPr>
        <w:t>[2010]543</w:t>
      </w:r>
      <w:r>
        <w:rPr/>
        <w:t>号文件，本公司之子公司易联技术收到深圳市财政局下发的银行卡身份</w:t>
      </w:r>
      <w:r>
        <w:rPr>
          <w:spacing w:val="1"/>
        </w:rPr>
        <w:t> </w:t>
      </w:r>
      <w:r>
        <w:rPr/>
        <w:t>认证管理安全系统项目资助资金</w:t>
      </w:r>
      <w:r>
        <w:rPr>
          <w:rFonts w:ascii="Times New Roman" w:hAnsi="Times New Roman" w:cs="Times New Roman" w:eastAsia="Times New Roman" w:hint="default"/>
        </w:rPr>
        <w:t>35.00</w:t>
      </w:r>
      <w:r>
        <w:rPr/>
        <w:t>万元。</w:t>
      </w:r>
    </w:p>
    <w:p>
      <w:pPr>
        <w:pStyle w:val="Heading4"/>
        <w:spacing w:line="256" w:lineRule="auto" w:before="5"/>
        <w:ind w:left="153" w:right="188" w:firstLine="420"/>
        <w:jc w:val="both"/>
      </w:pPr>
      <w:r>
        <w:rPr/>
        <w:t>（</w:t>
      </w:r>
      <w:r>
        <w:rPr>
          <w:rFonts w:ascii="Times New Roman" w:hAnsi="Times New Roman" w:cs="Times New Roman" w:eastAsia="Times New Roman" w:hint="default"/>
        </w:rPr>
        <w:t>4</w:t>
      </w:r>
      <w:r>
        <w:rPr/>
        <w:t>）根据深圳发改</w:t>
      </w:r>
      <w:r>
        <w:rPr>
          <w:rFonts w:ascii="Times New Roman" w:hAnsi="Times New Roman" w:cs="Times New Roman" w:eastAsia="Times New Roman" w:hint="default"/>
        </w:rPr>
        <w:t>[2011]169</w:t>
      </w:r>
      <w:r>
        <w:rPr/>
        <w:t>号文件，本公司与深圳市科技工贸和信息化委员会签订了《深圳市互联</w:t>
      </w:r>
      <w:r>
        <w:rPr>
          <w:spacing w:val="1"/>
        </w:rPr>
        <w:t> </w:t>
      </w:r>
      <w:r>
        <w:rPr/>
        <w:t>网产业发展专项资金项目合同书》，收到了项目专项补助资金</w:t>
      </w:r>
      <w:r>
        <w:rPr>
          <w:rFonts w:ascii="Times New Roman" w:hAnsi="Times New Roman" w:cs="Times New Roman" w:eastAsia="Times New Roman" w:hint="default"/>
        </w:rPr>
        <w:t>50.00</w:t>
      </w:r>
      <w:r>
        <w:rPr/>
        <w:t>万元用于</w:t>
      </w:r>
      <w:r>
        <w:rPr>
          <w:rFonts w:ascii="Times New Roman" w:hAnsi="Times New Roman" w:cs="Times New Roman" w:eastAsia="Times New Roman" w:hint="default"/>
        </w:rPr>
        <w:t>“</w:t>
      </w:r>
      <w:r>
        <w:rPr/>
        <w:t>城市一卡通小额射频电子支</w:t>
      </w:r>
      <w:r>
        <w:rPr>
          <w:spacing w:val="-72"/>
        </w:rPr>
        <w:t> </w:t>
      </w:r>
      <w:r>
        <w:rPr>
          <w:spacing w:val="-72"/>
        </w:rPr>
      </w:r>
      <w:r>
        <w:rPr/>
        <w:t>付受理设备的研发、应用示范及推广</w:t>
      </w:r>
      <w:r>
        <w:rPr>
          <w:rFonts w:ascii="Times New Roman" w:hAnsi="Times New Roman" w:cs="Times New Roman" w:eastAsia="Times New Roman" w:hint="default"/>
        </w:rPr>
        <w:t>”</w:t>
      </w:r>
      <w:r>
        <w:rPr/>
        <w:t>。</w:t>
      </w:r>
    </w:p>
    <w:p>
      <w:pPr>
        <w:pStyle w:val="Heading4"/>
        <w:spacing w:line="256" w:lineRule="auto" w:before="5"/>
        <w:ind w:left="153" w:right="187" w:firstLine="420"/>
        <w:jc w:val="both"/>
        <w:rPr>
          <w:rFonts w:ascii="Times New Roman" w:hAnsi="Times New Roman" w:cs="Times New Roman" w:eastAsia="Times New Roman" w:hint="default"/>
        </w:rPr>
      </w:pPr>
      <w:r>
        <w:rPr/>
        <w:t>（</w:t>
      </w:r>
      <w:r>
        <w:rPr>
          <w:rFonts w:ascii="Times New Roman" w:hAnsi="Times New Roman" w:cs="Times New Roman" w:eastAsia="Times New Roman" w:hint="default"/>
        </w:rPr>
        <w:t>5</w:t>
      </w:r>
      <w:r>
        <w:rPr/>
        <w:t>）本公司与深圳市福田区科技创新局签订《福田区科技发展资金事前拨付项目资金使用合同》，</w:t>
      </w:r>
      <w:r>
        <w:rPr>
          <w:spacing w:val="2"/>
        </w:rPr>
        <w:t> </w:t>
      </w:r>
      <w:r>
        <w:rPr/>
        <w:t>收到项目资助资金</w:t>
      </w:r>
      <w:r>
        <w:rPr>
          <w:rFonts w:ascii="Times New Roman" w:hAnsi="Times New Roman" w:cs="Times New Roman" w:eastAsia="Times New Roman" w:hint="default"/>
        </w:rPr>
        <w:t>40.00</w:t>
      </w:r>
      <w:r>
        <w:rPr/>
        <w:t>万元用于</w:t>
      </w:r>
      <w:r>
        <w:rPr>
          <w:rFonts w:ascii="Times New Roman" w:hAnsi="Times New Roman" w:cs="Times New Roman" w:eastAsia="Times New Roman" w:hint="default"/>
        </w:rPr>
        <w:t>“</w:t>
      </w:r>
      <w:r>
        <w:rPr/>
        <w:t>脚本化</w:t>
      </w:r>
      <w:r>
        <w:rPr>
          <w:rFonts w:ascii="Times New Roman" w:hAnsi="Times New Roman" w:cs="Times New Roman" w:eastAsia="Times New Roman" w:hint="default"/>
        </w:rPr>
        <w:t>POS</w:t>
      </w:r>
      <w:r>
        <w:rPr/>
        <w:t>支撑系统设计及推广项目</w:t>
      </w:r>
      <w:r>
        <w:rPr>
          <w:rFonts w:ascii="Times New Roman" w:hAnsi="Times New Roman" w:cs="Times New Roman" w:eastAsia="Times New Roman" w:hint="default"/>
        </w:rPr>
        <w:t>”</w:t>
      </w:r>
    </w:p>
    <w:p>
      <w:pPr>
        <w:pStyle w:val="Heading4"/>
        <w:spacing w:line="256" w:lineRule="auto" w:before="5"/>
        <w:ind w:left="153" w:right="104" w:firstLine="420"/>
        <w:jc w:val="both"/>
      </w:pPr>
      <w:r>
        <w:rPr/>
        <w:t>（</w:t>
      </w:r>
      <w:r>
        <w:rPr>
          <w:rFonts w:ascii="Times New Roman" w:hAnsi="Times New Roman" w:cs="Times New Roman" w:eastAsia="Times New Roman" w:hint="default"/>
        </w:rPr>
        <w:t>6</w:t>
      </w:r>
      <w:r>
        <w:rPr/>
        <w:t>）本公司之子公司易联技术与深圳市科技工贸和信息化委员会签订了《深圳市互联网产业发展专</w:t>
      </w:r>
      <w:r>
        <w:rPr>
          <w:spacing w:val="2"/>
        </w:rPr>
        <w:t> </w:t>
      </w:r>
      <w:r>
        <w:rPr/>
        <w:t>项资金项目合同书》，收到了项目专项补助资金</w:t>
      </w:r>
      <w:r>
        <w:rPr>
          <w:rFonts w:ascii="Times New Roman" w:hAnsi="Times New Roman" w:cs="Times New Roman" w:eastAsia="Times New Roman" w:hint="default"/>
        </w:rPr>
        <w:t>100.00</w:t>
      </w:r>
      <w:r>
        <w:rPr/>
        <w:t>万元用于</w:t>
      </w:r>
      <w:r>
        <w:rPr>
          <w:rFonts w:ascii="Times New Roman" w:hAnsi="Times New Roman" w:cs="Times New Roman" w:eastAsia="Times New Roman" w:hint="default"/>
        </w:rPr>
        <w:t>“</w:t>
      </w:r>
      <w:r>
        <w:rPr/>
        <w:t>爱用</w:t>
      </w:r>
      <w:r>
        <w:rPr>
          <w:rFonts w:ascii="Times New Roman" w:hAnsi="Times New Roman" w:cs="Times New Roman" w:eastAsia="Times New Roman" w:hint="default"/>
        </w:rPr>
        <w:t>‘</w:t>
      </w:r>
      <w:r>
        <w:rPr/>
        <w:t>网银宝</w:t>
      </w:r>
      <w:r>
        <w:rPr>
          <w:rFonts w:ascii="Times New Roman" w:hAnsi="Times New Roman" w:cs="Times New Roman" w:eastAsia="Times New Roman" w:hint="default"/>
        </w:rPr>
        <w:t>’</w:t>
      </w:r>
      <w:r>
        <w:rPr/>
        <w:t>互联网支付系统研发项目</w:t>
      </w:r>
      <w:r>
        <w:rPr>
          <w:rFonts w:ascii="Times New Roman" w:hAnsi="Times New Roman" w:cs="Times New Roman" w:eastAsia="Times New Roman" w:hint="default"/>
        </w:rPr>
        <w:t>”</w:t>
      </w:r>
      <w:r>
        <w:rPr/>
        <w:t>。</w:t>
      </w:r>
    </w:p>
    <w:p>
      <w:pPr>
        <w:pStyle w:val="Heading4"/>
        <w:spacing w:line="240" w:lineRule="auto" w:before="5"/>
        <w:ind w:left="573" w:right="660"/>
        <w:jc w:val="left"/>
      </w:pPr>
      <w:r>
        <w:rPr/>
        <w:t>（</w:t>
      </w:r>
      <w:r>
        <w:rPr>
          <w:rFonts w:ascii="Times New Roman" w:hAnsi="Times New Roman" w:cs="Times New Roman" w:eastAsia="Times New Roman" w:hint="default"/>
        </w:rPr>
        <w:t>7</w:t>
      </w:r>
      <w:r>
        <w:rPr/>
        <w:t>）本公司收到电子支付综合平台产业化项目资金</w:t>
      </w:r>
      <w:r>
        <w:rPr>
          <w:rFonts w:ascii="Times New Roman" w:hAnsi="Times New Roman" w:cs="Times New Roman" w:eastAsia="Times New Roman" w:hint="default"/>
        </w:rPr>
        <w:t>400.00</w:t>
      </w:r>
      <w:r>
        <w:rPr/>
        <w:t>万元。</w:t>
      </w:r>
    </w:p>
    <w:p>
      <w:pPr>
        <w:pStyle w:val="Heading4"/>
        <w:spacing w:line="240" w:lineRule="auto" w:before="21"/>
        <w:ind w:left="573" w:right="660"/>
        <w:jc w:val="left"/>
      </w:pPr>
      <w:r>
        <w:rPr/>
        <w:t>（</w:t>
      </w:r>
      <w:r>
        <w:rPr>
          <w:rFonts w:ascii="Times New Roman" w:hAnsi="Times New Roman" w:cs="Times New Roman" w:eastAsia="Times New Roman" w:hint="default"/>
        </w:rPr>
        <w:t>8</w:t>
      </w:r>
      <w:r>
        <w:rPr/>
        <w:t>）本公司之子公司易联技术收到深圳市战略性新兴产业发展专项资金</w:t>
      </w:r>
      <w:r>
        <w:rPr>
          <w:rFonts w:ascii="Times New Roman" w:hAnsi="Times New Roman" w:cs="Times New Roman" w:eastAsia="Times New Roman" w:hint="default"/>
        </w:rPr>
        <w:t>80.00</w:t>
      </w:r>
      <w:r>
        <w:rPr/>
        <w:t>万元。</w:t>
      </w:r>
    </w:p>
    <w:p>
      <w:pPr>
        <w:pStyle w:val="Heading4"/>
        <w:spacing w:line="240" w:lineRule="auto" w:before="21"/>
        <w:ind w:left="573" w:right="660"/>
        <w:jc w:val="left"/>
      </w:pPr>
      <w:r>
        <w:rPr/>
        <w:t>（</w:t>
      </w:r>
      <w:r>
        <w:rPr>
          <w:rFonts w:ascii="Times New Roman" w:hAnsi="Times New Roman" w:cs="Times New Roman" w:eastAsia="Times New Roman" w:hint="default"/>
        </w:rPr>
        <w:t>9</w:t>
      </w:r>
      <w:r>
        <w:rPr/>
        <w:t>）本公司收到国际科技合作计划资助项目补助资金</w:t>
      </w:r>
      <w:r>
        <w:rPr>
          <w:rFonts w:ascii="Times New Roman" w:hAnsi="Times New Roman" w:cs="Times New Roman" w:eastAsia="Times New Roman" w:hint="default"/>
        </w:rPr>
        <w:t>40.00</w:t>
      </w:r>
      <w:r>
        <w:rPr/>
        <w:t>万元。</w:t>
      </w:r>
    </w:p>
    <w:p>
      <w:pPr>
        <w:spacing w:after="0" w:line="240" w:lineRule="auto"/>
        <w:jc w:val="left"/>
        <w:sectPr>
          <w:pgSz w:w="11910" w:h="16840"/>
          <w:pgMar w:header="747" w:footer="982" w:top="1060" w:bottom="1180" w:left="980" w:right="940"/>
        </w:sectPr>
      </w:pPr>
    </w:p>
    <w:p>
      <w:pPr>
        <w:spacing w:line="240" w:lineRule="auto" w:before="9"/>
        <w:rPr>
          <w:rFonts w:ascii="宋体" w:hAnsi="宋体" w:cs="宋体" w:eastAsia="宋体" w:hint="default"/>
          <w:sz w:val="24"/>
          <w:szCs w:val="24"/>
        </w:rPr>
      </w:pPr>
    </w:p>
    <w:p>
      <w:pPr>
        <w:pStyle w:val="Heading4"/>
        <w:spacing w:line="240" w:lineRule="auto" w:before="35"/>
        <w:ind w:left="574" w:right="0"/>
        <w:jc w:val="left"/>
      </w:pPr>
      <w:r>
        <w:rPr/>
        <w:t>（</w:t>
      </w:r>
      <w:r>
        <w:rPr>
          <w:rFonts w:ascii="Times New Roman" w:hAnsi="Times New Roman" w:cs="Times New Roman" w:eastAsia="Times New Roman" w:hint="default"/>
        </w:rPr>
        <w:t>10</w:t>
      </w:r>
      <w:r>
        <w:rPr/>
        <w:t>）本公司收到技术创新计划技术开发项目（电子信息领域）补助资金</w:t>
      </w:r>
      <w:r>
        <w:rPr>
          <w:rFonts w:ascii="Times New Roman" w:hAnsi="Times New Roman" w:cs="Times New Roman" w:eastAsia="Times New Roman" w:hint="default"/>
        </w:rPr>
        <w:t>120.00</w:t>
      </w:r>
      <w:r>
        <w:rPr/>
        <w:t>万元。</w:t>
      </w:r>
    </w:p>
    <w:p>
      <w:pPr>
        <w:pStyle w:val="Heading4"/>
        <w:spacing w:line="240" w:lineRule="auto" w:before="21"/>
        <w:ind w:left="573" w:right="0"/>
        <w:jc w:val="left"/>
      </w:pPr>
      <w:r>
        <w:rPr/>
        <w:t>（</w:t>
      </w:r>
      <w:r>
        <w:rPr>
          <w:rFonts w:ascii="Times New Roman" w:hAnsi="Times New Roman" w:cs="Times New Roman" w:eastAsia="Times New Roman" w:hint="default"/>
        </w:rPr>
        <w:t>11</w:t>
      </w:r>
      <w:r>
        <w:rPr/>
        <w:t>）本公司收到福田区产业发展专项资金</w:t>
      </w:r>
      <w:r>
        <w:rPr>
          <w:rFonts w:ascii="Times New Roman" w:hAnsi="Times New Roman" w:cs="Times New Roman" w:eastAsia="Times New Roman" w:hint="default"/>
        </w:rPr>
        <w:t>300,000.00</w:t>
      </w:r>
      <w:r>
        <w:rPr/>
        <w:t>元。</w:t>
      </w:r>
    </w:p>
    <w:p>
      <w:pPr>
        <w:pStyle w:val="Heading4"/>
        <w:spacing w:line="240" w:lineRule="auto" w:before="21"/>
        <w:ind w:left="574" w:right="0"/>
        <w:jc w:val="left"/>
      </w:pPr>
      <w:r>
        <w:rPr/>
        <w:t>（</w:t>
      </w:r>
      <w:r>
        <w:rPr>
          <w:rFonts w:ascii="Times New Roman" w:hAnsi="Times New Roman" w:cs="Times New Roman" w:eastAsia="Times New Roman" w:hint="default"/>
        </w:rPr>
        <w:t>12</w:t>
      </w:r>
      <w:r>
        <w:rPr/>
        <w:t>）本公司之子公司易联技术收到科技型中小企业技术创新基金</w:t>
      </w:r>
      <w:r>
        <w:rPr>
          <w:rFonts w:ascii="Times New Roman" w:hAnsi="Times New Roman" w:cs="Times New Roman" w:eastAsia="Times New Roman" w:hint="default"/>
        </w:rPr>
        <w:t>420,000.00</w:t>
      </w:r>
      <w:r>
        <w:rPr/>
        <w:t>元。</w:t>
      </w:r>
    </w:p>
    <w:p>
      <w:pPr>
        <w:pStyle w:val="Heading4"/>
        <w:spacing w:line="240" w:lineRule="auto" w:before="21"/>
        <w:ind w:left="574" w:right="0"/>
        <w:jc w:val="left"/>
      </w:pPr>
      <w:r>
        <w:rPr/>
        <w:t>（</w:t>
      </w:r>
      <w:r>
        <w:rPr>
          <w:rFonts w:ascii="Times New Roman" w:hAnsi="Times New Roman" w:cs="Times New Roman" w:eastAsia="Times New Roman" w:hint="default"/>
        </w:rPr>
        <w:t>13</w:t>
      </w:r>
      <w:r>
        <w:rPr/>
        <w:t>）本公司之子公司易联技术收到易联</w:t>
      </w:r>
      <w:r>
        <w:rPr>
          <w:rFonts w:ascii="Times New Roman" w:hAnsi="Times New Roman" w:cs="Times New Roman" w:eastAsia="Times New Roman" w:hint="default"/>
        </w:rPr>
        <w:t>pos</w:t>
      </w:r>
      <w:r>
        <w:rPr/>
        <w:t>电子签名技术研发项目资金</w:t>
      </w:r>
      <w:r>
        <w:rPr>
          <w:rFonts w:ascii="Times New Roman" w:hAnsi="Times New Roman" w:cs="Times New Roman" w:eastAsia="Times New Roman" w:hint="default"/>
        </w:rPr>
        <w:t>1,500,000.00</w:t>
      </w:r>
      <w:r>
        <w:rPr/>
        <w:t>元。</w:t>
      </w:r>
    </w:p>
    <w:p>
      <w:pPr>
        <w:pStyle w:val="Heading4"/>
        <w:spacing w:line="240" w:lineRule="auto" w:before="21"/>
        <w:ind w:left="574" w:right="0"/>
        <w:jc w:val="left"/>
      </w:pPr>
      <w:r>
        <w:rPr/>
        <w:t>（</w:t>
      </w:r>
      <w:r>
        <w:rPr>
          <w:rFonts w:ascii="Times New Roman" w:hAnsi="Times New Roman" w:cs="Times New Roman" w:eastAsia="Times New Roman" w:hint="default"/>
        </w:rPr>
        <w:t>14</w:t>
      </w:r>
      <w:r>
        <w:rPr/>
        <w:t>）本公司收到金融</w:t>
      </w:r>
      <w:r>
        <w:rPr>
          <w:rFonts w:ascii="Times New Roman" w:hAnsi="Times New Roman" w:cs="Times New Roman" w:eastAsia="Times New Roman" w:hint="default"/>
        </w:rPr>
        <w:t>POS</w:t>
      </w:r>
      <w:r>
        <w:rPr>
          <w:rFonts w:ascii="Times New Roman" w:hAnsi="Times New Roman" w:cs="Times New Roman" w:eastAsia="Times New Roman" w:hint="default"/>
          <w:spacing w:val="23"/>
        </w:rPr>
        <w:t> </w:t>
      </w:r>
      <w:r>
        <w:rPr/>
        <w:t>品牌培育项目资金</w:t>
      </w:r>
      <w:r>
        <w:rPr>
          <w:rFonts w:ascii="Times New Roman" w:hAnsi="Times New Roman" w:cs="Times New Roman" w:eastAsia="Times New Roman" w:hint="default"/>
        </w:rPr>
        <w:t>330,000.00</w:t>
      </w:r>
      <w:r>
        <w:rPr/>
        <w:t>元。</w:t>
      </w:r>
    </w:p>
    <w:p>
      <w:pPr>
        <w:pStyle w:val="Heading4"/>
        <w:spacing w:line="240" w:lineRule="auto" w:before="21"/>
        <w:ind w:left="574" w:right="0"/>
        <w:jc w:val="left"/>
      </w:pPr>
      <w:r>
        <w:rPr/>
        <w:t>（</w:t>
      </w:r>
      <w:r>
        <w:rPr>
          <w:rFonts w:ascii="Times New Roman" w:hAnsi="Times New Roman" w:cs="Times New Roman" w:eastAsia="Times New Roman" w:hint="default"/>
        </w:rPr>
        <w:t>15</w:t>
      </w:r>
      <w:r>
        <w:rPr/>
        <w:t>）本公司收到福田区知识产权专项补贴</w:t>
      </w:r>
      <w:r>
        <w:rPr>
          <w:rFonts w:ascii="Times New Roman" w:hAnsi="Times New Roman" w:cs="Times New Roman" w:eastAsia="Times New Roman" w:hint="default"/>
        </w:rPr>
        <w:t>100,000.00</w:t>
      </w:r>
      <w:r>
        <w:rPr/>
        <w:t>元。</w:t>
      </w:r>
    </w:p>
    <w:p>
      <w:pPr>
        <w:pStyle w:val="Heading4"/>
        <w:spacing w:line="240" w:lineRule="auto" w:before="21"/>
        <w:ind w:left="574" w:right="0"/>
        <w:jc w:val="left"/>
      </w:pPr>
      <w:r>
        <w:rPr/>
        <w:t>（</w:t>
      </w:r>
      <w:r>
        <w:rPr>
          <w:rFonts w:ascii="Times New Roman" w:hAnsi="Times New Roman" w:cs="Times New Roman" w:eastAsia="Times New Roman" w:hint="default"/>
        </w:rPr>
        <w:t>16</w:t>
      </w:r>
      <w:r>
        <w:rPr/>
        <w:t>）本公司收到福田区科学技术奖配套支持资金</w:t>
      </w:r>
      <w:r>
        <w:rPr>
          <w:rFonts w:ascii="Times New Roman" w:hAnsi="Times New Roman" w:cs="Times New Roman" w:eastAsia="Times New Roman" w:hint="default"/>
        </w:rPr>
        <w:t>100,000.00</w:t>
      </w:r>
      <w:r>
        <w:rPr/>
        <w:t>元。</w:t>
      </w:r>
    </w:p>
    <w:p>
      <w:pPr>
        <w:pStyle w:val="Heading4"/>
        <w:spacing w:line="240" w:lineRule="auto" w:before="21"/>
        <w:ind w:left="574" w:right="0"/>
        <w:jc w:val="left"/>
      </w:pPr>
      <w:r>
        <w:rPr/>
        <w:t>（</w:t>
      </w:r>
      <w:r>
        <w:rPr>
          <w:rFonts w:ascii="Times New Roman" w:hAnsi="Times New Roman" w:cs="Times New Roman" w:eastAsia="Times New Roman" w:hint="default"/>
        </w:rPr>
        <w:t>17</w:t>
      </w:r>
      <w:r>
        <w:rPr/>
        <w:t>）本公司收到深圳市市场监督管理局资助资金</w:t>
      </w:r>
      <w:r>
        <w:rPr>
          <w:rFonts w:ascii="Times New Roman" w:hAnsi="Times New Roman" w:cs="Times New Roman" w:eastAsia="Times New Roman" w:hint="default"/>
        </w:rPr>
        <w:t>10,000.00</w:t>
      </w:r>
      <w:r>
        <w:rPr/>
        <w:t>元。</w:t>
      </w:r>
    </w:p>
    <w:p>
      <w:pPr>
        <w:pStyle w:val="Heading4"/>
        <w:spacing w:line="240" w:lineRule="auto" w:before="21"/>
        <w:ind w:left="574" w:right="0"/>
        <w:jc w:val="left"/>
      </w:pPr>
      <w:r>
        <w:rPr/>
        <w:t>（</w:t>
      </w:r>
      <w:r>
        <w:rPr>
          <w:rFonts w:ascii="Times New Roman" w:hAnsi="Times New Roman" w:cs="Times New Roman" w:eastAsia="Times New Roman" w:hint="default"/>
        </w:rPr>
        <w:t>18</w:t>
      </w:r>
      <w:r>
        <w:rPr/>
        <w:t>）本公司收到福田区产业发展专项资金（</w:t>
      </w:r>
      <w:r>
        <w:rPr>
          <w:rFonts w:ascii="Times New Roman" w:hAnsi="Times New Roman" w:cs="Times New Roman" w:eastAsia="Times New Roman" w:hint="default"/>
        </w:rPr>
        <w:t>2014</w:t>
      </w:r>
      <w:r>
        <w:rPr/>
        <w:t>年度第二批）</w:t>
      </w:r>
      <w:r>
        <w:rPr>
          <w:rFonts w:ascii="Times New Roman" w:hAnsi="Times New Roman" w:cs="Times New Roman" w:eastAsia="Times New Roman" w:hint="default"/>
        </w:rPr>
        <w:t>40,400.00</w:t>
      </w:r>
      <w:r>
        <w:rPr/>
        <w:t>元。</w:t>
      </w:r>
    </w:p>
    <w:p>
      <w:pPr>
        <w:pStyle w:val="Heading4"/>
        <w:spacing w:line="240" w:lineRule="auto" w:before="21"/>
        <w:ind w:left="574" w:right="0"/>
        <w:jc w:val="left"/>
      </w:pPr>
      <w:r>
        <w:rPr/>
        <w:t>（</w:t>
      </w:r>
      <w:r>
        <w:rPr>
          <w:rFonts w:ascii="Times New Roman" w:hAnsi="Times New Roman" w:cs="Times New Roman" w:eastAsia="Times New Roman" w:hint="default"/>
        </w:rPr>
        <w:t>19</w:t>
      </w:r>
      <w:r>
        <w:rPr/>
        <w:t>）本公司之子公司易联技术收到福田区产业发展专项资金</w:t>
      </w:r>
      <w:r>
        <w:rPr>
          <w:rFonts w:ascii="Times New Roman" w:hAnsi="Times New Roman" w:cs="Times New Roman" w:eastAsia="Times New Roman" w:hint="default"/>
        </w:rPr>
        <w:t>150,000.00</w:t>
      </w:r>
      <w:r>
        <w:rPr/>
        <w:t>元。</w:t>
      </w:r>
    </w:p>
    <w:p>
      <w:pPr>
        <w:pStyle w:val="Heading4"/>
        <w:spacing w:line="256" w:lineRule="auto" w:before="21"/>
        <w:ind w:right="0" w:firstLine="420"/>
        <w:jc w:val="left"/>
      </w:pPr>
      <w:r>
        <w:rPr/>
        <w:t>（</w:t>
      </w:r>
      <w:r>
        <w:rPr>
          <w:rFonts w:ascii="Times New Roman" w:hAnsi="Times New Roman" w:cs="Times New Roman" w:eastAsia="Times New Roman" w:hint="default"/>
        </w:rPr>
        <w:t>20</w:t>
      </w:r>
      <w:r>
        <w:rPr/>
        <w:t>）本公司收到深圳市新一代信息技术产业发展专项资金（基于移动互联网的</w:t>
      </w:r>
      <w:r>
        <w:rPr>
          <w:rFonts w:ascii="Times New Roman" w:hAnsi="Times New Roman" w:cs="Times New Roman" w:eastAsia="Times New Roman" w:hint="default"/>
        </w:rPr>
        <w:t>G</w:t>
      </w:r>
      <w:r>
        <w:rPr/>
        <w:t>系列支付终端产业 化）</w:t>
      </w:r>
      <w:r>
        <w:rPr>
          <w:rFonts w:ascii="Times New Roman" w:hAnsi="Times New Roman" w:cs="Times New Roman" w:eastAsia="Times New Roman" w:hint="default"/>
        </w:rPr>
        <w:t>2,700,000.00</w:t>
      </w:r>
      <w:r>
        <w:rPr/>
        <w:t>元。</w:t>
      </w:r>
    </w:p>
    <w:p>
      <w:pPr>
        <w:pStyle w:val="Heading4"/>
        <w:spacing w:line="240" w:lineRule="auto" w:before="5"/>
        <w:ind w:left="574" w:right="0"/>
        <w:jc w:val="left"/>
      </w:pPr>
      <w:r>
        <w:rPr/>
        <w:t>（</w:t>
      </w:r>
      <w:r>
        <w:rPr>
          <w:rFonts w:ascii="Times New Roman" w:hAnsi="Times New Roman" w:cs="Times New Roman" w:eastAsia="Times New Roman" w:hint="default"/>
        </w:rPr>
        <w:t>21</w:t>
      </w:r>
      <w:r>
        <w:rPr/>
        <w:t>）本公司收到产业技术研究与开发高技术产业发展项目资金</w:t>
      </w:r>
      <w:r>
        <w:rPr>
          <w:rFonts w:ascii="Times New Roman" w:hAnsi="Times New Roman" w:cs="Times New Roman" w:eastAsia="Times New Roman" w:hint="default"/>
        </w:rPr>
        <w:t>3,000,000.00</w:t>
      </w:r>
      <w:r>
        <w:rPr/>
        <w:t>元。</w:t>
      </w:r>
    </w:p>
    <w:p>
      <w:pPr>
        <w:pStyle w:val="Heading4"/>
        <w:spacing w:line="240" w:lineRule="auto" w:before="21"/>
        <w:ind w:left="574" w:right="0"/>
        <w:jc w:val="left"/>
      </w:pPr>
      <w:r>
        <w:rPr/>
        <w:t>（</w:t>
      </w:r>
      <w:r>
        <w:rPr>
          <w:spacing w:val="-81"/>
        </w:rPr>
        <w:t> </w:t>
      </w:r>
      <w:r>
        <w:rPr>
          <w:rFonts w:ascii="Times New Roman" w:hAnsi="Times New Roman" w:cs="Times New Roman" w:eastAsia="Times New Roman" w:hint="default"/>
          <w:spacing w:val="15"/>
        </w:rPr>
        <w:t>22</w:t>
      </w:r>
      <w:r>
        <w:rPr>
          <w:spacing w:val="15"/>
        </w:rPr>
        <w:t>）本公司之子公司易联技术收到基于云计算应用的</w:t>
      </w:r>
      <w:r>
        <w:rPr>
          <w:rFonts w:ascii="Times New Roman" w:hAnsi="Times New Roman" w:cs="Times New Roman" w:eastAsia="Times New Roman" w:hint="default"/>
          <w:spacing w:val="15"/>
        </w:rPr>
        <w:t>S-POS</w:t>
      </w:r>
      <w:r>
        <w:rPr>
          <w:spacing w:val="15"/>
        </w:rPr>
        <w:t>平台软件研发及产业化项目资金</w:t>
      </w:r>
      <w:r>
        <w:rPr/>
      </w:r>
    </w:p>
    <w:p>
      <w:pPr>
        <w:pStyle w:val="Heading4"/>
        <w:spacing w:line="240" w:lineRule="auto" w:before="21"/>
        <w:ind w:right="0"/>
        <w:jc w:val="left"/>
      </w:pPr>
      <w:r>
        <w:rPr>
          <w:rFonts w:ascii="Times New Roman" w:hAnsi="Times New Roman" w:cs="Times New Roman" w:eastAsia="Times New Roman" w:hint="default"/>
        </w:rPr>
        <w:t>1,500,000.00</w:t>
      </w:r>
      <w:r>
        <w:rPr/>
        <w:t>元。</w:t>
      </w:r>
    </w:p>
    <w:p>
      <w:pPr>
        <w:pStyle w:val="Heading4"/>
        <w:spacing w:line="240" w:lineRule="auto" w:before="21"/>
        <w:ind w:left="574" w:right="0"/>
        <w:jc w:val="left"/>
      </w:pPr>
      <w:r>
        <w:rPr/>
        <w:t>（</w:t>
      </w:r>
      <w:r>
        <w:rPr>
          <w:rFonts w:ascii="Times New Roman" w:hAnsi="Times New Roman" w:cs="Times New Roman" w:eastAsia="Times New Roman" w:hint="default"/>
        </w:rPr>
        <w:t>23</w:t>
      </w:r>
      <w:r>
        <w:rPr/>
        <w:t>）本公司之子公司南京新国都公司收到马群地区重点税源企业奖金</w:t>
      </w:r>
      <w:r>
        <w:rPr>
          <w:rFonts w:ascii="Times New Roman" w:hAnsi="Times New Roman" w:cs="Times New Roman" w:eastAsia="Times New Roman" w:hint="default"/>
        </w:rPr>
        <w:t>1,000.00</w:t>
      </w:r>
      <w:r>
        <w:rPr/>
        <w:t>元。</w:t>
      </w:r>
    </w:p>
    <w:p>
      <w:pPr>
        <w:pStyle w:val="Heading4"/>
        <w:spacing w:line="240" w:lineRule="auto" w:before="21"/>
        <w:ind w:left="574" w:right="0"/>
        <w:jc w:val="left"/>
      </w:pPr>
      <w:r>
        <w:rPr/>
        <w:t>（</w:t>
      </w:r>
      <w:r>
        <w:rPr>
          <w:rFonts w:ascii="Times New Roman" w:hAnsi="Times New Roman" w:cs="Times New Roman" w:eastAsia="Times New Roman" w:hint="default"/>
        </w:rPr>
        <w:t>24</w:t>
      </w:r>
      <w:r>
        <w:rPr/>
        <w:t>）本公司收到深圳市知识产权优势企业认定资助款</w:t>
      </w:r>
      <w:r>
        <w:rPr>
          <w:rFonts w:ascii="Times New Roman" w:hAnsi="Times New Roman" w:cs="Times New Roman" w:eastAsia="Times New Roman" w:hint="default"/>
        </w:rPr>
        <w:t>200,000.00</w:t>
      </w:r>
      <w:r>
        <w:rPr/>
        <w:t>元。</w:t>
      </w:r>
    </w:p>
    <w:p>
      <w:pPr>
        <w:pStyle w:val="Heading4"/>
        <w:spacing w:line="240" w:lineRule="auto" w:before="21"/>
        <w:ind w:left="574" w:right="0"/>
        <w:jc w:val="left"/>
      </w:pPr>
      <w:r>
        <w:rPr/>
        <w:t>（</w:t>
      </w:r>
      <w:r>
        <w:rPr>
          <w:rFonts w:ascii="Times New Roman" w:hAnsi="Times New Roman" w:cs="Times New Roman" w:eastAsia="Times New Roman" w:hint="default"/>
        </w:rPr>
        <w:t>25</w:t>
      </w:r>
      <w:r>
        <w:rPr/>
        <w:t>）本公司收到深圳财政退税款</w:t>
      </w:r>
      <w:r>
        <w:rPr>
          <w:rFonts w:ascii="Times New Roman" w:hAnsi="Times New Roman" w:cs="Times New Roman" w:eastAsia="Times New Roman" w:hint="default"/>
        </w:rPr>
        <w:t>1,101,800.00</w:t>
      </w:r>
      <w:r>
        <w:rPr/>
        <w:t>元。</w:t>
      </w:r>
    </w:p>
    <w:p>
      <w:pPr>
        <w:pStyle w:val="Heading4"/>
        <w:spacing w:line="240" w:lineRule="auto" w:before="21"/>
        <w:ind w:left="574" w:right="0"/>
        <w:jc w:val="left"/>
      </w:pPr>
      <w:r>
        <w:rPr/>
        <w:t>（</w:t>
      </w:r>
      <w:r>
        <w:rPr>
          <w:rFonts w:ascii="Times New Roman" w:hAnsi="Times New Roman" w:cs="Times New Roman" w:eastAsia="Times New Roman" w:hint="default"/>
        </w:rPr>
        <w:t>26</w:t>
      </w:r>
      <w:r>
        <w:rPr/>
        <w:t>）本公司收到深圳市基层党组织教育活动经费</w:t>
      </w:r>
      <w:r>
        <w:rPr>
          <w:rFonts w:ascii="Times New Roman" w:hAnsi="Times New Roman" w:cs="Times New Roman" w:eastAsia="Times New Roman" w:hint="default"/>
        </w:rPr>
        <w:t>50,000.00</w:t>
      </w:r>
      <w:r>
        <w:rPr/>
        <w:t>元。</w:t>
      </w:r>
    </w:p>
    <w:p>
      <w:pPr>
        <w:spacing w:line="240" w:lineRule="auto" w:before="8"/>
        <w:rPr>
          <w:rFonts w:ascii="宋体" w:hAnsi="宋体" w:cs="宋体" w:eastAsia="宋体" w:hint="default"/>
          <w:sz w:val="24"/>
          <w:szCs w:val="24"/>
        </w:rPr>
      </w:pPr>
    </w:p>
    <w:p>
      <w:pPr>
        <w:pStyle w:val="Heading3"/>
        <w:spacing w:line="240" w:lineRule="auto"/>
        <w:ind w:left="153" w:right="0"/>
        <w:jc w:val="left"/>
        <w:rPr>
          <w:b w:val="0"/>
          <w:bCs w:val="0"/>
        </w:rPr>
      </w:pPr>
      <w:r>
        <w:rPr>
          <w:rFonts w:ascii="Times New Roman" w:hAnsi="Times New Roman" w:cs="Times New Roman" w:eastAsia="Times New Roman" w:hint="default"/>
        </w:rPr>
        <w:t>52</w:t>
      </w:r>
      <w:r>
        <w:rPr/>
        <w:t>、其他非流动负债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53</w:t>
      </w:r>
      <w:r>
        <w:rPr/>
        <w:t>、股本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5"/>
        <w:gridCol w:w="1196"/>
        <w:gridCol w:w="1196"/>
        <w:gridCol w:w="1196"/>
        <w:gridCol w:w="1195"/>
        <w:gridCol w:w="1196"/>
        <w:gridCol w:w="1196"/>
        <w:gridCol w:w="1195"/>
      </w:tblGrid>
      <w:tr>
        <w:trPr>
          <w:trHeight w:val="402" w:hRule="exact"/>
        </w:trPr>
        <w:tc>
          <w:tcPr>
            <w:tcW w:w="1195" w:type="dxa"/>
            <w:vMerge w:val="restart"/>
            <w:tcBorders>
              <w:top w:val="single" w:sz="4" w:space="0" w:color="000000"/>
              <w:left w:val="single" w:sz="4" w:space="0" w:color="000000"/>
              <w:right w:val="single" w:sz="4" w:space="0" w:color="000000"/>
            </w:tcBorders>
            <w:shd w:val="clear" w:color="auto" w:fill="D3D3D3"/>
          </w:tcPr>
          <w:p>
            <w:pP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1"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195"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114,300,000.00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114,300,000.00</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54</w:t>
      </w:r>
      <w:r>
        <w:rPr/>
        <w:t>、其他权益工具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2130"/>
        <w:gridCol w:w="2125"/>
        <w:gridCol w:w="2124"/>
        <w:gridCol w:w="2124"/>
      </w:tblGrid>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76" w:right="0"/>
              <w:jc w:val="left"/>
              <w:rPr>
                <w:rFonts w:ascii="宋体" w:hAnsi="宋体" w:cs="宋体" w:eastAsia="宋体" w:hint="default"/>
                <w:sz w:val="18"/>
                <w:szCs w:val="18"/>
              </w:rPr>
            </w:pPr>
            <w:r>
              <w:rPr>
                <w:rFonts w:ascii="宋体" w:hAnsi="宋体" w:cs="宋体" w:eastAsia="宋体" w:hint="default"/>
                <w:sz w:val="18"/>
                <w:szCs w:val="18"/>
              </w:rPr>
              <w:t>发行在外的</w:t>
            </w:r>
          </w:p>
        </w:tc>
        <w:tc>
          <w:tcPr>
            <w:tcW w:w="21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62"/>
      </w:tblGrid>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66" w:right="0"/>
              <w:jc w:val="left"/>
              <w:rPr>
                <w:rFonts w:ascii="宋体" w:hAnsi="宋体" w:cs="宋体" w:eastAsia="宋体" w:hint="default"/>
                <w:sz w:val="18"/>
                <w:szCs w:val="18"/>
              </w:rPr>
            </w:pPr>
            <w:r>
              <w:rPr>
                <w:rFonts w:ascii="宋体" w:hAnsi="宋体" w:cs="宋体" w:eastAsia="宋体" w:hint="default"/>
                <w:sz w:val="18"/>
                <w:szCs w:val="18"/>
              </w:rPr>
              <w:t>金融工具</w:t>
            </w:r>
          </w:p>
        </w:tc>
        <w:tc>
          <w:tcPr>
            <w:tcW w:w="10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left="153" w:right="3651"/>
        <w:jc w:val="left"/>
      </w:pPr>
      <w:r>
        <w:rPr/>
        <w:t>其他权益工具本期增减变动情况、变动原因说明，以及相关会计处理的依据： 其他说明：</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55</w:t>
      </w:r>
      <w:r>
        <w:rPr/>
        <w:t>、资本公积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641,920,393.65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641,920,393.65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29,224,700.01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29,224,700.01</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641,920,393.65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29,224,700.01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671,145,093.66</w:t>
            </w:r>
          </w:p>
        </w:tc>
      </w:tr>
    </w:tbl>
    <w:p>
      <w:pPr>
        <w:pStyle w:val="BodyText"/>
        <w:spacing w:line="357" w:lineRule="auto" w:before="51"/>
        <w:ind w:left="153" w:right="5631"/>
        <w:jc w:val="left"/>
      </w:pPr>
      <w:r>
        <w:rPr/>
        <w:t>其他说明，包括本期增减变动情况、变动原因说明： 其他资本公积本期增加系由于股份支付所形成。</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56</w:t>
      </w:r>
      <w:r>
        <w:rPr/>
        <w:t>、库存股</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right="0"/>
        <w:jc w:val="left"/>
      </w:pPr>
      <w:r>
        <w:rPr/>
        <w:t>其他说明，包括本期增减变动情况、变动原因说明：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57</w:t>
      </w:r>
      <w:r>
        <w:rPr/>
        <w:t>、其他综合收益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810"/>
        <w:gridCol w:w="1069"/>
        <w:gridCol w:w="935"/>
        <w:gridCol w:w="1151"/>
        <w:gridCol w:w="935"/>
        <w:gridCol w:w="936"/>
        <w:gridCol w:w="935"/>
        <w:gridCol w:w="797"/>
      </w:tblGrid>
      <w:tr>
        <w:trPr>
          <w:trHeight w:val="402" w:hRule="exact"/>
        </w:trPr>
        <w:tc>
          <w:tcPr>
            <w:tcW w:w="281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1"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2810" w:type="dxa"/>
            <w:vMerge/>
            <w:tcBorders>
              <w:left w:val="single" w:sz="4" w:space="0" w:color="000000"/>
              <w:bottom w:val="single" w:sz="4" w:space="0" w:color="000000"/>
              <w:right w:val="single" w:sz="4" w:space="0" w:color="000000"/>
            </w:tcBorders>
            <w:shd w:val="clear" w:color="auto" w:fill="D3D3D3"/>
          </w:tcPr>
          <w:p>
            <w:pPr/>
          </w:p>
        </w:tc>
        <w:tc>
          <w:tcPr>
            <w:tcW w:w="1069" w:type="dxa"/>
            <w:vMerge/>
            <w:tcBorders>
              <w:left w:val="single" w:sz="4" w:space="0" w:color="000000"/>
              <w:bottom w:val="single" w:sz="4" w:space="0" w:color="000000"/>
              <w:right w:val="single" w:sz="4" w:space="0" w:color="000000"/>
            </w:tcBorders>
            <w:shd w:val="clear" w:color="auto" w:fill="D3D3D3"/>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01"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9"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7" w:type="dxa"/>
            <w:vMerge/>
            <w:tcBorders>
              <w:left w:val="single" w:sz="4" w:space="0" w:color="000000"/>
              <w:bottom w:val="single" w:sz="4" w:space="0" w:color="000000"/>
              <w:right w:val="single" w:sz="4" w:space="0" w:color="000000"/>
            </w:tcBorders>
            <w:shd w:val="clear" w:color="auto" w:fill="D3D3D3"/>
          </w:tcPr>
          <w:p>
            <w:pPr/>
          </w:p>
        </w:tc>
      </w:tr>
    </w:tbl>
    <w:p>
      <w:pPr>
        <w:pStyle w:val="BodyText"/>
        <w:spacing w:line="240" w:lineRule="auto" w:before="51"/>
        <w:ind w:right="0"/>
        <w:jc w:val="left"/>
      </w:pPr>
      <w:r>
        <w:rPr/>
        <w:t>其他说明，包括对现金流量套期损益的有效部分转为被套期项目初始确认金额调整：</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58</w:t>
      </w:r>
      <w:r>
        <w:rPr/>
        <w:t>、专项储备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right="0"/>
        <w:jc w:val="left"/>
      </w:pPr>
      <w:r>
        <w:rPr/>
        <w:t>其他说明，包括本期增减变动情况、变动原因说明：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59</w:t>
      </w:r>
      <w:r>
        <w:rPr/>
        <w:t>、盈余公积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14,194,970.80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3,245,504.76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17,440,475.56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14,194,970.80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3,245,504.76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17,440,475.56</w:t>
            </w:r>
          </w:p>
        </w:tc>
      </w:tr>
    </w:tbl>
    <w:p>
      <w:pPr>
        <w:pStyle w:val="BodyText"/>
        <w:spacing w:line="240" w:lineRule="auto" w:before="51"/>
        <w:ind w:right="0"/>
        <w:jc w:val="left"/>
      </w:pPr>
      <w:r>
        <w:rPr/>
        <w:t>盈余公积说明，包括本期增减变动情况、变动原因说明：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60</w:t>
      </w:r>
      <w:r>
        <w:rPr/>
        <w:t>、未分配利润</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25"/>
        <w:gridCol w:w="2924"/>
        <w:gridCol w:w="2918"/>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262,587,027.37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214,840,028.55</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262,587,027.37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214,840,028.55</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79,581,385.94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54,940,058.49</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3,245,504.76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1,478,059.67</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11,430,000.00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5,715,000.00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327,492,908.55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262,587,027.37</w:t>
            </w:r>
          </w:p>
        </w:tc>
      </w:tr>
    </w:tbl>
    <w:p>
      <w:pPr>
        <w:pStyle w:val="BodyText"/>
        <w:spacing w:line="240" w:lineRule="auto" w:before="51"/>
        <w:ind w:right="0"/>
        <w:jc w:val="left"/>
      </w:pPr>
      <w:r>
        <w:rPr/>
        <w:t>调整期初未分配利润明细：</w:t>
      </w:r>
    </w:p>
    <w:p>
      <w:pPr>
        <w:pStyle w:val="BodyText"/>
        <w:spacing w:line="240" w:lineRule="auto" w:before="117"/>
        <w:ind w:left="153" w:right="0"/>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2"/>
        <w:ind w:left="153" w:right="0"/>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103"/>
        <w:ind w:left="153" w:right="0"/>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2"/>
        <w:ind w:left="153" w:right="0"/>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2"/>
        <w:ind w:left="153" w:right="0"/>
        <w:jc w:val="left"/>
      </w:pPr>
      <w:r>
        <w:rPr>
          <w:rFonts w:ascii="Times New Roman" w:hAnsi="Times New Roman" w:cs="Times New Roman" w:eastAsia="Times New Roman" w:hint="default"/>
        </w:rPr>
        <w:t>5)</w:t>
      </w:r>
      <w:r>
        <w:rPr/>
        <w:t>、其他调整合计影响期初未分配利润元。</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61</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4"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1"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9" w:right="0"/>
              <w:jc w:val="left"/>
              <w:rPr>
                <w:rFonts w:ascii="Times New Roman" w:hAnsi="Times New Roman" w:cs="Times New Roman" w:eastAsia="Times New Roman" w:hint="default"/>
                <w:sz w:val="18"/>
                <w:szCs w:val="18"/>
              </w:rPr>
            </w:pPr>
            <w:r>
              <w:rPr>
                <w:rFonts w:ascii="Times New Roman"/>
                <w:sz w:val="18"/>
              </w:rPr>
              <w:t>678,200,326.93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388,957,724.06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498,376,442.74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309,075,911.40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801,325.00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454,646.50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9" w:right="0"/>
              <w:jc w:val="left"/>
              <w:rPr>
                <w:rFonts w:ascii="Times New Roman" w:hAnsi="Times New Roman" w:cs="Times New Roman" w:eastAsia="Times New Roman" w:hint="default"/>
                <w:sz w:val="18"/>
                <w:szCs w:val="18"/>
              </w:rPr>
            </w:pPr>
            <w:r>
              <w:rPr>
                <w:rFonts w:ascii="Times New Roman"/>
                <w:sz w:val="18"/>
              </w:rPr>
              <w:t>678,200,326.93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388,957,724.06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499,177,767.74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309,530,557.90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62</w:t>
      </w:r>
      <w:r>
        <w:rPr/>
        <w:t>、营业税金及附加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2,891.05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43,229.42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2,990,075.10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2,430,058.58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2,136,805.85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1,735,755.78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5,129,772.00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4,209,043.78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ind w:left="153" w:right="102"/>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02"/>
        <w:jc w:val="left"/>
        <w:rPr>
          <w:b w:val="0"/>
          <w:bCs w:val="0"/>
        </w:rPr>
      </w:pPr>
      <w:r>
        <w:rPr>
          <w:rFonts w:ascii="Times New Roman" w:hAnsi="Times New Roman" w:cs="Times New Roman" w:eastAsia="Times New Roman" w:hint="default"/>
        </w:rPr>
        <w:t>63</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21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工资、社保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30,671,905.45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19,514,729.67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6,891,765.75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7,524,537.36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5,913,426.02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4,619,986.13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7,445,241.41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7,811,894.33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宣传推广费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14,507,597.89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10,197,853.59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技术维护费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25,080,961.03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18,588,983.79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5,268,484.37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5,757,044.43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房租水电</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2,125,064.71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2,023,089.05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391,077.68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422,852.72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98,295,524.31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76,460,971.07</w:t>
            </w:r>
          </w:p>
        </w:tc>
      </w:tr>
    </w:tbl>
    <w:p>
      <w:pPr>
        <w:pStyle w:val="BodyText"/>
        <w:spacing w:line="240" w:lineRule="auto" w:before="51"/>
        <w:ind w:right="102"/>
        <w:jc w:val="left"/>
      </w:pPr>
      <w:r>
        <w:rPr/>
        <w:t>其他说明：</w:t>
      </w:r>
    </w:p>
    <w:p>
      <w:pPr>
        <w:pStyle w:val="Heading4"/>
        <w:spacing w:line="256" w:lineRule="auto" w:before="89"/>
        <w:ind w:left="153" w:right="206"/>
        <w:jc w:val="left"/>
      </w:pPr>
      <w:r>
        <w:rPr/>
        <w:t>销售费用本期数较上期数增加</w:t>
      </w:r>
      <w:r>
        <w:rPr>
          <w:rFonts w:ascii="Times New Roman" w:hAnsi="Times New Roman" w:cs="Times New Roman" w:eastAsia="Times New Roman" w:hint="default"/>
        </w:rPr>
        <w:t>21,834,553.24</w:t>
      </w:r>
      <w:r>
        <w:rPr/>
        <w:t>元，增加比例</w:t>
      </w:r>
      <w:r>
        <w:rPr>
          <w:rFonts w:ascii="Times New Roman" w:hAnsi="Times New Roman" w:cs="Times New Roman" w:eastAsia="Times New Roman" w:hint="default"/>
        </w:rPr>
        <w:t>28.56%</w:t>
      </w:r>
      <w:r>
        <w:rPr/>
        <w:t>，主要原因系本期销售收入较上期有较大 增长，销售费用也相应增加。</w:t>
      </w:r>
    </w:p>
    <w:p>
      <w:pPr>
        <w:spacing w:line="240" w:lineRule="auto" w:before="10"/>
        <w:rPr>
          <w:rFonts w:ascii="宋体" w:hAnsi="宋体" w:cs="宋体" w:eastAsia="宋体" w:hint="default"/>
          <w:sz w:val="24"/>
          <w:szCs w:val="24"/>
        </w:rPr>
      </w:pPr>
    </w:p>
    <w:p>
      <w:pPr>
        <w:pStyle w:val="Heading3"/>
        <w:spacing w:line="240" w:lineRule="auto"/>
        <w:ind w:left="153" w:right="102"/>
        <w:jc w:val="left"/>
        <w:rPr>
          <w:b w:val="0"/>
          <w:bCs w:val="0"/>
        </w:rPr>
      </w:pPr>
      <w:r>
        <w:rPr>
          <w:rFonts w:ascii="Times New Roman" w:hAnsi="Times New Roman" w:cs="Times New Roman" w:eastAsia="Times New Roman" w:hint="default"/>
        </w:rPr>
        <w:t>64</w:t>
      </w:r>
      <w:r>
        <w:rPr/>
        <w:t>、管理费用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21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104,188,634.52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76,757,353.10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工资、社保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28,891,225.91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16,956,901.55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7,399,065.44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4,729,546.15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818,339.78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770,043.42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房租水电</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1,430,527.90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559,847.07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8,168,736.20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3,488,911.71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845,653.41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791,632.21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5,202,879.43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5,089,954.45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156,945,062.59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109,144,189.66</w:t>
            </w:r>
          </w:p>
        </w:tc>
      </w:tr>
    </w:tbl>
    <w:p>
      <w:pPr>
        <w:pStyle w:val="BodyText"/>
        <w:spacing w:line="240" w:lineRule="auto" w:before="51"/>
        <w:ind w:right="102"/>
        <w:jc w:val="left"/>
      </w:pPr>
      <w:r>
        <w:rPr/>
        <w:t>其他说明：</w:t>
      </w:r>
    </w:p>
    <w:p>
      <w:pPr>
        <w:pStyle w:val="Heading3"/>
        <w:spacing w:line="240" w:lineRule="auto" w:before="90"/>
        <w:ind w:right="0"/>
        <w:jc w:val="left"/>
        <w:rPr>
          <w:b w:val="0"/>
          <w:bCs w:val="0"/>
        </w:rPr>
      </w:pPr>
      <w:r>
        <w:rPr>
          <w:spacing w:val="-3"/>
        </w:rPr>
        <w:t>管理费用本期数较上期数增加</w:t>
      </w:r>
      <w:r>
        <w:rPr>
          <w:rFonts w:ascii="Times New Roman" w:hAnsi="Times New Roman" w:cs="Times New Roman" w:eastAsia="Times New Roman" w:hint="default"/>
          <w:spacing w:val="-3"/>
        </w:rPr>
        <w:t>47,800,872.93</w:t>
      </w:r>
      <w:r>
        <w:rPr>
          <w:spacing w:val="-3"/>
        </w:rPr>
        <w:t>元，增加比例</w:t>
      </w:r>
      <w:r>
        <w:rPr>
          <w:rFonts w:ascii="Times New Roman" w:hAnsi="Times New Roman" w:cs="Times New Roman" w:eastAsia="Times New Roman" w:hint="default"/>
          <w:spacing w:val="-3"/>
        </w:rPr>
        <w:t>43.80%</w:t>
      </w:r>
      <w:r>
        <w:rPr>
          <w:spacing w:val="-3"/>
        </w:rPr>
        <w:t>，主要原因系本期新增股权激励费用所致。</w:t>
      </w:r>
      <w:r>
        <w:rPr>
          <w:b w:val="0"/>
          <w:bCs w:val="0"/>
          <w:spacing w:val="-3"/>
        </w:rPr>
      </w:r>
    </w:p>
    <w:p>
      <w:pPr>
        <w:spacing w:after="0" w:line="240" w:lineRule="auto"/>
        <w:jc w:val="left"/>
        <w:sectPr>
          <w:pgSz w:w="11910" w:h="16840"/>
          <w:pgMar w:header="747" w:footer="982" w:top="1060" w:bottom="1180" w:left="980" w:right="920"/>
        </w:sectPr>
      </w:pPr>
    </w:p>
    <w:p>
      <w:pPr>
        <w:spacing w:line="240" w:lineRule="auto" w:before="10"/>
        <w:rPr>
          <w:rFonts w:ascii="宋体" w:hAnsi="宋体" w:cs="宋体" w:eastAsia="宋体" w:hint="default"/>
          <w:b/>
          <w:bCs/>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65</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12,994,246.85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15,065,268.00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6,842.53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67,607.16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269,674.45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231,411.83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-12,717,729.87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-14,766,249.01</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66</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5,968,740.96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1,162,208.24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2,421,544.14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2,409,930.51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8,390,285.10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3,572,138.75</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67</w:t>
      </w:r>
      <w:r>
        <w:rPr/>
        <w:t>、公允价值变动收益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7"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68</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7"/>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2,632,356.73</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2,168,460.76</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转让联营公司股权收益</w:t>
            </w:r>
          </w:p>
        </w:tc>
        <w:tc>
          <w:tcPr>
            <w:tcW w:w="3191" w:type="dxa"/>
            <w:tcBorders>
              <w:top w:val="single" w:sz="4" w:space="0" w:color="000000"/>
              <w:left w:val="single" w:sz="4" w:space="0" w:color="000000"/>
              <w:bottom w:val="single" w:sz="4" w:space="0" w:color="000000"/>
              <w:right w:val="single" w:sz="4" w:space="0" w:color="000000"/>
            </w:tcBorders>
          </w:tcPr>
          <w:p>
            <w:pP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9,115,037.05</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2,632,356.73</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11,283,497.81</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69</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80"/>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110"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36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498,879.18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10,833,200.00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550,500.00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10,833,200.00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税收返还</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31,536,423.39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33,348,776.32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13,087.51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73,346.02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13,087.51</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42,382,710.90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34,471,501.52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10,846,287.51</w:t>
            </w:r>
          </w:p>
        </w:tc>
      </w:tr>
    </w:tbl>
    <w:p>
      <w:pPr>
        <w:pStyle w:val="BodyText"/>
        <w:spacing w:line="240" w:lineRule="auto" w:before="51"/>
        <w:ind w:right="0"/>
        <w:jc w:val="left"/>
      </w:pPr>
      <w:r>
        <w:rPr/>
        <w:t>计入当期损益的政府补助：</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5"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4"/>
              <w:jc w:val="left"/>
              <w:rPr>
                <w:rFonts w:ascii="宋体" w:hAnsi="宋体" w:cs="宋体" w:eastAsia="宋体" w:hint="default"/>
                <w:sz w:val="18"/>
                <w:szCs w:val="18"/>
              </w:rPr>
            </w:pPr>
            <w:r>
              <w:rPr>
                <w:rFonts w:ascii="宋体" w:hAnsi="宋体" w:cs="宋体" w:eastAsia="宋体" w:hint="default"/>
                <w:sz w:val="18"/>
                <w:szCs w:val="18"/>
              </w:rPr>
              <w:t>南京市软件协会的软件产品 补贴、软件企业认定奖励</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栖霞区发改局软件补助资金</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4"/>
              <w:jc w:val="left"/>
              <w:rPr>
                <w:rFonts w:ascii="宋体" w:hAnsi="宋体" w:cs="宋体" w:eastAsia="宋体" w:hint="default"/>
                <w:sz w:val="18"/>
                <w:szCs w:val="18"/>
              </w:rPr>
            </w:pPr>
            <w:r>
              <w:rPr>
                <w:rFonts w:ascii="宋体" w:hAnsi="宋体" w:cs="宋体" w:eastAsia="宋体" w:hint="default"/>
                <w:sz w:val="18"/>
                <w:szCs w:val="18"/>
              </w:rPr>
              <w:t>深圳市知识产权局资助周转 金</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4"/>
              <w:jc w:val="left"/>
              <w:rPr>
                <w:rFonts w:ascii="宋体" w:hAnsi="宋体" w:cs="宋体" w:eastAsia="宋体" w:hint="default"/>
                <w:sz w:val="18"/>
                <w:szCs w:val="18"/>
              </w:rPr>
            </w:pPr>
            <w:r>
              <w:rPr>
                <w:rFonts w:ascii="宋体" w:hAnsi="宋体" w:cs="宋体" w:eastAsia="宋体" w:hint="default"/>
                <w:sz w:val="18"/>
                <w:szCs w:val="18"/>
              </w:rPr>
              <w:t>产业发展专项资金财政贡献 奖励</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106,600.00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知识产权专项奖励</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4"/>
              <w:jc w:val="left"/>
              <w:rPr>
                <w:rFonts w:ascii="宋体" w:hAnsi="宋体" w:cs="宋体" w:eastAsia="宋体" w:hint="default"/>
                <w:sz w:val="18"/>
                <w:szCs w:val="18"/>
              </w:rPr>
            </w:pPr>
            <w:r>
              <w:rPr>
                <w:rFonts w:ascii="宋体" w:hAnsi="宋体" w:cs="宋体" w:eastAsia="宋体" w:hint="default"/>
                <w:sz w:val="18"/>
                <w:szCs w:val="18"/>
              </w:rPr>
              <w:t>技术创新龙头企业认定支持 奖励</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年度深圳市科学技术奖 奖金</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4"/>
              <w:jc w:val="left"/>
              <w:rPr>
                <w:rFonts w:ascii="宋体" w:hAnsi="宋体" w:cs="宋体" w:eastAsia="宋体" w:hint="default"/>
                <w:sz w:val="18"/>
                <w:szCs w:val="18"/>
              </w:rPr>
            </w:pPr>
            <w:r>
              <w:rPr>
                <w:rFonts w:ascii="宋体" w:hAnsi="宋体" w:cs="宋体" w:eastAsia="宋体" w:hint="default"/>
                <w:sz w:val="18"/>
                <w:szCs w:val="18"/>
              </w:rPr>
              <w:t>电子信息产业发展基金工业 和信息化部发展资金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85"/>
              <w:jc w:val="left"/>
              <w:rPr>
                <w:rFonts w:ascii="宋体" w:hAnsi="宋体" w:cs="宋体" w:eastAsia="宋体" w:hint="default"/>
                <w:sz w:val="18"/>
                <w:szCs w:val="18"/>
              </w:rPr>
            </w:pPr>
            <w:r>
              <w:rPr>
                <w:rFonts w:ascii="Times New Roman" w:hAnsi="Times New Roman" w:cs="Times New Roman" w:eastAsia="Times New Roman" w:hint="default"/>
                <w:sz w:val="18"/>
                <w:szCs w:val="18"/>
              </w:rPr>
              <w:t>PCI2.X</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的金融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技术方案 国际科技合作研发项目资金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4"/>
              <w:jc w:val="left"/>
              <w:rPr>
                <w:rFonts w:ascii="宋体" w:hAnsi="宋体" w:cs="宋体" w:eastAsia="宋体" w:hint="default"/>
                <w:sz w:val="18"/>
                <w:szCs w:val="18"/>
              </w:rPr>
            </w:pPr>
            <w:r>
              <w:rPr>
                <w:rFonts w:ascii="宋体" w:hAnsi="宋体" w:cs="宋体" w:eastAsia="宋体" w:hint="default"/>
                <w:sz w:val="18"/>
                <w:szCs w:val="18"/>
              </w:rPr>
              <w:t>银行卡身份认证管理安全系 统项目资助资金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城市一卡通小额射频电子支 付受理设备的研发、应用示范 及推广项目资金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34"/>
              <w:jc w:val="left"/>
              <w:rPr>
                <w:rFonts w:ascii="宋体" w:hAnsi="宋体" w:cs="宋体" w:eastAsia="宋体" w:hint="default"/>
                <w:sz w:val="18"/>
                <w:szCs w:val="18"/>
              </w:rPr>
            </w:pPr>
            <w:r>
              <w:rPr>
                <w:rFonts w:ascii="宋体" w:hAnsi="宋体" w:cs="宋体" w:eastAsia="宋体" w:hint="default"/>
                <w:sz w:val="18"/>
                <w:szCs w:val="18"/>
              </w:rPr>
              <w:t>脚本化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支撑系统设计及 推广项目资金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4"/>
              <w:jc w:val="left"/>
              <w:rPr>
                <w:rFonts w:ascii="宋体" w:hAnsi="宋体" w:cs="宋体" w:eastAsia="宋体" w:hint="default"/>
                <w:sz w:val="18"/>
                <w:szCs w:val="18"/>
              </w:rPr>
            </w:pPr>
            <w:r>
              <w:rPr>
                <w:rFonts w:ascii="宋体" w:hAnsi="宋体" w:cs="宋体" w:eastAsia="宋体" w:hint="default"/>
                <w:sz w:val="18"/>
                <w:szCs w:val="18"/>
              </w:rPr>
              <w:t>电子支付综合平台产业化项 目资金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技术创新计划技术开发项目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（电子信息领域）资金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福田区产业发展专项资金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71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90"/>
              <w:jc w:val="left"/>
              <w:rPr>
                <w:rFonts w:ascii="宋体" w:hAnsi="宋体" w:cs="宋体" w:eastAsia="宋体" w:hint="default"/>
                <w:sz w:val="18"/>
                <w:szCs w:val="18"/>
              </w:rPr>
            </w:pPr>
            <w:r>
              <w:rPr>
                <w:rFonts w:ascii="宋体" w:hAnsi="宋体" w:cs="宋体" w:eastAsia="宋体" w:hint="default"/>
                <w:sz w:val="18"/>
                <w:szCs w:val="18"/>
              </w:rPr>
              <w:t>新国都公司金融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品牌培 育项目资金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4"/>
              <w:jc w:val="left"/>
              <w:rPr>
                <w:rFonts w:ascii="宋体" w:hAnsi="宋体" w:cs="宋体" w:eastAsia="宋体" w:hint="default"/>
                <w:sz w:val="18"/>
                <w:szCs w:val="18"/>
              </w:rPr>
            </w:pPr>
            <w:r>
              <w:rPr>
                <w:rFonts w:ascii="宋体" w:hAnsi="宋体" w:cs="宋体" w:eastAsia="宋体" w:hint="default"/>
                <w:sz w:val="18"/>
                <w:szCs w:val="18"/>
              </w:rPr>
              <w:t>收到福田区产业发展专项资 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4"/>
              <w:jc w:val="left"/>
              <w:rPr>
                <w:rFonts w:ascii="宋体" w:hAnsi="宋体" w:cs="宋体" w:eastAsia="宋体" w:hint="default"/>
                <w:sz w:val="18"/>
                <w:szCs w:val="18"/>
              </w:rPr>
            </w:pPr>
            <w:r>
              <w:rPr>
                <w:rFonts w:ascii="宋体" w:hAnsi="宋体" w:cs="宋体" w:eastAsia="宋体" w:hint="default"/>
                <w:sz w:val="18"/>
                <w:szCs w:val="18"/>
              </w:rPr>
              <w:t>福田区科学技术奖配套支持 资金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4"/>
              <w:jc w:val="left"/>
              <w:rPr>
                <w:rFonts w:ascii="宋体" w:hAnsi="宋体" w:cs="宋体" w:eastAsia="宋体" w:hint="default"/>
                <w:sz w:val="18"/>
                <w:szCs w:val="18"/>
              </w:rPr>
            </w:pPr>
            <w:r>
              <w:rPr>
                <w:rFonts w:ascii="宋体" w:hAnsi="宋体" w:cs="宋体" w:eastAsia="宋体" w:hint="default"/>
                <w:sz w:val="18"/>
                <w:szCs w:val="18"/>
              </w:rPr>
              <w:t>深圳市市场监督管理局资助 资金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福田区产业发展专项资金</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年度第二批）</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40,400.00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福田区产业发展专项资金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马群地区重点税源企业奖金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04"/>
              <w:jc w:val="left"/>
              <w:rPr>
                <w:rFonts w:ascii="宋体" w:hAnsi="宋体" w:cs="宋体" w:eastAsia="宋体" w:hint="default"/>
                <w:sz w:val="18"/>
                <w:szCs w:val="18"/>
              </w:rPr>
            </w:pPr>
            <w:r>
              <w:rPr>
                <w:rFonts w:ascii="宋体" w:hAnsi="宋体" w:cs="宋体" w:eastAsia="宋体" w:hint="default"/>
                <w:sz w:val="18"/>
                <w:szCs w:val="18"/>
              </w:rPr>
              <w:t>深圳市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年度知识产权优 势企业认定资助款</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4"/>
              <w:jc w:val="left"/>
              <w:rPr>
                <w:rFonts w:ascii="宋体" w:hAnsi="宋体" w:cs="宋体" w:eastAsia="宋体" w:hint="default"/>
                <w:sz w:val="18"/>
                <w:szCs w:val="18"/>
              </w:rPr>
            </w:pPr>
            <w:r>
              <w:rPr>
                <w:rFonts w:ascii="宋体" w:hAnsi="宋体" w:cs="宋体" w:eastAsia="宋体" w:hint="default"/>
                <w:sz w:val="18"/>
                <w:szCs w:val="18"/>
              </w:rPr>
              <w:t>深圳市高新技术产业研发专 项补助资金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1,101,800.00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4"/>
              <w:jc w:val="left"/>
              <w:rPr>
                <w:rFonts w:ascii="宋体" w:hAnsi="宋体" w:cs="宋体" w:eastAsia="宋体" w:hint="default"/>
                <w:sz w:val="18"/>
                <w:szCs w:val="18"/>
              </w:rPr>
            </w:pPr>
            <w:r>
              <w:rPr>
                <w:rFonts w:ascii="宋体" w:hAnsi="宋体" w:cs="宋体" w:eastAsia="宋体" w:hint="default"/>
                <w:sz w:val="18"/>
                <w:szCs w:val="18"/>
              </w:rPr>
              <w:t>深圳市基层党组织教育活动 经费</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10,833,200.00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9" w:right="0"/>
              <w:jc w:val="left"/>
              <w:rPr>
                <w:rFonts w:ascii="Times New Roman" w:hAnsi="Times New Roman" w:cs="Times New Roman" w:eastAsia="Times New Roman" w:hint="default"/>
                <w:sz w:val="18"/>
                <w:szCs w:val="18"/>
              </w:rPr>
            </w:pPr>
            <w:r>
              <w:rPr>
                <w:rFonts w:ascii="Times New Roman"/>
                <w:sz w:val="18"/>
              </w:rPr>
              <w:t>550,500.00</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70</w:t>
      </w:r>
      <w:r>
        <w:rPr/>
        <w:t>、营业外支出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161" w:hRule="exact"/>
        </w:trPr>
        <w:tc>
          <w:tcPr>
            <w:tcW w:w="23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89" w:type="dxa"/>
            <w:vMerge/>
            <w:tcBorders>
              <w:left w:val="single" w:sz="4" w:space="0" w:color="000000"/>
              <w:right w:val="single" w:sz="4" w:space="0" w:color="000000"/>
            </w:tcBorders>
            <w:shd w:val="clear" w:color="auto" w:fill="D3D3D3"/>
          </w:tcPr>
          <w:p>
            <w:pPr/>
          </w:p>
        </w:tc>
        <w:tc>
          <w:tcPr>
            <w:tcW w:w="23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3D3D3"/>
          </w:tcPr>
          <w:p>
            <w:pPr/>
          </w:p>
        </w:tc>
      </w:tr>
      <w:tr>
        <w:trPr>
          <w:trHeight w:val="161" w:hRule="exact"/>
        </w:trPr>
        <w:tc>
          <w:tcPr>
            <w:tcW w:w="2389" w:type="dxa"/>
            <w:vMerge/>
            <w:tcBorders>
              <w:left w:val="single" w:sz="4" w:space="0" w:color="000000"/>
              <w:bottom w:val="single" w:sz="4" w:space="0" w:color="000000"/>
              <w:right w:val="single" w:sz="4" w:space="0" w:color="000000"/>
            </w:tcBorders>
            <w:shd w:val="clear" w:color="auto" w:fill="D3D3D3"/>
          </w:tcPr>
          <w:p>
            <w:pPr/>
          </w:p>
        </w:tc>
        <w:tc>
          <w:tcPr>
            <w:tcW w:w="2395"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479,361.17</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479,361.17</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479,361.17</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479,361.17</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赔偿支出</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335,297.13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162,077.36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335,297.13</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违约金支出</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67,160.56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20,938.79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67,160.56</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881,818.86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183,016.15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881,818.86</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71</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after="0" w:line="240" w:lineRule="auto"/>
        <w:jc w:val="righ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1,559,923.77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767,711.83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-3,798,955.97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940,951.97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-2,239,032.20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1,708,663.80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77,332,937.51</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19,333,234.38</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-1,150,809.12</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-369,665.56</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590,594.82</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-7,935,844.43</w:t>
            </w:r>
          </w:p>
        </w:tc>
      </w:tr>
      <w:tr>
        <w:trPr>
          <w:trHeight w:val="714"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730,437.90</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研发费用加计扣除的影响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-4,463,739.06</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-3,798,955.97</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-69,638.16</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-2,239,032.20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72</w:t>
      </w:r>
      <w:r>
        <w:rPr/>
        <w:t>、其他综合收益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详见附注。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73</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9,581,945.75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6,302,919.03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776,618.83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2,515,314.42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2,083,200.00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550,500.00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104,550.19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74,878.85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12,546,314.77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9,443,612.30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ind w:left="153" w:right="0"/>
        <w:jc w:val="left"/>
      </w:pPr>
      <w:r>
        <w:rPr/>
        <w:t>收到的其他与经营活动有关的现金说明：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3,797,207.42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8,214,361.79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费用支出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100,552,820.47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76,784,110.69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7,013,665.88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149,584.72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111,363,693.77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85,148,057.20</w:t>
            </w:r>
          </w:p>
        </w:tc>
      </w:tr>
    </w:tbl>
    <w:p>
      <w:pPr>
        <w:pStyle w:val="BodyText"/>
        <w:spacing w:line="240" w:lineRule="auto" w:before="51"/>
        <w:ind w:right="0"/>
        <w:jc w:val="left"/>
      </w:pPr>
      <w:r>
        <w:rPr/>
        <w:t>支付的其他与经营活动有关的现金说明：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3,420,000.00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3,420,000.00</w:t>
            </w:r>
          </w:p>
        </w:tc>
      </w:tr>
    </w:tbl>
    <w:p>
      <w:pPr>
        <w:pStyle w:val="BodyText"/>
        <w:spacing w:line="240" w:lineRule="auto" w:before="51"/>
        <w:ind w:right="0"/>
        <w:jc w:val="left"/>
      </w:pPr>
      <w:r>
        <w:rPr/>
        <w:t>收到的其他与投资活动有关的现金说明：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0"/>
        <w:jc w:val="left"/>
      </w:pPr>
      <w:r>
        <w:rPr/>
        <w:t>支付的其他与投资活动有关的现金说明：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票据保证金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4,952,897.50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定期存款利息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12,217,628.02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10,665,744.02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12,302,628.02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15,618,641.52</w:t>
            </w:r>
          </w:p>
        </w:tc>
      </w:tr>
    </w:tbl>
    <w:p>
      <w:pPr>
        <w:pStyle w:val="BodyText"/>
        <w:spacing w:line="240" w:lineRule="auto" w:before="51"/>
        <w:ind w:right="0"/>
        <w:jc w:val="left"/>
      </w:pPr>
      <w:r>
        <w:rPr/>
        <w:t>收到的其他与筹资活动有关的现金说明：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13"/>
        <w:rPr>
          <w:rFonts w:ascii="宋体" w:hAnsi="宋体" w:cs="宋体" w:eastAsia="宋体" w:hint="default"/>
          <w:sz w:val="25"/>
          <w:szCs w:val="25"/>
        </w:rPr>
      </w:pPr>
      <w:r>
        <w:rPr/>
        <w:pict>
          <v:shape style="position:absolute;margin-left:190.140594pt;margin-top:414.23999pt;width:185.55pt;height:19.6pt;mso-position-horizontal-relative:page;mso-position-vertical-relative:page;z-index:-825520" type="#_x0000_t202" filled="false" stroked="false">
            <v:textbox inset="0,0,0,0">
              <w:txbxContent>
                <w:p>
                  <w:pPr>
                    <w:pStyle w:val="BodyText"/>
                    <w:spacing w:line="240" w:lineRule="auto" w:before="51"/>
                    <w:ind w:left="0" w:right="0"/>
                    <w:jc w:val="left"/>
                  </w:pPr>
                  <w:r>
                    <w:rPr/>
                    <w:t>号填列）</w:t>
                  </w:r>
                </w:p>
              </w:txbxContent>
            </v:textbox>
            <w10:wrap type="none"/>
          </v:shape>
        </w:pict>
      </w:r>
    </w:p>
    <w:p>
      <w:pPr>
        <w:pStyle w:val="BodyText"/>
        <w:spacing w:line="240" w:lineRule="auto"/>
        <w:ind w:left="153" w:right="0"/>
        <w:jc w:val="left"/>
      </w:pPr>
      <w:r>
        <w:rPr/>
        <w:t>支付的其他与筹资活动有关的现金说明：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74</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8"/>
        <w:gridCol w:w="3056"/>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79,571,969.71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54,890,434.97</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8,390,285.10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3,572,138.75</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53"/>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5,226,034.88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4,405,206.80</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1,274,675.96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1,102,610.00</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913,382.29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952,151.88</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53"/>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479,361.17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-498,879.18</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-10,378,624.59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-12,549,953.58</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-2,632,356.73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-11,283,497.81</w:t>
            </w:r>
          </w:p>
        </w:tc>
      </w:tr>
      <w:tr>
        <w:trPr>
          <w:trHeight w:val="402" w:hRule="exact"/>
        </w:trPr>
        <w:tc>
          <w:tcPr>
            <w:tcW w:w="3328"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3056" w:type="dxa"/>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-3,798,955.97</w:t>
            </w:r>
          </w:p>
        </w:tc>
        <w:tc>
          <w:tcPr>
            <w:tcW w:w="318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940,951.97</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-15,768,909.34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21,764,741.83</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73"/>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-131,085,141.05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1,325,959.56</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73"/>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34,716,265.99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-29,292,724.17</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29,224,700.01</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-3,867,312.57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35,329,141.02</w:t>
            </w:r>
          </w:p>
        </w:tc>
      </w:tr>
      <w:tr>
        <w:trPr>
          <w:trHeight w:val="161" w:hRule="exact"/>
        </w:trPr>
        <w:tc>
          <w:tcPr>
            <w:tcW w:w="3328" w:type="dxa"/>
            <w:vMerge w:val="restart"/>
            <w:tcBorders>
              <w:top w:val="single" w:sz="4" w:space="0" w:color="000000"/>
              <w:left w:val="single" w:sz="4" w:space="0" w:color="000000"/>
              <w:right w:val="single" w:sz="4" w:space="0" w:color="000000"/>
            </w:tcBorders>
            <w:shd w:val="clear" w:color="auto" w:fill="D3D3D3"/>
          </w:tcPr>
          <w:p>
            <w:pPr>
              <w:pStyle w:val="TableParagraph"/>
              <w:spacing w:line="300" w:lineRule="auto" w:before="52"/>
              <w:ind w:left="22" w:right="14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6" w:type="dxa"/>
            <w:tcBorders>
              <w:top w:val="single" w:sz="4" w:space="0" w:color="000000"/>
              <w:left w:val="single" w:sz="4" w:space="0" w:color="000000"/>
              <w:bottom w:val="nil" w:sz="6" w:space="0" w:color="auto"/>
              <w:right w:val="single" w:sz="4" w:space="0" w:color="000000"/>
            </w:tcBorders>
            <w:shd w:val="clear" w:color="auto" w:fill="D3D3D3"/>
          </w:tcPr>
          <w:p>
            <w:pPr/>
          </w:p>
        </w:tc>
        <w:tc>
          <w:tcPr>
            <w:tcW w:w="318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1" w:hRule="exact"/>
        </w:trPr>
        <w:tc>
          <w:tcPr>
            <w:tcW w:w="3328" w:type="dxa"/>
            <w:vMerge/>
            <w:tcBorders>
              <w:left w:val="single" w:sz="4" w:space="0" w:color="000000"/>
              <w:right w:val="single" w:sz="4" w:space="0" w:color="000000"/>
            </w:tcBorders>
            <w:shd w:val="clear" w:color="auto" w:fill="D3D3D3"/>
          </w:tcPr>
          <w:p>
            <w:pPr/>
          </w:p>
        </w:tc>
        <w:tc>
          <w:tcPr>
            <w:tcW w:w="30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28" w:type="dxa"/>
            <w:vMerge/>
            <w:tcBorders>
              <w:left w:val="single" w:sz="4" w:space="0" w:color="000000"/>
              <w:bottom w:val="single" w:sz="4" w:space="0" w:color="000000"/>
              <w:right w:val="single" w:sz="4" w:space="0" w:color="000000"/>
            </w:tcBorders>
            <w:shd w:val="clear" w:color="auto" w:fill="D3D3D3"/>
          </w:tcPr>
          <w:p>
            <w:pPr/>
          </w:p>
        </w:tc>
        <w:tc>
          <w:tcPr>
            <w:tcW w:w="3056" w:type="dxa"/>
            <w:tcBorders>
              <w:top w:val="nil" w:sz="6" w:space="0" w:color="auto"/>
              <w:left w:val="single" w:sz="4" w:space="0" w:color="000000"/>
              <w:bottom w:val="single" w:sz="4" w:space="0" w:color="000000"/>
              <w:right w:val="single" w:sz="4" w:space="0" w:color="000000"/>
            </w:tcBorders>
            <w:shd w:val="clear" w:color="auto" w:fill="D3D3D3"/>
          </w:tcPr>
          <w:p>
            <w:pPr/>
          </w:p>
        </w:tc>
        <w:tc>
          <w:tcPr>
            <w:tcW w:w="3184"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1"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496,743,338.75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670,754,556.20</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670,754,556.20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684,132,811.94</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-174,011,217.45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-13,378,255.74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8"/>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4969;top:16;width:23;height:392" coordorigin="4969,16" coordsize="23,392">
              <v:shape style="position:absolute;left:4969;top:16;width:23;height:392" coordorigin="4969,16" coordsize="23,392" path="m4969,407l4992,407,4992,16,4969,16,4969,407xe" filled="true" fillcolor="#d3d3d3" stroked="false">
                <v:path arrowok="t"/>
                <v:fill type="solid"/>
              </v:shape>
            </v:group>
            <v:group style="position:absolute;left:14;top:16;width:23;height:392" coordorigin="14,16" coordsize="23,392">
              <v:shape style="position:absolute;left:14;top:16;width:23;height:392" coordorigin="14,16" coordsize="23,392" path="m14,407l37,407,37,16,14,16,14,407xe" filled="true" fillcolor="#d3d3d3" stroked="false">
                <v:path arrowok="t"/>
                <v:fill type="solid"/>
              </v:shape>
            </v:group>
            <v:group style="position:absolute;left:37;top:16;width:4932;height:392" coordorigin="37,16" coordsize="4932,392">
              <v:shape style="position:absolute;left:37;top:16;width:4932;height:392" coordorigin="37,16" coordsize="4932,392" path="m37,407l4969,407,4969,16,37,16,37,407xe" filled="true" fillcolor="#d3d3d3" stroked="false">
                <v:path arrowok="t"/>
                <v:fill type="solid"/>
              </v:shape>
            </v:group>
            <v:group style="position:absolute;left:5003;top:16;width:23;height:392" coordorigin="5003,16" coordsize="23,392">
              <v:shape style="position:absolute;left:5003;top:16;width:23;height:392" coordorigin="5003,16" coordsize="23,392" path="m5003,407l5026,407,5026,16,5003,16,5003,407xe" filled="true" fillcolor="#d3d3d3" stroked="false">
                <v:path arrowok="t"/>
                <v:fill type="solid"/>
              </v:shape>
            </v:group>
            <v:group style="position:absolute;left:9550;top:16;width:23;height:392" coordorigin="9550,16" coordsize="23,392">
              <v:shape style="position:absolute;left:9550;top:16;width:23;height:392" coordorigin="9550,16" coordsize="23,392" path="m9550,407l9572,407,9572,16,9550,16,9550,407xe" filled="true" fillcolor="#d3d3d3" stroked="false">
                <v:path arrowok="t"/>
                <v:fill type="solid"/>
              </v:shape>
            </v:group>
            <v:group style="position:absolute;left:5026;top:16;width:4524;height:392" coordorigin="5026,16" coordsize="4524,392">
              <v:shape style="position:absolute;left:5026;top:16;width:4524;height:392" coordorigin="5026,16" coordsize="4524,392" path="m5026,407l9550,407,9550,16,5026,16,5026,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7998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989;height:2" coordorigin="5,412" coordsize="4989,2">
              <v:shape style="position:absolute;left:5;top:412;width:4989;height:2" coordorigin="5,412" coordsize="4989,0" path="m5,412l4993,412e" filled="false" stroked="true" strokeweight=".47998pt" strokecolor="#000000">
                <v:path arrowok="t"/>
              </v:shape>
            </v:group>
            <v:group style="position:absolute;left:4998;top:14;width:2;height:402" coordorigin="4998,14" coordsize="2,402">
              <v:shape style="position:absolute;left:4998;top:14;width:2;height:402" coordorigin="4998,14" coordsize="0,402" path="m4998,14l4998,416e" filled="false" stroked="true" strokeweight=".48001pt" strokecolor="#000000">
                <v:path arrowok="t"/>
              </v:shape>
            </v:group>
            <v:group style="position:absolute;left:5003;top:412;width:4570;height:2" coordorigin="5003,412" coordsize="4570,2">
              <v:shape style="position:absolute;left:5003;top:412;width:4570;height:2" coordorigin="5003,412" coordsize="4570,0" path="m5003,412l9572,412e" filled="false" stroked="true" strokeweight=".47998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7108;top:12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spacing w:after="0" w:line="421" w:lineRule="exact"/>
        <w:rPr>
          <w:rFonts w:ascii="宋体" w:hAnsi="宋体" w:cs="宋体" w:eastAsia="宋体" w:hint="default"/>
          <w:sz w:val="20"/>
          <w:szCs w:val="20"/>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8"/>
        <w:gridCol w:w="4579"/>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24"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24"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24"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8"/>
        <w:gridCol w:w="4579"/>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8"/>
        <w:gridCol w:w="3056"/>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496,743,338.75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670,754,556.20</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99,745.11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153,107.24</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496,643,593.64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670,601,448.96</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496,743,338.75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670,754,556.20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spacing w:line="547" w:lineRule="auto" w:before="0"/>
        <w:ind w:left="154" w:right="439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75</w:t>
      </w:r>
      <w:r>
        <w:rPr>
          <w:rFonts w:ascii="宋体" w:hAnsi="宋体" w:cs="宋体" w:eastAsia="宋体" w:hint="default"/>
          <w:b/>
          <w:bCs/>
          <w:sz w:val="21"/>
          <w:szCs w:val="21"/>
        </w:rPr>
        <w:t>、所有者权益变动表项目注释</w:t>
      </w:r>
      <w:r>
        <w:rPr>
          <w:rFonts w:ascii="宋体" w:hAnsi="宋体" w:cs="宋体" w:eastAsia="宋体" w:hint="default"/>
          <w:b/>
          <w:bCs/>
          <w:spacing w:val="1"/>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r>
        <w:rPr>
          <w:rFonts w:ascii="Times New Roman" w:hAnsi="Times New Roman" w:cs="Times New Roman" w:eastAsia="Times New Roman" w:hint="default"/>
          <w:b/>
          <w:bCs/>
          <w:sz w:val="21"/>
          <w:szCs w:val="21"/>
        </w:rPr>
        <w:t>76</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51"/>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8"/>
        <w:gridCol w:w="3056"/>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8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77</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after="0" w:line="240" w:lineRule="auto"/>
        <w:jc w:val="righ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5"/>
        <w:gridCol w:w="2293"/>
        <w:gridCol w:w="2390"/>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1,117.61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180.26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1,117.61</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59" w:lineRule="auto"/>
        <w:ind w:right="0"/>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78</w:t>
      </w:r>
      <w:r>
        <w:rPr/>
        <w:t>、套期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按照套期类别披露套期项目及相关套期工具、被套期风险的定性和定量信息：</w:t>
      </w:r>
    </w:p>
    <w:p>
      <w:pPr>
        <w:spacing w:line="240" w:lineRule="auto" w:before="10"/>
        <w:rPr>
          <w:rFonts w:ascii="宋体" w:hAnsi="宋体" w:cs="宋体" w:eastAsia="宋体" w:hint="default"/>
          <w:sz w:val="26"/>
          <w:szCs w:val="26"/>
        </w:rPr>
      </w:pPr>
    </w:p>
    <w:p>
      <w:pPr>
        <w:spacing w:line="487" w:lineRule="auto" w:before="0"/>
        <w:ind w:left="154" w:right="734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79</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八、合并范围的变更</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3"/>
        <w:ind w:left="153" w:right="0"/>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3"/>
        <w:gridCol w:w="1064"/>
        <w:gridCol w:w="1063"/>
        <w:gridCol w:w="1064"/>
        <w:gridCol w:w="1064"/>
        <w:gridCol w:w="1063"/>
        <w:gridCol w:w="1062"/>
        <w:gridCol w:w="1062"/>
        <w:gridCol w:w="1062"/>
      </w:tblGrid>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5" w:right="74"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pStyle w:val="BodyText"/>
        <w:spacing w:line="240" w:lineRule="auto" w:before="51"/>
        <w:ind w:right="0"/>
        <w:jc w:val="both"/>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left="153" w:right="5091"/>
        <w:jc w:val="left"/>
      </w:pPr>
      <w:r>
        <w:rPr/>
        <w:t>合并成本公允价值的确定方法、或有对价及其变动的说明： 大额商誉形成的主要原因：</w:t>
      </w:r>
    </w:p>
    <w:p>
      <w:pPr>
        <w:pStyle w:val="BodyText"/>
        <w:spacing w:line="240" w:lineRule="auto" w:before="26"/>
        <w:ind w:left="153" w:right="0"/>
        <w:jc w:val="both"/>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both"/>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9"/>
        <w:rPr>
          <w:rFonts w:ascii="宋体" w:hAnsi="宋体" w:cs="宋体" w:eastAsia="宋体" w:hint="default"/>
          <w:b/>
          <w:bCs/>
          <w:sz w:val="26"/>
          <w:szCs w:val="26"/>
        </w:rPr>
      </w:pPr>
    </w:p>
    <w:p>
      <w:pPr>
        <w:pStyle w:val="BodyText"/>
        <w:spacing w:line="360" w:lineRule="auto" w:before="0"/>
        <w:ind w:left="153" w:right="6548"/>
        <w:jc w:val="both"/>
      </w:pPr>
      <w:r>
        <w:rPr/>
        <w:t>可辨认资产、负债公允价值的确定方法： 企业合并中承担的被购买方的或有负债： 其他说明：</w:t>
      </w:r>
    </w:p>
    <w:p>
      <w:pPr>
        <w:spacing w:line="240" w:lineRule="auto" w:before="11"/>
        <w:rPr>
          <w:rFonts w:ascii="宋体" w:hAnsi="宋体" w:cs="宋体" w:eastAsia="宋体" w:hint="default"/>
          <w:sz w:val="19"/>
          <w:szCs w:val="19"/>
        </w:rPr>
      </w:pPr>
    </w:p>
    <w:p>
      <w:pPr>
        <w:pStyle w:val="Heading3"/>
        <w:spacing w:line="240" w:lineRule="auto"/>
        <w:ind w:right="0"/>
        <w:jc w:val="both"/>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both"/>
      </w:pPr>
      <w:r>
        <w:rPr/>
        <w:t>是否存在通过多次交易分步实现企业合并且在报告期内取得控制权的交易</w:t>
      </w:r>
    </w:p>
    <w:p>
      <w:pPr>
        <w:spacing w:after="0" w:line="240" w:lineRule="auto"/>
        <w:jc w:val="both"/>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4"/>
        <w:gridCol w:w="1064"/>
        <w:gridCol w:w="1063"/>
        <w:gridCol w:w="1064"/>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5" w:right="73"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6" w:right="77"/>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left="153" w:right="7611"/>
        <w:jc w:val="left"/>
      </w:pPr>
      <w:r>
        <w:rPr/>
        <w:t>或有对价及其变动的说明： 其他说明：</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left="153" w:right="6531"/>
        <w:jc w:val="left"/>
      </w:pPr>
      <w:r>
        <w:rPr/>
        <w:t>企业合并中承担的被合并方的或有负债： 其他说明：</w:t>
      </w: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6"/>
          <w:szCs w:val="26"/>
        </w:rPr>
      </w:pPr>
    </w:p>
    <w:p>
      <w:pPr>
        <w:pStyle w:val="BodyText"/>
        <w:spacing w:line="319" w:lineRule="auto" w:before="0"/>
        <w:ind w:right="0"/>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是否存在单次处置对子公司投资即丧失控制权的情形</w:t>
      </w:r>
    </w:p>
    <w:p>
      <w:pPr>
        <w:pStyle w:val="BodyText"/>
        <w:spacing w:line="338" w:lineRule="auto" w:before="117"/>
        <w:ind w:right="401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是否存在通过多次交易分步处置对子公司投资且在本期丧失控制权的情形</w:t>
      </w:r>
    </w:p>
    <w:p>
      <w:pPr>
        <w:pStyle w:val="BodyText"/>
        <w:spacing w:line="240" w:lineRule="auto" w:before="42"/>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说明其他原因导致的合并范围变动（如，新设子公司、清算子公司等）及其相关情况：</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spacing w:line="487" w:lineRule="auto" w:before="35"/>
        <w:ind w:left="154" w:right="712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3"/>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3D3D3"/>
          </w:tcPr>
          <w:p>
            <w:pPr/>
          </w:p>
        </w:tc>
      </w:tr>
    </w:tbl>
    <w:p>
      <w:pPr>
        <w:pStyle w:val="BodyText"/>
        <w:spacing w:line="360" w:lineRule="auto" w:before="52"/>
        <w:ind w:left="153" w:right="1851"/>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57" w:lineRule="auto" w:before="26"/>
        <w:ind w:left="153" w:right="6711"/>
        <w:jc w:val="left"/>
      </w:pPr>
      <w:r>
        <w:rPr/>
        <w:t>确定公司是代理人还是委托人的依据： 其他说明：</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6"/>
        <w:gridCol w:w="1914"/>
        <w:gridCol w:w="1914"/>
        <w:gridCol w:w="1913"/>
        <w:gridCol w:w="1913"/>
      </w:tblGrid>
      <w:tr>
        <w:trPr>
          <w:trHeight w:val="764" w:hRule="exact"/>
        </w:trPr>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6"/>
              <w:ind w:left="591" w:right="49"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1"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pStyle w:val="BodyText"/>
        <w:spacing w:line="357" w:lineRule="auto" w:before="52"/>
        <w:ind w:left="153" w:right="5451"/>
        <w:jc w:val="left"/>
      </w:pPr>
      <w:r>
        <w:rPr/>
        <w:t>子公司少数股东的持股比例不同于表决权比例的说明： 其他说明：</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4"/>
        <w:gridCol w:w="736"/>
        <w:gridCol w:w="734"/>
        <w:gridCol w:w="736"/>
        <w:gridCol w:w="734"/>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1"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3D3D3"/>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bl>
    <w:p>
      <w:pPr>
        <w:pStyle w:val="BodyText"/>
        <w:spacing w:line="240" w:lineRule="auto" w:before="51"/>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3"/>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3D3D3"/>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37"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其他说明：</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20" w:right="49"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3D3D3"/>
          </w:tcPr>
          <w:p>
            <w:pPr/>
          </w:p>
        </w:tc>
      </w:tr>
    </w:tbl>
    <w:p>
      <w:pPr>
        <w:pStyle w:val="BodyText"/>
        <w:spacing w:line="240" w:lineRule="auto" w:before="52"/>
        <w:ind w:right="0"/>
        <w:jc w:val="left"/>
      </w:pPr>
      <w:r>
        <w:rPr/>
        <w:t>在合营企业或联营企业的持股比例不同于表决权比例的说明：</w:t>
      </w:r>
    </w:p>
    <w:p>
      <w:pPr>
        <w:pStyle w:val="BodyText"/>
        <w:spacing w:line="240" w:lineRule="auto" w:before="116"/>
        <w:ind w:left="153" w:right="0"/>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01"/>
        <w:gridCol w:w="2381"/>
        <w:gridCol w:w="2380"/>
        <w:gridCol w:w="2405"/>
      </w:tblGrid>
      <w:tr>
        <w:trPr>
          <w:trHeight w:val="392" w:hRule="exact"/>
        </w:trPr>
        <w:tc>
          <w:tcPr>
            <w:tcW w:w="24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99" w:right="0"/>
              <w:jc w:val="left"/>
              <w:rPr>
                <w:rFonts w:ascii="宋体" w:hAnsi="宋体" w:cs="宋体" w:eastAsia="宋体" w:hint="default"/>
                <w:sz w:val="18"/>
                <w:szCs w:val="18"/>
              </w:rPr>
            </w:pPr>
            <w:r>
              <w:rPr>
                <w:rFonts w:ascii="宋体" w:hAnsi="宋体" w:cs="宋体" w:eastAsia="宋体" w:hint="default"/>
                <w:sz w:val="18"/>
                <w:szCs w:val="18"/>
              </w:rPr>
              <w:t>累积未确认前期累计认的损</w:t>
            </w:r>
          </w:p>
        </w:tc>
        <w:tc>
          <w:tcPr>
            <w:tcW w:w="2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本期未确认的损失（或本期分</w:t>
            </w:r>
          </w:p>
        </w:tc>
        <w:tc>
          <w:tcPr>
            <w:tcW w:w="24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4"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2"/>
        <w:gridCol w:w="2392"/>
        <w:gridCol w:w="2394"/>
      </w:tblGrid>
      <w:tr>
        <w:trPr>
          <w:trHeight w:val="362"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失</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650" w:right="0"/>
              <w:jc w:val="left"/>
              <w:rPr>
                <w:rFonts w:ascii="宋体" w:hAnsi="宋体" w:cs="宋体" w:eastAsia="宋体" w:hint="default"/>
                <w:sz w:val="18"/>
                <w:szCs w:val="18"/>
              </w:rPr>
            </w:pPr>
            <w:r>
              <w:rPr>
                <w:rFonts w:ascii="宋体" w:hAnsi="宋体" w:cs="宋体" w:eastAsia="宋体" w:hint="default"/>
                <w:sz w:val="18"/>
                <w:szCs w:val="18"/>
              </w:rPr>
              <w:t>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7"/>
        <w:gridCol w:w="1594"/>
        <w:gridCol w:w="1595"/>
        <w:gridCol w:w="1594"/>
        <w:gridCol w:w="1594"/>
        <w:gridCol w:w="1594"/>
      </w:tblGrid>
      <w:tr>
        <w:trPr>
          <w:trHeight w:val="402" w:hRule="exact"/>
        </w:trPr>
        <w:tc>
          <w:tcPr>
            <w:tcW w:w="15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7"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5"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60" w:lineRule="auto" w:before="51"/>
        <w:ind w:left="153" w:right="4551"/>
        <w:jc w:val="left"/>
      </w:pPr>
      <w:r>
        <w:rPr/>
        <w:t>在共同经营中的持股比例或享有的份额不同于表决权比例的说明： 共同经营为单独主体的，分类为共同经营的依据：</w:t>
      </w:r>
    </w:p>
    <w:p>
      <w:pPr>
        <w:pStyle w:val="BodyText"/>
        <w:spacing w:line="240" w:lineRule="auto" w:before="26"/>
        <w:ind w:left="153"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未纳入合并财务报表范围的结构化主体的相关说明：</w:t>
      </w:r>
    </w:p>
    <w:p>
      <w:pPr>
        <w:spacing w:line="240" w:lineRule="auto" w:before="10"/>
        <w:rPr>
          <w:rFonts w:ascii="宋体" w:hAnsi="宋体" w:cs="宋体" w:eastAsia="宋体" w:hint="default"/>
          <w:sz w:val="26"/>
          <w:szCs w:val="26"/>
        </w:rPr>
      </w:pPr>
    </w:p>
    <w:p>
      <w:pPr>
        <w:pStyle w:val="Heading2"/>
        <w:spacing w:line="477" w:lineRule="auto"/>
        <w:ind w:left="153" w:right="6880"/>
        <w:jc w:val="left"/>
        <w:rPr>
          <w:b w:val="0"/>
          <w:bCs w:val="0"/>
        </w:rPr>
      </w:pPr>
      <w:r>
        <w:rPr>
          <w:rFonts w:ascii="Times New Roman" w:hAnsi="Times New Roman" w:cs="Times New Roman" w:eastAsia="Times New Roman" w:hint="default"/>
          <w:sz w:val="21"/>
          <w:szCs w:val="21"/>
        </w:rPr>
        <w:t>6</w:t>
      </w:r>
      <w:r>
        <w:rPr>
          <w:sz w:val="21"/>
          <w:szCs w:val="21"/>
        </w:rPr>
        <w:t>、其他</w:t>
      </w:r>
      <w:r>
        <w:rPr>
          <w:spacing w:val="1"/>
          <w:w w:val="99"/>
          <w:sz w:val="21"/>
          <w:szCs w:val="21"/>
        </w:rPr>
        <w:t> </w:t>
      </w:r>
      <w:r>
        <w:rPr/>
        <w:t>十、与金融工具相关的风险</w:t>
      </w:r>
      <w:r>
        <w:rPr>
          <w:spacing w:val="1"/>
          <w:w w:val="99"/>
        </w:rPr>
        <w:t> </w:t>
      </w:r>
      <w:r>
        <w:rPr/>
        <w:t>十一、公允价值的披露</w:t>
      </w:r>
      <w:r>
        <w:rPr>
          <w:b w:val="0"/>
          <w:bCs w:val="0"/>
        </w:rPr>
      </w:r>
    </w:p>
    <w:p>
      <w:pPr>
        <w:pStyle w:val="Heading3"/>
        <w:spacing w:line="240" w:lineRule="auto" w:before="84"/>
        <w:ind w:right="0"/>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4" w:type="dxa"/>
            <w:vMerge/>
            <w:tcBorders>
              <w:left w:val="single" w:sz="4" w:space="0" w:color="000000"/>
              <w:bottom w:val="single" w:sz="4" w:space="0" w:color="000000"/>
              <w:right w:val="single" w:sz="4" w:space="0" w:color="000000"/>
            </w:tcBorders>
            <w:shd w:val="clear" w:color="auto" w:fill="D3D3D3"/>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4" w:right="712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pStyle w:val="BodyText"/>
        <w:spacing w:line="360" w:lineRule="auto" w:before="51"/>
        <w:ind w:left="153" w:right="7191"/>
        <w:jc w:val="left"/>
      </w:pPr>
      <w:r>
        <w:rPr/>
        <w:t>本企业的母公司情况的说明 本企业最终控制方是。 其他说明：</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本企业子公司的情况详见附注。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left="153" w:right="1311"/>
        <w:jc w:val="left"/>
      </w:pPr>
      <w:r>
        <w:rPr/>
        <w:t>本企业重要的合营或联营企业详见附注。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75"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深圳市瑞柏泰电子有限公司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pStyle w:val="BodyText"/>
        <w:spacing w:line="240" w:lineRule="auto" w:before="65"/>
        <w:ind w:right="0"/>
        <w:jc w:val="left"/>
      </w:pPr>
      <w:r>
        <w:rPr/>
        <w:t>其他说明</w:t>
      </w:r>
    </w:p>
    <w:p>
      <w:pPr>
        <w:pStyle w:val="Heading4"/>
        <w:spacing w:line="256" w:lineRule="auto" w:before="90"/>
        <w:ind w:right="141" w:hanging="1"/>
        <w:jc w:val="left"/>
      </w:pPr>
      <w:r>
        <w:rPr>
          <w:spacing w:val="-2"/>
        </w:rPr>
        <w:t>本公司于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w:t>
      </w:r>
      <w:r>
        <w:rPr>
          <w:spacing w:val="-2"/>
        </w:rPr>
        <w:t>月收购深圳市瑞柏泰电子有限公司</w:t>
      </w:r>
      <w:r>
        <w:rPr>
          <w:rFonts w:ascii="Times New Roman" w:hAnsi="Times New Roman" w:cs="Times New Roman" w:eastAsia="Times New Roman" w:hint="default"/>
          <w:spacing w:val="-2"/>
        </w:rPr>
        <w:t>20%</w:t>
      </w:r>
      <w:r>
        <w:rPr>
          <w:spacing w:val="-2"/>
        </w:rPr>
        <w:t>的股权，收购完成后，深圳市瑞柏泰电子有限公司</w:t>
      </w:r>
      <w:r>
        <w:rPr>
          <w:spacing w:val="-103"/>
        </w:rPr>
        <w:t> </w:t>
      </w:r>
      <w:r>
        <w:rPr>
          <w:spacing w:val="-103"/>
        </w:rPr>
      </w:r>
      <w:r>
        <w:rPr/>
        <w:t>为本公司之联营企业。</w:t>
      </w:r>
    </w:p>
    <w:p>
      <w:pPr>
        <w:spacing w:line="240" w:lineRule="auto" w:before="10"/>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4"/>
        <w:rPr>
          <w:rFonts w:ascii="宋体" w:hAnsi="宋体" w:cs="宋体" w:eastAsia="宋体" w:hint="default"/>
          <w:b/>
          <w:bCs/>
          <w:sz w:val="25"/>
          <w:szCs w:val="25"/>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4764;top:14;width:23;height:393" coordorigin="4764,14" coordsize="23,393">
              <v:shape style="position:absolute;left:4764;top:14;width:23;height:393" coordorigin="4764,14" coordsize="23,393" path="m4764,407l4787,407,4787,14,4764,14,4764,407xe" filled="true" fillcolor="#d3d3d3" stroked="false">
                <v:path arrowok="t"/>
                <v:fill type="solid"/>
              </v:shape>
            </v:group>
            <v:group style="position:absolute;left:14;top:14;width:23;height:393" coordorigin="14,14" coordsize="23,393">
              <v:shape style="position:absolute;left:14;top:14;width:23;height:393" coordorigin="14,14" coordsize="23,393" path="m14,407l37,407,37,14,14,14,14,407xe" filled="true" fillcolor="#d3d3d3" stroked="false">
                <v:path arrowok="t"/>
                <v:fill type="solid"/>
              </v:shape>
            </v:group>
            <v:group style="position:absolute;left:37;top:14;width:4727;height:393" coordorigin="37,14" coordsize="4727,393">
              <v:shape style="position:absolute;left:37;top:14;width:4727;height:393" coordorigin="37,14" coordsize="4727,393" path="m37,407l4764,407,4764,14,37,14,37,407xe" filled="true" fillcolor="#d3d3d3" stroked="false">
                <v:path arrowok="t"/>
                <v:fill type="solid"/>
              </v:shape>
            </v:group>
            <v:group style="position:absolute;left:4796;top:14;width:23;height:393" coordorigin="4796,14" coordsize="23,393">
              <v:shape style="position:absolute;left:4796;top:14;width:23;height:393" coordorigin="4796,14" coordsize="23,393" path="m4796,407l4819,407,4819,14,4796,14,4796,407xe" filled="true" fillcolor="#d3d3d3" stroked="false">
                <v:path arrowok="t"/>
                <v:fill type="solid"/>
              </v:shape>
            </v:group>
            <v:group style="position:absolute;left:9550;top:14;width:23;height:393" coordorigin="9550,14" coordsize="23,393">
              <v:shape style="position:absolute;left:9550;top:14;width:23;height:393" coordorigin="9550,14" coordsize="23,393" path="m9550,407l9572,407,9572,14,9550,14,9550,407xe" filled="true" fillcolor="#d3d3d3" stroked="false">
                <v:path arrowok="t"/>
                <v:fill type="solid"/>
              </v:shape>
            </v:group>
            <v:group style="position:absolute;left:4819;top:14;width:4731;height:393" coordorigin="4819,14" coordsize="4731,393">
              <v:shape style="position:absolute;left:4819;top:14;width:4731;height:393" coordorigin="4819,14" coordsize="4731,393" path="m4819,407l9550,407,9550,14,4819,14,4819,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7998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782;height:2" coordorigin="5,412" coordsize="4782,2">
              <v:shape style="position:absolute;left:5;top:412;width:4782;height:2" coordorigin="5,412" coordsize="4782,0" path="m5,412l4787,412e" filled="false" stroked="true" strokeweight=".47998pt" strokecolor="#000000">
                <v:path arrowok="t"/>
              </v:shape>
            </v:group>
            <v:group style="position:absolute;left:4792;top:14;width:2;height:402" coordorigin="4792,14" coordsize="2,402">
              <v:shape style="position:absolute;left:4792;top:14;width:2;height:402" coordorigin="4792,14" coordsize="0,402" path="m4792,14l4792,416e" filled="false" stroked="true" strokeweight=".48001pt" strokecolor="#000000">
                <v:path arrowok="t"/>
              </v:shape>
            </v:group>
            <v:group style="position:absolute;left:4796;top:412;width:4776;height:2" coordorigin="4796,412" coordsize="4776,2">
              <v:shape style="position:absolute;left:4796;top:412;width:4776;height:2" coordorigin="4796,412" coordsize="4776,0" path="m4796,412l9572,412e" filled="false" stroked="true" strokeweight=".47998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10;top:10;width:4782;height:402" type="#_x0000_t202" filled="false" stroked="false">
                <v:textbox inset="0,0,0,0">
                  <w:txbxContent>
                    <w:p>
                      <w:pPr>
                        <w:spacing w:before="56"/>
                        <w:ind w:left="0" w:right="1" w:firstLine="0"/>
                        <w:jc w:val="center"/>
                        <w:rPr>
                          <w:rFonts w:ascii="宋体" w:hAnsi="宋体" w:cs="宋体" w:eastAsia="宋体" w:hint="default"/>
                          <w:sz w:val="18"/>
                          <w:szCs w:val="18"/>
                        </w:rPr>
                      </w:pPr>
                      <w:r>
                        <w:rPr>
                          <w:rFonts w:ascii="宋体" w:hAnsi="宋体" w:cs="宋体" w:eastAsia="宋体" w:hint="default"/>
                          <w:sz w:val="18"/>
                          <w:szCs w:val="18"/>
                        </w:rPr>
                        <w:t>其他关联方名称</w:t>
                      </w:r>
                    </w:p>
                  </w:txbxContent>
                </v:textbox>
                <w10:wrap type="none"/>
              </v:shape>
              <v:shape style="position:absolute;left:4792;top:10;width:4786;height:402" type="#_x0000_t202" filled="false" stroked="false">
                <v:textbox inset="0,0,0,0">
                  <w:txbxContent>
                    <w:p>
                      <w:pPr>
                        <w:spacing w:before="56"/>
                        <w:ind w:left="1402" w:right="0" w:firstLine="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xbxContent>
                </v:textbox>
                <w10:wrap type="none"/>
              </v:shape>
            </v:group>
          </v:group>
        </w:pict>
      </w:r>
      <w:r>
        <w:rPr>
          <w:rFonts w:ascii="宋体" w:hAnsi="宋体" w:cs="宋体" w:eastAsia="宋体" w:hint="default"/>
          <w:position w:val="-7"/>
          <w:sz w:val="20"/>
          <w:szCs w:val="20"/>
        </w:rPr>
      </w:r>
    </w:p>
    <w:p>
      <w:pPr>
        <w:spacing w:after="0" w:line="421" w:lineRule="exact"/>
        <w:rPr>
          <w:rFonts w:ascii="宋体" w:hAnsi="宋体" w:cs="宋体" w:eastAsia="宋体" w:hint="default"/>
          <w:sz w:val="20"/>
          <w:szCs w:val="20"/>
        </w:rPr>
        <w:sectPr>
          <w:pgSz w:w="11910" w:h="16840"/>
          <w:pgMar w:header="747" w:footer="982" w:top="1060" w:bottom="1180" w:left="980" w:right="980"/>
        </w:sectPr>
      </w:pPr>
    </w:p>
    <w:p>
      <w:pPr>
        <w:spacing w:line="240" w:lineRule="auto" w:before="2"/>
        <w:rPr>
          <w:rFonts w:ascii="宋体" w:hAnsi="宋体" w:cs="宋体" w:eastAsia="宋体" w:hint="default"/>
          <w:b/>
          <w:bCs/>
          <w:sz w:val="28"/>
          <w:szCs w:val="28"/>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5;top:10;width:9578;height:2" coordorigin="5,10" coordsize="9578,2">
              <v:shape style="position:absolute;left:5;top:10;width:9578;height:2" coordorigin="5,10" coordsize="9578,0" path="m5,10l9582,10e" filled="false" stroked="true" strokeweight=".48004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782;height:2" coordorigin="5,412" coordsize="4782,2">
              <v:shape style="position:absolute;left:5;top:412;width:4782;height:2" coordorigin="5,412" coordsize="4782,0" path="m5,412l4787,412e" filled="false" stroked="true" strokeweight=".47998pt" strokecolor="#000000">
                <v:path arrowok="t"/>
              </v:shape>
            </v:group>
            <v:group style="position:absolute;left:4792;top:14;width:2;height:402" coordorigin="4792,14" coordsize="2,402">
              <v:shape style="position:absolute;left:4792;top:14;width:2;height:402" coordorigin="4792,14" coordsize="0,402" path="m4792,14l4792,416e" filled="false" stroked="true" strokeweight=".48001pt" strokecolor="#000000">
                <v:path arrowok="t"/>
              </v:shape>
            </v:group>
            <v:group style="position:absolute;left:4796;top:412;width:4776;height:2" coordorigin="4796,412" coordsize="4776,2">
              <v:shape style="position:absolute;left:4796;top:412;width:4776;height:2" coordorigin="4796,412" coordsize="4776,0" path="m4796,412l9572,412e" filled="false" stroked="true" strokeweight=".47998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10;top:10;width:4782;height:402" type="#_x0000_t202" filled="false" stroked="false">
                <v:textbox inset="0,0,0,0">
                  <w:txbxContent>
                    <w:p>
                      <w:pPr>
                        <w:spacing w:before="56"/>
                        <w:ind w:left="27" w:right="0" w:firstLine="0"/>
                        <w:jc w:val="left"/>
                        <w:rPr>
                          <w:rFonts w:ascii="宋体" w:hAnsi="宋体" w:cs="宋体" w:eastAsia="宋体" w:hint="default"/>
                          <w:sz w:val="18"/>
                          <w:szCs w:val="18"/>
                        </w:rPr>
                      </w:pPr>
                      <w:r>
                        <w:rPr>
                          <w:rFonts w:ascii="宋体" w:hAnsi="宋体" w:cs="宋体" w:eastAsia="宋体" w:hint="default"/>
                          <w:sz w:val="18"/>
                          <w:szCs w:val="18"/>
                        </w:rPr>
                        <w:t>深圳市泰德信实业有限公司</w:t>
                      </w:r>
                    </w:p>
                  </w:txbxContent>
                </v:textbox>
                <w10:wrap type="none"/>
              </v:shape>
              <v:shape style="position:absolute;left:4792;top:10;width:4786;height:402" type="#_x0000_t202" filled="false" stroked="false">
                <v:textbox inset="0,0,0,0">
                  <w:txbxContent>
                    <w:p>
                      <w:pPr>
                        <w:spacing w:before="56"/>
                        <w:ind w:left="27" w:right="0" w:firstLine="0"/>
                        <w:jc w:val="left"/>
                        <w:rPr>
                          <w:rFonts w:ascii="宋体" w:hAnsi="宋体" w:cs="宋体" w:eastAsia="宋体" w:hint="default"/>
                          <w:sz w:val="18"/>
                          <w:szCs w:val="18"/>
                        </w:rPr>
                      </w:pPr>
                      <w:r>
                        <w:rPr>
                          <w:rFonts w:ascii="宋体" w:hAnsi="宋体" w:cs="宋体" w:eastAsia="宋体" w:hint="default"/>
                          <w:sz w:val="18"/>
                          <w:szCs w:val="18"/>
                        </w:rPr>
                        <w:t>本公司实际控制人控制的其他公司</w:t>
                      </w:r>
                    </w:p>
                  </w:txbxContent>
                </v:textbox>
                <w10:wrap type="none"/>
              </v:shape>
            </v:group>
          </v:group>
        </w:pict>
      </w:r>
      <w:r>
        <w:rPr>
          <w:rFonts w:ascii="宋体" w:hAnsi="宋体" w:cs="宋体" w:eastAsia="宋体" w:hint="default"/>
          <w:position w:val="-7"/>
          <w:sz w:val="20"/>
          <w:szCs w:val="20"/>
        </w:rPr>
      </w:r>
    </w:p>
    <w:p>
      <w:pPr>
        <w:pStyle w:val="BodyText"/>
        <w:spacing w:line="240" w:lineRule="auto" w:before="46"/>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51"/>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8"/>
        <w:gridCol w:w="2258"/>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2"/>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8"/>
        <w:gridCol w:w="2258"/>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深圳市瑞柏泰电子有限公司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机</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1" w:right="0"/>
              <w:jc w:val="left"/>
              <w:rPr>
                <w:rFonts w:ascii="Times New Roman" w:hAnsi="Times New Roman" w:cs="Times New Roman" w:eastAsia="Times New Roman" w:hint="default"/>
                <w:sz w:val="18"/>
                <w:szCs w:val="18"/>
              </w:rPr>
            </w:pPr>
            <w:r>
              <w:rPr>
                <w:rFonts w:ascii="Times New Roman"/>
                <w:sz w:val="18"/>
              </w:rPr>
              <w:t>2,064,094.02</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75" w:right="0"/>
              <w:jc w:val="left"/>
              <w:rPr>
                <w:rFonts w:ascii="Times New Roman" w:hAnsi="Times New Roman" w:cs="Times New Roman" w:eastAsia="Times New Roman" w:hint="default"/>
                <w:sz w:val="18"/>
                <w:szCs w:val="18"/>
              </w:rPr>
            </w:pPr>
            <w:r>
              <w:rPr>
                <w:rFonts w:ascii="Times New Roman"/>
                <w:sz w:val="18"/>
              </w:rPr>
              <w:t>1,475,316.24</w:t>
            </w:r>
          </w:p>
        </w:tc>
      </w:tr>
    </w:tbl>
    <w:p>
      <w:pPr>
        <w:pStyle w:val="BodyText"/>
        <w:spacing w:line="240" w:lineRule="auto" w:before="51"/>
        <w:ind w:right="0"/>
        <w:jc w:val="left"/>
      </w:pPr>
      <w:r>
        <w:rPr/>
        <w:t>购销商品、提供和接受劳务的关联交易说明</w:t>
      </w:r>
    </w:p>
    <w:p>
      <w:pPr>
        <w:pStyle w:val="Heading4"/>
        <w:spacing w:line="240" w:lineRule="auto" w:before="90"/>
        <w:ind w:right="0"/>
        <w:jc w:val="left"/>
      </w:pPr>
      <w:r>
        <w:rPr/>
        <w:t>存在控制关系且已纳入本公司合并财务报表范围的子公司，其相互间交易及母子公司交易已作抵销。</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2"/>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7"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7" w:footer="982" w:top="1060" w:bottom="1180" w:left="980" w:right="980"/>
        </w:sectPr>
      </w:pPr>
    </w:p>
    <w:p>
      <w:pPr>
        <w:pStyle w:val="BodyText"/>
        <w:spacing w:line="340" w:lineRule="auto" w:before="51"/>
        <w:ind w:right="-20"/>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80" w:left="980" w:right="980"/>
          <w:cols w:num="2" w:equalWidth="0">
            <w:col w:w="2545" w:space="6284"/>
            <w:col w:w="112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587"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587"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407"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2"/>
        <w:ind w:right="0"/>
        <w:jc w:val="left"/>
      </w:pPr>
      <w:r>
        <w:rPr/>
        <w:t>关联管理</w:t>
      </w:r>
      <w:r>
        <w:rPr>
          <w:rFonts w:ascii="Times New Roman" w:hAnsi="Times New Roman" w:cs="Times New Roman" w:eastAsia="Times New Roman" w:hint="default"/>
        </w:rPr>
        <w:t>/</w:t>
      </w:r>
      <w:r>
        <w:rPr/>
        <w:t>出包情况说明</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t>本公司作为出租方：</w:t>
      </w:r>
    </w:p>
    <w:p>
      <w:pPr>
        <w:pStyle w:val="BodyText"/>
        <w:spacing w:line="240" w:lineRule="auto" w:before="116"/>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7"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51"/>
        <w:ind w:right="0"/>
        <w:jc w:val="left"/>
      </w:pPr>
      <w:r>
        <w:rPr/>
        <w:t>本公司作为承租方：</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深圳市泰德信实业有限公司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4" w:right="0"/>
              <w:jc w:val="left"/>
              <w:rPr>
                <w:rFonts w:ascii="Times New Roman" w:hAnsi="Times New Roman" w:cs="Times New Roman" w:eastAsia="Times New Roman" w:hint="default"/>
                <w:sz w:val="18"/>
                <w:szCs w:val="18"/>
              </w:rPr>
            </w:pPr>
            <w:r>
              <w:rPr>
                <w:rFonts w:ascii="Times New Roman"/>
                <w:sz w:val="18"/>
              </w:rPr>
              <w:t>1,010,724.00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4" w:right="0"/>
              <w:jc w:val="left"/>
              <w:rPr>
                <w:rFonts w:ascii="Times New Roman" w:hAnsi="Times New Roman" w:cs="Times New Roman" w:eastAsia="Times New Roman" w:hint="default"/>
                <w:sz w:val="18"/>
                <w:szCs w:val="18"/>
              </w:rPr>
            </w:pPr>
            <w:r>
              <w:rPr>
                <w:rFonts w:ascii="Times New Roman"/>
                <w:sz w:val="18"/>
              </w:rPr>
              <w:t>1,010,724.00</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ind w:left="153" w:right="0"/>
        <w:jc w:val="left"/>
      </w:pPr>
      <w:r>
        <w:rPr/>
        <w:t>关联租赁情况说明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t>本公司作为担保方</w:t>
      </w:r>
    </w:p>
    <w:p>
      <w:pPr>
        <w:pStyle w:val="BodyText"/>
        <w:spacing w:line="240" w:lineRule="auto" w:before="116"/>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1"/>
        <w:ind w:right="0"/>
        <w:jc w:val="left"/>
      </w:pPr>
      <w:r>
        <w:rPr/>
        <w:t>本公司作为被担保方</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1"/>
        <w:ind w:right="0"/>
        <w:jc w:val="left"/>
      </w:pPr>
      <w:r>
        <w:rPr/>
        <w:t>关联担保情况说明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3D3D3"/>
          </w:tcPr>
          <w:p>
            <w:pPr/>
          </w:p>
        </w:tc>
        <w:tc>
          <w:tcPr>
            <w:tcW w:w="1595" w:type="dxa"/>
            <w:vMerge/>
            <w:tcBorders>
              <w:left w:val="single" w:sz="4" w:space="0" w:color="000000"/>
              <w:bottom w:val="single" w:sz="4" w:space="0" w:color="000000"/>
              <w:right w:val="single" w:sz="4" w:space="0" w:color="000000"/>
            </w:tcBorders>
            <w:shd w:val="clear" w:color="auto" w:fill="D3D3D3"/>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深圳市瑞柏泰电子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2" w:right="0"/>
              <w:jc w:val="left"/>
              <w:rPr>
                <w:rFonts w:ascii="Times New Roman" w:hAnsi="Times New Roman" w:cs="Times New Roman" w:eastAsia="Times New Roman" w:hint="default"/>
                <w:sz w:val="18"/>
                <w:szCs w:val="18"/>
              </w:rPr>
            </w:pPr>
            <w:r>
              <w:rPr>
                <w:rFonts w:ascii="Times New Roman"/>
                <w:sz w:val="18"/>
              </w:rPr>
              <w:t>625,870.00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1" w:right="0"/>
              <w:jc w:val="left"/>
              <w:rPr>
                <w:rFonts w:ascii="Times New Roman" w:hAnsi="Times New Roman" w:cs="Times New Roman" w:eastAsia="Times New Roman" w:hint="default"/>
                <w:sz w:val="18"/>
                <w:szCs w:val="18"/>
              </w:rPr>
            </w:pPr>
            <w:r>
              <w:rPr>
                <w:rFonts w:ascii="Times New Roman"/>
                <w:sz w:val="18"/>
              </w:rPr>
              <w:t>31,293.50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6,161,000.00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2" w:right="0"/>
              <w:jc w:val="left"/>
              <w:rPr>
                <w:rFonts w:ascii="Times New Roman" w:hAnsi="Times New Roman" w:cs="Times New Roman" w:eastAsia="Times New Roman" w:hint="default"/>
                <w:sz w:val="18"/>
                <w:szCs w:val="18"/>
              </w:rPr>
            </w:pPr>
            <w:r>
              <w:rPr>
                <w:rFonts w:ascii="Times New Roman"/>
                <w:sz w:val="18"/>
              </w:rPr>
              <w:t>308,050.00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776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十三、股份支付</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240" w:lineRule="auto" w:before="102"/>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4"/>
        <w:gridCol w:w="4114"/>
      </w:tblGrid>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85,431,168.61</w:t>
            </w:r>
          </w:p>
        </w:tc>
      </w:tr>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5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行权价格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元，期间：</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240" w:lineRule="auto" w:before="103"/>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3"/>
        <w:gridCol w:w="4585"/>
      </w:tblGrid>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模型估值</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按实际授股票期权人数进行估计</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29,224,700.01</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29,224,700.01</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w:t>
      </w:r>
      <w:r>
        <w:rPr/>
        <w:t>、股份支付的修改、终止情况</w:t>
      </w:r>
      <w:r>
        <w:rPr>
          <w:b w:val="0"/>
          <w:bCs w:val="0"/>
        </w:rPr>
      </w:r>
    </w:p>
    <w:p>
      <w:pPr>
        <w:spacing w:line="240" w:lineRule="auto" w:before="8"/>
        <w:rPr>
          <w:rFonts w:ascii="宋体" w:hAnsi="宋体" w:cs="宋体" w:eastAsia="宋体" w:hint="default"/>
          <w:b/>
          <w:bCs/>
          <w:sz w:val="26"/>
          <w:szCs w:val="26"/>
        </w:rPr>
      </w:pPr>
    </w:p>
    <w:p>
      <w:pPr>
        <w:pStyle w:val="BodyText"/>
        <w:spacing w:line="300" w:lineRule="auto" w:before="0"/>
        <w:ind w:left="153" w:right="145" w:firstLine="434"/>
        <w:jc w:val="left"/>
      </w:pPr>
      <w:r>
        <w:rPr/>
        <w:t>本公司于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20</w:t>
      </w:r>
      <w:r>
        <w:rPr/>
        <w:t>日召开第二届董事会第十八次会议及第二届监事会第十六次会议审议通过了《关于</w:t>
      </w:r>
      <w:r>
        <w:rPr>
          <w:rFonts w:ascii="Times New Roman" w:hAnsi="Times New Roman" w:cs="Times New Roman" w:eastAsia="Times New Roman" w:hint="default"/>
        </w:rPr>
        <w:t>&lt;</w:t>
      </w:r>
      <w:r>
        <w:rPr/>
        <w:t>深圳市新国 都技术股份有限公司</w:t>
      </w:r>
      <w:r>
        <w:rPr>
          <w:rFonts w:ascii="Times New Roman" w:hAnsi="Times New Roman" w:cs="Times New Roman" w:eastAsia="Times New Roman" w:hint="default"/>
        </w:rPr>
        <w:t>2014</w:t>
      </w:r>
      <w:r>
        <w:rPr/>
        <w:t>年股票期权激励计划（草案）及摘要</w:t>
      </w:r>
      <w:r>
        <w:rPr>
          <w:rFonts w:ascii="Times New Roman" w:hAnsi="Times New Roman" w:cs="Times New Roman" w:eastAsia="Times New Roman" w:hint="default"/>
        </w:rPr>
        <w:t>&gt;</w:t>
      </w:r>
      <w:r>
        <w:rPr/>
        <w:t>的议案》。</w:t>
      </w:r>
    </w:p>
    <w:p>
      <w:pPr>
        <w:spacing w:after="0" w:line="300" w:lineRule="auto"/>
        <w:jc w:val="left"/>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300" w:lineRule="auto"/>
        <w:ind w:left="153" w:right="150" w:firstLine="434"/>
        <w:jc w:val="both"/>
      </w:pPr>
      <w:r>
        <w:rPr/>
        <w:t>根据中国证监会的反馈意见，公司对股票期权激励计划（草案）及摘要进行了相应修订，并于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9</w:t>
      </w:r>
      <w:r>
        <w:rPr/>
        <w:t>日召开公司 第二届董事会第十九次会议及第二届监事会第十七次会议审议通过了《关于</w:t>
      </w:r>
      <w:r>
        <w:rPr>
          <w:rFonts w:ascii="Times New Roman" w:hAnsi="Times New Roman" w:cs="Times New Roman" w:eastAsia="Times New Roman" w:hint="default"/>
        </w:rPr>
        <w:t>&lt;</w:t>
      </w:r>
      <w:r>
        <w:rPr/>
        <w:t>深圳市新国都技术股份有限公司</w:t>
      </w:r>
      <w:r>
        <w:rPr>
          <w:rFonts w:ascii="Times New Roman" w:hAnsi="Times New Roman" w:cs="Times New Roman" w:eastAsia="Times New Roman" w:hint="default"/>
        </w:rPr>
        <w:t>2014</w:t>
      </w:r>
      <w:r>
        <w:rPr/>
        <w:t>年股票期 权激励计划（草案修订稿）及摘要</w:t>
      </w:r>
      <w:r>
        <w:rPr>
          <w:rFonts w:ascii="Times New Roman" w:hAnsi="Times New Roman" w:cs="Times New Roman" w:eastAsia="Times New Roman" w:hint="default"/>
        </w:rPr>
        <w:t>&gt;</w:t>
      </w:r>
      <w:r>
        <w:rPr/>
        <w:t>的议案》，该激励计划经中国证监会备案无异议。</w:t>
      </w:r>
    </w:p>
    <w:p>
      <w:pPr>
        <w:pStyle w:val="BodyText"/>
        <w:spacing w:line="307" w:lineRule="auto" w:before="13"/>
        <w:ind w:left="153" w:right="150" w:firstLine="434"/>
        <w:jc w:val="both"/>
      </w:pPr>
      <w:r>
        <w:rPr/>
        <w:t>本公司于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29</w:t>
      </w:r>
      <w:r>
        <w:rPr/>
        <w:t>日召开</w:t>
      </w:r>
      <w:r>
        <w:rPr>
          <w:rFonts w:ascii="Times New Roman" w:hAnsi="Times New Roman" w:cs="Times New Roman" w:eastAsia="Times New Roman" w:hint="default"/>
        </w:rPr>
        <w:t>2014</w:t>
      </w:r>
      <w:r>
        <w:rPr/>
        <w:t>年第二次临时股东大会审议通过了《关于</w:t>
      </w:r>
      <w:r>
        <w:rPr>
          <w:rFonts w:ascii="Times New Roman" w:hAnsi="Times New Roman" w:cs="Times New Roman" w:eastAsia="Times New Roman" w:hint="default"/>
        </w:rPr>
        <w:t>&lt;</w:t>
      </w:r>
      <w:r>
        <w:rPr/>
        <w:t>深圳市新国都技术股份有限公司</w:t>
      </w:r>
      <w:r>
        <w:rPr>
          <w:rFonts w:ascii="Times New Roman" w:hAnsi="Times New Roman" w:cs="Times New Roman" w:eastAsia="Times New Roman" w:hint="default"/>
        </w:rPr>
        <w:t>2014</w:t>
      </w:r>
      <w:r>
        <w:rPr/>
        <w:t>年股 票期权激励计划（草案修订稿）及摘要</w:t>
      </w:r>
      <w:r>
        <w:rPr>
          <w:rFonts w:ascii="Times New Roman" w:hAnsi="Times New Roman" w:cs="Times New Roman" w:eastAsia="Times New Roman" w:hint="default"/>
        </w:rPr>
        <w:t>&gt;</w:t>
      </w:r>
      <w:r>
        <w:rPr/>
        <w:t>的议案》、《关于</w:t>
      </w:r>
      <w:r>
        <w:rPr>
          <w:rFonts w:ascii="Times New Roman" w:hAnsi="Times New Roman" w:cs="Times New Roman" w:eastAsia="Times New Roman" w:hint="default"/>
        </w:rPr>
        <w:t>&lt;</w:t>
      </w:r>
      <w:r>
        <w:rPr/>
        <w:t>深圳市新国都技术股份有限公司股票期权激励计划实施考核办 法的议案》、《关于</w:t>
      </w:r>
      <w:r>
        <w:rPr>
          <w:rFonts w:ascii="Times New Roman" w:hAnsi="Times New Roman" w:cs="Times New Roman" w:eastAsia="Times New Roman" w:hint="default"/>
        </w:rPr>
        <w:t>&lt;</w:t>
      </w:r>
      <w:r>
        <w:rPr/>
        <w:t>深圳市新国都技术股份有限公司股票期权激励计划管理办法的议案》以及《关于提请股东大会授权董 </w:t>
      </w:r>
      <w:r>
        <w:rPr>
          <w:spacing w:val="-2"/>
        </w:rPr>
        <w:t>事会办理公司股票期权激励计划相关事宜的议案》，董事会被授权确认激励对象参与股权激励计划的资格和条件，确定激励</w:t>
      </w:r>
      <w:r>
        <w:rPr>
          <w:spacing w:val="-66"/>
        </w:rPr>
        <w:t> </w:t>
      </w:r>
      <w:r>
        <w:rPr>
          <w:spacing w:val="-66"/>
        </w:rPr>
      </w:r>
      <w:r>
        <w:rPr>
          <w:spacing w:val="-2"/>
        </w:rPr>
        <w:t>对象名单及其授予数量，确定标的股权的授予价格；在激励对象符合条件时向激励对象授予股票并办理授予股票和解锁股票</w:t>
      </w:r>
      <w:r>
        <w:rPr>
          <w:spacing w:val="-64"/>
        </w:rPr>
        <w:t> </w:t>
      </w:r>
      <w:r>
        <w:rPr>
          <w:spacing w:val="-64"/>
        </w:rPr>
      </w:r>
      <w:r>
        <w:rPr/>
        <w:t>所必需的全部事宜。</w:t>
      </w:r>
    </w:p>
    <w:p>
      <w:pPr>
        <w:pStyle w:val="BodyText"/>
        <w:spacing w:line="309" w:lineRule="auto" w:before="26"/>
        <w:ind w:left="153" w:right="148" w:firstLine="434"/>
        <w:jc w:val="both"/>
      </w:pPr>
      <w:r>
        <w:rPr/>
        <w:t>本公司于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日召开第三届董事会第二次会议审议通过了《关于调整股票期权激励计划激励对象名单及授予数 </w:t>
      </w:r>
      <w:r>
        <w:rPr>
          <w:spacing w:val="-2"/>
        </w:rPr>
        <w:t>量的议案》和《关于向激励对象授予股票期权的议案》，并于当日召开第三届监事会第二次会议，审议通过了《关于核实公</w:t>
      </w:r>
      <w:r>
        <w:rPr>
          <w:spacing w:val="-68"/>
        </w:rPr>
        <w:t> </w:t>
      </w:r>
      <w:r>
        <w:rPr>
          <w:spacing w:val="-68"/>
        </w:rPr>
      </w:r>
      <w:r>
        <w:rPr/>
        <w:t>司股票期权激励计划激励对象名单的议案》。</w:t>
      </w:r>
    </w:p>
    <w:p>
      <w:pPr>
        <w:pStyle w:val="BodyText"/>
        <w:spacing w:line="300" w:lineRule="auto" w:before="24"/>
        <w:ind w:left="153" w:right="151" w:firstLine="434"/>
        <w:jc w:val="both"/>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3</w:t>
      </w:r>
      <w:r>
        <w:rPr>
          <w:spacing w:val="-2"/>
        </w:rPr>
        <w:t>日，本公司公告了《关于股票期权激励计划首次授予完成登记的公告》。本公司于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26</w:t>
      </w:r>
      <w:r>
        <w:rPr>
          <w:spacing w:val="-2"/>
        </w:rPr>
        <w:t>日召开第三</w:t>
      </w:r>
      <w:r>
        <w:rPr/>
        <w:t> 届董事会第七次会议及第三届监事会第七次会议审议通过了《关于注销部分已获授但尚未行权的股票期权的议案》。</w:t>
      </w:r>
    </w:p>
    <w:p>
      <w:pPr>
        <w:pStyle w:val="BodyText"/>
        <w:spacing w:line="300" w:lineRule="auto" w:before="31"/>
        <w:ind w:left="153" w:right="175" w:firstLine="434"/>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w:t>
      </w:r>
      <w:r>
        <w:rPr/>
        <w:t>日，经中国证券登记结算有限责任公司深圳分公司审核确认，第三届董事会第七次会议审议通过的《关于 注销部分已获授但尚未行权的股票期权的议案》中五名离职人员的股票期权注销事宜已办理完毕。</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487" w:lineRule="auto" w:before="148"/>
        <w:ind w:left="154" w:right="736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十四、承诺及或有事项</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108"/>
        <w:ind w:right="0"/>
        <w:jc w:val="left"/>
      </w:pPr>
      <w:r>
        <w:rPr/>
        <w:t>资产负债表日存在的重要承诺</w:t>
      </w:r>
    </w:p>
    <w:p>
      <w:pPr>
        <w:pStyle w:val="Heading4"/>
        <w:spacing w:line="240" w:lineRule="auto" w:before="90"/>
        <w:ind w:right="0"/>
        <w:jc w:val="left"/>
      </w:pPr>
      <w:r>
        <w:rPr/>
        <w:t>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日，本公司无需要披露的重大承诺事项。</w:t>
      </w:r>
    </w:p>
    <w:p>
      <w:pPr>
        <w:spacing w:line="240" w:lineRule="auto" w:before="8"/>
        <w:rPr>
          <w:rFonts w:ascii="宋体" w:hAnsi="宋体" w:cs="宋体" w:eastAsia="宋体" w:hint="default"/>
          <w:sz w:val="24"/>
          <w:szCs w:val="24"/>
        </w:rPr>
      </w:pPr>
    </w:p>
    <w:p>
      <w:pPr>
        <w:pStyle w:val="Heading3"/>
        <w:spacing w:line="240" w:lineRule="auto"/>
        <w:ind w:left="153" w:right="0"/>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spacing w:line="506" w:lineRule="auto" w:before="0"/>
        <w:ind w:left="153" w:right="431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b/>
          <w:bCs/>
          <w:w w:val="99"/>
          <w:sz w:val="21"/>
          <w:szCs w:val="21"/>
        </w:rPr>
        <w:t> </w:t>
      </w:r>
      <w:r>
        <w:rPr>
          <w:rFonts w:ascii="宋体" w:hAnsi="宋体" w:cs="宋体" w:eastAsia="宋体" w:hint="default"/>
          <w:sz w:val="21"/>
          <w:szCs w:val="21"/>
        </w:rPr>
        <w:t>截止</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日，本公司无需要披露的重大或有事项。</w:t>
      </w:r>
    </w:p>
    <w:p>
      <w:pPr>
        <w:pStyle w:val="Heading3"/>
        <w:spacing w:line="240" w:lineRule="auto" w:before="64"/>
        <w:ind w:left="153" w:right="0"/>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公司不存在需要披露的重要或有事项。</w:t>
      </w:r>
    </w:p>
    <w:p>
      <w:pPr>
        <w:spacing w:line="240" w:lineRule="auto" w:before="10"/>
        <w:rPr>
          <w:rFonts w:ascii="宋体" w:hAnsi="宋体" w:cs="宋体" w:eastAsia="宋体" w:hint="default"/>
          <w:sz w:val="26"/>
          <w:szCs w:val="26"/>
        </w:rPr>
      </w:pPr>
    </w:p>
    <w:p>
      <w:pPr>
        <w:spacing w:line="487" w:lineRule="auto" w:before="0"/>
        <w:ind w:left="154" w:right="687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十五、资产负债表日后事项</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8"/>
        <w:ind w:left="0" w:right="150"/>
        <w:jc w:val="right"/>
      </w:pPr>
      <w:r>
        <w:rPr/>
        <w:t>单位： 元</w:t>
      </w:r>
    </w:p>
    <w:p>
      <w:pPr>
        <w:spacing w:after="0" w:line="240" w:lineRule="auto"/>
        <w:jc w:val="righ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4"/>
        <w:gridCol w:w="2294"/>
        <w:gridCol w:w="2390"/>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009" w:right="109"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2"/>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、其他资产负债表日后事项说明</w:t>
      </w:r>
      <w:r>
        <w:rPr>
          <w:b w:val="0"/>
          <w:bCs w:val="0"/>
        </w:rPr>
      </w:r>
    </w:p>
    <w:p>
      <w:pPr>
        <w:spacing w:line="240" w:lineRule="auto" w:before="8"/>
        <w:rPr>
          <w:rFonts w:ascii="宋体" w:hAnsi="宋体" w:cs="宋体" w:eastAsia="宋体" w:hint="default"/>
          <w:b/>
          <w:bCs/>
          <w:sz w:val="24"/>
          <w:szCs w:val="24"/>
        </w:rPr>
      </w:pPr>
    </w:p>
    <w:p>
      <w:pPr>
        <w:pStyle w:val="Heading4"/>
        <w:spacing w:line="256" w:lineRule="auto" w:before="0"/>
        <w:ind w:left="259" w:right="127" w:firstLine="421"/>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日公司召开第三届董事会第八次会议，审议通过了《关于</w:t>
      </w:r>
      <w:r>
        <w:rPr>
          <w:rFonts w:ascii="Times New Roman" w:hAnsi="Times New Roman" w:cs="Times New Roman" w:eastAsia="Times New Roman" w:hint="default"/>
        </w:rPr>
        <w:t>2014</w:t>
      </w:r>
      <w:r>
        <w:rPr/>
        <w:t>年度利润分配的议案》： </w:t>
      </w:r>
      <w:r>
        <w:rPr>
          <w:spacing w:val="-6"/>
        </w:rPr>
        <w:t>经大华会计师事务所（特殊普通合伙）审计，公司</w:t>
      </w:r>
      <w:r>
        <w:rPr>
          <w:rFonts w:ascii="Times New Roman" w:hAnsi="Times New Roman" w:cs="Times New Roman" w:eastAsia="Times New Roman" w:hint="default"/>
          <w:spacing w:val="-6"/>
        </w:rPr>
        <w:t>2014</w:t>
      </w:r>
      <w:r>
        <w:rPr>
          <w:spacing w:val="-6"/>
        </w:rPr>
        <w:t>年度实现归属于上市公司股东的净利润</w:t>
      </w:r>
      <w:r>
        <w:rPr>
          <w:rFonts w:ascii="Times New Roman" w:hAnsi="Times New Roman" w:cs="Times New Roman" w:eastAsia="Times New Roman" w:hint="default"/>
          <w:spacing w:val="-6"/>
        </w:rPr>
        <w:t>84,001,385.94</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10"/>
        </w:rPr>
      </w:r>
      <w:r>
        <w:rPr>
          <w:spacing w:val="-2"/>
        </w:rPr>
        <w:t>元，其中，母公司实现净利润</w:t>
      </w:r>
      <w:r>
        <w:rPr>
          <w:rFonts w:ascii="Times New Roman" w:hAnsi="Times New Roman" w:cs="Times New Roman" w:eastAsia="Times New Roman" w:hint="default"/>
          <w:spacing w:val="-2"/>
        </w:rPr>
        <w:t>32,795,047.64</w:t>
      </w:r>
      <w:r>
        <w:rPr>
          <w:spacing w:val="-2"/>
        </w:rPr>
        <w:t>元。根据《公司法》和《公司章程》的有关规定，母公司提取</w:t>
      </w:r>
      <w:r>
        <w:rPr>
          <w:spacing w:val="-84"/>
        </w:rPr>
        <w:t> </w:t>
      </w:r>
      <w:r>
        <w:rPr>
          <w:spacing w:val="-84"/>
        </w:rPr>
      </w:r>
      <w:r>
        <w:rPr>
          <w:rFonts w:ascii="Times New Roman" w:hAnsi="Times New Roman" w:cs="Times New Roman" w:eastAsia="Times New Roman" w:hint="default"/>
        </w:rPr>
        <w:t>10%</w:t>
      </w:r>
      <w:r>
        <w:rPr/>
        <w:t>法定盈余公积金</w:t>
      </w:r>
      <w:r>
        <w:rPr>
          <w:rFonts w:ascii="Times New Roman" w:hAnsi="Times New Roman" w:cs="Times New Roman" w:eastAsia="Times New Roman" w:hint="default"/>
        </w:rPr>
        <w:t>3,279,504.76</w:t>
      </w:r>
      <w:r>
        <w:rPr/>
        <w:t>元。截止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日公司可供股东分配的利润为</w:t>
      </w:r>
      <w:r>
        <w:rPr>
          <w:rFonts w:ascii="Times New Roman" w:hAnsi="Times New Roman" w:cs="Times New Roman" w:eastAsia="Times New Roman" w:hint="default"/>
        </w:rPr>
        <w:t>106,210,359.79</w:t>
      </w:r>
      <w:r>
        <w:rPr/>
        <w:t>元。</w:t>
      </w:r>
    </w:p>
    <w:p>
      <w:pPr>
        <w:pStyle w:val="Heading4"/>
        <w:spacing w:line="256" w:lineRule="auto" w:before="5"/>
        <w:ind w:left="259" w:right="146"/>
        <w:jc w:val="both"/>
      </w:pPr>
      <w:r>
        <w:rPr>
          <w:rFonts w:ascii="Times New Roman" w:hAnsi="Times New Roman" w:cs="Times New Roman" w:eastAsia="Times New Roman" w:hint="default"/>
          <w:spacing w:val="-2"/>
        </w:rPr>
        <w:t>2014</w:t>
      </w:r>
      <w:r>
        <w:rPr>
          <w:spacing w:val="-2"/>
        </w:rPr>
        <w:t>年度利润分配预案：以公司总股本</w:t>
      </w:r>
      <w:r>
        <w:rPr>
          <w:rFonts w:ascii="Times New Roman" w:hAnsi="Times New Roman" w:cs="Times New Roman" w:eastAsia="Times New Roman" w:hint="default"/>
          <w:spacing w:val="-2"/>
        </w:rPr>
        <w:t>114,300,000</w:t>
      </w:r>
      <w:r>
        <w:rPr>
          <w:spacing w:val="-2"/>
        </w:rPr>
        <w:t>股为基数，向全体股东每</w:t>
      </w:r>
      <w:r>
        <w:rPr>
          <w:rFonts w:ascii="Times New Roman" w:hAnsi="Times New Roman" w:cs="Times New Roman" w:eastAsia="Times New Roman" w:hint="default"/>
          <w:spacing w:val="-2"/>
        </w:rPr>
        <w:t>10</w:t>
      </w:r>
      <w:r>
        <w:rPr>
          <w:spacing w:val="-2"/>
        </w:rPr>
        <w:t>股派发现金股利</w:t>
      </w:r>
      <w:r>
        <w:rPr>
          <w:rFonts w:ascii="Times New Roman" w:hAnsi="Times New Roman" w:cs="Times New Roman" w:eastAsia="Times New Roman" w:hint="default"/>
          <w:spacing w:val="-2"/>
        </w:rPr>
        <w:t>0.50</w:t>
      </w:r>
      <w:r>
        <w:rPr>
          <w:spacing w:val="-2"/>
        </w:rPr>
        <w:t>元人民</w:t>
      </w:r>
      <w:r>
        <w:rPr>
          <w:spacing w:val="-82"/>
        </w:rPr>
        <w:t> </w:t>
      </w:r>
      <w:r>
        <w:rPr/>
        <w:t>币（含税）</w:t>
      </w:r>
      <w:r>
        <w:rPr>
          <w:rFonts w:ascii="Times New Roman" w:hAnsi="Times New Roman" w:cs="Times New Roman" w:eastAsia="Times New Roman" w:hint="default"/>
        </w:rPr>
        <w:t>,</w:t>
      </w:r>
      <w:r>
        <w:rPr/>
        <w:t>共分配</w:t>
      </w:r>
      <w:r>
        <w:rPr>
          <w:rFonts w:ascii="Times New Roman" w:hAnsi="Times New Roman" w:cs="Times New Roman" w:eastAsia="Times New Roman" w:hint="default"/>
        </w:rPr>
        <w:t>571.50</w:t>
      </w:r>
      <w:r>
        <w:rPr/>
        <w:t>万元。同时，拟以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114,300,000</w:t>
      </w:r>
      <w:r>
        <w:rPr/>
        <w:t>为基数，由资本公积</w:t>
      </w:r>
      <w:r>
        <w:rPr>
          <w:spacing w:val="-44"/>
        </w:rPr>
        <w:t> </w:t>
      </w:r>
      <w:r>
        <w:rPr>
          <w:spacing w:val="-44"/>
        </w:rPr>
      </w:r>
      <w:r>
        <w:rPr/>
        <w:t>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股，合计转增股本</w:t>
      </w:r>
      <w:r>
        <w:rPr>
          <w:rFonts w:ascii="Times New Roman" w:hAnsi="Times New Roman" w:cs="Times New Roman" w:eastAsia="Times New Roman" w:hint="default"/>
        </w:rPr>
        <w:t>114,300,000</w:t>
      </w:r>
      <w:r>
        <w:rPr/>
        <w:t>股，转增股本完成后，公司总股本</w:t>
      </w:r>
      <w:r>
        <w:rPr>
          <w:rFonts w:ascii="Times New Roman" w:hAnsi="Times New Roman" w:cs="Times New Roman" w:eastAsia="Times New Roman" w:hint="default"/>
        </w:rPr>
        <w:t>228,600,000</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9"/>
        </w:rPr>
      </w:r>
      <w:r>
        <w:rPr/>
        <w:t>股。</w:t>
      </w:r>
    </w:p>
    <w:p>
      <w:pPr>
        <w:spacing w:line="501" w:lineRule="auto" w:before="22"/>
        <w:ind w:left="154" w:right="6460" w:firstLine="358"/>
        <w:jc w:val="left"/>
        <w:rPr>
          <w:rFonts w:ascii="宋体" w:hAnsi="宋体" w:cs="宋体" w:eastAsia="宋体" w:hint="default"/>
          <w:sz w:val="21"/>
          <w:szCs w:val="21"/>
        </w:rPr>
      </w:pPr>
      <w:r>
        <w:rPr>
          <w:rFonts w:ascii="宋体" w:hAnsi="宋体" w:cs="宋体" w:eastAsia="宋体" w:hint="default"/>
          <w:b/>
          <w:bCs/>
          <w:sz w:val="21"/>
          <w:szCs w:val="21"/>
        </w:rPr>
        <w:t>该议案还需提交股东大会审议。</w:t>
      </w:r>
      <w:r>
        <w:rPr>
          <w:rFonts w:ascii="宋体" w:hAnsi="宋体" w:cs="宋体" w:eastAsia="宋体" w:hint="default"/>
          <w:b/>
          <w:bCs/>
          <w:w w:val="99"/>
          <w:sz w:val="21"/>
          <w:szCs w:val="21"/>
        </w:rPr>
        <w:t> </w:t>
      </w:r>
      <w:r>
        <w:rPr>
          <w:rFonts w:ascii="宋体" w:hAnsi="宋体" w:cs="宋体" w:eastAsia="宋体" w:hint="default"/>
          <w:b/>
          <w:bCs/>
          <w:sz w:val="24"/>
          <w:szCs w:val="24"/>
        </w:rPr>
        <w:t>十六、其他重要事项</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pStyle w:val="Heading3"/>
        <w:spacing w:line="240" w:lineRule="auto" w:before="69"/>
        <w:ind w:right="0"/>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4"/>
        <w:gridCol w:w="2294"/>
        <w:gridCol w:w="2390"/>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829" w:right="109"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45"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b/>
          <w:bCs/>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357" w:hRule="exact"/>
        </w:trPr>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归属于母公司所</w:t>
            </w:r>
          </w:p>
        </w:tc>
      </w:tr>
      <w:tr>
        <w:trPr>
          <w:trHeight w:val="313" w:hRule="exact"/>
        </w:trPr>
        <w:tc>
          <w:tcPr>
            <w:tcW w:w="1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有者的终止经营</w:t>
            </w:r>
          </w:p>
        </w:tc>
      </w:tr>
      <w:tr>
        <w:trPr>
          <w:trHeight w:val="356" w:hRule="exact"/>
        </w:trPr>
        <w:tc>
          <w:tcPr>
            <w:tcW w:w="1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利润</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591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十七、母公司财务报表主要项目注释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3"/>
        <w:spacing w:line="240" w:lineRule="auto" w:before="83"/>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2"/>
        <w:gridCol w:w="762"/>
        <w:gridCol w:w="762"/>
        <w:gridCol w:w="790"/>
        <w:gridCol w:w="654"/>
        <w:gridCol w:w="762"/>
        <w:gridCol w:w="812"/>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2"/>
        <w:gridCol w:w="932"/>
        <w:gridCol w:w="932"/>
      </w:tblGrid>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319,035,</w:t>
            </w:r>
          </w:p>
          <w:p>
            <w:pPr>
              <w:pStyle w:val="TableParagraph"/>
              <w:spacing w:line="240" w:lineRule="auto" w:before="106"/>
              <w:ind w:left="213" w:right="0"/>
              <w:jc w:val="center"/>
              <w:rPr>
                <w:rFonts w:ascii="Times New Roman" w:hAnsi="Times New Roman" w:cs="Times New Roman" w:eastAsia="Times New Roman" w:hint="default"/>
                <w:sz w:val="18"/>
                <w:szCs w:val="18"/>
              </w:rPr>
            </w:pPr>
            <w:r>
              <w:rPr>
                <w:rFonts w:ascii="Times New Roman"/>
                <w:sz w:val="18"/>
              </w:rPr>
              <w:t>503.41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20,071,3</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88.90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298,964,1</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14.51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196,937</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,815.33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14,859,16</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4.35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182,078,65</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0.98</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319,035,</w:t>
            </w:r>
          </w:p>
          <w:p>
            <w:pPr>
              <w:pStyle w:val="TableParagraph"/>
              <w:spacing w:line="240" w:lineRule="auto" w:before="106"/>
              <w:ind w:left="213" w:right="0"/>
              <w:jc w:val="center"/>
              <w:rPr>
                <w:rFonts w:ascii="Times New Roman" w:hAnsi="Times New Roman" w:cs="Times New Roman" w:eastAsia="Times New Roman" w:hint="default"/>
                <w:sz w:val="18"/>
                <w:szCs w:val="18"/>
              </w:rPr>
            </w:pPr>
            <w:r>
              <w:rPr>
                <w:rFonts w:ascii="Times New Roman"/>
                <w:sz w:val="18"/>
              </w:rPr>
              <w:t>503.41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20,071,3</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88.90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298,964,1</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14.51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196,937</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,815.33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14,859,16</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4.35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182,078,65</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0.98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pStyle w:val="BodyText"/>
        <w:spacing w:line="240" w:lineRule="auto" w:before="51"/>
        <w:ind w:right="-20"/>
        <w:jc w:val="left"/>
      </w:pPr>
      <w:r>
        <w:rPr/>
        <w:t>期末单项金额重大并单项计提坏账准备的应收账款：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80" w:left="980" w:right="980"/>
          <w:cols w:num="2" w:equalWidth="0">
            <w:col w:w="4295" w:space="4534"/>
            <w:col w:w="112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4"/>
        <w:gridCol w:w="2390"/>
        <w:gridCol w:w="2389"/>
      </w:tblGrid>
      <w:tr>
        <w:trPr>
          <w:trHeight w:val="206" w:hRule="exact"/>
        </w:trPr>
        <w:tc>
          <w:tcPr>
            <w:tcW w:w="2494" w:type="dxa"/>
            <w:tcBorders>
              <w:top w:val="single" w:sz="4" w:space="0" w:color="000000"/>
              <w:left w:val="single" w:sz="4" w:space="0" w:color="000000"/>
              <w:bottom w:val="nil" w:sz="6" w:space="0" w:color="auto"/>
              <w:right w:val="single" w:sz="4" w:space="0" w:color="000000"/>
            </w:tcBorders>
            <w:shd w:val="clear" w:color="auto" w:fill="D3D3D3"/>
          </w:tcPr>
          <w:p>
            <w:pPr/>
          </w:p>
        </w:tc>
        <w:tc>
          <w:tcPr>
            <w:tcW w:w="7074"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9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4" w:type="dxa"/>
            <w:gridSpan w:val="3"/>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2494" w:type="dxa"/>
            <w:vMerge/>
            <w:tcBorders>
              <w:left w:val="single" w:sz="4" w:space="0" w:color="000000"/>
              <w:bottom w:val="nil" w:sz="6" w:space="0" w:color="auto"/>
              <w:right w:val="single" w:sz="4" w:space="0" w:color="000000"/>
            </w:tcBorders>
            <w:shd w:val="clear" w:color="auto" w:fill="D3D3D3"/>
          </w:tcPr>
          <w:p>
            <w:pPr/>
          </w:p>
        </w:tc>
        <w:tc>
          <w:tcPr>
            <w:tcW w:w="22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494" w:type="dxa"/>
            <w:tcBorders>
              <w:top w:val="nil" w:sz="6" w:space="0" w:color="auto"/>
              <w:left w:val="single" w:sz="4" w:space="0" w:color="000000"/>
              <w:bottom w:val="single" w:sz="4" w:space="0" w:color="000000"/>
              <w:right w:val="single" w:sz="4" w:space="0" w:color="000000"/>
            </w:tcBorders>
            <w:shd w:val="clear" w:color="auto" w:fill="D3D3D3"/>
          </w:tcPr>
          <w:p>
            <w:pPr/>
          </w:p>
        </w:tc>
        <w:tc>
          <w:tcPr>
            <w:tcW w:w="2294" w:type="dxa"/>
            <w:vMerge/>
            <w:tcBorders>
              <w:left w:val="single" w:sz="4" w:space="0" w:color="000000"/>
              <w:bottom w:val="single" w:sz="4" w:space="0" w:color="000000"/>
              <w:right w:val="single" w:sz="4" w:space="0" w:color="000000"/>
            </w:tcBorders>
            <w:shd w:val="clear" w:color="auto" w:fill="D3D3D3"/>
          </w:tcPr>
          <w:p>
            <w:pPr/>
          </w:p>
        </w:tc>
        <w:tc>
          <w:tcPr>
            <w:tcW w:w="2390" w:type="dxa"/>
            <w:vMerge/>
            <w:tcBorders>
              <w:left w:val="single" w:sz="4" w:space="0" w:color="000000"/>
              <w:bottom w:val="single" w:sz="4" w:space="0" w:color="000000"/>
              <w:right w:val="single" w:sz="4" w:space="0" w:color="000000"/>
            </w:tcBorders>
            <w:shd w:val="clear" w:color="auto" w:fill="D3D3D3"/>
          </w:tcPr>
          <w:p>
            <w:pPr/>
          </w:p>
        </w:tc>
        <w:tc>
          <w:tcPr>
            <w:tcW w:w="2389"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302,232,629.56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15,111,631.48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12,489,618.36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2,497,923.67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3,583,163.49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1,791,581.75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670,252.00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670,252.00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318,975,663.41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20,071,388.90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6.29%</w:t>
            </w:r>
          </w:p>
        </w:tc>
      </w:tr>
    </w:tbl>
    <w:p>
      <w:pPr>
        <w:pStyle w:val="BodyText"/>
        <w:spacing w:line="357" w:lineRule="auto" w:before="51"/>
        <w:ind w:left="153" w:right="5451"/>
        <w:jc w:val="left"/>
      </w:pPr>
      <w:r>
        <w:rPr/>
        <w:t>确定该组合依据的说明： 组合中，采用余额百分比法计提坏账准备的应收账款：</w:t>
      </w:r>
    </w:p>
    <w:p>
      <w:pPr>
        <w:pStyle w:val="BodyText"/>
        <w:spacing w:line="338" w:lineRule="auto" w:before="29"/>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80" w:left="980" w:right="980"/>
        </w:sectPr>
      </w:pPr>
    </w:p>
    <w:p>
      <w:pPr>
        <w:pStyle w:val="BodyText"/>
        <w:spacing w:line="338" w:lineRule="auto"/>
        <w:ind w:right="-19"/>
        <w:jc w:val="left"/>
      </w:pPr>
      <w:r>
        <w:rPr/>
        <w:t>本期计提坏账准备金额</w:t>
      </w:r>
      <w:r>
        <w:rPr>
          <w:spacing w:val="-46"/>
        </w:rPr>
        <w:t> </w:t>
      </w:r>
      <w:r>
        <w:rPr>
          <w:rFonts w:ascii="Times New Roman" w:hAnsi="Times New Roman" w:cs="Times New Roman" w:eastAsia="Times New Roman" w:hint="default"/>
        </w:rPr>
        <w:t>5,212,224.55</w:t>
      </w:r>
      <w:r>
        <w:rPr>
          <w:rFonts w:ascii="Times New Roman" w:hAnsi="Times New Roman" w:cs="Times New Roman" w:eastAsia="Times New Roman" w:hint="default"/>
          <w:spacing w:val="-1"/>
        </w:rPr>
        <w:t> </w:t>
      </w:r>
      <w:r>
        <w:rPr/>
        <w:t>元；本期收回或转回坏账准备金额元。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80" w:left="980" w:right="980"/>
          <w:cols w:num="2" w:equalWidth="0">
            <w:col w:w="6049" w:space="2779"/>
            <w:col w:w="1122"/>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9"/>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4964;top:14;width:23;height:393" coordorigin="4964,14" coordsize="23,393">
              <v:shape style="position:absolute;left:4964;top:14;width:23;height:393" coordorigin="4964,14" coordsize="23,393" path="m4964,407l4987,407,4987,14,4964,14,4964,407xe" filled="true" fillcolor="#d3d3d3" stroked="false">
                <v:path arrowok="t"/>
                <v:fill type="solid"/>
              </v:shape>
            </v:group>
            <v:group style="position:absolute;left:14;top:14;width:23;height:393" coordorigin="14,14" coordsize="23,393">
              <v:shape style="position:absolute;left:14;top:14;width:23;height:393" coordorigin="14,14" coordsize="23,393" path="m14,407l37,407,37,14,14,14,14,407xe" filled="true" fillcolor="#d3d3d3" stroked="false">
                <v:path arrowok="t"/>
                <v:fill type="solid"/>
              </v:shape>
            </v:group>
            <v:group style="position:absolute;left:37;top:14;width:4928;height:393" coordorigin="37,14" coordsize="4928,393">
              <v:shape style="position:absolute;left:37;top:14;width:4928;height:393" coordorigin="37,14" coordsize="4928,393" path="m37,407l4964,407,4964,14,37,14,37,407xe" filled="true" fillcolor="#d3d3d3" stroked="false">
                <v:path arrowok="t"/>
                <v:fill type="solid"/>
              </v:shape>
            </v:group>
            <v:group style="position:absolute;left:4998;top:14;width:23;height:393" coordorigin="4998,14" coordsize="23,393">
              <v:shape style="position:absolute;left:4998;top:14;width:23;height:393" coordorigin="4998,14" coordsize="23,393" path="m4998,407l5021,407,5021,14,4998,14,4998,407xe" filled="true" fillcolor="#d3d3d3" stroked="false">
                <v:path arrowok="t"/>
                <v:fill type="solid"/>
              </v:shape>
            </v:group>
            <v:group style="position:absolute;left:9550;top:14;width:23;height:393" coordorigin="9550,14" coordsize="23,393">
              <v:shape style="position:absolute;left:9550;top:14;width:23;height:393" coordorigin="9550,14" coordsize="23,393" path="m9550,407l9572,407,9572,14,9550,14,9550,407xe" filled="true" fillcolor="#d3d3d3" stroked="false">
                <v:path arrowok="t"/>
                <v:fill type="solid"/>
              </v:shape>
            </v:group>
            <v:group style="position:absolute;left:5021;top:14;width:4529;height:393" coordorigin="5021,14" coordsize="4529,393">
              <v:shape style="position:absolute;left:5021;top:14;width:4529;height:393" coordorigin="5021,14" coordsize="4529,393" path="m5021,407l9550,407,9550,14,5021,14,5021,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984;height:2" coordorigin="5,412" coordsize="4984,2">
              <v:shape style="position:absolute;left:5;top:412;width:4984;height:2" coordorigin="5,412" coordsize="4984,0" path="m5,412l4988,412e" filled="false" stroked="true" strokeweight=".48001pt" strokecolor="#000000">
                <v:path arrowok="t"/>
              </v:shape>
            </v:group>
            <v:group style="position:absolute;left:4993;top:14;width:2;height:402" coordorigin="4993,14" coordsize="2,402">
              <v:shape style="position:absolute;left:4993;top:14;width:2;height:402" coordorigin="4993,14" coordsize="0,402" path="m4993,14l4993,416e" filled="false" stroked="true" strokeweight=".47998pt" strokecolor="#000000">
                <v:path arrowok="t"/>
              </v:shape>
            </v:group>
            <v:group style="position:absolute;left:4998;top:412;width:4575;height:2" coordorigin="4998,412" coordsize="4575,2">
              <v:shape style="position:absolute;left:4998;top:412;width:4575;height:2" coordorigin="4998,412" coordsize="4575,0" path="m4998,412l9572,412e" filled="false" stroked="true" strokeweight=".48001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232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993;top:10;width:4584;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6"/>
        <w:ind w:right="0"/>
        <w:jc w:val="left"/>
      </w:pPr>
      <w:r>
        <w:rPr/>
        <w:t>其中重要的应收账款核销情况：</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32" w:right="80"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9" w:lineRule="auto"/>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中国民生银行股份有 限公司深圳分行</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董事会决议</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中国农业银行股份有 限公司十堰分行</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1,260.00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董事会决议</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中国农业银行股份有 限公司黄石分行</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1,260.00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董事会决议</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茂名好易联网络科技 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董事会决议</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北京邮政信息技术局</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31,787.00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董事会决议</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北京数字王府井科技 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董事会决议</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中国农业银行股份有 限公司内江市分行</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1,680.00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董事会决议</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both"/>
              <w:rPr>
                <w:rFonts w:ascii="宋体" w:hAnsi="宋体" w:cs="宋体" w:eastAsia="宋体" w:hint="default"/>
                <w:sz w:val="18"/>
                <w:szCs w:val="18"/>
              </w:rPr>
            </w:pPr>
            <w:r>
              <w:rPr>
                <w:rFonts w:ascii="宋体" w:hAnsi="宋体" w:cs="宋体" w:eastAsia="宋体" w:hint="default"/>
                <w:sz w:val="18"/>
                <w:szCs w:val="18"/>
              </w:rPr>
              <w:t>通联支付网络服务股 份有限公司辽宁分公 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董事会决议</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佛山市顺德区联鑫信 息技术有限公司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2,410.00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董事会决议</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渤海易生商务服务有 限公司杭州分公司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董事会决议</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上海商业高新技术有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134,475.00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董事会决议</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180,392.00</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left="153" w:right="3771"/>
        <w:jc w:val="left"/>
      </w:pPr>
      <w:r>
        <w:rPr/>
        <w:t>应收账款核销说明： 期末应收账款中无应收持本公司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以上表决权股份的股东单位款项。</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3"/>
          <w:szCs w:val="13"/>
        </w:rPr>
      </w:pPr>
    </w:p>
    <w:tbl>
      <w:tblPr>
        <w:tblW w:w="0" w:type="auto"/>
        <w:jc w:val="left"/>
        <w:tblInd w:w="146" w:type="dxa"/>
        <w:tblLayout w:type="fixed"/>
        <w:tblCellMar>
          <w:top w:w="0" w:type="dxa"/>
          <w:left w:w="0" w:type="dxa"/>
          <w:bottom w:w="0" w:type="dxa"/>
          <w:right w:w="0" w:type="dxa"/>
        </w:tblCellMar>
        <w:tblLook w:val="01E0"/>
      </w:tblPr>
      <w:tblGrid>
        <w:gridCol w:w="3119"/>
        <w:gridCol w:w="1442"/>
        <w:gridCol w:w="1726"/>
        <w:gridCol w:w="1175"/>
        <w:gridCol w:w="1372"/>
      </w:tblGrid>
      <w:tr>
        <w:trPr>
          <w:trHeight w:val="667" w:hRule="exact"/>
        </w:trPr>
        <w:tc>
          <w:tcPr>
            <w:tcW w:w="31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7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372" w:type="dxa"/>
            <w:tcBorders>
              <w:top w:val="single" w:sz="6" w:space="0" w:color="000000"/>
              <w:left w:val="single" w:sz="6" w:space="0" w:color="000000"/>
              <w:bottom w:val="single" w:sz="12" w:space="0" w:color="000000"/>
              <w:right w:val="nil" w:sz="6" w:space="0" w:color="auto"/>
            </w:tcBorders>
          </w:tcPr>
          <w:p>
            <w:pPr>
              <w:pStyle w:val="TableParagraph"/>
              <w:spacing w:line="316" w:lineRule="auto" w:before="21"/>
              <w:ind w:left="408" w:right="54" w:hanging="360"/>
              <w:jc w:val="left"/>
              <w:rPr>
                <w:rFonts w:ascii="宋体" w:hAnsi="宋体" w:cs="宋体" w:eastAsia="宋体" w:hint="default"/>
                <w:sz w:val="18"/>
                <w:szCs w:val="18"/>
              </w:rPr>
            </w:pPr>
            <w:r>
              <w:rPr>
                <w:rFonts w:ascii="宋体" w:hAnsi="宋体" w:cs="宋体" w:eastAsia="宋体" w:hint="default"/>
                <w:sz w:val="18"/>
                <w:szCs w:val="18"/>
              </w:rPr>
              <w:t>占应收账款总额 的比例</w:t>
            </w:r>
          </w:p>
        </w:tc>
      </w:tr>
      <w:tr>
        <w:trPr>
          <w:trHeight w:val="353" w:hRule="exact"/>
        </w:trPr>
        <w:tc>
          <w:tcPr>
            <w:tcW w:w="3119" w:type="dxa"/>
            <w:vMerge w:val="restart"/>
            <w:tcBorders>
              <w:top w:val="single" w:sz="12" w:space="0" w:color="000000"/>
              <w:left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银联商务有限公司</w:t>
            </w:r>
          </w:p>
        </w:tc>
        <w:tc>
          <w:tcPr>
            <w:tcW w:w="1442" w:type="dxa"/>
            <w:vMerge w:val="restart"/>
            <w:tcBorders>
              <w:top w:val="single" w:sz="12"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7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127,271,613.20</w:t>
            </w:r>
          </w:p>
        </w:tc>
        <w:tc>
          <w:tcPr>
            <w:tcW w:w="11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37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39.89%</w:t>
            </w:r>
          </w:p>
        </w:tc>
      </w:tr>
      <w:tr>
        <w:trPr>
          <w:trHeight w:val="352" w:hRule="exact"/>
        </w:trPr>
        <w:tc>
          <w:tcPr>
            <w:tcW w:w="3119" w:type="dxa"/>
            <w:vMerge/>
            <w:tcBorders>
              <w:left w:val="single" w:sz="6" w:space="0" w:color="000000"/>
              <w:right w:val="single" w:sz="6" w:space="0" w:color="000000"/>
            </w:tcBorders>
          </w:tcPr>
          <w:p>
            <w:pPr/>
          </w:p>
        </w:tc>
        <w:tc>
          <w:tcPr>
            <w:tcW w:w="1442" w:type="dxa"/>
            <w:vMerge/>
            <w:tcBorders>
              <w:left w:val="single" w:sz="6" w:space="0" w:color="000000"/>
              <w:right w:val="single" w:sz="6" w:space="0" w:color="000000"/>
            </w:tcBorders>
          </w:tcPr>
          <w:p>
            <w:pPr/>
          </w:p>
        </w:tc>
        <w:tc>
          <w:tcPr>
            <w:tcW w:w="17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474,186.24</w:t>
            </w:r>
          </w:p>
        </w:tc>
        <w:tc>
          <w:tcPr>
            <w:tcW w:w="11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137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0.15%</w:t>
            </w:r>
          </w:p>
        </w:tc>
      </w:tr>
      <w:tr>
        <w:trPr>
          <w:trHeight w:val="352" w:hRule="exact"/>
        </w:trPr>
        <w:tc>
          <w:tcPr>
            <w:tcW w:w="3119" w:type="dxa"/>
            <w:vMerge/>
            <w:tcBorders>
              <w:left w:val="single" w:sz="6" w:space="0" w:color="000000"/>
              <w:bottom w:val="single" w:sz="12" w:space="0" w:color="000000"/>
              <w:right w:val="single" w:sz="6" w:space="0" w:color="000000"/>
            </w:tcBorders>
          </w:tcPr>
          <w:p>
            <w:pPr/>
          </w:p>
        </w:tc>
        <w:tc>
          <w:tcPr>
            <w:tcW w:w="1442" w:type="dxa"/>
            <w:vMerge/>
            <w:tcBorders>
              <w:left w:val="single" w:sz="6" w:space="0" w:color="000000"/>
              <w:bottom w:val="single" w:sz="12" w:space="0" w:color="000000"/>
              <w:right w:val="single" w:sz="6" w:space="0" w:color="000000"/>
            </w:tcBorders>
          </w:tcPr>
          <w:p>
            <w:pPr/>
          </w:p>
        </w:tc>
        <w:tc>
          <w:tcPr>
            <w:tcW w:w="17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50,943.50</w:t>
            </w:r>
          </w:p>
        </w:tc>
        <w:tc>
          <w:tcPr>
            <w:tcW w:w="11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137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0.02%</w:t>
            </w:r>
          </w:p>
        </w:tc>
      </w:tr>
      <w:tr>
        <w:trPr>
          <w:trHeight w:val="353" w:hRule="exact"/>
        </w:trPr>
        <w:tc>
          <w:tcPr>
            <w:tcW w:w="3119" w:type="dxa"/>
            <w:vMerge w:val="restart"/>
            <w:tcBorders>
              <w:top w:val="single" w:sz="12" w:space="0" w:color="000000"/>
              <w:left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通联支付网络服务股份有限公司</w:t>
            </w:r>
          </w:p>
        </w:tc>
        <w:tc>
          <w:tcPr>
            <w:tcW w:w="1442" w:type="dxa"/>
            <w:vMerge w:val="restart"/>
            <w:tcBorders>
              <w:top w:val="single" w:sz="12" w:space="0" w:color="000000"/>
              <w:left w:val="single" w:sz="6" w:space="0" w:color="000000"/>
              <w:right w:val="single" w:sz="6" w:space="0" w:color="000000"/>
            </w:tcBorders>
          </w:tcPr>
          <w:p>
            <w:pPr>
              <w:pStyle w:val="TableParagraph"/>
              <w:spacing w:line="240" w:lineRule="auto" w:before="10"/>
              <w:ind w:left="35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7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41,290,881.95</w:t>
            </w:r>
          </w:p>
        </w:tc>
        <w:tc>
          <w:tcPr>
            <w:tcW w:w="11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37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12.94%</w:t>
            </w:r>
          </w:p>
        </w:tc>
      </w:tr>
      <w:tr>
        <w:trPr>
          <w:trHeight w:val="352" w:hRule="exact"/>
        </w:trPr>
        <w:tc>
          <w:tcPr>
            <w:tcW w:w="3119" w:type="dxa"/>
            <w:vMerge/>
            <w:tcBorders>
              <w:left w:val="single" w:sz="6" w:space="0" w:color="000000"/>
              <w:bottom w:val="single" w:sz="12" w:space="0" w:color="000000"/>
              <w:right w:val="single" w:sz="6" w:space="0" w:color="000000"/>
            </w:tcBorders>
          </w:tcPr>
          <w:p>
            <w:pPr/>
          </w:p>
        </w:tc>
        <w:tc>
          <w:tcPr>
            <w:tcW w:w="1442" w:type="dxa"/>
            <w:vMerge/>
            <w:tcBorders>
              <w:left w:val="single" w:sz="6" w:space="0" w:color="000000"/>
              <w:bottom w:val="single" w:sz="12" w:space="0" w:color="000000"/>
              <w:right w:val="single" w:sz="6" w:space="0" w:color="000000"/>
            </w:tcBorders>
          </w:tcPr>
          <w:p>
            <w:pPr/>
          </w:p>
        </w:tc>
        <w:tc>
          <w:tcPr>
            <w:tcW w:w="17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1,612,890.01</w:t>
            </w:r>
          </w:p>
        </w:tc>
        <w:tc>
          <w:tcPr>
            <w:tcW w:w="11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137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0.51%</w:t>
            </w:r>
          </w:p>
        </w:tc>
      </w:tr>
      <w:tr>
        <w:trPr>
          <w:trHeight w:val="352" w:hRule="exact"/>
        </w:trPr>
        <w:tc>
          <w:tcPr>
            <w:tcW w:w="31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广东嘉联支付技术有限公司</w:t>
            </w:r>
          </w:p>
        </w:tc>
        <w:tc>
          <w:tcPr>
            <w:tcW w:w="14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19,756,444.00</w:t>
            </w:r>
          </w:p>
        </w:tc>
        <w:tc>
          <w:tcPr>
            <w:tcW w:w="11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37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6.19%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6" w:type="dxa"/>
        <w:tblLayout w:type="fixed"/>
        <w:tblCellMar>
          <w:top w:w="0" w:type="dxa"/>
          <w:left w:w="0" w:type="dxa"/>
          <w:bottom w:w="0" w:type="dxa"/>
          <w:right w:w="0" w:type="dxa"/>
        </w:tblCellMar>
        <w:tblLook w:val="01E0"/>
      </w:tblPr>
      <w:tblGrid>
        <w:gridCol w:w="3119"/>
        <w:gridCol w:w="1442"/>
        <w:gridCol w:w="1726"/>
        <w:gridCol w:w="1175"/>
        <w:gridCol w:w="1372"/>
      </w:tblGrid>
      <w:tr>
        <w:trPr>
          <w:trHeight w:val="355" w:hRule="exact"/>
        </w:trPr>
        <w:tc>
          <w:tcPr>
            <w:tcW w:w="3119" w:type="dxa"/>
            <w:tcBorders>
              <w:top w:val="single" w:sz="6" w:space="0" w:color="000000"/>
              <w:left w:val="single" w:sz="6" w:space="0" w:color="000000"/>
              <w:bottom w:val="single" w:sz="12" w:space="0" w:color="000000"/>
              <w:right w:val="single" w:sz="6" w:space="0" w:color="000000"/>
            </w:tcBorders>
          </w:tcPr>
          <w:p>
            <w:pPr/>
          </w:p>
        </w:tc>
        <w:tc>
          <w:tcPr>
            <w:tcW w:w="1442" w:type="dxa"/>
            <w:tcBorders>
              <w:top w:val="single" w:sz="6" w:space="0" w:color="000000"/>
              <w:left w:val="single" w:sz="6" w:space="0" w:color="000000"/>
              <w:bottom w:val="single" w:sz="12" w:space="0" w:color="000000"/>
              <w:right w:val="single" w:sz="6" w:space="0" w:color="000000"/>
            </w:tcBorders>
          </w:tcPr>
          <w:p>
            <w:pPr/>
          </w:p>
        </w:tc>
        <w:tc>
          <w:tcPr>
            <w:tcW w:w="17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1,874,790.96</w:t>
            </w:r>
          </w:p>
        </w:tc>
        <w:tc>
          <w:tcPr>
            <w:tcW w:w="11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137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0.59%</w:t>
            </w:r>
          </w:p>
        </w:tc>
      </w:tr>
      <w:tr>
        <w:trPr>
          <w:trHeight w:val="353" w:hRule="exact"/>
        </w:trPr>
        <w:tc>
          <w:tcPr>
            <w:tcW w:w="31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深圳市信利康供应链管理有限公司</w:t>
            </w:r>
          </w:p>
        </w:tc>
        <w:tc>
          <w:tcPr>
            <w:tcW w:w="14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35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7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17,345,871.63</w:t>
            </w:r>
          </w:p>
        </w:tc>
        <w:tc>
          <w:tcPr>
            <w:tcW w:w="11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37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5.44%</w:t>
            </w:r>
          </w:p>
        </w:tc>
      </w:tr>
      <w:tr>
        <w:trPr>
          <w:trHeight w:val="352" w:hRule="exact"/>
        </w:trPr>
        <w:tc>
          <w:tcPr>
            <w:tcW w:w="31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河北省邮政局</w:t>
            </w:r>
          </w:p>
        </w:tc>
        <w:tc>
          <w:tcPr>
            <w:tcW w:w="14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35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7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12,149,100.00</w:t>
            </w:r>
          </w:p>
        </w:tc>
        <w:tc>
          <w:tcPr>
            <w:tcW w:w="11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37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3.81%</w:t>
            </w:r>
          </w:p>
        </w:tc>
      </w:tr>
      <w:tr>
        <w:trPr>
          <w:trHeight w:val="352" w:hRule="exact"/>
        </w:trPr>
        <w:tc>
          <w:tcPr>
            <w:tcW w:w="31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42" w:type="dxa"/>
            <w:tcBorders>
              <w:top w:val="single" w:sz="12" w:space="0" w:color="000000"/>
              <w:left w:val="single" w:sz="6" w:space="0" w:color="000000"/>
              <w:bottom w:val="single" w:sz="12" w:space="0" w:color="000000"/>
              <w:right w:val="single" w:sz="6" w:space="0" w:color="000000"/>
            </w:tcBorders>
          </w:tcPr>
          <w:p>
            <w:pPr/>
          </w:p>
        </w:tc>
        <w:tc>
          <w:tcPr>
            <w:tcW w:w="17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221,826,721.49</w:t>
            </w:r>
          </w:p>
        </w:tc>
        <w:tc>
          <w:tcPr>
            <w:tcW w:w="1175" w:type="dxa"/>
            <w:tcBorders>
              <w:top w:val="single" w:sz="12" w:space="0" w:color="000000"/>
              <w:left w:val="single" w:sz="6" w:space="0" w:color="000000"/>
              <w:bottom w:val="single" w:sz="12" w:space="0" w:color="000000"/>
              <w:right w:val="single" w:sz="6" w:space="0" w:color="000000"/>
            </w:tcBorders>
          </w:tcPr>
          <w:p>
            <w:pPr/>
          </w:p>
        </w:tc>
        <w:tc>
          <w:tcPr>
            <w:tcW w:w="137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69.54%</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1"/>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2850"/>
        <w:gridCol w:w="1814"/>
        <w:gridCol w:w="1512"/>
        <w:gridCol w:w="2600"/>
      </w:tblGrid>
      <w:tr>
        <w:trPr>
          <w:trHeight w:val="355" w:hRule="exact"/>
        </w:trPr>
        <w:tc>
          <w:tcPr>
            <w:tcW w:w="28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8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358"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5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60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left="392" w:right="0"/>
              <w:jc w:val="left"/>
              <w:rPr>
                <w:rFonts w:ascii="宋体" w:hAnsi="宋体" w:cs="宋体" w:eastAsia="宋体" w:hint="default"/>
                <w:sz w:val="18"/>
                <w:szCs w:val="18"/>
              </w:rPr>
            </w:pPr>
            <w:r>
              <w:rPr>
                <w:rFonts w:ascii="宋体" w:hAnsi="宋体" w:cs="宋体" w:eastAsia="宋体" w:hint="default"/>
                <w:sz w:val="18"/>
                <w:szCs w:val="18"/>
              </w:rPr>
              <w:t>占应收账款总额的比例</w:t>
            </w:r>
          </w:p>
        </w:tc>
      </w:tr>
      <w:tr>
        <w:trPr>
          <w:trHeight w:val="352" w:hRule="exact"/>
        </w:trPr>
        <w:tc>
          <w:tcPr>
            <w:tcW w:w="28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深圳市瑞柏泰电子有限公司</w:t>
            </w:r>
          </w:p>
        </w:tc>
        <w:tc>
          <w:tcPr>
            <w:tcW w:w="18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本公司联营企业</w:t>
            </w:r>
          </w:p>
        </w:tc>
        <w:tc>
          <w:tcPr>
            <w:tcW w:w="15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625,870.00</w:t>
            </w:r>
          </w:p>
        </w:tc>
        <w:tc>
          <w:tcPr>
            <w:tcW w:w="260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0.20%</w:t>
            </w:r>
          </w:p>
        </w:tc>
      </w:tr>
      <w:tr>
        <w:trPr>
          <w:trHeight w:val="352" w:hRule="exact"/>
        </w:trPr>
        <w:tc>
          <w:tcPr>
            <w:tcW w:w="28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814" w:type="dxa"/>
            <w:tcBorders>
              <w:top w:val="single" w:sz="12" w:space="0" w:color="000000"/>
              <w:left w:val="single" w:sz="6" w:space="0" w:color="000000"/>
              <w:bottom w:val="single" w:sz="12" w:space="0" w:color="000000"/>
              <w:right w:val="single" w:sz="6" w:space="0" w:color="000000"/>
            </w:tcBorders>
          </w:tcPr>
          <w:p>
            <w:pPr/>
          </w:p>
        </w:tc>
        <w:tc>
          <w:tcPr>
            <w:tcW w:w="15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625,870.00</w:t>
            </w:r>
          </w:p>
        </w:tc>
        <w:tc>
          <w:tcPr>
            <w:tcW w:w="260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0.20%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2"/>
        <w:gridCol w:w="762"/>
        <w:gridCol w:w="762"/>
        <w:gridCol w:w="790"/>
        <w:gridCol w:w="654"/>
        <w:gridCol w:w="762"/>
        <w:gridCol w:w="812"/>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19,301,7</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35.46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1,318,07</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5.93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17,983,65</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9.53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9,579,4</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33.54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935,848.5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8,643,585.0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19,301,7</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35.46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1,318,07</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5.93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17,983,65</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9.53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9,579,4</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33.54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935,848.5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8,643,585.0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pStyle w:val="BodyText"/>
        <w:spacing w:line="240" w:lineRule="auto" w:before="51"/>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80" w:left="980" w:right="980"/>
          <w:cols w:num="2" w:equalWidth="0">
            <w:col w:w="4475" w:space="4354"/>
            <w:col w:w="112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4"/>
        <w:gridCol w:w="2390"/>
        <w:gridCol w:w="2389"/>
      </w:tblGrid>
      <w:tr>
        <w:trPr>
          <w:trHeight w:val="206" w:hRule="exact"/>
        </w:trPr>
        <w:tc>
          <w:tcPr>
            <w:tcW w:w="2494" w:type="dxa"/>
            <w:tcBorders>
              <w:top w:val="single" w:sz="4" w:space="0" w:color="000000"/>
              <w:left w:val="single" w:sz="4" w:space="0" w:color="000000"/>
              <w:bottom w:val="nil" w:sz="6" w:space="0" w:color="auto"/>
              <w:right w:val="single" w:sz="4" w:space="0" w:color="000000"/>
            </w:tcBorders>
            <w:shd w:val="clear" w:color="auto" w:fill="D3D3D3"/>
          </w:tcPr>
          <w:p>
            <w:pPr/>
          </w:p>
        </w:tc>
        <w:tc>
          <w:tcPr>
            <w:tcW w:w="7074"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9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4" w:type="dxa"/>
            <w:gridSpan w:val="3"/>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2494" w:type="dxa"/>
            <w:vMerge/>
            <w:tcBorders>
              <w:left w:val="single" w:sz="4" w:space="0" w:color="000000"/>
              <w:bottom w:val="nil" w:sz="6" w:space="0" w:color="auto"/>
              <w:right w:val="single" w:sz="4" w:space="0" w:color="000000"/>
            </w:tcBorders>
            <w:shd w:val="clear" w:color="auto" w:fill="D3D3D3"/>
          </w:tcPr>
          <w:p>
            <w:pPr/>
          </w:p>
        </w:tc>
        <w:tc>
          <w:tcPr>
            <w:tcW w:w="22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494" w:type="dxa"/>
            <w:tcBorders>
              <w:top w:val="nil" w:sz="6" w:space="0" w:color="auto"/>
              <w:left w:val="single" w:sz="4" w:space="0" w:color="000000"/>
              <w:bottom w:val="single" w:sz="4" w:space="0" w:color="000000"/>
              <w:right w:val="single" w:sz="4" w:space="0" w:color="000000"/>
            </w:tcBorders>
            <w:shd w:val="clear" w:color="auto" w:fill="D3D3D3"/>
          </w:tcPr>
          <w:p>
            <w:pPr/>
          </w:p>
        </w:tc>
        <w:tc>
          <w:tcPr>
            <w:tcW w:w="2294" w:type="dxa"/>
            <w:vMerge/>
            <w:tcBorders>
              <w:left w:val="single" w:sz="4" w:space="0" w:color="000000"/>
              <w:bottom w:val="single" w:sz="4" w:space="0" w:color="000000"/>
              <w:right w:val="single" w:sz="4" w:space="0" w:color="000000"/>
            </w:tcBorders>
            <w:shd w:val="clear" w:color="auto" w:fill="D3D3D3"/>
          </w:tcPr>
          <w:p>
            <w:pPr/>
          </w:p>
        </w:tc>
        <w:tc>
          <w:tcPr>
            <w:tcW w:w="2390" w:type="dxa"/>
            <w:vMerge/>
            <w:tcBorders>
              <w:left w:val="single" w:sz="4" w:space="0" w:color="000000"/>
              <w:bottom w:val="single" w:sz="4" w:space="0" w:color="000000"/>
              <w:right w:val="single" w:sz="4" w:space="0" w:color="000000"/>
            </w:tcBorders>
            <w:shd w:val="clear" w:color="auto" w:fill="D3D3D3"/>
          </w:tcPr>
          <w:p>
            <w:pPr/>
          </w:p>
        </w:tc>
        <w:tc>
          <w:tcPr>
            <w:tcW w:w="2389"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3,441,567.57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172,078.38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557,958.75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111,591.75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0"/>
        <w:gridCol w:w="2389"/>
      </w:tblGrid>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1,849,940.22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924,970.11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109,435.69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109,435.69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5,958,902.23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1,318,075.93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22.12%</w:t>
            </w:r>
          </w:p>
        </w:tc>
      </w:tr>
    </w:tbl>
    <w:p>
      <w:pPr>
        <w:pStyle w:val="BodyText"/>
        <w:spacing w:line="360" w:lineRule="auto" w:before="51"/>
        <w:ind w:left="153" w:right="5271"/>
        <w:jc w:val="left"/>
      </w:pPr>
      <w:r>
        <w:rPr/>
        <w:t>确定该组合依据的说明： 组合中，采用余额百分比法计提坏账准备的其他应收款：</w:t>
      </w:r>
    </w:p>
    <w:p>
      <w:pPr>
        <w:pStyle w:val="BodyText"/>
        <w:spacing w:line="340" w:lineRule="auto" w:before="26"/>
        <w:ind w:right="56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80"/>
        </w:sectPr>
      </w:pPr>
    </w:p>
    <w:p>
      <w:pPr>
        <w:pStyle w:val="BodyText"/>
        <w:spacing w:line="338" w:lineRule="auto"/>
        <w:ind w:left="153" w:right="-17"/>
        <w:jc w:val="left"/>
      </w:pPr>
      <w:r>
        <w:rPr/>
        <w:t>本期计提坏账准备金额</w:t>
      </w:r>
      <w:r>
        <w:rPr>
          <w:spacing w:val="-46"/>
        </w:rPr>
        <w:t> </w:t>
      </w:r>
      <w:r>
        <w:rPr>
          <w:rFonts w:ascii="Times New Roman" w:hAnsi="Times New Roman" w:cs="Times New Roman" w:eastAsia="Times New Roman" w:hint="default"/>
        </w:rPr>
        <w:t>382,227.43</w:t>
      </w:r>
      <w:r>
        <w:rPr>
          <w:rFonts w:ascii="Times New Roman" w:hAnsi="Times New Roman" w:cs="Times New Roman" w:eastAsia="Times New Roman" w:hint="default"/>
          <w:spacing w:val="-1"/>
        </w:rPr>
        <w:t> </w:t>
      </w:r>
      <w:r>
        <w:rPr/>
        <w:t>元；本期收回或转回坏账准备金额元。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80" w:left="980" w:right="980"/>
          <w:cols w:num="2" w:equalWidth="0">
            <w:col w:w="5915" w:space="2914"/>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9"/>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4964;top:14;width:23;height:393" coordorigin="4964,14" coordsize="23,393">
              <v:shape style="position:absolute;left:4964;top:14;width:23;height:393" coordorigin="4964,14" coordsize="23,393" path="m4964,407l4987,407,4987,14,4964,14,4964,407xe" filled="true" fillcolor="#d3d3d3" stroked="false">
                <v:path arrowok="t"/>
                <v:fill type="solid"/>
              </v:shape>
            </v:group>
            <v:group style="position:absolute;left:14;top:14;width:23;height:393" coordorigin="14,14" coordsize="23,393">
              <v:shape style="position:absolute;left:14;top:14;width:23;height:393" coordorigin="14,14" coordsize="23,393" path="m14,407l37,407,37,14,14,14,14,407xe" filled="true" fillcolor="#d3d3d3" stroked="false">
                <v:path arrowok="t"/>
                <v:fill type="solid"/>
              </v:shape>
            </v:group>
            <v:group style="position:absolute;left:37;top:14;width:4928;height:393" coordorigin="37,14" coordsize="4928,393">
              <v:shape style="position:absolute;left:37;top:14;width:4928;height:393" coordorigin="37,14" coordsize="4928,393" path="m37,407l4964,407,4964,14,37,14,37,407xe" filled="true" fillcolor="#d3d3d3" stroked="false">
                <v:path arrowok="t"/>
                <v:fill type="solid"/>
              </v:shape>
            </v:group>
            <v:group style="position:absolute;left:4998;top:14;width:23;height:393" coordorigin="4998,14" coordsize="23,393">
              <v:shape style="position:absolute;left:4998;top:14;width:23;height:393" coordorigin="4998,14" coordsize="23,393" path="m4998,407l5021,407,5021,14,4998,14,4998,407xe" filled="true" fillcolor="#d3d3d3" stroked="false">
                <v:path arrowok="t"/>
                <v:fill type="solid"/>
              </v:shape>
            </v:group>
            <v:group style="position:absolute;left:9550;top:14;width:23;height:393" coordorigin="9550,14" coordsize="23,393">
              <v:shape style="position:absolute;left:9550;top:14;width:23;height:393" coordorigin="9550,14" coordsize="23,393" path="m9550,407l9572,407,9572,14,9550,14,9550,407xe" filled="true" fillcolor="#d3d3d3" stroked="false">
                <v:path arrowok="t"/>
                <v:fill type="solid"/>
              </v:shape>
            </v:group>
            <v:group style="position:absolute;left:5021;top:14;width:4529;height:393" coordorigin="5021,14" coordsize="4529,393">
              <v:shape style="position:absolute;left:5021;top:14;width:4529;height:393" coordorigin="5021,14" coordsize="4529,393" path="m5021,407l9550,407,9550,14,5021,14,5021,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1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984;height:2" coordorigin="5,412" coordsize="4984,2">
              <v:shape style="position:absolute;left:5;top:412;width:4984;height:2" coordorigin="5,412" coordsize="4984,0" path="m5,412l4988,412e" filled="false" stroked="true" strokeweight=".47998pt" strokecolor="#000000">
                <v:path arrowok="t"/>
              </v:shape>
            </v:group>
            <v:group style="position:absolute;left:4993;top:14;width:2;height:402" coordorigin="4993,14" coordsize="2,402">
              <v:shape style="position:absolute;left:4993;top:14;width:2;height:402" coordorigin="4993,14" coordsize="0,402" path="m4993,14l4993,416e" filled="false" stroked="true" strokeweight=".47998pt" strokecolor="#000000">
                <v:path arrowok="t"/>
              </v:shape>
            </v:group>
            <v:group style="position:absolute;left:4998;top:412;width:4575;height:2" coordorigin="4998,412" coordsize="4575,2">
              <v:shape style="position:absolute;left:4998;top:412;width:4575;height:2" coordorigin="4998,412" coordsize="4575,0" path="m4998,412l9572,412e" filled="false" stroked="true" strokeweight=".47998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232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993;top:10;width:4584;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6"/>
        <w:ind w:right="0"/>
        <w:jc w:val="left"/>
      </w:pPr>
      <w:r>
        <w:rPr/>
        <w:t>其中重要的其他应收款核销情况：</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32" w:right="80"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357" w:lineRule="auto" w:before="51"/>
        <w:ind w:left="153" w:right="3411"/>
        <w:jc w:val="left"/>
      </w:pPr>
      <w:r>
        <w:rPr/>
        <w:t>其他应收款核销说明： 期末其他应收款中，无应收持本公司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以上表决权股份的股东单位款项。</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职员借款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1,204,747.00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2,378,282.61</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17,799,493.75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6,956,459.36</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代垫社保款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297,494.71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244,691.57</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19,301,735.46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9,579,433.54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81"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苏州新国都电子技术 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10,352,543.52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53.64%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南京市新国都技术有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深圳市易联技术有限 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1,250,289.71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6.48%</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麦启光</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房屋租赁押金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1,159,920.00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579,960.00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山西三公招标代理有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招标保证金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3.11%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30,000.00</w:t>
            </w: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15,102,753.23</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78.24%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609,960.00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7"/>
        <w:gridCol w:w="1944"/>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95" w:right="6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519,060,000.00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519,060,000.00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389,060,000.00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389,060,000.00</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24,526,601.30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24,526,601.30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22,062,164.22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22,062,164.22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543,586,601.30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543,586,601.30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411,122,164.22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411,122,164.22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7"/>
        <w:gridCol w:w="1336"/>
        <w:gridCol w:w="1336"/>
        <w:gridCol w:w="1334"/>
        <w:gridCol w:w="1336"/>
        <w:gridCol w:w="1388"/>
        <w:gridCol w:w="1390"/>
      </w:tblGrid>
      <w:tr>
        <w:trPr>
          <w:trHeight w:val="713" w:hRule="exact"/>
        </w:trPr>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易联技术</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南京新国都公司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广州新国都公司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苏州新国都公司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263,060,000.00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393,060,000.00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389,060,000.00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519,060,000.00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深圳市瑞 柏泰电子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22,062,16</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4.22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2,464,437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24,526,60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1.30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22,062,16</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4.22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2,464,437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24,526,60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1.30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22,062,16</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4.22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2,464,437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24,526,60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1.30</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94" w:type="dxa"/>
            <w:vMerge/>
            <w:tcBorders>
              <w:left w:val="single" w:sz="4" w:space="0" w:color="000000"/>
              <w:bottom w:val="single" w:sz="4" w:space="0" w:color="000000"/>
              <w:right w:val="single" w:sz="4" w:space="0" w:color="000000"/>
            </w:tcBorders>
            <w:shd w:val="clear" w:color="auto" w:fill="D3D3D3"/>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3"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1"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9" w:right="0"/>
              <w:jc w:val="left"/>
              <w:rPr>
                <w:rFonts w:ascii="Times New Roman" w:hAnsi="Times New Roman" w:cs="Times New Roman" w:eastAsia="Times New Roman" w:hint="default"/>
                <w:sz w:val="18"/>
                <w:szCs w:val="18"/>
              </w:rPr>
            </w:pPr>
            <w:r>
              <w:rPr>
                <w:rFonts w:ascii="Times New Roman"/>
                <w:sz w:val="18"/>
              </w:rPr>
              <w:t>677,939,954.18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500,671,254.12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497,767,043.71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415,097,525.26</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801,325.00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454,646.50</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9" w:right="0"/>
              <w:jc w:val="left"/>
              <w:rPr>
                <w:rFonts w:ascii="Times New Roman" w:hAnsi="Times New Roman" w:cs="Times New Roman" w:eastAsia="Times New Roman" w:hint="default"/>
                <w:sz w:val="18"/>
                <w:szCs w:val="18"/>
              </w:rPr>
            </w:pPr>
            <w:r>
              <w:rPr>
                <w:rFonts w:ascii="Times New Roman"/>
                <w:sz w:val="18"/>
              </w:rPr>
              <w:t>677,939,954.18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500,671,254.12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498,568,368.71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415,552,171.76</w:t>
            </w:r>
          </w:p>
        </w:tc>
      </w:tr>
    </w:tbl>
    <w:p>
      <w:pPr>
        <w:pStyle w:val="BodyText"/>
        <w:spacing w:line="240" w:lineRule="auto" w:before="51"/>
        <w:ind w:right="0"/>
        <w:jc w:val="left"/>
      </w:pPr>
      <w:r>
        <w:rPr/>
        <w:t>其他说明：</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2,464,437.08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2,062,164.22</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转让联营公司股权</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9,115,037.05</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2,464,437.08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41,177,201.27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0"/>
        <w:jc w:val="left"/>
        <w:rPr>
          <w:b w:val="0"/>
          <w:bCs w:val="0"/>
        </w:rPr>
      </w:pPr>
      <w:r>
        <w:rPr/>
        <w:t>十八、补充资料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240" w:lineRule="auto" w:before="102"/>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479,361.17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4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5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10,833,200.00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-389,370.18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10,873,190.99</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r>
        <w:rPr/>
      </w:r>
    </w:p>
    <w:p>
      <w:pPr>
        <w:pStyle w:val="BodyText"/>
        <w:spacing w:line="302" w:lineRule="auto" w:before="61"/>
        <w:ind w:right="137"/>
        <w:jc w:val="left"/>
      </w:pPr>
      <w:r>
        <w:rPr/>
        <w:t>开发行证券的公司信息披露解释性公告第</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3080"/>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3D3D3"/>
          </w:tcPr>
          <w:p>
            <w:pPr/>
          </w:p>
        </w:tc>
        <w:tc>
          <w:tcPr>
            <w:tcW w:w="3080" w:type="dxa"/>
            <w:tcBorders>
              <w:top w:val="single" w:sz="4" w:space="0" w:color="000000"/>
              <w:left w:val="single" w:sz="4" w:space="0" w:color="000000"/>
              <w:bottom w:val="nil" w:sz="6" w:space="0" w:color="auto"/>
              <w:right w:val="single" w:sz="4" w:space="0" w:color="000000"/>
            </w:tcBorders>
            <w:shd w:val="clear" w:color="auto" w:fill="D3D3D3"/>
          </w:tcPr>
          <w:p>
            <w:pPr/>
          </w:p>
        </w:tc>
        <w:tc>
          <w:tcPr>
            <w:tcW w:w="382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6" w:hRule="exact"/>
        </w:trPr>
        <w:tc>
          <w:tcPr>
            <w:tcW w:w="266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87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2662" w:type="dxa"/>
            <w:vMerge/>
            <w:tcBorders>
              <w:left w:val="single" w:sz="4" w:space="0" w:color="000000"/>
              <w:bottom w:val="nil" w:sz="6" w:space="0" w:color="auto"/>
              <w:right w:val="single" w:sz="4" w:space="0" w:color="000000"/>
            </w:tcBorders>
            <w:shd w:val="clear" w:color="auto" w:fill="D3D3D3"/>
          </w:tcPr>
          <w:p>
            <w:pPr/>
          </w:p>
        </w:tc>
        <w:tc>
          <w:tcPr>
            <w:tcW w:w="3080" w:type="dxa"/>
            <w:vMerge/>
            <w:tcBorders>
              <w:left w:val="single" w:sz="4" w:space="0" w:color="000000"/>
              <w:bottom w:val="nil" w:sz="6" w:space="0" w:color="auto"/>
              <w:right w:val="single" w:sz="4" w:space="0" w:color="000000"/>
            </w:tcBorders>
            <w:shd w:val="clear" w:color="auto" w:fill="D3D3D3"/>
          </w:tcPr>
          <w:p>
            <w:pP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2" w:type="dxa"/>
            <w:tcBorders>
              <w:top w:val="nil" w:sz="6" w:space="0" w:color="auto"/>
              <w:left w:val="single" w:sz="4" w:space="0" w:color="000000"/>
              <w:bottom w:val="single" w:sz="4" w:space="0" w:color="000000"/>
              <w:right w:val="single" w:sz="4" w:space="0" w:color="000000"/>
            </w:tcBorders>
            <w:shd w:val="clear" w:color="auto" w:fill="D3D3D3"/>
          </w:tcPr>
          <w:p>
            <w:pPr/>
          </w:p>
        </w:tc>
        <w:tc>
          <w:tcPr>
            <w:tcW w:w="3080"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0.70</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b/>
          <w:bCs/>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0"/>
        <w:rPr>
          <w:rFonts w:ascii="宋体" w:hAnsi="宋体" w:cs="宋体" w:eastAsia="宋体" w:hint="default"/>
          <w:sz w:val="25"/>
          <w:szCs w:val="25"/>
        </w:rPr>
      </w:pPr>
    </w:p>
    <w:p>
      <w:pPr>
        <w:pStyle w:val="Heading3"/>
        <w:spacing w:line="259" w:lineRule="auto"/>
        <w:ind w:right="0"/>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、会计政策变更相关补充资料</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240" w:lineRule="auto" w:before="102"/>
        <w:ind w:right="0"/>
        <w:jc w:val="left"/>
      </w:pPr>
      <w:r>
        <w:rPr/>
        <w:t>公司根据财政部</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年发布的《企业会计准则第</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长期股权投资》等八项会计准则变更了相关会计政策并对比较财</w:t>
      </w:r>
    </w:p>
    <w:p>
      <w:pPr>
        <w:pStyle w:val="BodyText"/>
        <w:spacing w:line="240" w:lineRule="auto" w:before="64"/>
        <w:ind w:right="0"/>
        <w:jc w:val="left"/>
      </w:pPr>
      <w:r>
        <w:rPr/>
        <w:t>务报表进行了追溯重述，重述后的</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日合并资产负债表如下：</w:t>
      </w:r>
    </w:p>
    <w:p>
      <w:pPr>
        <w:pStyle w:val="BodyText"/>
        <w:spacing w:line="240" w:lineRule="auto" w:before="102"/>
        <w:ind w:left="0" w:right="149"/>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06"/>
        <w:gridCol w:w="2454"/>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701,383,709.54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683,052,556.30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515,970,004.73</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60,867,821.00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75,753,289.04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75,755,288.58</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196,696,956.51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182,477,850.98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299,105,960.46</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1,823,562.29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3,142,175.68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3,213,386.36</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1,811,016.06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3,695,225.62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1,856,222.19</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9,158,420.99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7,580,762.66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6,089,565.61</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138,234,413.14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114,059,740.80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127,407,106.00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23,319,853.56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20,378,488.16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7,493,811.49</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1,133,295,753.09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1,090,140,089.24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1,036,891,345.42</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3,121,250.00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3,121,250.00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3,121,250.00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3,884,962.95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22,062,164.33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24,526,601.30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21,624,244.20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20,644,745.93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26,981,294.82</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17,512,551.40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73,749,092.60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230,792,939.85</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33,684,575.52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33,293,886.82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32,546,268.45</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4,174,930.19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3,222,778.31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5,365,973.02</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7,583,995.07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6,643,043.10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10,441,999.07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206"/>
        <w:gridCol w:w="2454"/>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10,592,314.00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91,586,509.33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162,736,960.98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344,368,640.51</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1,224,882,262.42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1,252,877,050.22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1,381,259,985.93</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65,310,843.82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49,183,745.40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48,847,926.39</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53,356,142.23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74,123,765.00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116,225,757.26</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67,448,158.50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46,289,742.82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32,140,589.98</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15,987,908.63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17,013,087.82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25,200,414.74</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23,279,145.06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9,088,812.79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13,319,196.69</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3,290,478.55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8,372,875.79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904,410.55</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228,672,676.79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204,072,029.62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236,638,295.61</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9,450,000.00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12,870,000.00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11,320,000.00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9,450,000.00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12,870,000.00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11,320,000.00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238,122,676.79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216,942,029.62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247,958,295.61</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114,300,000.00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114,300,000.00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114,300,000.00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641,920,393.65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641,920,393.65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671,145,093.66</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12,716,911.13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14,194,970.80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17,440,475.56</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214,840,028.55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262,587,027.37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327,492,908.55</w:t>
            </w:r>
          </w:p>
        </w:tc>
      </w:tr>
      <w:tr>
        <w:trPr>
          <w:trHeight w:val="714"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91"/>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983,777,333.33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1,033,002,391.82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1,130,378,477.77</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2,982,252.30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2,932,628.78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2,923,212.55</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986,759,585.63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1,035,935,020.60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1,133,301,690.32</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1,224,882,262.42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1,252,877,050.22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1,381,259,985.93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5</w:t>
      </w:r>
      <w:r>
        <w:rPr/>
        <w:t>、其他</w:t>
      </w:r>
      <w:r>
        <w:rPr>
          <w:b w:val="0"/>
          <w:bCs w:val="0"/>
        </w:rPr>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right="2421"/>
        <w:jc w:val="center"/>
        <w:rPr>
          <w:b w:val="0"/>
          <w:bCs w:val="0"/>
        </w:rPr>
      </w:pPr>
      <w:bookmarkStart w:name="_TOC_250000" w:id="10"/>
      <w:r>
        <w:rPr/>
        <w:t>第十节</w:t>
      </w:r>
      <w:r>
        <w:rPr>
          <w:spacing w:val="-1"/>
        </w:rPr>
        <w:t> </w:t>
      </w:r>
      <w:r>
        <w:rPr/>
        <w:t>备查文件目录</w:t>
      </w:r>
      <w:bookmarkEnd w:id="10"/>
      <w:r>
        <w:rPr>
          <w:b w:val="0"/>
          <w:bCs w:val="0"/>
        </w:rPr>
      </w:r>
    </w:p>
    <w:p>
      <w:pPr>
        <w:spacing w:line="240" w:lineRule="auto" w:before="6"/>
        <w:rPr>
          <w:rFonts w:ascii="宋体" w:hAnsi="宋体" w:cs="宋体" w:eastAsia="宋体" w:hint="default"/>
          <w:b/>
          <w:bCs/>
          <w:sz w:val="42"/>
          <w:szCs w:val="42"/>
        </w:rPr>
      </w:pPr>
    </w:p>
    <w:p>
      <w:pPr>
        <w:pStyle w:val="BodyText"/>
        <w:spacing w:line="316" w:lineRule="auto" w:before="0"/>
        <w:ind w:right="230"/>
        <w:jc w:val="left"/>
      </w:pPr>
      <w:r>
        <w:rPr/>
        <w:t>一、载有公司法定代表人、主管会计工作的公司负责人、公司会计机构负责人（会计主管人员）签名并盖章的财务报表。 二、载有会计师事务所盖章、注册会计师签名并盖章的审计报告原件。 三、报告期内在中国证监会指定网站上公开披露过的所有公司文件的正本及公告的原稿。 四、经公司法定代表人签名的</w:t>
      </w:r>
      <w:r>
        <w:rPr>
          <w:rFonts w:ascii="Times New Roman" w:hAnsi="Times New Roman" w:cs="Times New Roman" w:eastAsia="Times New Roman" w:hint="default"/>
        </w:rPr>
        <w:t>2014</w:t>
      </w:r>
      <w:r>
        <w:rPr/>
        <w:t>年度报告文本原件</w:t>
      </w:r>
      <w:r>
        <w:rPr>
          <w:spacing w:val="-17"/>
        </w:rPr>
        <w:t> </w:t>
      </w:r>
      <w:r>
        <w:rPr/>
        <w:t>。</w:t>
      </w:r>
    </w:p>
    <w:p>
      <w:pPr>
        <w:pStyle w:val="BodyText"/>
        <w:spacing w:line="316" w:lineRule="auto" w:before="0"/>
        <w:ind w:right="6170"/>
        <w:jc w:val="left"/>
      </w:pPr>
      <w:r>
        <w:rPr/>
        <w:t>五、其他相关资料。 以上备查文件的备置地点：公司董事会办公室</w:t>
      </w:r>
    </w:p>
    <w:sectPr>
      <w:pgSz w:w="11910" w:h="16840"/>
      <w:pgMar w:header="747" w:footer="982" w:top="1060" w:bottom="11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19873pt;margin-top:795.457642pt;width:6.5pt;height:11pt;mso-position-horizontal-relative:page;mso-position-vertical-relative:page;z-index:-826480"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826456"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826432"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53</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826408"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85</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873pt;margin-top:781.897522pt;width:15.5pt;height:11pt;mso-position-horizontal-relative:page;mso-position-vertical-relative:page;z-index:-826384"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82636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119995pt;margin-top:36.325325pt;width:213.5pt;height:11.5pt;mso-position-horizontal-relative:page;mso-position-vertical-relative:page;z-index:-826504" type="#_x0000_t202" filled="false" stroked="false">
          <v:textbox inset="0,0,0,0">
            <w:txbxContent>
              <w:p>
                <w:pPr>
                  <w:pStyle w:val="BodyText"/>
                  <w:spacing w:line="214" w:lineRule="exact" w:before="0"/>
                  <w:ind w:left="20" w:right="0"/>
                  <w:jc w:val="left"/>
                </w:pPr>
                <w:r>
                  <w:rPr/>
                  <w:t>深圳市新国都技术股份有限公司</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03"/>
      <w:ind w:left="153"/>
    </w:pPr>
    <w:rPr>
      <w:rFonts w:ascii="宋体" w:hAnsi="宋体" w:eastAsia="宋体"/>
      <w:b/>
      <w:bCs/>
      <w:sz w:val="22"/>
      <w:szCs w:val="22"/>
    </w:rPr>
  </w:style>
  <w:style w:styleId="BodyText" w:type="paragraph">
    <w:name w:val="Body Text"/>
    <w:basedOn w:val="Normal"/>
    <w:uiPriority w:val="1"/>
    <w:qFormat/>
    <w:pPr>
      <w:spacing w:before="44"/>
      <w:ind w:left="154"/>
    </w:pPr>
    <w:rPr>
      <w:rFonts w:ascii="宋体" w:hAnsi="宋体" w:eastAsia="宋体"/>
      <w:sz w:val="18"/>
      <w:szCs w:val="18"/>
    </w:rPr>
  </w:style>
  <w:style w:styleId="Heading1" w:type="paragraph">
    <w:name w:val="Heading 1"/>
    <w:basedOn w:val="Normal"/>
    <w:uiPriority w:val="1"/>
    <w:qFormat/>
    <w:pPr>
      <w:spacing w:before="1"/>
      <w:ind w:left="2422"/>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Heading4" w:type="paragraph">
    <w:name w:val="Heading 4"/>
    <w:basedOn w:val="Normal"/>
    <w:uiPriority w:val="1"/>
    <w:qFormat/>
    <w:pPr>
      <w:spacing w:before="7"/>
      <w:ind w:left="154"/>
      <w:outlineLvl w:val="4"/>
    </w:pPr>
    <w:rPr>
      <w:rFonts w:ascii="宋体" w:hAnsi="宋体" w:eastAsia="宋体"/>
      <w:sz w:val="21"/>
      <w:szCs w:val="21"/>
    </w:rPr>
  </w:style>
  <w:style w:styleId="Heading5" w:type="paragraph">
    <w:name w:val="Heading 5"/>
    <w:basedOn w:val="Normal"/>
    <w:uiPriority w:val="1"/>
    <w:qFormat/>
    <w:pPr>
      <w:ind w:left="154"/>
      <w:outlineLvl w:val="5"/>
    </w:pPr>
    <w:rPr>
      <w:rFonts w:ascii="宋体" w:hAnsi="宋体" w:eastAsia="宋体"/>
      <w:b/>
      <w:bCs/>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xinguodu.com/" TargetMode="External"/><Relationship Id="rId10" Type="http://schemas.openxmlformats.org/officeDocument/2006/relationships/hyperlink" Target="mailto:xgd-zqb@xinguodu.com" TargetMode="External"/><Relationship Id="rId11" Type="http://schemas.openxmlformats.org/officeDocument/2006/relationships/hyperlink" Target="mailto:liyanfang@xinguodu.com" TargetMode="External"/><Relationship Id="rId12" Type="http://schemas.openxmlformats.org/officeDocument/2006/relationships/hyperlink" Target="mailto:fangyuan@xinguodu.com" TargetMode="External"/><Relationship Id="rId13" Type="http://schemas.openxmlformats.org/officeDocument/2006/relationships/hyperlink" Target="http://www.cninfo.com.cn/" TargetMode="External"/><Relationship Id="rId14" Type="http://schemas.openxmlformats.org/officeDocument/2006/relationships/image" Target="media/image2.png"/><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fangyuan</dc:creator>
  <dc:title>Microsoft Word - 2015-023 2014年年度报告全文</dc:title>
  <dcterms:created xsi:type="dcterms:W3CDTF">2020-05-06T18:53:17Z</dcterms:created>
  <dcterms:modified xsi:type="dcterms:W3CDTF">2020-05-06T18:53:17Z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2015-03-30T00:00:00Z</vt:filetime>
  </property>
  <property fmtid="{D5CDD505-2E9C-101B-9397-08002B2CF9AE}" pid="3" name="Creator">
    <vt:lpwstr>PScript5.dll Version 5.2.2</vt:lpwstr>
  </property>
  <property fmtid="{D5CDD505-2E9C-101B-9397-08002B2CF9AE}" pid="4" name="LastSaved">
    <vt:filetime>2020-05-06T00:00:00Z</vt:filetime>
  </property>
</Properties>
</file>