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990" w:lineRule="exact"/>
        <w:ind w:left="3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08295" cy="628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295"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2422" w:right="2423" w:firstLine="0"/>
        <w:jc w:val="center"/>
        <w:rPr>
          <w:rFonts w:ascii="宋体" w:hAnsi="宋体" w:cs="宋体" w:eastAsia="宋体" w:hint="default"/>
          <w:sz w:val="36"/>
          <w:szCs w:val="36"/>
        </w:rPr>
      </w:pPr>
      <w:r>
        <w:rPr>
          <w:rFonts w:ascii="宋体" w:hAnsi="宋体" w:cs="宋体" w:eastAsia="宋体" w:hint="default"/>
          <w:b/>
          <w:bCs/>
          <w:sz w:val="36"/>
          <w:szCs w:val="36"/>
        </w:rPr>
        <w:t>深圳市新国都技术股份有限公司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ind w:left="2421" w:right="2423"/>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年年度报告</w:t>
      </w:r>
      <w:r>
        <w:rPr>
          <w:b w:val="0"/>
          <w:bCs w:val="0"/>
        </w:rPr>
      </w:r>
    </w:p>
    <w:p>
      <w:pPr>
        <w:spacing w:line="240" w:lineRule="auto" w:before="3"/>
        <w:rPr>
          <w:rFonts w:ascii="宋体" w:hAnsi="宋体" w:cs="宋体" w:eastAsia="宋体" w:hint="default"/>
          <w:b/>
          <w:bCs/>
          <w:sz w:val="32"/>
          <w:szCs w:val="32"/>
        </w:rPr>
      </w:pPr>
    </w:p>
    <w:p>
      <w:pPr>
        <w:spacing w:before="0"/>
        <w:ind w:left="2422" w:right="2423" w:firstLine="0"/>
        <w:jc w:val="center"/>
        <w:rPr>
          <w:rFonts w:ascii="Times New Roman" w:hAnsi="Times New Roman" w:cs="Times New Roman" w:eastAsia="Times New Roman" w:hint="default"/>
          <w:sz w:val="32"/>
          <w:szCs w:val="32"/>
        </w:rPr>
      </w:pPr>
      <w:r>
        <w:rPr>
          <w:rFonts w:ascii="Times New Roman"/>
          <w:b/>
          <w:sz w:val="32"/>
        </w:rPr>
        <w:t>2016-036</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7"/>
          <w:szCs w:val="37"/>
        </w:rPr>
      </w:pPr>
    </w:p>
    <w:p>
      <w:pPr>
        <w:spacing w:before="0"/>
        <w:ind w:left="2422"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54"/>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11"/>
        <w:rPr>
          <w:rFonts w:ascii="宋体" w:hAnsi="宋体" w:cs="宋体" w:eastAsia="宋体" w:hint="default"/>
          <w:b/>
          <w:bCs/>
          <w:sz w:val="44"/>
          <w:szCs w:val="44"/>
        </w:rPr>
      </w:pPr>
    </w:p>
    <w:p>
      <w:pPr>
        <w:spacing w:line="357" w:lineRule="auto" w:before="0"/>
        <w:ind w:left="152" w:right="254" w:firstLine="480"/>
        <w:jc w:val="left"/>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本公司董事会、监事会及董事、监事、高级管理人员保证年度报告内容的真实、准确、 完整，不存在虚假记载、误导性陈述或重大遗漏，并承担个别和连带的法律责任。</w:t>
      </w:r>
    </w:p>
    <w:p>
      <w:pPr>
        <w:spacing w:line="357" w:lineRule="auto" w:before="36"/>
        <w:ind w:left="152" w:right="96" w:firstLine="480"/>
        <w:jc w:val="left"/>
        <w:rPr>
          <w:rFonts w:ascii="宋体" w:hAnsi="宋体" w:cs="宋体" w:eastAsia="宋体" w:hint="default"/>
          <w:sz w:val="24"/>
          <w:szCs w:val="24"/>
        </w:rPr>
      </w:pPr>
      <w:r>
        <w:rPr>
          <w:rFonts w:ascii="宋体" w:hAnsi="宋体" w:cs="宋体" w:eastAsia="宋体" w:hint="default"/>
          <w:spacing w:val="-3"/>
          <w:sz w:val="24"/>
          <w:szCs w:val="24"/>
        </w:rPr>
        <w:t>公司负责人刘祥、主管会计工作负责人赵辉及会计机构负责人</w:t>
      </w:r>
      <w:r>
        <w:rPr>
          <w:rFonts w:ascii="宋体" w:hAnsi="宋体" w:cs="宋体" w:eastAsia="宋体" w:hint="default"/>
          <w:spacing w:val="-3"/>
          <w:sz w:val="24"/>
          <w:szCs w:val="24"/>
        </w:rPr>
        <w:t>(</w:t>
      </w:r>
      <w:r>
        <w:rPr>
          <w:rFonts w:ascii="宋体" w:hAnsi="宋体" w:cs="宋体" w:eastAsia="宋体" w:hint="default"/>
          <w:spacing w:val="-3"/>
          <w:sz w:val="24"/>
          <w:szCs w:val="24"/>
        </w:rPr>
        <w:t>会计主管人员</w:t>
      </w:r>
      <w:r>
        <w:rPr>
          <w:rFonts w:ascii="宋体" w:hAnsi="宋体" w:cs="宋体" w:eastAsia="宋体" w:hint="default"/>
          <w:spacing w:val="-3"/>
          <w:sz w:val="24"/>
          <w:szCs w:val="24"/>
        </w:rPr>
        <w:t>)</w:t>
      </w:r>
      <w:r>
        <w:rPr>
          <w:rFonts w:ascii="宋体" w:hAnsi="宋体" w:cs="宋体" w:eastAsia="宋体" w:hint="default"/>
          <w:spacing w:val="-3"/>
          <w:sz w:val="24"/>
          <w:szCs w:val="24"/>
        </w:rPr>
        <w:t>赵辉声明：</w:t>
      </w:r>
      <w:r>
        <w:rPr>
          <w:rFonts w:ascii="宋体" w:hAnsi="宋体" w:cs="宋体" w:eastAsia="宋体" w:hint="default"/>
          <w:sz w:val="24"/>
          <w:szCs w:val="24"/>
        </w:rPr>
        <w:t> 保证年度报告中财务报告的真实、准确、完整。</w:t>
      </w:r>
    </w:p>
    <w:p>
      <w:pPr>
        <w:spacing w:line="357" w:lineRule="auto" w:before="36"/>
        <w:ind w:left="632" w:right="3134" w:firstLine="0"/>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 请投资者认真阅读本年度报告，并特别注意下列风险因素：</w:t>
      </w:r>
    </w:p>
    <w:p>
      <w:pPr>
        <w:spacing w:line="357" w:lineRule="auto" w:before="36"/>
        <w:ind w:left="152" w:right="96"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）政策法规及行业风险随着信息技术在支付领域得到广泛的应用，支付基础设施建设</w:t>
      </w:r>
      <w:r>
        <w:rPr>
          <w:rFonts w:ascii="宋体" w:hAnsi="宋体" w:cs="宋体" w:eastAsia="宋体" w:hint="default"/>
          <w:sz w:val="24"/>
          <w:szCs w:val="24"/>
        </w:rPr>
        <w:t> 取得了重大发展</w:t>
      </w:r>
      <w:r>
        <w:rPr>
          <w:rFonts w:ascii="宋体" w:hAnsi="宋体" w:cs="宋体" w:eastAsia="宋体" w:hint="default"/>
          <w:sz w:val="24"/>
          <w:szCs w:val="24"/>
        </w:rPr>
        <w:t>,</w:t>
      </w:r>
      <w:r>
        <w:rPr>
          <w:rFonts w:ascii="宋体" w:hAnsi="宋体" w:cs="宋体" w:eastAsia="宋体" w:hint="default"/>
          <w:sz w:val="24"/>
          <w:szCs w:val="24"/>
        </w:rPr>
        <w:t>非现金支付工具日益普及且创新不断</w:t>
      </w:r>
      <w:r>
        <w:rPr>
          <w:rFonts w:ascii="宋体" w:hAnsi="宋体" w:cs="宋体" w:eastAsia="宋体" w:hint="default"/>
          <w:sz w:val="24"/>
          <w:szCs w:val="24"/>
        </w:rPr>
        <w:t>,</w:t>
      </w:r>
      <w:r>
        <w:rPr>
          <w:rFonts w:ascii="宋体" w:hAnsi="宋体" w:cs="宋体" w:eastAsia="宋体" w:hint="default"/>
          <w:sz w:val="24"/>
          <w:szCs w:val="24"/>
        </w:rPr>
        <w:t>支付服务环境大幅改善</w:t>
      </w:r>
      <w:r>
        <w:rPr>
          <w:rFonts w:ascii="宋体" w:hAnsi="宋体" w:cs="宋体" w:eastAsia="宋体" w:hint="default"/>
          <w:sz w:val="24"/>
          <w:szCs w:val="24"/>
        </w:rPr>
        <w:t>,</w:t>
      </w:r>
      <w:r>
        <w:rPr>
          <w:rFonts w:ascii="宋体" w:hAnsi="宋体" w:cs="宋体" w:eastAsia="宋体" w:hint="default"/>
          <w:sz w:val="24"/>
          <w:szCs w:val="24"/>
        </w:rPr>
        <w:t>有效支持了 实体经济的发展。由于电子支付业务的类金融属性，其合法合规合理开展，对我国金融体系 的安全有着重要影响，因此，电子支付服务业务从业务主体、业务全流程，一直以来都是金 融监管机构重点监控的范围。</w:t>
      </w:r>
      <w:r>
        <w:rPr>
          <w:rFonts w:ascii="宋体" w:hAnsi="宋体" w:cs="宋体" w:eastAsia="宋体" w:hint="default"/>
          <w:sz w:val="24"/>
          <w:szCs w:val="24"/>
        </w:rPr>
        <w:t>2015</w:t>
      </w:r>
      <w:r>
        <w:rPr>
          <w:rFonts w:ascii="宋体" w:hAnsi="宋体" w:cs="宋体" w:eastAsia="宋体" w:hint="default"/>
          <w:spacing w:val="-68"/>
          <w:sz w:val="24"/>
          <w:szCs w:val="24"/>
        </w:rPr>
        <w:t> </w:t>
      </w:r>
      <w:r>
        <w:rPr>
          <w:rFonts w:ascii="宋体" w:hAnsi="宋体" w:cs="宋体" w:eastAsia="宋体" w:hint="default"/>
          <w:sz w:val="24"/>
          <w:szCs w:val="24"/>
        </w:rPr>
        <w:t>年以来，中国人民银行先后发布了《关于实施银行卡清算 </w:t>
      </w:r>
      <w:r>
        <w:rPr>
          <w:rFonts w:ascii="宋体" w:hAnsi="宋体" w:cs="宋体" w:eastAsia="宋体" w:hint="default"/>
          <w:spacing w:val="-12"/>
          <w:sz w:val="24"/>
          <w:szCs w:val="24"/>
        </w:rPr>
        <w:t>机构准入管理的决定》、《中国人民银行关于加强银行卡收单业务外包管理的通知》、《非银行</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支付机构网络支付业务管理办法》等重要监管文件，对电子支付行业从参与主体、业务流程、</w:t>
      </w:r>
      <w:r>
        <w:rPr>
          <w:rFonts w:ascii="宋体" w:hAnsi="宋体" w:cs="宋体" w:eastAsia="宋体" w:hint="default"/>
          <w:sz w:val="24"/>
          <w:szCs w:val="24"/>
        </w:rPr>
        <w:t> 交易权限等方面进行了全方位的规定，对行业产生了深远影响。</w:t>
      </w:r>
    </w:p>
    <w:p>
      <w:pPr>
        <w:spacing w:line="357" w:lineRule="auto" w:before="36"/>
        <w:ind w:left="152" w:right="230"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2</w:t>
      </w:r>
      <w:r>
        <w:rPr>
          <w:rFonts w:ascii="宋体" w:hAnsi="宋体" w:cs="宋体" w:eastAsia="宋体" w:hint="default"/>
          <w:spacing w:val="-3"/>
          <w:sz w:val="24"/>
          <w:szCs w:val="24"/>
        </w:rPr>
        <w:t>）兼并收购带来的财务风险、商誉减值风险公司因为战略发展需要，通过兼并收购等</w:t>
      </w:r>
      <w:r>
        <w:rPr>
          <w:rFonts w:ascii="宋体" w:hAnsi="宋体" w:cs="宋体" w:eastAsia="宋体" w:hint="default"/>
          <w:sz w:val="24"/>
          <w:szCs w:val="24"/>
        </w:rPr>
        <w:t> 方式，获得新业务和新市场的同时，也会增大财务压力和增加财务风险，这对公司财务管理 和风险控制提出了更高的要求。兼并收购的财务风险主要有：对被并购企业价值评估不当的 定价风险，能否足额筹集并购资金的融资风险，在现金支付方式的收购中会尤其突出的偿债 风险和交易完成后对被并购企业的业务整合风险。而在整体经济相对疲弱的大环境下，被并 购企业经营及盈利状况不达预期风险也相应增大，这会对上市公司盈利增速造成拖累，兼并 收购中产生的商誉也将面临计提减值的压力。</w:t>
      </w:r>
    </w:p>
    <w:p>
      <w:pPr>
        <w:spacing w:line="357" w:lineRule="auto" w:before="36"/>
        <w:ind w:left="152" w:right="96"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3</w:t>
      </w:r>
      <w:r>
        <w:rPr>
          <w:rFonts w:ascii="宋体" w:hAnsi="宋体" w:cs="宋体" w:eastAsia="宋体" w:hint="default"/>
          <w:spacing w:val="-3"/>
          <w:sz w:val="24"/>
          <w:szCs w:val="24"/>
        </w:rPr>
        <w:t>）产品、技术和服务等不能满足市场需求的风险公司已经积极开展基于移动互联网的</w:t>
      </w:r>
      <w:r>
        <w:rPr>
          <w:rFonts w:ascii="宋体" w:hAnsi="宋体" w:cs="宋体" w:eastAsia="宋体" w:hint="default"/>
          <w:sz w:val="24"/>
          <w:szCs w:val="24"/>
        </w:rPr>
        <w:t> </w:t>
      </w:r>
      <w:r>
        <w:rPr>
          <w:rFonts w:ascii="宋体" w:hAnsi="宋体" w:cs="宋体" w:eastAsia="宋体" w:hint="default"/>
          <w:spacing w:val="-2"/>
          <w:sz w:val="24"/>
          <w:szCs w:val="24"/>
        </w:rPr>
        <w:t>产品、技术和服务的创新探索，但由于电子支付行业、征信服务等业务本身具备的复杂程度，</w:t>
      </w:r>
      <w:r>
        <w:rPr>
          <w:rFonts w:ascii="宋体" w:hAnsi="宋体" w:cs="宋体" w:eastAsia="宋体" w:hint="default"/>
          <w:sz w:val="24"/>
          <w:szCs w:val="24"/>
        </w:rPr>
        <w:t> 以及行业发展带来的行业变化加速，业务需求及发展的试错成本越来越高，且这些业务目前 都面临着商业模式上的创新，需要公司进行不断的探讨和研究，这导致公司现有产品、技术 和服务的创新速度可能跟不上市场的变化，不能满足市场需求，导致公司的盈利能力低于预</w:t>
      </w:r>
    </w:p>
    <w:p>
      <w:pPr>
        <w:spacing w:after="0" w:line="357" w:lineRule="auto"/>
        <w:jc w:val="left"/>
        <w:rPr>
          <w:rFonts w:ascii="宋体" w:hAnsi="宋体" w:cs="宋体" w:eastAsia="宋体" w:hint="default"/>
          <w:sz w:val="24"/>
          <w:szCs w:val="24"/>
        </w:rPr>
        <w:sectPr>
          <w:footerReference w:type="default" r:id="rId8"/>
          <w:pgSz w:w="11910" w:h="16840"/>
          <w:pgMar w:footer="982" w:header="745" w:top="1060" w:bottom="1180" w:left="980" w:right="90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before="26"/>
        <w:ind w:left="152" w:right="254" w:firstLine="0"/>
        <w:jc w:val="left"/>
        <w:rPr>
          <w:rFonts w:ascii="宋体" w:hAnsi="宋体" w:cs="宋体" w:eastAsia="宋体" w:hint="default"/>
          <w:sz w:val="24"/>
          <w:szCs w:val="24"/>
        </w:rPr>
      </w:pPr>
      <w:r>
        <w:rPr>
          <w:rFonts w:ascii="宋体" w:hAnsi="宋体" w:cs="宋体" w:eastAsia="宋体" w:hint="default"/>
          <w:sz w:val="24"/>
          <w:szCs w:val="24"/>
        </w:rPr>
        <w:t>期。</w:t>
      </w:r>
    </w:p>
    <w:p>
      <w:pPr>
        <w:spacing w:line="357" w:lineRule="auto" w:before="154"/>
        <w:ind w:left="152" w:right="224"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）战略转型进度低于预期甚至失败的风险公司原有业务以电子支付终端制造业务为 主，根据公司战略发展规划，公司未来的业务将涵盖研发、制造、运营服务等各个领域，在 各种因素影响下，公司存在战略落地速度、效率和质量可能低于预期，甚至战略转型失败的 风险。对于传统企业而言，拥抱新经济是一条切实可行但并不好走的转型路径。而新经济的 重要组成部分是以互联网手段使用为基础。回顾产业发展的历史，第一代新经济指向互联网 </w:t>
      </w:r>
      <w:r>
        <w:rPr>
          <w:rFonts w:ascii="宋体" w:hAnsi="宋体" w:cs="宋体" w:eastAsia="宋体" w:hint="default"/>
          <w:spacing w:val="-5"/>
          <w:sz w:val="24"/>
          <w:szCs w:val="24"/>
        </w:rPr>
        <w:t>本身，而现在则是</w:t>
      </w:r>
      <w:r>
        <w:rPr>
          <w:rFonts w:ascii="宋体" w:hAnsi="宋体" w:cs="宋体" w:eastAsia="宋体" w:hint="default"/>
          <w:spacing w:val="-5"/>
          <w:sz w:val="24"/>
          <w:szCs w:val="24"/>
        </w:rPr>
        <w:t>“</w:t>
      </w:r>
      <w:r>
        <w:rPr>
          <w:rFonts w:ascii="宋体" w:hAnsi="宋体" w:cs="宋体" w:eastAsia="宋体" w:hint="default"/>
          <w:spacing w:val="-5"/>
          <w:sz w:val="24"/>
          <w:szCs w:val="24"/>
        </w:rPr>
        <w:t>互联网</w:t>
      </w:r>
      <w:r>
        <w:rPr>
          <w:rFonts w:ascii="宋体" w:hAnsi="宋体" w:cs="宋体" w:eastAsia="宋体" w:hint="default"/>
          <w:spacing w:val="-5"/>
          <w:sz w:val="24"/>
          <w:szCs w:val="24"/>
        </w:rPr>
        <w:t>+</w:t>
      </w:r>
      <w:r>
        <w:rPr>
          <w:rFonts w:ascii="宋体" w:hAnsi="宋体" w:cs="宋体" w:eastAsia="宋体" w:hint="default"/>
          <w:spacing w:val="-5"/>
          <w:sz w:val="24"/>
          <w:szCs w:val="24"/>
        </w:rPr>
        <w:t>”，但浮于表层的</w:t>
      </w:r>
      <w:r>
        <w:rPr>
          <w:rFonts w:ascii="宋体" w:hAnsi="宋体" w:cs="宋体" w:eastAsia="宋体" w:hint="default"/>
          <w:spacing w:val="-5"/>
          <w:sz w:val="24"/>
          <w:szCs w:val="24"/>
        </w:rPr>
        <w:t>“</w:t>
      </w:r>
      <w:r>
        <w:rPr>
          <w:rFonts w:ascii="宋体" w:hAnsi="宋体" w:cs="宋体" w:eastAsia="宋体" w:hint="default"/>
          <w:spacing w:val="-5"/>
          <w:sz w:val="24"/>
          <w:szCs w:val="24"/>
        </w:rPr>
        <w:t>互联网</w:t>
      </w:r>
      <w:r>
        <w:rPr>
          <w:rFonts w:ascii="宋体" w:hAnsi="宋体" w:cs="宋体" w:eastAsia="宋体" w:hint="default"/>
          <w:spacing w:val="-5"/>
          <w:sz w:val="24"/>
          <w:szCs w:val="24"/>
        </w:rPr>
        <w:t>+</w:t>
      </w:r>
      <w:r>
        <w:rPr>
          <w:rFonts w:ascii="宋体" w:hAnsi="宋体" w:cs="宋体" w:eastAsia="宋体" w:hint="default"/>
          <w:spacing w:val="-5"/>
          <w:sz w:val="24"/>
          <w:szCs w:val="24"/>
        </w:rPr>
        <w:t>”并不能帮助企业突破原有的增长轨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迹，也无法企及更高的发展空间。真正的发展突破要利用互联网技术来提升传统企业的经营 管理模式，有效降低企业管理成本，对企业的生产和工作流程进行系统化的改造，这不仅需 要时间来沉淀，也需要企业的管理层具备过人的胆识和智慧，才能顺利完成企业的提升。</w:t>
      </w:r>
    </w:p>
    <w:p>
      <w:pPr>
        <w:spacing w:line="357" w:lineRule="auto" w:before="36"/>
        <w:ind w:left="152" w:right="233"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5</w:t>
      </w:r>
      <w:r>
        <w:rPr>
          <w:rFonts w:ascii="宋体" w:hAnsi="宋体" w:cs="宋体" w:eastAsia="宋体" w:hint="default"/>
          <w:spacing w:val="-3"/>
          <w:sz w:val="24"/>
          <w:szCs w:val="24"/>
        </w:rPr>
        <w:t>）管理团队不能适应公司发展需求的风险公司未来的战略规划和业务发展将主要围绕</w:t>
      </w:r>
      <w:r>
        <w:rPr>
          <w:rFonts w:ascii="宋体" w:hAnsi="宋体" w:cs="宋体" w:eastAsia="宋体" w:hint="default"/>
          <w:sz w:val="24"/>
          <w:szCs w:val="24"/>
        </w:rPr>
        <w:t> 运营服务开展，但公司现有中高层管理人员、员工团队并不具备良好的运营管理经验，不能 很好的适应公司未来发展需求。人才是公司未来战略实施的核心要素，因此，公司如果不能 成功引入高端运营管理人才，则有可能导致公司业务发展无法突破现有瓶颈。</w:t>
      </w:r>
    </w:p>
    <w:p>
      <w:pPr>
        <w:spacing w:line="357" w:lineRule="auto" w:before="36"/>
        <w:ind w:left="152" w:right="96"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）关于发起设立保险公司的牌照申请及监管风险</w:t>
      </w:r>
      <w:r>
        <w:rPr>
          <w:rFonts w:ascii="宋体" w:hAnsi="宋体" w:cs="宋体" w:eastAsia="宋体" w:hint="default"/>
          <w:spacing w:val="-65"/>
          <w:sz w:val="24"/>
          <w:szCs w:val="24"/>
        </w:rPr>
        <w:t> </w:t>
      </w:r>
      <w:r>
        <w:rPr>
          <w:rFonts w:ascii="宋体" w:hAnsi="宋体" w:cs="宋体" w:eastAsia="宋体" w:hint="default"/>
          <w:sz w:val="24"/>
          <w:szCs w:val="24"/>
        </w:rPr>
        <w:t>2015</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6</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10</w:t>
      </w:r>
      <w:r>
        <w:rPr>
          <w:rFonts w:ascii="宋体" w:hAnsi="宋体" w:cs="宋体" w:eastAsia="宋体" w:hint="default"/>
          <w:spacing w:val="-65"/>
          <w:sz w:val="24"/>
          <w:szCs w:val="24"/>
        </w:rPr>
        <w:t> </w:t>
      </w:r>
      <w:r>
        <w:rPr>
          <w:rFonts w:ascii="宋体" w:hAnsi="宋体" w:cs="宋体" w:eastAsia="宋体" w:hint="default"/>
          <w:spacing w:val="-5"/>
          <w:sz w:val="24"/>
          <w:szCs w:val="24"/>
        </w:rPr>
        <w:t>日，公司召开第三届</w:t>
      </w:r>
      <w:r>
        <w:rPr>
          <w:rFonts w:ascii="宋体" w:hAnsi="宋体" w:cs="宋体" w:eastAsia="宋体" w:hint="default"/>
          <w:sz w:val="24"/>
          <w:szCs w:val="24"/>
        </w:rPr>
        <w:t> 董事会第十二次（临时）会议及第三届监事会第十二次会议审议通过《审议参与发起设立相 </w:t>
      </w:r>
      <w:r>
        <w:rPr>
          <w:rFonts w:ascii="宋体" w:hAnsi="宋体" w:cs="宋体" w:eastAsia="宋体" w:hint="default"/>
          <w:spacing w:val="-8"/>
          <w:sz w:val="24"/>
          <w:szCs w:val="24"/>
        </w:rPr>
        <w:t>互人寿保险公司（或组织）的议案》，公司出借自有资金</w:t>
      </w:r>
      <w:r>
        <w:rPr>
          <w:rFonts w:ascii="宋体" w:hAnsi="宋体" w:cs="宋体" w:eastAsia="宋体" w:hint="default"/>
          <w:spacing w:val="-55"/>
          <w:sz w:val="24"/>
          <w:szCs w:val="24"/>
        </w:rPr>
        <w:t> </w:t>
      </w:r>
      <w:r>
        <w:rPr>
          <w:rFonts w:ascii="宋体" w:hAnsi="宋体" w:cs="宋体" w:eastAsia="宋体" w:hint="default"/>
          <w:sz w:val="24"/>
          <w:szCs w:val="24"/>
        </w:rPr>
        <w:t>5,000</w:t>
      </w:r>
      <w:r>
        <w:rPr>
          <w:rFonts w:ascii="宋体" w:hAnsi="宋体" w:cs="宋体" w:eastAsia="宋体" w:hint="default"/>
          <w:spacing w:val="-55"/>
          <w:sz w:val="24"/>
          <w:szCs w:val="24"/>
        </w:rPr>
        <w:t> </w:t>
      </w:r>
      <w:r>
        <w:rPr>
          <w:rFonts w:ascii="宋体" w:hAnsi="宋体" w:cs="宋体" w:eastAsia="宋体" w:hint="default"/>
          <w:spacing w:val="-2"/>
          <w:sz w:val="24"/>
          <w:szCs w:val="24"/>
        </w:rPr>
        <w:t>万元，参与发起设立相互人寿</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保险公司（或组织），出借资金后公司拟占相互人寿保险公司（或组织）初始运营资金的</w:t>
      </w:r>
      <w:r>
        <w:rPr>
          <w:rFonts w:ascii="宋体" w:hAnsi="宋体" w:cs="宋体" w:eastAsia="宋体" w:hint="default"/>
          <w:spacing w:val="-49"/>
          <w:sz w:val="24"/>
          <w:szCs w:val="24"/>
        </w:rPr>
        <w:t> </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pacing w:val="-118"/>
          <w:sz w:val="24"/>
          <w:szCs w:val="24"/>
        </w:rPr>
        <w:t> </w:t>
      </w:r>
      <w:r>
        <w:rPr>
          <w:rFonts w:ascii="宋体" w:hAnsi="宋体" w:cs="宋体" w:eastAsia="宋体" w:hint="default"/>
          <w:sz w:val="24"/>
          <w:szCs w:val="24"/>
        </w:rPr>
        <w:t>由于保险公司的筹建、设立，以及本公司作为资金出借人（即主要发起会员）事项均需经中 </w:t>
      </w:r>
      <w:r>
        <w:rPr>
          <w:rFonts w:ascii="宋体" w:hAnsi="宋体" w:cs="宋体" w:eastAsia="宋体" w:hint="default"/>
          <w:spacing w:val="-2"/>
          <w:sz w:val="24"/>
          <w:szCs w:val="24"/>
        </w:rPr>
        <w:t>国保监会批准，客观上存在不被批准的可能性，因此本项出借资金计划的实施存在不确定性。</w:t>
      </w:r>
      <w:r>
        <w:rPr>
          <w:rFonts w:ascii="宋体" w:hAnsi="宋体" w:cs="宋体" w:eastAsia="宋体" w:hint="default"/>
          <w:sz w:val="24"/>
          <w:szCs w:val="24"/>
        </w:rPr>
        <w:t> </w:t>
      </w:r>
      <w:r>
        <w:rPr>
          <w:rFonts w:ascii="宋体" w:hAnsi="宋体" w:cs="宋体" w:eastAsia="宋体" w:hint="default"/>
          <w:spacing w:val="-2"/>
          <w:sz w:val="24"/>
          <w:szCs w:val="24"/>
        </w:rPr>
        <w:t>另，由于法律或监管规定的变化，可能影响保险公司的正常运营，或消弱其投资收益的风险。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spacing w:before="0"/>
        <w:ind w:left="632" w:right="96" w:firstLine="0"/>
        <w:jc w:val="left"/>
        <w:rPr>
          <w:rFonts w:ascii="宋体" w:hAnsi="宋体" w:cs="宋体" w:eastAsia="宋体" w:hint="default"/>
          <w:sz w:val="24"/>
          <w:szCs w:val="24"/>
        </w:rPr>
      </w:pPr>
      <w:r>
        <w:rPr>
          <w:rFonts w:ascii="宋体" w:hAnsi="宋体" w:cs="宋体" w:eastAsia="宋体" w:hint="default"/>
          <w:sz w:val="24"/>
          <w:szCs w:val="24"/>
        </w:rPr>
        <w:t>公司经本次董事会审议通过的利润分配预案为：以</w:t>
      </w:r>
      <w:r>
        <w:rPr>
          <w:rFonts w:ascii="宋体" w:hAnsi="宋体" w:cs="宋体" w:eastAsia="宋体" w:hint="default"/>
          <w:spacing w:val="-60"/>
          <w:sz w:val="24"/>
          <w:szCs w:val="24"/>
        </w:rPr>
        <w:t> </w:t>
      </w:r>
      <w:r>
        <w:rPr>
          <w:rFonts w:ascii="宋体" w:hAnsi="宋体" w:cs="宋体" w:eastAsia="宋体" w:hint="default"/>
          <w:sz w:val="24"/>
          <w:szCs w:val="24"/>
        </w:rPr>
        <w:t>231,021,360</w:t>
      </w:r>
      <w:r>
        <w:rPr>
          <w:rFonts w:ascii="宋体" w:hAnsi="宋体" w:cs="宋体" w:eastAsia="宋体" w:hint="default"/>
          <w:spacing w:val="-60"/>
          <w:sz w:val="24"/>
          <w:szCs w:val="24"/>
        </w:rPr>
        <w:t> </w:t>
      </w:r>
      <w:r>
        <w:rPr>
          <w:rFonts w:ascii="宋体" w:hAnsi="宋体" w:cs="宋体" w:eastAsia="宋体" w:hint="default"/>
          <w:sz w:val="24"/>
          <w:szCs w:val="24"/>
        </w:rPr>
        <w:t>为基数，向全体股东每</w:t>
      </w:r>
    </w:p>
    <w:p>
      <w:pPr>
        <w:spacing w:before="154"/>
        <w:ind w:left="152" w:right="254" w:firstLine="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元（含税</w:t>
      </w:r>
      <w:r>
        <w:rPr>
          <w:rFonts w:ascii="宋体" w:hAnsi="宋体" w:cs="宋体" w:eastAsia="宋体" w:hint="default"/>
          <w:spacing w:val="-120"/>
          <w:sz w:val="24"/>
          <w:szCs w:val="24"/>
        </w:rPr>
        <w:t>）</w:t>
      </w:r>
      <w:r>
        <w:rPr>
          <w:rFonts w:ascii="宋体" w:hAnsi="宋体" w:cs="宋体" w:eastAsia="宋体" w:hint="default"/>
          <w:sz w:val="24"/>
          <w:szCs w:val="24"/>
        </w:rPr>
        <w:t>，送红股</w:t>
      </w:r>
      <w:r>
        <w:rPr>
          <w:rFonts w:ascii="宋体" w:hAnsi="宋体" w:cs="宋体" w:eastAsia="宋体" w:hint="default"/>
          <w:spacing w:val="-60"/>
          <w:sz w:val="24"/>
          <w:szCs w:val="24"/>
        </w:rPr>
        <w:t> </w:t>
      </w:r>
      <w:r>
        <w:rPr>
          <w:rFonts w:ascii="宋体" w:hAnsi="宋体" w:cs="宋体" w:eastAsia="宋体" w:hint="default"/>
          <w:sz w:val="24"/>
          <w:szCs w:val="24"/>
        </w:rPr>
        <w:t>0</w:t>
      </w:r>
      <w:r>
        <w:rPr>
          <w:rFonts w:ascii="宋体" w:hAnsi="宋体" w:cs="宋体" w:eastAsia="宋体" w:hint="default"/>
          <w:spacing w:val="-60"/>
          <w:sz w:val="24"/>
          <w:szCs w:val="24"/>
        </w:rPr>
        <w:t> </w:t>
      </w:r>
      <w:r>
        <w:rPr>
          <w:rFonts w:ascii="宋体" w:hAnsi="宋体" w:cs="宋体" w:eastAsia="宋体" w:hint="default"/>
          <w:sz w:val="24"/>
          <w:szCs w:val="24"/>
        </w:rPr>
        <w:t>股（含税</w:t>
      </w:r>
      <w:r>
        <w:rPr>
          <w:rFonts w:ascii="宋体" w:hAnsi="宋体" w:cs="宋体" w:eastAsia="宋体" w:hint="default"/>
          <w:spacing w:val="-120"/>
          <w:sz w:val="24"/>
          <w:szCs w:val="24"/>
        </w:rPr>
        <w:t>）</w:t>
      </w:r>
      <w:r>
        <w:rPr>
          <w:rFonts w:ascii="宋体" w:hAnsi="宋体" w:cs="宋体" w:eastAsia="宋体" w:hint="default"/>
          <w:sz w:val="24"/>
          <w:szCs w:val="24"/>
        </w:rPr>
        <w:t>，以资本公积金向全体股东每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before="154"/>
        <w:ind w:left="152" w:right="254" w:firstLine="0"/>
        <w:jc w:val="left"/>
        <w:rPr>
          <w:rFonts w:ascii="宋体" w:hAnsi="宋体" w:cs="宋体" w:eastAsia="宋体" w:hint="default"/>
          <w:sz w:val="24"/>
          <w:szCs w:val="24"/>
        </w:rPr>
      </w:pPr>
      <w:r>
        <w:rPr>
          <w:rFonts w:ascii="宋体" w:hAnsi="宋体" w:cs="宋体" w:eastAsia="宋体" w:hint="default"/>
          <w:sz w:val="24"/>
          <w:szCs w:val="24"/>
        </w:rPr>
        <w:t>转增</w:t>
      </w:r>
      <w:r>
        <w:rPr>
          <w:rFonts w:ascii="宋体" w:hAnsi="宋体" w:cs="宋体" w:eastAsia="宋体" w:hint="default"/>
          <w:spacing w:val="-60"/>
          <w:sz w:val="24"/>
          <w:szCs w:val="24"/>
        </w:rPr>
        <w:t> </w:t>
      </w:r>
      <w:r>
        <w:rPr>
          <w:rFonts w:ascii="宋体" w:hAnsi="宋体" w:cs="宋体" w:eastAsia="宋体" w:hint="default"/>
          <w:sz w:val="24"/>
          <w:szCs w:val="24"/>
        </w:rPr>
        <w:t>0</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after="0"/>
        <w:jc w:val="left"/>
        <w:rPr>
          <w:rFonts w:ascii="宋体" w:hAnsi="宋体" w:cs="宋体" w:eastAsia="宋体" w:hint="default"/>
          <w:sz w:val="24"/>
          <w:szCs w:val="24"/>
        </w:rPr>
        <w:sectPr>
          <w:pgSz w:w="11910" w:h="16840"/>
          <w:pgMar w:header="745"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4"/>
        <w:ind w:left="2422"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819"/>
        <w:gridCol w:w="8603"/>
        <w:gridCol w:w="280"/>
      </w:tblGrid>
      <w:tr>
        <w:trPr>
          <w:trHeight w:val="59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hyperlink w:history="true" w:anchor="_bookmark0">
              <w:r>
                <w:rPr>
                  <w:rFonts w:ascii="宋体" w:hAnsi="宋体" w:cs="宋体" w:eastAsia="宋体" w:hint="default"/>
                  <w:b/>
                  <w:bCs/>
                  <w:sz w:val="24"/>
                  <w:szCs w:val="24"/>
                </w:rPr>
                <w:t>第一节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8"/>
              <w:jc w:val="left"/>
              <w:rPr>
                <w:rFonts w:ascii="宋体" w:hAnsi="宋体" w:cs="宋体" w:eastAsia="宋体" w:hint="default"/>
                <w:sz w:val="24"/>
                <w:szCs w:val="24"/>
              </w:rPr>
            </w:pPr>
            <w:hyperlink w:history="true" w:anchor="_bookmark0">
              <w:r>
                <w:rPr>
                  <w:rFonts w:ascii="宋体" w:hAnsi="宋体" w:cs="宋体" w:eastAsia="宋体" w:hint="default"/>
                  <w:b/>
                  <w:bCs/>
                  <w:spacing w:val="2"/>
                  <w:w w:val="95"/>
                  <w:sz w:val="24"/>
                  <w:szCs w:val="24"/>
                </w:rPr>
                <w:t>重要提示、目录和释义</w:t>
              </w:r>
              <w:r>
                <w:rPr>
                  <w:rFonts w:ascii="宋体" w:hAnsi="宋体" w:cs="宋体" w:eastAsia="宋体" w:hint="default"/>
                  <w:b/>
                  <w:bCs/>
                  <w:spacing w:val="2"/>
                  <w:w w:val="95"/>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 w:right="0"/>
              <w:jc w:val="center"/>
              <w:rPr>
                <w:rFonts w:ascii="宋体" w:hAnsi="宋体" w:cs="宋体" w:eastAsia="宋体" w:hint="default"/>
                <w:sz w:val="24"/>
                <w:szCs w:val="24"/>
              </w:rPr>
            </w:pPr>
            <w:hyperlink w:history="true" w:anchor="_bookmark0">
              <w:r>
                <w:rPr>
                  <w:rFonts w:ascii="宋体"/>
                  <w:b/>
                  <w:w w:val="99"/>
                  <w:sz w:val="24"/>
                </w:rPr>
                <w:t>2</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1">
              <w:r>
                <w:rPr>
                  <w:rFonts w:ascii="宋体" w:hAnsi="宋体" w:cs="宋体" w:eastAsia="宋体" w:hint="default"/>
                  <w:b/>
                  <w:bCs/>
                  <w:sz w:val="24"/>
                  <w:szCs w:val="24"/>
                </w:rPr>
                <w:t>第二节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8"/>
              <w:jc w:val="left"/>
              <w:rPr>
                <w:rFonts w:ascii="宋体" w:hAnsi="宋体" w:cs="宋体" w:eastAsia="宋体" w:hint="default"/>
                <w:sz w:val="24"/>
                <w:szCs w:val="24"/>
              </w:rPr>
            </w:pPr>
            <w:hyperlink w:history="true" w:anchor="_bookmark1">
              <w:r>
                <w:rPr>
                  <w:rFonts w:ascii="宋体" w:hAnsi="宋体" w:cs="宋体" w:eastAsia="宋体" w:hint="default"/>
                  <w:b/>
                  <w:bCs/>
                  <w:spacing w:val="2"/>
                  <w:w w:val="95"/>
                  <w:sz w:val="24"/>
                  <w:szCs w:val="24"/>
                </w:rPr>
                <w:t>公司简介和主要财务指标</w:t>
              </w:r>
              <w:r>
                <w:rPr>
                  <w:rFonts w:ascii="宋体" w:hAnsi="宋体" w:cs="宋体" w:eastAsia="宋体" w:hint="default"/>
                  <w:b/>
                  <w:bCs/>
                  <w:spacing w:val="2"/>
                  <w:w w:val="95"/>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85" w:right="0"/>
              <w:jc w:val="center"/>
              <w:rPr>
                <w:rFonts w:ascii="宋体" w:hAnsi="宋体" w:cs="宋体" w:eastAsia="宋体" w:hint="default"/>
                <w:sz w:val="24"/>
                <w:szCs w:val="24"/>
              </w:rPr>
            </w:pPr>
            <w:hyperlink w:history="true" w:anchor="_bookmark1">
              <w:r>
                <w:rPr>
                  <w:rFonts w:ascii="宋体"/>
                  <w:b/>
                  <w:w w:val="99"/>
                  <w:sz w:val="24"/>
                </w:rPr>
                <w:t>6</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5" w:right="0"/>
              <w:jc w:val="left"/>
              <w:rPr>
                <w:rFonts w:ascii="宋体" w:hAnsi="宋体" w:cs="宋体" w:eastAsia="宋体" w:hint="default"/>
                <w:sz w:val="24"/>
                <w:szCs w:val="24"/>
              </w:rPr>
            </w:pPr>
            <w:hyperlink w:history="true" w:anchor="_bookmark2">
              <w:r>
                <w:rPr>
                  <w:rFonts w:ascii="宋体" w:hAnsi="宋体" w:cs="宋体" w:eastAsia="宋体" w:hint="default"/>
                  <w:b/>
                  <w:bCs/>
                  <w:sz w:val="24"/>
                  <w:szCs w:val="24"/>
                </w:rPr>
                <w:t>第三节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61" w:right="-8"/>
              <w:jc w:val="left"/>
              <w:rPr>
                <w:rFonts w:ascii="宋体" w:hAnsi="宋体" w:cs="宋体" w:eastAsia="宋体" w:hint="default"/>
                <w:sz w:val="24"/>
                <w:szCs w:val="24"/>
              </w:rPr>
            </w:pPr>
            <w:hyperlink w:history="true" w:anchor="_bookmark2">
              <w:r>
                <w:rPr>
                  <w:rFonts w:ascii="宋体" w:hAnsi="宋体" w:cs="宋体" w:eastAsia="宋体" w:hint="default"/>
                  <w:b/>
                  <w:bCs/>
                  <w:sz w:val="24"/>
                  <w:szCs w:val="24"/>
                </w:rPr>
                <w:t>公司业务概要</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85" w:right="0"/>
              <w:jc w:val="center"/>
              <w:rPr>
                <w:rFonts w:ascii="宋体" w:hAnsi="宋体" w:cs="宋体" w:eastAsia="宋体" w:hint="default"/>
                <w:sz w:val="24"/>
                <w:szCs w:val="24"/>
              </w:rPr>
            </w:pPr>
            <w:hyperlink w:history="true" w:anchor="_bookmark2">
              <w:r>
                <w:rPr>
                  <w:rFonts w:ascii="宋体"/>
                  <w:b/>
                  <w:w w:val="99"/>
                  <w:sz w:val="24"/>
                </w:rPr>
                <w:t>9</w:t>
              </w:r>
              <w:r>
                <w:rPr>
                  <w:rFonts w:ascii="宋体"/>
                  <w:sz w:val="24"/>
                </w:rPr>
              </w:r>
            </w:hyperlink>
          </w:p>
        </w:tc>
      </w:tr>
      <w:tr>
        <w:trPr>
          <w:trHeight w:val="74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3">
              <w:r>
                <w:rPr>
                  <w:rFonts w:ascii="宋体" w:hAnsi="宋体" w:cs="宋体" w:eastAsia="宋体" w:hint="default"/>
                  <w:b/>
                  <w:bCs/>
                  <w:sz w:val="24"/>
                  <w:szCs w:val="24"/>
                </w:rPr>
                <w:t>第四节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0"/>
              <w:jc w:val="left"/>
              <w:rPr>
                <w:rFonts w:ascii="宋体" w:hAnsi="宋体" w:cs="宋体" w:eastAsia="宋体" w:hint="default"/>
                <w:sz w:val="24"/>
                <w:szCs w:val="24"/>
              </w:rPr>
            </w:pPr>
            <w:hyperlink w:history="true" w:anchor="_bookmark3">
              <w:r>
                <w:rPr>
                  <w:rFonts w:ascii="宋体" w:hAnsi="宋体" w:cs="宋体" w:eastAsia="宋体" w:hint="default"/>
                  <w:b/>
                  <w:bCs/>
                  <w:spacing w:val="2"/>
                  <w:sz w:val="24"/>
                  <w:szCs w:val="24"/>
                </w:rPr>
                <w:t>管理层讨论与分析</w:t>
              </w:r>
              <w:r>
                <w:rPr>
                  <w:rFonts w:ascii="宋体" w:hAnsi="宋体" w:cs="宋体" w:eastAsia="宋体" w:hint="default"/>
                  <w:b/>
                  <w:bCs/>
                  <w:spacing w:val="2"/>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center"/>
              <w:rPr>
                <w:rFonts w:ascii="宋体" w:hAnsi="宋体" w:cs="宋体" w:eastAsia="宋体" w:hint="default"/>
                <w:sz w:val="24"/>
                <w:szCs w:val="24"/>
              </w:rPr>
            </w:pPr>
            <w:hyperlink w:history="true" w:anchor="_bookmark3">
              <w:r>
                <w:rPr>
                  <w:rFonts w:ascii="宋体"/>
                  <w:b/>
                  <w:sz w:val="24"/>
                </w:rPr>
                <w:t>12</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4">
              <w:r>
                <w:rPr>
                  <w:rFonts w:ascii="宋体" w:hAnsi="宋体" w:cs="宋体" w:eastAsia="宋体" w:hint="default"/>
                  <w:b/>
                  <w:bCs/>
                  <w:sz w:val="24"/>
                  <w:szCs w:val="24"/>
                </w:rPr>
                <w:t>第五节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0"/>
              <w:jc w:val="left"/>
              <w:rPr>
                <w:rFonts w:ascii="宋体" w:hAnsi="宋体" w:cs="宋体" w:eastAsia="宋体" w:hint="default"/>
                <w:sz w:val="24"/>
                <w:szCs w:val="24"/>
              </w:rPr>
            </w:pPr>
            <w:hyperlink w:history="true" w:anchor="_bookmark4">
              <w:r>
                <w:rPr>
                  <w:rFonts w:ascii="宋体" w:hAnsi="宋体" w:cs="宋体" w:eastAsia="宋体" w:hint="default"/>
                  <w:b/>
                  <w:bCs/>
                  <w:sz w:val="24"/>
                  <w:szCs w:val="24"/>
                </w:rPr>
                <w:t>重要事项</w:t>
              </w:r>
              <w:r>
                <w:rPr>
                  <w:rFonts w:ascii="宋体" w:hAnsi="宋体" w:cs="宋体" w:eastAsia="宋体" w:hint="default"/>
                  <w:b/>
                  <w:bCs/>
                  <w:spacing w:val="60"/>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center"/>
              <w:rPr>
                <w:rFonts w:ascii="宋体" w:hAnsi="宋体" w:cs="宋体" w:eastAsia="宋体" w:hint="default"/>
                <w:sz w:val="24"/>
                <w:szCs w:val="24"/>
              </w:rPr>
            </w:pPr>
            <w:hyperlink w:history="true" w:anchor="_bookmark4">
              <w:r>
                <w:rPr>
                  <w:rFonts w:ascii="宋体"/>
                  <w:b/>
                  <w:sz w:val="24"/>
                </w:rPr>
                <w:t>46</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5" w:right="0"/>
              <w:jc w:val="left"/>
              <w:rPr>
                <w:rFonts w:ascii="宋体" w:hAnsi="宋体" w:cs="宋体" w:eastAsia="宋体" w:hint="default"/>
                <w:sz w:val="24"/>
                <w:szCs w:val="24"/>
              </w:rPr>
            </w:pPr>
            <w:hyperlink w:history="true" w:anchor="_bookmark5">
              <w:r>
                <w:rPr>
                  <w:rFonts w:ascii="宋体" w:hAnsi="宋体" w:cs="宋体" w:eastAsia="宋体" w:hint="default"/>
                  <w:b/>
                  <w:bCs/>
                  <w:sz w:val="24"/>
                  <w:szCs w:val="24"/>
                </w:rPr>
                <w:t>第六节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61" w:right="0"/>
              <w:jc w:val="left"/>
              <w:rPr>
                <w:rFonts w:ascii="宋体" w:hAnsi="宋体" w:cs="宋体" w:eastAsia="宋体" w:hint="default"/>
                <w:sz w:val="24"/>
                <w:szCs w:val="24"/>
              </w:rPr>
            </w:pPr>
            <w:hyperlink w:history="true" w:anchor="_bookmark5">
              <w:r>
                <w:rPr>
                  <w:rFonts w:ascii="宋体" w:hAnsi="宋体" w:cs="宋体" w:eastAsia="宋体" w:hint="default"/>
                  <w:b/>
                  <w:bCs/>
                  <w:spacing w:val="2"/>
                  <w:sz w:val="24"/>
                  <w:szCs w:val="24"/>
                </w:rPr>
                <w:t>股份变动及股东情况</w:t>
              </w:r>
              <w:r>
                <w:rPr>
                  <w:rFonts w:ascii="宋体" w:hAnsi="宋体" w:cs="宋体" w:eastAsia="宋体" w:hint="default"/>
                  <w:b/>
                  <w:bCs/>
                  <w:spacing w:val="2"/>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center"/>
              <w:rPr>
                <w:rFonts w:ascii="宋体" w:hAnsi="宋体" w:cs="宋体" w:eastAsia="宋体" w:hint="default"/>
                <w:sz w:val="24"/>
                <w:szCs w:val="24"/>
              </w:rPr>
            </w:pPr>
            <w:hyperlink w:history="true" w:anchor="_bookmark5">
              <w:r>
                <w:rPr>
                  <w:rFonts w:ascii="宋体"/>
                  <w:b/>
                  <w:sz w:val="24"/>
                </w:rPr>
                <w:t>67</w:t>
              </w:r>
              <w:r>
                <w:rPr>
                  <w:rFonts w:ascii="宋体"/>
                  <w:sz w:val="24"/>
                </w:rPr>
              </w:r>
            </w:hyperlink>
          </w:p>
        </w:tc>
      </w:tr>
      <w:tr>
        <w:trPr>
          <w:trHeight w:val="74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6">
              <w:r>
                <w:rPr>
                  <w:rFonts w:ascii="宋体" w:hAnsi="宋体" w:cs="宋体" w:eastAsia="宋体" w:hint="default"/>
                  <w:b/>
                  <w:bCs/>
                  <w:sz w:val="24"/>
                  <w:szCs w:val="24"/>
                </w:rPr>
                <w:t>第七节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0"/>
              <w:jc w:val="left"/>
              <w:rPr>
                <w:rFonts w:ascii="宋体" w:hAnsi="宋体" w:cs="宋体" w:eastAsia="宋体" w:hint="default"/>
                <w:sz w:val="24"/>
                <w:szCs w:val="24"/>
              </w:rPr>
            </w:pPr>
            <w:hyperlink w:history="true" w:anchor="_bookmark6">
              <w:r>
                <w:rPr>
                  <w:rFonts w:ascii="宋体" w:hAnsi="宋体" w:cs="宋体" w:eastAsia="宋体" w:hint="default"/>
                  <w:b/>
                  <w:bCs/>
                  <w:sz w:val="24"/>
                  <w:szCs w:val="24"/>
                </w:rPr>
                <w:t>优先股相关情况</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center"/>
              <w:rPr>
                <w:rFonts w:ascii="宋体" w:hAnsi="宋体" w:cs="宋体" w:eastAsia="宋体" w:hint="default"/>
                <w:sz w:val="24"/>
                <w:szCs w:val="24"/>
              </w:rPr>
            </w:pPr>
            <w:hyperlink w:history="true" w:anchor="_bookmark6">
              <w:r>
                <w:rPr>
                  <w:rFonts w:ascii="宋体"/>
                  <w:b/>
                  <w:sz w:val="24"/>
                </w:rPr>
                <w:t>74</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7">
              <w:r>
                <w:rPr>
                  <w:rFonts w:ascii="宋体" w:hAnsi="宋体" w:cs="宋体" w:eastAsia="宋体" w:hint="default"/>
                  <w:b/>
                  <w:bCs/>
                  <w:sz w:val="24"/>
                  <w:szCs w:val="24"/>
                </w:rPr>
                <w:t>第八节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0"/>
              <w:jc w:val="left"/>
              <w:rPr>
                <w:rFonts w:ascii="宋体" w:hAnsi="宋体" w:cs="宋体" w:eastAsia="宋体" w:hint="default"/>
                <w:sz w:val="24"/>
                <w:szCs w:val="24"/>
              </w:rPr>
            </w:pPr>
            <w:hyperlink w:history="true" w:anchor="_bookmark7">
              <w:r>
                <w:rPr>
                  <w:rFonts w:ascii="宋体" w:hAnsi="宋体" w:cs="宋体" w:eastAsia="宋体" w:hint="default"/>
                  <w:b/>
                  <w:bCs/>
                  <w:sz w:val="24"/>
                  <w:szCs w:val="24"/>
                </w:rPr>
                <w:t>董事、监事、高级管理人员和员工情况</w:t>
              </w:r>
              <w:r>
                <w:rPr>
                  <w:rFonts w:ascii="宋体" w:hAnsi="宋体" w:cs="宋体" w:eastAsia="宋体" w:hint="default"/>
                  <w:b/>
                  <w:bCs/>
                  <w:spacing w:val="-41"/>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center"/>
              <w:rPr>
                <w:rFonts w:ascii="宋体" w:hAnsi="宋体" w:cs="宋体" w:eastAsia="宋体" w:hint="default"/>
                <w:sz w:val="24"/>
                <w:szCs w:val="24"/>
              </w:rPr>
            </w:pPr>
            <w:hyperlink w:history="true" w:anchor="_bookmark7">
              <w:r>
                <w:rPr>
                  <w:rFonts w:ascii="宋体"/>
                  <w:b/>
                  <w:sz w:val="24"/>
                </w:rPr>
                <w:t>75</w:t>
              </w:r>
              <w:r>
                <w:rPr>
                  <w:rFonts w:ascii="宋体"/>
                  <w:sz w:val="24"/>
                </w:rPr>
              </w:r>
            </w:hyperlink>
          </w:p>
        </w:tc>
      </w:tr>
      <w:tr>
        <w:trPr>
          <w:trHeight w:val="74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5" w:right="0"/>
              <w:jc w:val="left"/>
              <w:rPr>
                <w:rFonts w:ascii="宋体" w:hAnsi="宋体" w:cs="宋体" w:eastAsia="宋体" w:hint="default"/>
                <w:sz w:val="24"/>
                <w:szCs w:val="24"/>
              </w:rPr>
            </w:pPr>
            <w:hyperlink w:history="true" w:anchor="_bookmark8">
              <w:r>
                <w:rPr>
                  <w:rFonts w:ascii="宋体" w:hAnsi="宋体" w:cs="宋体" w:eastAsia="宋体" w:hint="default"/>
                  <w:b/>
                  <w:bCs/>
                  <w:sz w:val="24"/>
                  <w:szCs w:val="24"/>
                </w:rPr>
                <w:t>第九节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61" w:right="0"/>
              <w:jc w:val="left"/>
              <w:rPr>
                <w:rFonts w:ascii="宋体" w:hAnsi="宋体" w:cs="宋体" w:eastAsia="宋体" w:hint="default"/>
                <w:sz w:val="24"/>
                <w:szCs w:val="24"/>
              </w:rPr>
            </w:pPr>
            <w:hyperlink w:history="true" w:anchor="_bookmark8">
              <w:r>
                <w:rPr>
                  <w:rFonts w:ascii="宋体" w:hAnsi="宋体" w:cs="宋体" w:eastAsia="宋体" w:hint="default"/>
                  <w:b/>
                  <w:bCs/>
                  <w:sz w:val="24"/>
                  <w:szCs w:val="24"/>
                </w:rPr>
                <w:t>公司治理</w:t>
              </w:r>
              <w:r>
                <w:rPr>
                  <w:rFonts w:ascii="宋体" w:hAnsi="宋体" w:cs="宋体" w:eastAsia="宋体" w:hint="default"/>
                  <w:b/>
                  <w:bCs/>
                  <w:spacing w:val="60"/>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center"/>
              <w:rPr>
                <w:rFonts w:ascii="宋体" w:hAnsi="宋体" w:cs="宋体" w:eastAsia="宋体" w:hint="default"/>
                <w:sz w:val="24"/>
                <w:szCs w:val="24"/>
              </w:rPr>
            </w:pPr>
            <w:hyperlink w:history="true" w:anchor="_bookmark8">
              <w:r>
                <w:rPr>
                  <w:rFonts w:ascii="宋体"/>
                  <w:b/>
                  <w:sz w:val="24"/>
                </w:rPr>
                <w:t>81</w:t>
              </w:r>
              <w:r>
                <w:rPr>
                  <w:rFonts w:ascii="宋体"/>
                  <w:sz w:val="24"/>
                </w:rPr>
              </w:r>
            </w:hyperlink>
          </w:p>
        </w:tc>
      </w:tr>
      <w:tr>
        <w:trPr>
          <w:trHeight w:val="59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5" w:right="0"/>
              <w:jc w:val="left"/>
              <w:rPr>
                <w:rFonts w:ascii="宋体" w:hAnsi="宋体" w:cs="宋体" w:eastAsia="宋体" w:hint="default"/>
                <w:sz w:val="24"/>
                <w:szCs w:val="24"/>
              </w:rPr>
            </w:pPr>
            <w:hyperlink w:history="true" w:anchor="_bookmark9">
              <w:r>
                <w:rPr>
                  <w:rFonts w:ascii="宋体" w:hAnsi="宋体" w:cs="宋体" w:eastAsia="宋体" w:hint="default"/>
                  <w:b/>
                  <w:bCs/>
                  <w:sz w:val="24"/>
                  <w:szCs w:val="24"/>
                </w:rPr>
                <w:t>第十节</w:t>
              </w:r>
              <w:r>
                <w:rPr>
                  <w:rFonts w:ascii="宋体" w:hAnsi="宋体" w:cs="宋体" w:eastAsia="宋体" w:hint="default"/>
                  <w:sz w:val="24"/>
                  <w:szCs w:val="24"/>
                </w:rPr>
              </w:r>
            </w:hyperlink>
          </w:p>
        </w:tc>
        <w:tc>
          <w:tcPr>
            <w:tcW w:w="860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1" w:right="0"/>
              <w:jc w:val="left"/>
              <w:rPr>
                <w:rFonts w:ascii="宋体" w:hAnsi="宋体" w:cs="宋体" w:eastAsia="宋体" w:hint="default"/>
                <w:sz w:val="24"/>
                <w:szCs w:val="24"/>
              </w:rPr>
            </w:pPr>
            <w:hyperlink w:history="true" w:anchor="_bookmark9">
              <w:r>
                <w:rPr>
                  <w:rFonts w:ascii="宋体" w:hAnsi="宋体" w:cs="宋体" w:eastAsia="宋体" w:hint="default"/>
                  <w:b/>
                  <w:bCs/>
                  <w:sz w:val="24"/>
                  <w:szCs w:val="24"/>
                </w:rPr>
                <w:t>财务报告</w:t>
              </w:r>
              <w:r>
                <w:rPr>
                  <w:rFonts w:ascii="宋体" w:hAnsi="宋体" w:cs="宋体" w:eastAsia="宋体" w:hint="default"/>
                  <w:b/>
                  <w:bCs/>
                  <w:spacing w:val="60"/>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33"/>
              <w:jc w:val="center"/>
              <w:rPr>
                <w:rFonts w:ascii="宋体" w:hAnsi="宋体" w:cs="宋体" w:eastAsia="宋体" w:hint="default"/>
                <w:sz w:val="24"/>
                <w:szCs w:val="24"/>
              </w:rPr>
            </w:pPr>
            <w:hyperlink w:history="true" w:anchor="_bookmark9">
              <w:r>
                <w:rPr>
                  <w:rFonts w:ascii="宋体"/>
                  <w:b/>
                  <w:sz w:val="24"/>
                </w:rPr>
                <w:t>88</w:t>
              </w:r>
              <w:r>
                <w:rPr>
                  <w:rFonts w:ascii="宋体"/>
                  <w:sz w:val="24"/>
                </w:rPr>
              </w:r>
            </w:hyperlink>
          </w:p>
        </w:tc>
      </w:tr>
    </w:tbl>
    <w:p>
      <w:pPr>
        <w:spacing w:line="240" w:lineRule="auto" w:before="8"/>
        <w:rPr>
          <w:rFonts w:ascii="宋体" w:hAnsi="宋体" w:cs="宋体" w:eastAsia="宋体" w:hint="default"/>
          <w:b/>
          <w:bCs/>
          <w:sz w:val="23"/>
          <w:szCs w:val="23"/>
        </w:rPr>
      </w:pPr>
    </w:p>
    <w:p>
      <w:pPr>
        <w:pStyle w:val="Heading2"/>
        <w:tabs>
          <w:tab w:pos="9781" w:val="right" w:leader="dot"/>
        </w:tabs>
        <w:spacing w:line="240" w:lineRule="auto" w:before="26"/>
        <w:ind w:right="0"/>
        <w:jc w:val="left"/>
        <w:rPr>
          <w:rFonts w:ascii="宋体" w:hAnsi="宋体" w:cs="宋体" w:eastAsia="宋体" w:hint="default"/>
          <w:b w:val="0"/>
          <w:bCs w:val="0"/>
        </w:rPr>
      </w:pPr>
      <w:hyperlink w:history="true" w:anchor="_bookmark10">
        <w:r>
          <w:rPr/>
          <w:t>第十一节</w:t>
        </w:r>
        <w:r>
          <w:rPr>
            <w:spacing w:val="-2"/>
          </w:rPr>
          <w:t> </w:t>
        </w:r>
        <w:r>
          <w:rPr/>
          <w:t>备查文件目录</w:t>
        </w:r>
        <w:r>
          <w:rPr>
            <w:rFonts w:ascii="宋体" w:hAnsi="宋体" w:cs="宋体" w:eastAsia="宋体" w:hint="default"/>
          </w:rPr>
          <w:tab/>
          <w:t>215</w:t>
        </w:r>
        <w:r>
          <w:rPr>
            <w:rFonts w:ascii="宋体" w:hAnsi="宋体" w:cs="宋体" w:eastAsia="宋体" w:hint="default"/>
            <w:b w:val="0"/>
            <w:bCs w:val="0"/>
          </w:rPr>
        </w:r>
      </w:hyperlink>
    </w:p>
    <w:p>
      <w:pPr>
        <w:spacing w:after="0" w:line="240" w:lineRule="auto"/>
        <w:jc w:val="left"/>
        <w:rPr>
          <w:rFonts w:ascii="宋体" w:hAnsi="宋体" w:cs="宋体" w:eastAsia="宋体" w:hint="default"/>
        </w:rPr>
        <w:sectPr>
          <w:pgSz w:w="11910" w:h="16840"/>
          <w:pgMar w:header="745" w:footer="982" w:top="1060" w:bottom="1180" w:left="980" w:right="980"/>
        </w:sectPr>
      </w:pPr>
    </w:p>
    <w:p>
      <w:pPr>
        <w:spacing w:before="424"/>
        <w:ind w:left="152" w:right="0" w:firstLine="0"/>
        <w:jc w:val="left"/>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1"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3" w:hRule="exact"/>
        </w:trPr>
        <w:tc>
          <w:tcPr>
            <w:tcW w:w="3535" w:type="dxa"/>
            <w:vMerge w:val="restart"/>
            <w:tcBorders>
              <w:top w:val="single" w:sz="4" w:space="0" w:color="000000"/>
              <w:left w:val="single" w:sz="4" w:space="0" w:color="000000"/>
              <w:right w:val="single" w:sz="9" w:space="0" w:color="D4D4D4"/>
            </w:tcBorders>
          </w:tcPr>
          <w:p>
            <w:pPr>
              <w:pStyle w:val="TableParagraph"/>
              <w:spacing w:line="314" w:lineRule="auto" w:before="51"/>
              <w:ind w:left="24" w:right="73"/>
              <w:jc w:val="left"/>
              <w:rPr>
                <w:rFonts w:ascii="宋体" w:hAnsi="宋体" w:cs="宋体" w:eastAsia="宋体" w:hint="default"/>
                <w:sz w:val="18"/>
                <w:szCs w:val="18"/>
              </w:rPr>
            </w:pPr>
            <w:r>
              <w:rPr>
                <w:rFonts w:ascii="宋体" w:hAnsi="宋体" w:cs="宋体" w:eastAsia="宋体" w:hint="default"/>
                <w:sz w:val="18"/>
                <w:szCs w:val="18"/>
              </w:rPr>
              <w:t>本公司、公司、母公司、新国都、新国都股 份</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17A</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新国都软件</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新国都支付、支付公司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Exadigm</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Exadigm,Inc</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泰德信</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《深圳市新国都技术股份有限公司章程》</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主承销商、保荐机构、中信证券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3"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中国银联体系</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4" w:lineRule="auto" w:before="51"/>
              <w:ind w:left="28" w:right="21"/>
              <w:jc w:val="left"/>
              <w:rPr>
                <w:rFonts w:ascii="宋体" w:hAnsi="宋体" w:cs="宋体" w:eastAsia="宋体" w:hint="default"/>
                <w:sz w:val="18"/>
                <w:szCs w:val="18"/>
              </w:rPr>
            </w:pPr>
            <w:r>
              <w:rPr>
                <w:rFonts w:ascii="宋体" w:hAnsi="宋体" w:cs="宋体" w:eastAsia="宋体" w:hint="default"/>
                <w:spacing w:val="-2"/>
                <w:sz w:val="18"/>
                <w:szCs w:val="18"/>
              </w:rPr>
              <w:t>银联商务有限公司、广州好易联支付网络有限公司、深圳市银联金融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网络有限公司</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深圳银联商务</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深圳市银联金融网络有限公司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浙江中正、中正、中正智能</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大拿科技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深圳市大拿科技有限公司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保险公司、相互保险公司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相互人寿保险公司（或组织）</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信联征信</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通联支付</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大岩资本</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深圳嘉石大岩资本管理有限公司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邮储、邮储银行</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2641" w:right="0" w:firstLine="0"/>
        <w:jc w:val="left"/>
        <w:rPr>
          <w:rFonts w:ascii="宋体" w:hAnsi="宋体" w:cs="宋体" w:eastAsia="宋体" w:hint="default"/>
          <w:sz w:val="32"/>
          <w:szCs w:val="32"/>
        </w:rPr>
      </w:pPr>
      <w:bookmarkStart w:name="第二节 公司简介和主要财务指标" w:id="3"/>
      <w:bookmarkEnd w:id="3"/>
      <w:r>
        <w:rPr/>
      </w:r>
      <w:bookmarkStart w:name="_bookmark1" w:id="4"/>
      <w:bookmarkEnd w:id="4"/>
      <w:r>
        <w:rPr/>
      </w:r>
      <w:r>
        <w:rPr>
          <w:rFonts w:ascii="宋体" w:hAnsi="宋体" w:cs="宋体" w:eastAsia="宋体" w:hint="default"/>
          <w:b/>
          <w:bCs/>
          <w:sz w:val="32"/>
          <w:szCs w:val="32"/>
        </w:rPr>
        <w:t>第二节</w:t>
      </w:r>
      <w:r>
        <w:rPr>
          <w:rFonts w:ascii="宋体" w:hAnsi="宋体" w:cs="宋体" w:eastAsia="宋体" w:hint="default"/>
          <w:b/>
          <w:bCs/>
          <w:spacing w:val="-6"/>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52" w:right="0" w:firstLine="0"/>
        <w:jc w:val="left"/>
        <w:rPr>
          <w:rFonts w:ascii="宋体" w:hAnsi="宋体" w:cs="宋体" w:eastAsia="宋体" w:hint="default"/>
          <w:sz w:val="24"/>
          <w:szCs w:val="24"/>
        </w:rPr>
      </w:pPr>
      <w:r>
        <w:rPr/>
        <w:pict>
          <v:group style="position:absolute;margin-left:171.119995pt;margin-top:114.075615pt;width:362.65pt;height:20.9pt;mso-position-horizontal-relative:page;mso-position-vertical-relative:paragraph;z-index:-1074208"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bookmarkStart w:name="一、公司信息" w:id="5"/>
      <w:bookmarkEnd w:id="5"/>
      <w:r>
        <w:rPr/>
      </w: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300130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Shenzhen Xinguodu Technology</w:t>
            </w:r>
            <w:r>
              <w:rPr>
                <w:rFonts w:ascii="Times New Roman"/>
                <w:spacing w:val="-25"/>
                <w:sz w:val="18"/>
              </w:rPr>
              <w:t> </w:t>
            </w:r>
            <w:r>
              <w:rPr>
                <w:rFonts w:ascii="Times New Roman"/>
                <w:spacing w:val="-3"/>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XGD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www.xinguodu.com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xgd-zqb@xinguodu.com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方媛</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4D4D4"/>
          </w:tcPr>
          <w:p>
            <w:pPr/>
          </w:p>
        </w:tc>
        <w:tc>
          <w:tcPr>
            <w:tcW w:w="3200" w:type="dxa"/>
            <w:vMerge w:val="restart"/>
            <w:tcBorders>
              <w:top w:val="single" w:sz="4" w:space="0" w:color="000000"/>
              <w:left w:val="single" w:sz="9" w:space="0" w:color="D4D4D4"/>
              <w:right w:val="single" w:sz="4" w:space="0" w:color="000000"/>
            </w:tcBorders>
          </w:tcPr>
          <w:p>
            <w:pPr>
              <w:pStyle w:val="TableParagraph"/>
              <w:spacing w:line="316" w:lineRule="auto" w:before="49"/>
              <w:ind w:left="28"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17A</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17A</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4D4D4"/>
          </w:tcPr>
          <w:p>
            <w:pPr/>
          </w:p>
        </w:tc>
        <w:tc>
          <w:tcPr>
            <w:tcW w:w="320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0755-83481391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0755-83481391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0755-86319990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0755-86319990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liyanfang@xinguodu.com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fangyuan@xinguodu.com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四、其他有关资料" w:id="8"/>
      <w:bookmarkEnd w:id="8"/>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谭荣、张晓义</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499,177,767.74</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85,495,853.97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79,581,385.94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54,940,058.49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76,015,210.50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68,708,194.95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44,885,149.02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264,400,847.37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-3,867,312.57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6,936.81%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35,329,141.02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0.24</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0.24</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1,822,478,469.09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1,381,259,985.93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1,252,877,050.22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1,262,354,409.92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1,130,378,477.77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1,033,002,391.82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114,355,912.53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228,961,462.26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219,532,747.77</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414,716,266.95</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4,507,583.96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30,691,812.87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10,256,959.69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40,039,497.46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4,501,274.84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27,347,663.73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9,927,943.85</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34,238,328.09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-72,896,606.21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70,246,914.48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-615,025.53</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267,665,564.63</w:t>
            </w:r>
            <w:r>
              <w:rPr>
                <w:rFonts w:ascii="Times New Roman"/>
                <w:sz w:val="18"/>
              </w:rPr>
            </w:r>
          </w:p>
        </w:tc>
      </w:tr>
    </w:tbl>
    <w:p>
      <w:pPr>
        <w:pStyle w:val="BodyText"/>
        <w:spacing w:line="240" w:lineRule="auto" w:before="49"/>
        <w:ind w:right="0"/>
        <w:jc w:val="left"/>
      </w:pPr>
      <w:r>
        <w:rPr/>
        <w:t>上述财务指标或其加总数是否与公司已披露季度报告、半年度报告相关财务指标存在重大差异</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4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21,431.76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479,361.17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9,613,916.23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10,833,200.00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550,500.00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3,034,202.75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-244,476.12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-389,370.18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-109,670.13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544,614.51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79,267.61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9,480,643.47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10,873,190.99</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10,054,909.47</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1"/>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pStyle w:val="BodyText"/>
        <w:spacing w:line="463" w:lineRule="auto"/>
        <w:ind w:right="140" w:firstLine="360"/>
        <w:jc w:val="both"/>
      </w:pPr>
      <w:r>
        <w:rPr/>
        <w:t>报告期内，公司持续专注于电子支付技术领域，从事以金融</w:t>
      </w:r>
      <w:r>
        <w:rPr>
          <w:rFonts w:ascii="Times New Roman" w:hAnsi="Times New Roman" w:cs="Times New Roman" w:eastAsia="Times New Roman" w:hint="default"/>
        </w:rPr>
        <w:t>POS</w:t>
      </w:r>
      <w:r>
        <w:rPr/>
        <w:t>机为主的电子支付受理终端设备软硬件的生产、研发、 </w:t>
      </w:r>
      <w:r>
        <w:rPr>
          <w:spacing w:val="-2"/>
        </w:rPr>
        <w:t>销售和租赁，以此为载体，为客户提供电子支付技术综合解决方案。伴随移动支付、电子支付的快速发展，公司以支付技术</w:t>
      </w:r>
      <w:r>
        <w:rPr>
          <w:spacing w:val="-67"/>
        </w:rPr>
        <w:t> </w:t>
      </w:r>
      <w:r>
        <w:rPr>
          <w:spacing w:val="-67"/>
        </w:rPr>
      </w:r>
      <w:r>
        <w:rPr>
          <w:spacing w:val="-1"/>
        </w:rPr>
        <w:t>为基础，金融</w:t>
      </w:r>
      <w:r>
        <w:rPr>
          <w:rFonts w:ascii="Times New Roman" w:hAnsi="Times New Roman" w:cs="Times New Roman" w:eastAsia="Times New Roman" w:hint="default"/>
          <w:spacing w:val="-1"/>
        </w:rPr>
        <w:t>POS</w:t>
      </w:r>
      <w:r>
        <w:rPr>
          <w:spacing w:val="-1"/>
        </w:rPr>
        <w:t>终端软硬件的设计和研发为核心，继续巩固和提升在电子支付技术受理终端设备的市场领先地位。公司凭</w:t>
      </w:r>
      <w:r>
        <w:rPr/>
        <w:t> </w:t>
      </w:r>
      <w:r>
        <w:rPr>
          <w:spacing w:val="-2"/>
        </w:rPr>
        <w:t>借技术、市场和行业经验等优势，结合我国信息化新浪潮，围绕电子支付领域，积极推进生物识别、云平台、云存储、大型</w:t>
      </w:r>
      <w:r>
        <w:rPr>
          <w:spacing w:val="-73"/>
        </w:rPr>
        <w:t> </w:t>
      </w:r>
      <w:r>
        <w:rPr>
          <w:spacing w:val="-73"/>
        </w:rPr>
      </w:r>
      <w:r>
        <w:rPr/>
        <w:t>系统平台技术等创新业务的进展。报告期内，公司绝大部分收入依然来自国内电子支付受理终端市场。</w:t>
      </w:r>
    </w:p>
    <w:p>
      <w:pPr>
        <w:pStyle w:val="BodyText"/>
        <w:spacing w:line="458" w:lineRule="auto" w:before="65"/>
        <w:ind w:right="94" w:firstLine="360"/>
        <w:jc w:val="left"/>
      </w:pPr>
      <w:r>
        <w:rPr>
          <w:spacing w:val="-2"/>
        </w:rPr>
        <w:t>公司支付设备主要产品包括</w:t>
      </w:r>
      <w:r>
        <w:rPr>
          <w:rFonts w:ascii="Times New Roman" w:hAnsi="Times New Roman" w:cs="Times New Roman" w:eastAsia="Times New Roman" w:hint="default"/>
          <w:spacing w:val="-2"/>
        </w:rPr>
        <w:t>POS</w:t>
      </w:r>
      <w:r>
        <w:rPr>
          <w:spacing w:val="-2"/>
        </w:rPr>
        <w:t>机（台式</w:t>
      </w:r>
      <w:r>
        <w:rPr>
          <w:rFonts w:ascii="Times New Roman" w:hAnsi="Times New Roman" w:cs="Times New Roman" w:eastAsia="Times New Roman" w:hint="default"/>
          <w:spacing w:val="-2"/>
        </w:rPr>
        <w:t>POS</w:t>
      </w:r>
      <w:r>
        <w:rPr>
          <w:spacing w:val="-2"/>
        </w:rPr>
        <w:t>、移动</w:t>
      </w:r>
      <w:r>
        <w:rPr>
          <w:rFonts w:ascii="Times New Roman" w:hAnsi="Times New Roman" w:cs="Times New Roman" w:eastAsia="Times New Roman" w:hint="default"/>
          <w:spacing w:val="-2"/>
        </w:rPr>
        <w:t>POS</w:t>
      </w:r>
      <w:r>
        <w:rPr>
          <w:spacing w:val="-2"/>
        </w:rPr>
        <w:t>、电话</w:t>
      </w:r>
      <w:r>
        <w:rPr>
          <w:rFonts w:ascii="Times New Roman" w:hAnsi="Times New Roman" w:cs="Times New Roman" w:eastAsia="Times New Roman" w:hint="default"/>
          <w:spacing w:val="-2"/>
        </w:rPr>
        <w:t>POS</w:t>
      </w:r>
      <w:r>
        <w:rPr>
          <w:spacing w:val="-2"/>
        </w:rPr>
        <w:t>、智能</w:t>
      </w:r>
      <w:r>
        <w:rPr>
          <w:rFonts w:ascii="Times New Roman" w:hAnsi="Times New Roman" w:cs="Times New Roman" w:eastAsia="Times New Roman" w:hint="default"/>
          <w:spacing w:val="-2"/>
        </w:rPr>
        <w:t>POS</w:t>
      </w:r>
      <w:r>
        <w:rPr>
          <w:spacing w:val="-2"/>
        </w:rPr>
        <w:t>及</w:t>
      </w:r>
      <w:r>
        <w:rPr>
          <w:rFonts w:ascii="Times New Roman" w:hAnsi="Times New Roman" w:cs="Times New Roman" w:eastAsia="Times New Roman" w:hint="default"/>
          <w:spacing w:val="-2"/>
        </w:rPr>
        <w:t>MPOS</w:t>
      </w:r>
      <w:r>
        <w:rPr>
          <w:spacing w:val="-2"/>
        </w:rPr>
        <w:t>）、密码键盘及外接设备。公司</w:t>
      </w:r>
      <w:r>
        <w:rPr/>
        <w:t> 把握行业发展对电子支付终端和技术需求持续旺盛的机会，大力发展市场，营业收入实现快速增长。截止本报告出具之日， </w:t>
      </w:r>
      <w:r>
        <w:rPr>
          <w:spacing w:val="-2"/>
        </w:rPr>
        <w:t>根据中国人民银行出具的</w:t>
      </w:r>
      <w:r>
        <w:rPr>
          <w:rFonts w:ascii="Times New Roman" w:hAnsi="Times New Roman" w:cs="Times New Roman" w:eastAsia="Times New Roman" w:hint="default"/>
          <w:spacing w:val="-2"/>
        </w:rPr>
        <w:t>2015</w:t>
      </w:r>
      <w:r>
        <w:rPr>
          <w:spacing w:val="-2"/>
        </w:rPr>
        <w:t>年支付体系运行情况数据，国内电子支付业务继续保持较快增长，电话支付、移动支付业务涨</w:t>
      </w:r>
      <w:r>
        <w:rPr>
          <w:spacing w:val="-64"/>
        </w:rPr>
        <w:t> </w:t>
      </w:r>
      <w:r>
        <w:rPr>
          <w:spacing w:val="-64"/>
        </w:rPr>
      </w:r>
      <w:r>
        <w:rPr/>
        <w:t>幅明显，移动支付业务笔数和金额同比分别增长</w:t>
      </w:r>
      <w:r>
        <w:rPr>
          <w:rFonts w:ascii="Times New Roman" w:hAnsi="Times New Roman" w:cs="Times New Roman" w:eastAsia="Times New Roman" w:hint="default"/>
        </w:rPr>
        <w:t>205.86%</w:t>
      </w:r>
      <w:r>
        <w:rPr/>
        <w:t>和</w:t>
      </w:r>
      <w:r>
        <w:rPr>
          <w:rFonts w:ascii="Times New Roman" w:hAnsi="Times New Roman" w:cs="Times New Roman" w:eastAsia="Times New Roman" w:hint="default"/>
        </w:rPr>
        <w:t>379.06%</w:t>
      </w:r>
      <w:r>
        <w:rPr/>
        <w:t>。随着移动互联网业务的快速发展，移动互联网支付需 求旺盛，第三方支付机构设备需求旺盛，全年电子支付受理终端设备的总体需求仍然呈现快速上升的态势。</w:t>
      </w:r>
    </w:p>
    <w:p>
      <w:pPr>
        <w:pStyle w:val="BodyText"/>
        <w:spacing w:line="468" w:lineRule="auto" w:before="68"/>
        <w:ind w:right="191" w:firstLine="360"/>
        <w:jc w:val="both"/>
      </w:pPr>
      <w:r>
        <w:rPr/>
        <w:t>报告期内，公司以现金方式收购了浙江中正</w:t>
      </w:r>
      <w:r>
        <w:rPr>
          <w:rFonts w:ascii="Times New Roman" w:hAnsi="Times New Roman" w:cs="Times New Roman" w:eastAsia="Times New Roman" w:hint="default"/>
        </w:rPr>
        <w:t>100%</w:t>
      </w:r>
      <w:r>
        <w:rPr/>
        <w:t>股权，浙江中正主要从事生物识别技术及产品的设计、研发与销售， </w:t>
      </w:r>
      <w:r>
        <w:rPr>
          <w:spacing w:val="-2"/>
        </w:rPr>
        <w:t>其技术与产品主要应用于金融系统，其典型应用模式是为银行提供基于指纹识别的工作人员身份认证识别系统，以对银行的</w:t>
      </w:r>
      <w:r>
        <w:rPr>
          <w:spacing w:val="-64"/>
        </w:rPr>
        <w:t> </w:t>
      </w:r>
      <w:r>
        <w:rPr>
          <w:spacing w:val="-64"/>
        </w:rPr>
      </w:r>
      <w:r>
        <w:rPr>
          <w:spacing w:val="-2"/>
        </w:rPr>
        <w:t>内部流程操作风险进行控制，有效提高银行风控体系的可靠性。随着我国乃至全球移动互联网技术和应用的快速发展，生物</w:t>
      </w:r>
      <w:r>
        <w:rPr>
          <w:spacing w:val="-63"/>
        </w:rPr>
        <w:t> </w:t>
      </w:r>
      <w:r>
        <w:rPr>
          <w:spacing w:val="-63"/>
        </w:rPr>
      </w:r>
      <w:r>
        <w:rPr>
          <w:spacing w:val="-2"/>
        </w:rPr>
        <w:t>识别技术产业将迎来新的发展机遇，面孔识别、声波识别、步态识别、指纹指静脉识别、瞳孔识别等基于人体生物特征的技</w:t>
      </w:r>
      <w:r>
        <w:rPr>
          <w:spacing w:val="-65"/>
        </w:rPr>
        <w:t> </w:t>
      </w:r>
      <w:r>
        <w:rPr>
          <w:spacing w:val="-65"/>
        </w:rPr>
      </w:r>
      <w:r>
        <w:rPr>
          <w:spacing w:val="-1"/>
        </w:rPr>
        <w:t>术识别的应用领域不断扩大，如手机、</w:t>
      </w:r>
      <w:r>
        <w:rPr>
          <w:rFonts w:ascii="Times New Roman" w:hAnsi="Times New Roman" w:cs="Times New Roman" w:eastAsia="Times New Roman" w:hint="default"/>
          <w:spacing w:val="-1"/>
        </w:rPr>
        <w:t>POS</w:t>
      </w:r>
      <w:r>
        <w:rPr>
          <w:spacing w:val="-1"/>
        </w:rPr>
        <w:t>机等硬件设备的指纹识别模块的应用，主要用来替代密码和使用者身份，为广大</w:t>
      </w:r>
      <w:r>
        <w:rPr/>
        <w:t> </w:t>
      </w:r>
      <w:r>
        <w:rPr>
          <w:spacing w:val="-2"/>
        </w:rPr>
        <w:t>消费者和商户带来便利的同时，提供了更加安全的风控流程管理手段。目前，浙江中正是国内银行体系排名第一的生物识别</w:t>
      </w:r>
      <w:r>
        <w:rPr>
          <w:spacing w:val="-66"/>
        </w:rPr>
        <w:t> </w:t>
      </w:r>
      <w:r>
        <w:rPr>
          <w:spacing w:val="-66"/>
        </w:rPr>
      </w:r>
      <w:r>
        <w:rPr/>
        <w:t>技术和产品品牌。</w:t>
      </w:r>
    </w:p>
    <w:p>
      <w:pPr>
        <w:pStyle w:val="BodyText"/>
        <w:spacing w:line="468" w:lineRule="auto" w:before="61"/>
        <w:ind w:right="190" w:firstLine="360"/>
        <w:jc w:val="both"/>
      </w:pPr>
      <w:r>
        <w:rPr>
          <w:spacing w:val="-2"/>
        </w:rPr>
        <w:t>除此之外，公司在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月份正式成立了全资子公司信联征信，信联征信于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月完成企业征信机构备案，获得该</w:t>
      </w:r>
      <w:r>
        <w:rPr/>
        <w:t> </w:t>
      </w:r>
      <w:r>
        <w:rPr>
          <w:spacing w:val="-2"/>
        </w:rPr>
        <w:t>备案资格的征信机构，可以从事企业征信服务业务。报告期内，信联征信已经开始与银行卡收单服务机构合作，联合开展基</w:t>
      </w:r>
      <w:r>
        <w:rPr>
          <w:spacing w:val="-65"/>
        </w:rPr>
        <w:t> </w:t>
      </w:r>
      <w:r>
        <w:rPr>
          <w:spacing w:val="-65"/>
        </w:rPr>
      </w:r>
      <w:r>
        <w:rPr>
          <w:spacing w:val="-1"/>
        </w:rPr>
        <w:t>于金融</w:t>
      </w:r>
      <w:r>
        <w:rPr>
          <w:rFonts w:ascii="Times New Roman" w:hAnsi="Times New Roman" w:cs="Times New Roman" w:eastAsia="Times New Roman" w:hint="default"/>
          <w:spacing w:val="-1"/>
        </w:rPr>
        <w:t>POS</w:t>
      </w:r>
      <w:r>
        <w:rPr>
          <w:spacing w:val="-1"/>
        </w:rPr>
        <w:t>机产生的交易数据进行分析，为收单服务机构提供征信服务商业模式的探索。随着我国市场经济改革的推进，市</w:t>
      </w:r>
      <w:r>
        <w:rPr>
          <w:spacing w:val="-88"/>
        </w:rPr>
        <w:t> </w:t>
      </w:r>
      <w:r>
        <w:rPr>
          <w:spacing w:val="-88"/>
        </w:rPr>
      </w:r>
      <w:r>
        <w:rPr>
          <w:spacing w:val="-2"/>
        </w:rPr>
        <w:t>场诚信体系急需建立，征信服务市场潜在需求极大，尤其是移动互联网的发展，使得信息传递的成本极度降低，促进了经济</w:t>
      </w:r>
      <w:r>
        <w:rPr>
          <w:spacing w:val="-65"/>
        </w:rPr>
        <w:t> </w:t>
      </w:r>
      <w:r>
        <w:rPr>
          <w:spacing w:val="-65"/>
        </w:rPr>
      </w:r>
      <w:r>
        <w:rPr>
          <w:spacing w:val="-2"/>
        </w:rPr>
        <w:t>活动的进一步繁荣，但同时也带来了虚假主体、诈骗信息等泛滥的弊端。要解决这些问题，为市场经济改革保驾护航，征信</w:t>
      </w:r>
      <w:r>
        <w:rPr>
          <w:spacing w:val="-67"/>
        </w:rPr>
        <w:t> </w:t>
      </w:r>
      <w:r>
        <w:rPr>
          <w:spacing w:val="-67"/>
        </w:rPr>
      </w:r>
      <w:r>
        <w:rPr>
          <w:spacing w:val="-2"/>
        </w:rPr>
        <w:t>服务市场将大有可为。公司成立信联征信，即是为了顺应市场发展的需求，结合公司在电子支付产业链上的资源，拓展征信</w:t>
      </w:r>
      <w:r>
        <w:rPr>
          <w:spacing w:val="-65"/>
        </w:rPr>
        <w:t> </w:t>
      </w:r>
      <w:r>
        <w:rPr>
          <w:spacing w:val="-65"/>
        </w:rPr>
      </w:r>
      <w:r>
        <w:rPr/>
        <w:t>服务市场，为公司增加新的赢利点。因信联征信成立时间较短，目前暂未大规模产生收入。</w:t>
      </w:r>
    </w:p>
    <w:p>
      <w:pPr>
        <w:pStyle w:val="BodyText"/>
        <w:spacing w:line="240" w:lineRule="auto" w:before="61"/>
        <w:ind w:left="512" w:right="94"/>
        <w:jc w:val="left"/>
      </w:pPr>
      <w:r>
        <w:rPr/>
        <w:t>报告期内，公司实现营业收入</w:t>
      </w:r>
      <w:r>
        <w:rPr>
          <w:rFonts w:ascii="Times New Roman" w:hAnsi="Times New Roman" w:cs="Times New Roman" w:eastAsia="Times New Roman" w:hint="default"/>
        </w:rPr>
        <w:t>97,756.64</w:t>
      </w:r>
      <w:r>
        <w:rPr/>
        <w:t>万元，同比增长</w:t>
      </w:r>
      <w:r>
        <w:rPr>
          <w:rFonts w:ascii="Times New Roman" w:hAnsi="Times New Roman" w:cs="Times New Roman" w:eastAsia="Times New Roman" w:hint="default"/>
        </w:rPr>
        <w:t>44.14%</w:t>
      </w:r>
      <w:r>
        <w:rPr/>
        <w:t>，受股权激励产生管理费用摊销影响，公司利润总额</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94"/>
        <w:jc w:val="left"/>
      </w:pPr>
      <w:r>
        <w:rPr>
          <w:rFonts w:ascii="Times New Roman" w:hAnsi="Times New Roman" w:cs="Times New Roman" w:eastAsia="Times New Roman" w:hint="default"/>
          <w:spacing w:val="-1"/>
        </w:rPr>
        <w:t>8,727.55</w:t>
      </w:r>
      <w:r>
        <w:rPr>
          <w:spacing w:val="-1"/>
        </w:rPr>
        <w:t>万元，同比增长</w:t>
      </w:r>
      <w:r>
        <w:rPr>
          <w:rFonts w:ascii="Times New Roman" w:hAnsi="Times New Roman" w:cs="Times New Roman" w:eastAsia="Times New Roman" w:hint="default"/>
          <w:spacing w:val="-1"/>
        </w:rPr>
        <w:t>12.86%</w:t>
      </w:r>
      <w:r>
        <w:rPr>
          <w:spacing w:val="-1"/>
        </w:rPr>
        <w:t>，实现归属于上市公司净利润</w:t>
      </w:r>
      <w:r>
        <w:rPr>
          <w:rFonts w:ascii="Times New Roman" w:hAnsi="Times New Roman" w:cs="Times New Roman" w:eastAsia="Times New Roman" w:hint="default"/>
          <w:spacing w:val="-1"/>
        </w:rPr>
        <w:t>8,549.59</w:t>
      </w:r>
      <w:r>
        <w:rPr>
          <w:spacing w:val="-1"/>
        </w:rPr>
        <w:t>万元，同比增长</w:t>
      </w:r>
      <w:r>
        <w:rPr>
          <w:rFonts w:ascii="Times New Roman" w:hAnsi="Times New Roman" w:cs="Times New Roman" w:eastAsia="Times New Roman" w:hint="default"/>
          <w:spacing w:val="-1"/>
        </w:rPr>
        <w:t>7.43%</w:t>
      </w:r>
      <w:r>
        <w:rPr>
          <w:spacing w:val="-1"/>
        </w:rPr>
        <w:t>。公司经营业绩继续在行业内保</w:t>
      </w:r>
      <w:r>
        <w:rPr>
          <w:spacing w:val="-59"/>
        </w:rPr>
        <w:t> </w:t>
      </w:r>
      <w:r>
        <w:rPr>
          <w:spacing w:val="-59"/>
        </w:rPr>
      </w:r>
      <w:r>
        <w:rPr/>
        <w:t>持领先水平。</w:t>
      </w:r>
    </w:p>
    <w:p>
      <w:pPr>
        <w:spacing w:line="240" w:lineRule="auto" w:before="0"/>
        <w:rPr>
          <w:rFonts w:ascii="宋体" w:hAnsi="宋体" w:cs="宋体" w:eastAsia="宋体" w:hint="default"/>
          <w:sz w:val="19"/>
          <w:szCs w:val="19"/>
        </w:rPr>
      </w:pPr>
    </w:p>
    <w:p>
      <w:pPr>
        <w:pStyle w:val="Heading2"/>
        <w:spacing w:line="240" w:lineRule="auto"/>
        <w:ind w:right="94"/>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长期股权投资较年初增长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208.69%</w:t>
            </w:r>
            <w:r>
              <w:rPr>
                <w:rFonts w:ascii="宋体" w:hAnsi="宋体" w:cs="宋体" w:eastAsia="宋体" w:hint="default"/>
                <w:sz w:val="18"/>
                <w:szCs w:val="18"/>
              </w:rPr>
              <w:t>，主要系收购大拿科技所致。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固定资产较年初增长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61.42%,</w:t>
            </w:r>
            <w:r>
              <w:rPr>
                <w:rFonts w:ascii="宋体" w:hAnsi="宋体" w:cs="宋体" w:eastAsia="宋体" w:hint="default"/>
                <w:sz w:val="18"/>
                <w:szCs w:val="18"/>
              </w:rPr>
              <w:t>主要系租赁机具增长及收购浙江中正影响所致。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无形资产较年初增长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125.86%</w:t>
            </w:r>
            <w:r>
              <w:rPr>
                <w:rFonts w:ascii="宋体" w:hAnsi="宋体" w:cs="宋体" w:eastAsia="宋体" w:hint="default"/>
                <w:sz w:val="18"/>
                <w:szCs w:val="18"/>
              </w:rPr>
              <w:t>，主要系投资浙江中正无形资产评估增值所致。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在建工程较年初增长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28.65%</w:t>
            </w:r>
            <w:r>
              <w:rPr>
                <w:rFonts w:ascii="宋体" w:hAnsi="宋体" w:cs="宋体" w:eastAsia="宋体" w:hint="default"/>
                <w:sz w:val="18"/>
                <w:szCs w:val="18"/>
              </w:rPr>
              <w:t>，主要系苏州新国都基建项目增加投资所致。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，主要系结构 性存款的收益增加所致。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预付账款余额较年初增长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38.99%,</w:t>
            </w:r>
            <w:r>
              <w:rPr>
                <w:rFonts w:ascii="宋体" w:hAnsi="宋体" w:cs="宋体" w:eastAsia="宋体" w:hint="default"/>
                <w:sz w:val="18"/>
                <w:szCs w:val="18"/>
              </w:rPr>
              <w:t>主要系预付苏州研发基地工程款所致。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应收利息余额较年初下降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96.46%</w:t>
            </w:r>
            <w:r>
              <w:rPr>
                <w:rFonts w:ascii="宋体" w:hAnsi="宋体" w:cs="宋体" w:eastAsia="宋体" w:hint="default"/>
                <w:sz w:val="18"/>
                <w:szCs w:val="18"/>
              </w:rPr>
              <w:t>，主要系定期存款减少所致。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存货余额较年初增长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55.55%</w:t>
            </w:r>
            <w:r>
              <w:rPr>
                <w:rFonts w:ascii="宋体" w:hAnsi="宋体" w:cs="宋体" w:eastAsia="宋体" w:hint="default"/>
                <w:sz w:val="18"/>
                <w:szCs w:val="18"/>
              </w:rPr>
              <w:t>，主要系生产备货存货增加所致。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其他流动资产较年初增加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789.79%,</w:t>
            </w:r>
            <w:r>
              <w:rPr>
                <w:rFonts w:ascii="宋体" w:hAnsi="宋体" w:cs="宋体" w:eastAsia="宋体" w:hint="default"/>
                <w:sz w:val="18"/>
                <w:szCs w:val="18"/>
              </w:rPr>
              <w:t>主要系结构性存款增加所致。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可供出售金融资产较年初下降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92.31%</w:t>
            </w:r>
            <w:r>
              <w:rPr>
                <w:rFonts w:ascii="宋体" w:hAnsi="宋体" w:cs="宋体" w:eastAsia="宋体" w:hint="default"/>
                <w:sz w:val="18"/>
                <w:szCs w:val="18"/>
              </w:rPr>
              <w:t>，主要系金融资产转为长期股权投资所致。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，主要系并购子公司浙江中正及收购美国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ExaDigm,Inc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 所致</w:t>
            </w:r>
            <w:r>
              <w:rPr>
                <w:rFonts w:ascii="Times New Roman" w:hAnsi="Times New Roman" w:cs="Times New Roman" w:eastAsia="Times New Roman" w:hint="default"/>
                <w:sz w:val="18"/>
                <w:szCs w:val="18"/>
              </w:rPr>
              <w:t>.</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长期待摊费较年初增长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37.35%</w:t>
            </w:r>
            <w:r>
              <w:rPr>
                <w:rFonts w:ascii="宋体" w:hAnsi="宋体" w:cs="宋体" w:eastAsia="宋体" w:hint="default"/>
                <w:sz w:val="18"/>
                <w:szCs w:val="18"/>
              </w:rPr>
              <w:t>，主要系装修项目增加所致。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47.64%</w:t>
            </w:r>
            <w:r>
              <w:rPr>
                <w:rFonts w:ascii="宋体" w:hAnsi="宋体" w:cs="宋体" w:eastAsia="宋体" w:hint="default"/>
                <w:sz w:val="18"/>
                <w:szCs w:val="18"/>
              </w:rPr>
              <w:t>，主要系股权激励费用递延所得税增加所致。</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98" w:lineRule="auto"/>
        <w:ind w:left="512" w:right="184" w:hanging="360"/>
        <w:jc w:val="left"/>
      </w:pPr>
      <w:r>
        <w:rPr>
          <w:rFonts w:ascii="宋体" w:hAnsi="宋体" w:cs="宋体" w:eastAsia="宋体" w:hint="default"/>
        </w:rPr>
        <w:t>1</w:t>
      </w:r>
      <w:r>
        <w:rPr/>
        <w:t>）核心业务布局优势 十几年专注于电子支付领域，拥有专业的电子支付技术综合解决方案提供能力。互联网</w:t>
      </w:r>
      <w:r>
        <w:rPr>
          <w:rFonts w:ascii="宋体" w:hAnsi="宋体" w:cs="宋体" w:eastAsia="宋体" w:hint="default"/>
        </w:rPr>
        <w:t>+</w:t>
      </w:r>
      <w:r>
        <w:rPr/>
        <w:t>的浪潮已经开始冲击我国经济</w:t>
      </w:r>
    </w:p>
    <w:p>
      <w:pPr>
        <w:pStyle w:val="BodyText"/>
        <w:spacing w:line="477" w:lineRule="auto" w:before="113"/>
        <w:ind w:right="101"/>
        <w:jc w:val="both"/>
      </w:pPr>
      <w:r>
        <w:rPr>
          <w:spacing w:val="-2"/>
        </w:rPr>
        <w:t>领域的各行各业，我国社会生活正在不断的被移动互联网进行深入的改造。新国都传统优势领域</w:t>
      </w:r>
      <w:r>
        <w:rPr>
          <w:rFonts w:ascii="宋体" w:hAnsi="宋体" w:cs="宋体" w:eastAsia="宋体" w:hint="default"/>
          <w:spacing w:val="-2"/>
        </w:rPr>
        <w:t>——</w:t>
      </w:r>
      <w:r>
        <w:rPr>
          <w:spacing w:val="-2"/>
        </w:rPr>
        <w:t>电子支付作为移动互联</w:t>
      </w:r>
      <w:r>
        <w:rPr>
          <w:spacing w:val="-64"/>
        </w:rPr>
        <w:t> </w:t>
      </w:r>
      <w:r>
        <w:rPr/>
        <w:t>网时代下，经济活动中最核心的环节，在经济活动和商业生态圈里开始扮演越来越重要的角色，它将成为</w:t>
      </w:r>
      <w:r>
        <w:rPr>
          <w:rFonts w:ascii="宋体" w:hAnsi="宋体" w:cs="宋体" w:eastAsia="宋体" w:hint="default"/>
        </w:rPr>
        <w:t>O2O</w:t>
      </w:r>
      <w:r>
        <w:rPr/>
        <w:t>线上线下无缝 </w:t>
      </w:r>
      <w:r>
        <w:rPr>
          <w:spacing w:val="-2"/>
        </w:rPr>
        <w:t>对接的商业模式的核心一环，电子支付受理终端设备日益成为线上线下企业大力抢占的商业大数据运营端口。新国都专注于</w:t>
      </w:r>
      <w:r>
        <w:rPr>
          <w:spacing w:val="-64"/>
        </w:rPr>
        <w:t> </w:t>
      </w:r>
      <w:r>
        <w:rPr>
          <w:spacing w:val="-64"/>
        </w:rPr>
      </w:r>
      <w:r>
        <w:rPr>
          <w:spacing w:val="-4"/>
        </w:rPr>
        <w:t>电子支付领域十几年，积累了非常丰富的行业经验和商业资源，新国都将借助自身多年积累的行业经验和</w:t>
      </w:r>
      <w:r>
        <w:rPr>
          <w:rFonts w:ascii="宋体" w:hAnsi="宋体" w:cs="宋体" w:eastAsia="宋体" w:hint="default"/>
          <w:spacing w:val="-4"/>
        </w:rPr>
        <w:t>IT</w:t>
      </w:r>
      <w:r>
        <w:rPr>
          <w:spacing w:val="-4"/>
        </w:rPr>
        <w:t>软硬件综合能力，</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94"/>
        <w:jc w:val="left"/>
      </w:pPr>
      <w:r>
        <w:rPr/>
        <w:t>打造基于金融</w:t>
      </w:r>
      <w:r>
        <w:rPr>
          <w:rFonts w:ascii="宋体" w:hAnsi="宋体" w:cs="宋体" w:eastAsia="宋体" w:hint="default"/>
        </w:rPr>
        <w:t>POS</w:t>
      </w:r>
      <w:r>
        <w:rPr/>
        <w:t>机的线上线下支付入口优势，整合产业上下游核心资源，使公司获得持续、稳健的盈利能力。</w:t>
      </w:r>
    </w:p>
    <w:p>
      <w:pPr>
        <w:pStyle w:val="BodyText"/>
        <w:spacing w:line="398" w:lineRule="auto" w:before="153"/>
        <w:ind w:left="512" w:right="94" w:hanging="360"/>
        <w:jc w:val="left"/>
      </w:pPr>
      <w:r>
        <w:rPr>
          <w:rFonts w:ascii="宋体" w:hAnsi="宋体" w:cs="宋体" w:eastAsia="宋体" w:hint="default"/>
        </w:rPr>
        <w:t>2</w:t>
      </w:r>
      <w:r>
        <w:rPr/>
        <w:t>）供应链管理体系和产业资源优势 </w:t>
      </w:r>
      <w:r>
        <w:rPr>
          <w:spacing w:val="-2"/>
        </w:rPr>
        <w:t>公司拥有完善的产品研发体系、市场营销体系、生产制造体系、质量管控体系、人力资源体系，有利于整合各个业务链</w:t>
      </w:r>
    </w:p>
    <w:p>
      <w:pPr>
        <w:pStyle w:val="BodyText"/>
        <w:spacing w:line="240" w:lineRule="auto" w:before="113"/>
        <w:ind w:right="94"/>
        <w:jc w:val="left"/>
      </w:pPr>
      <w:r>
        <w:rPr/>
        <w:t>的资源，控制生产成本和产品质量的同时进行产品和商业模式创新。</w:t>
      </w:r>
    </w:p>
    <w:p>
      <w:pPr>
        <w:pStyle w:val="BodyText"/>
        <w:spacing w:line="398" w:lineRule="auto" w:before="153"/>
        <w:ind w:left="512" w:right="94" w:hanging="360"/>
        <w:jc w:val="left"/>
      </w:pPr>
      <w:r>
        <w:rPr>
          <w:rFonts w:ascii="宋体" w:hAnsi="宋体" w:cs="宋体" w:eastAsia="宋体" w:hint="default"/>
        </w:rPr>
        <w:t>3</w:t>
      </w:r>
      <w:r>
        <w:rPr/>
        <w:t>）产品和服务的质量优势 </w:t>
      </w:r>
      <w:r>
        <w:rPr>
          <w:spacing w:val="-2"/>
        </w:rPr>
        <w:t>自公司成立以来，对产品质量精益求精，以打造低成本，高质量，快速响应的供应链管理体系为核心价值，公司一方面</w:t>
      </w:r>
    </w:p>
    <w:p>
      <w:pPr>
        <w:pStyle w:val="BodyText"/>
        <w:spacing w:line="477" w:lineRule="auto" w:before="113"/>
        <w:ind w:right="94"/>
        <w:jc w:val="left"/>
      </w:pPr>
      <w:r>
        <w:rPr>
          <w:spacing w:val="-2"/>
        </w:rPr>
        <w:t>通过生产效率提升、生产直通率提升、工艺优化等活动与项目，进一步提升整体工效与品质；另一方面，通过不断推动研发</w:t>
      </w:r>
      <w:r>
        <w:rPr>
          <w:spacing w:val="-67"/>
        </w:rPr>
        <w:t> </w:t>
      </w:r>
      <w:r>
        <w:rPr>
          <w:spacing w:val="-67"/>
        </w:rPr>
      </w:r>
      <w:r>
        <w:rPr/>
        <w:t>创新，持续优化产品成本，确保产品开发能够如期高质量的实现交付。</w:t>
      </w:r>
    </w:p>
    <w:p>
      <w:pPr>
        <w:pStyle w:val="BodyText"/>
        <w:spacing w:line="211" w:lineRule="exact"/>
        <w:ind w:right="94"/>
        <w:jc w:val="left"/>
      </w:pPr>
      <w:r>
        <w:rPr>
          <w:rFonts w:ascii="宋体" w:hAnsi="宋体" w:cs="宋体" w:eastAsia="宋体" w:hint="default"/>
        </w:rPr>
        <w:t>4</w:t>
      </w:r>
      <w:r>
        <w:rPr/>
        <w:t>）管理优势</w:t>
      </w:r>
    </w:p>
    <w:p>
      <w:pPr>
        <w:pStyle w:val="BodyText"/>
        <w:spacing w:line="477" w:lineRule="auto" w:before="155"/>
        <w:ind w:right="94" w:firstLine="360"/>
        <w:jc w:val="left"/>
      </w:pPr>
      <w:r>
        <w:rPr>
          <w:spacing w:val="-4"/>
        </w:rPr>
        <w:t>公司在自身管理能力建设方面取得了长足的进展，主要体现在战略梳理、业绩与考核、预算管理、经营计划拆解与落实、</w:t>
      </w:r>
      <w:r>
        <w:rPr/>
        <w:t> </w:t>
      </w:r>
      <w:r>
        <w:rPr>
          <w:spacing w:val="-2"/>
        </w:rPr>
        <w:t>流程化管理、信息化管理、精细化管理等方面，公司已经初步具备了对外输出管理的能力，为公司加快战略落地和外延式扩</w:t>
      </w:r>
      <w:r>
        <w:rPr>
          <w:spacing w:val="-64"/>
        </w:rPr>
        <w:t> </w:t>
      </w:r>
      <w:r>
        <w:rPr>
          <w:spacing w:val="-64"/>
        </w:rPr>
      </w:r>
      <w:r>
        <w:rPr/>
        <w:t>张提供了一定的能力保障。</w:t>
      </w:r>
    </w:p>
    <w:p>
      <w:pPr>
        <w:pStyle w:val="BodyText"/>
        <w:spacing w:line="211" w:lineRule="exact"/>
        <w:ind w:right="94"/>
        <w:jc w:val="left"/>
      </w:pPr>
      <w:r>
        <w:rPr>
          <w:rFonts w:ascii="宋体" w:hAnsi="宋体" w:cs="宋体" w:eastAsia="宋体" w:hint="default"/>
        </w:rPr>
        <w:t>5</w:t>
      </w:r>
      <w:r>
        <w:rPr/>
        <w:t>）资本市场优势</w:t>
      </w:r>
    </w:p>
    <w:p>
      <w:pPr>
        <w:pStyle w:val="BodyText"/>
        <w:spacing w:line="477" w:lineRule="auto" w:before="155"/>
        <w:ind w:right="191" w:firstLine="360"/>
        <w:jc w:val="both"/>
      </w:pPr>
      <w:r>
        <w:rPr>
          <w:spacing w:val="-2"/>
        </w:rPr>
        <w:t>公司在创业板成功上市后，目前仍是国内电子支付行业少数拥有资本市场支持的公司之一，国内资本市场的改革，尤其</w:t>
      </w:r>
      <w:r>
        <w:rPr/>
        <w:t> 是</w:t>
      </w:r>
      <w:r>
        <w:rPr>
          <w:rFonts w:ascii="宋体" w:hAnsi="宋体" w:cs="宋体" w:eastAsia="宋体" w:hint="default"/>
        </w:rPr>
        <w:t>A</w:t>
      </w:r>
      <w:r>
        <w:rPr/>
        <w:t>股上市公司再融资制度的不断完善，能够为公司未来的业务发展和战略实施提供资金保障。公司将围绕未来战略发展规 </w:t>
      </w:r>
      <w:r>
        <w:rPr>
          <w:spacing w:val="-2"/>
        </w:rPr>
        <w:t>划，充分发挥公司资本市场优势，以市值促进产业发展，以产业发展夯实市值基础的方式，将公司推入一个产融结合、快速</w:t>
      </w:r>
      <w:r>
        <w:rPr>
          <w:spacing w:val="-67"/>
        </w:rPr>
        <w:t> </w:t>
      </w:r>
      <w:r>
        <w:rPr>
          <w:spacing w:val="-67"/>
        </w:rPr>
      </w:r>
      <w:r>
        <w:rPr/>
        <w:t>扩张的良性发展通道。</w:t>
      </w:r>
    </w:p>
    <w:p>
      <w:pPr>
        <w:pStyle w:val="BodyText"/>
        <w:spacing w:line="211" w:lineRule="exact"/>
        <w:ind w:right="94"/>
        <w:jc w:val="left"/>
      </w:pPr>
      <w:r>
        <w:rPr>
          <w:rFonts w:ascii="宋体" w:hAnsi="宋体" w:cs="宋体" w:eastAsia="宋体" w:hint="default"/>
        </w:rPr>
        <w:t>6</w:t>
      </w:r>
      <w:r>
        <w:rPr/>
        <w:t>）专利及技术优势</w:t>
      </w:r>
    </w:p>
    <w:p>
      <w:pPr>
        <w:pStyle w:val="BodyText"/>
        <w:spacing w:line="477" w:lineRule="auto" w:before="155"/>
        <w:ind w:right="94" w:firstLine="360"/>
        <w:jc w:val="left"/>
      </w:pPr>
      <w:r>
        <w:rPr/>
        <w:t>公司始终坚持自主研发道路，在产品和技术研发方面持续加大投入，报告期内，公司研发费用投入占营业收入</w:t>
      </w:r>
      <w:r>
        <w:rPr>
          <w:rFonts w:ascii="宋体" w:hAnsi="宋体" w:cs="宋体" w:eastAsia="宋体" w:hint="default"/>
        </w:rPr>
        <w:t>13.45%</w:t>
      </w:r>
      <w:r>
        <w:rPr/>
        <w:t>。 截止报告期末，公司取得专利、计算机软件著作权及软件产品等研发成果如下：</w:t>
      </w:r>
      <w:r>
        <w:rPr>
          <w:rFonts w:ascii="宋体" w:hAnsi="宋体" w:cs="宋体" w:eastAsia="宋体" w:hint="default"/>
        </w:rPr>
        <w:t>179</w:t>
      </w:r>
      <w:r>
        <w:rPr/>
        <w:t>项国家专利，其中发明专利</w:t>
      </w:r>
      <w:r>
        <w:rPr>
          <w:rFonts w:ascii="宋体" w:hAnsi="宋体" w:cs="宋体" w:eastAsia="宋体" w:hint="default"/>
        </w:rPr>
        <w:t>53</w:t>
      </w:r>
      <w:r>
        <w:rPr/>
        <w:t>项；</w:t>
      </w:r>
      <w:r>
        <w:rPr>
          <w:rFonts w:ascii="宋体" w:hAnsi="宋体" w:cs="宋体" w:eastAsia="宋体" w:hint="default"/>
        </w:rPr>
        <w:t>10</w:t>
      </w:r>
      <w:r>
        <w:rPr/>
        <w:t>项 国际专利，</w:t>
      </w:r>
      <w:r>
        <w:rPr>
          <w:rFonts w:ascii="宋体" w:hAnsi="宋体" w:cs="宋体" w:eastAsia="宋体" w:hint="default"/>
        </w:rPr>
        <w:t>108</w:t>
      </w:r>
      <w:r>
        <w:rPr/>
        <w:t>个软件著作权证书和</w:t>
      </w:r>
      <w:r>
        <w:rPr>
          <w:rFonts w:ascii="宋体" w:hAnsi="宋体" w:cs="宋体" w:eastAsia="宋体" w:hint="default"/>
        </w:rPr>
        <w:t>49</w:t>
      </w:r>
      <w:r>
        <w:rPr/>
        <w:t>个软件产品登记证书。上述科研成果为公司的持续发展保驾护航，成为公司的核心竞 争力之一。</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94"/>
        <w:jc w:val="left"/>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4"/>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95" w:firstLine="360"/>
        <w:jc w:val="both"/>
      </w:pPr>
      <w:r>
        <w:rPr>
          <w:rFonts w:ascii="宋体" w:hAnsi="宋体" w:cs="宋体" w:eastAsia="宋体" w:hint="default"/>
        </w:rPr>
        <w:t>2015</w:t>
      </w:r>
      <w:r>
        <w:rPr/>
        <w:t>年，公司持续专注于电子支付技术领域，从事以金融</w:t>
      </w:r>
      <w:r>
        <w:rPr>
          <w:rFonts w:ascii="宋体" w:hAnsi="宋体" w:cs="宋体" w:eastAsia="宋体" w:hint="default"/>
        </w:rPr>
        <w:t>POS</w:t>
      </w:r>
      <w:r>
        <w:rPr/>
        <w:t>机为主的电子支付受理终端设备软硬件的生产、研发、销 </w:t>
      </w:r>
      <w:r>
        <w:rPr>
          <w:spacing w:val="-2"/>
        </w:rPr>
        <w:t>售和租赁，以此为载体，为客户提供电子支付技术综合解决方案。伴随移动支付、电子支付的快速发展，公司以支付技术为</w:t>
      </w:r>
      <w:r>
        <w:rPr>
          <w:spacing w:val="-67"/>
        </w:rPr>
        <w:t> </w:t>
      </w:r>
      <w:r>
        <w:rPr>
          <w:spacing w:val="-67"/>
        </w:rPr>
      </w:r>
      <w:r>
        <w:rPr/>
        <w:t>基础，金融</w:t>
      </w:r>
      <w:r>
        <w:rPr>
          <w:rFonts w:ascii="宋体" w:hAnsi="宋体" w:cs="宋体" w:eastAsia="宋体" w:hint="default"/>
        </w:rPr>
        <w:t>POS</w:t>
      </w:r>
      <w:r>
        <w:rPr/>
        <w:t>终端软硬件的设计和研发为核心，继续巩固和提升在电子支付技术受理终端设备的市场领先地位。公司凭借 </w:t>
      </w:r>
      <w:r>
        <w:rPr>
          <w:spacing w:val="-2"/>
        </w:rPr>
        <w:t>技术、市场和行业经验等优势，结合我国信息化新浪潮，围绕电子支付领域，积极推进生物识别、云平台、云存储、大型系</w:t>
      </w:r>
      <w:r>
        <w:rPr>
          <w:spacing w:val="-73"/>
        </w:rPr>
        <w:t> </w:t>
      </w:r>
      <w:r>
        <w:rPr>
          <w:spacing w:val="-73"/>
        </w:rPr>
      </w:r>
      <w:r>
        <w:rPr/>
        <w:t>统平台技术等创新业务的进展。</w:t>
      </w:r>
    </w:p>
    <w:p>
      <w:pPr>
        <w:pStyle w:val="BodyText"/>
        <w:spacing w:line="477" w:lineRule="auto" w:before="54"/>
        <w:ind w:right="193" w:firstLine="360"/>
        <w:jc w:val="both"/>
      </w:pPr>
      <w:r>
        <w:rPr>
          <w:spacing w:val="-2"/>
        </w:rPr>
        <w:t>公司通过已经掌握的支付产业自主核心资源，以支付技术为切入点，以协助客户降低运营成本为产品和增值服务等业务</w:t>
      </w:r>
      <w:r>
        <w:rPr/>
        <w:t> 创新出发点，积极研究市场新变化，加大研发和市场投入力度，日益成为电子支付领域的综合技术方案提供方。</w:t>
      </w:r>
    </w:p>
    <w:p>
      <w:pPr>
        <w:pStyle w:val="BodyText"/>
        <w:spacing w:line="240" w:lineRule="auto" w:before="54"/>
        <w:ind w:left="512" w:right="94"/>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t>年</w:t>
      </w:r>
      <w:r>
        <w:rPr>
          <w:spacing w:val="-89"/>
        </w:rPr>
        <w:t>，</w:t>
      </w:r>
      <w:r>
        <w:rPr/>
        <w:t>公司实现营业收入</w:t>
      </w:r>
      <w:r>
        <w:rPr>
          <w:rFonts w:ascii="宋体" w:hAnsi="宋体" w:cs="宋体" w:eastAsia="宋体" w:hint="default"/>
          <w:spacing w:val="-2"/>
        </w:rPr>
        <w:t>9</w:t>
      </w:r>
      <w:r>
        <w:rPr>
          <w:rFonts w:ascii="宋体" w:hAnsi="宋体" w:cs="宋体" w:eastAsia="宋体" w:hint="default"/>
          <w:spacing w:val="1"/>
        </w:rPr>
        <w:t>7</w:t>
      </w:r>
      <w:r>
        <w:rPr>
          <w:rFonts w:ascii="宋体" w:hAnsi="宋体" w:cs="宋体" w:eastAsia="宋体" w:hint="default"/>
          <w:spacing w:val="-2"/>
        </w:rPr>
        <w:t>,7</w:t>
      </w:r>
      <w:r>
        <w:rPr>
          <w:rFonts w:ascii="宋体" w:hAnsi="宋体" w:cs="宋体" w:eastAsia="宋体" w:hint="default"/>
          <w:spacing w:val="1"/>
        </w:rPr>
        <w:t>56</w:t>
      </w:r>
      <w:r>
        <w:rPr>
          <w:rFonts w:ascii="宋体" w:hAnsi="宋体" w:cs="宋体" w:eastAsia="宋体" w:hint="default"/>
          <w:spacing w:val="-2"/>
        </w:rPr>
        <w:t>.</w:t>
      </w:r>
      <w:r>
        <w:rPr>
          <w:rFonts w:ascii="宋体" w:hAnsi="宋体" w:cs="宋体" w:eastAsia="宋体" w:hint="default"/>
          <w:spacing w:val="1"/>
        </w:rPr>
        <w:t>64</w:t>
      </w:r>
      <w:r>
        <w:rPr/>
        <w:t>万元</w:t>
      </w:r>
      <w:r>
        <w:rPr>
          <w:spacing w:val="-89"/>
        </w:rPr>
        <w:t>，</w:t>
      </w:r>
      <w:r>
        <w:rPr/>
        <w:t>同比增</w:t>
      </w:r>
      <w:r>
        <w:rPr>
          <w:spacing w:val="-3"/>
        </w:rPr>
        <w:t>长</w:t>
      </w:r>
      <w:r>
        <w:rPr>
          <w:rFonts w:ascii="宋体" w:hAnsi="宋体" w:cs="宋体" w:eastAsia="宋体" w:hint="default"/>
          <w:spacing w:val="1"/>
        </w:rPr>
        <w:t>4</w:t>
      </w:r>
      <w:r>
        <w:rPr>
          <w:rFonts w:ascii="宋体" w:hAnsi="宋体" w:cs="宋体" w:eastAsia="宋体" w:hint="default"/>
          <w:spacing w:val="-2"/>
        </w:rPr>
        <w:t>4</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spacing w:val="1"/>
        </w:rPr>
        <w:t>4%</w:t>
      </w:r>
      <w:r>
        <w:rPr>
          <w:spacing w:val="-89"/>
        </w:rPr>
        <w:t>。</w:t>
      </w:r>
      <w:r>
        <w:rPr>
          <w:spacing w:val="-3"/>
        </w:rPr>
        <w:t>受</w:t>
      </w:r>
      <w:r>
        <w:rPr/>
        <w:t>股权激励产生管理费用摊销影响</w:t>
      </w:r>
      <w:r>
        <w:rPr>
          <w:spacing w:val="-89"/>
        </w:rPr>
        <w:t>，</w:t>
      </w:r>
      <w:r>
        <w:rPr/>
        <w:t>公司利润总额</w:t>
      </w:r>
      <w:r>
        <w:rPr>
          <w:rFonts w:ascii="宋体" w:hAnsi="宋体" w:cs="宋体" w:eastAsia="宋体" w:hint="default"/>
          <w:spacing w:val="1"/>
        </w:rPr>
        <w:t>8,</w:t>
      </w:r>
      <w:r>
        <w:rPr>
          <w:rFonts w:ascii="宋体" w:hAnsi="宋体" w:cs="宋体" w:eastAsia="宋体" w:hint="default"/>
          <w:spacing w:val="-2"/>
        </w:rPr>
        <w:t>7</w:t>
      </w:r>
      <w:r>
        <w:rPr>
          <w:rFonts w:ascii="宋体" w:hAnsi="宋体" w:cs="宋体" w:eastAsia="宋体" w:hint="default"/>
          <w:spacing w:val="1"/>
        </w:rPr>
        <w:t>2</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rPr>
        <w:t>5</w:t>
      </w:r>
    </w:p>
    <w:p>
      <w:pPr>
        <w:spacing w:line="240" w:lineRule="auto" w:before="10"/>
        <w:rPr>
          <w:rFonts w:ascii="宋体" w:hAnsi="宋体" w:cs="宋体" w:eastAsia="宋体" w:hint="default"/>
          <w:sz w:val="17"/>
          <w:szCs w:val="17"/>
        </w:rPr>
      </w:pPr>
    </w:p>
    <w:p>
      <w:pPr>
        <w:pStyle w:val="BodyText"/>
        <w:spacing w:line="477" w:lineRule="auto"/>
        <w:ind w:left="512" w:right="3064" w:hanging="360"/>
        <w:jc w:val="left"/>
      </w:pPr>
      <w:r>
        <w:rPr/>
        <w:t>万元，同比增长</w:t>
      </w:r>
      <w:r>
        <w:rPr>
          <w:rFonts w:ascii="宋体" w:hAnsi="宋体" w:cs="宋体" w:eastAsia="宋体" w:hint="default"/>
        </w:rPr>
        <w:t>12.86%</w:t>
      </w:r>
      <w:r>
        <w:rPr/>
        <w:t>，实现归属于上市公司净利润</w:t>
      </w:r>
      <w:r>
        <w:rPr>
          <w:rFonts w:ascii="宋体" w:hAnsi="宋体" w:cs="宋体" w:eastAsia="宋体" w:hint="default"/>
        </w:rPr>
        <w:t>8,549.59</w:t>
      </w:r>
      <w:r>
        <w:rPr/>
        <w:t>万元，同比增长</w:t>
      </w:r>
      <w:r>
        <w:rPr>
          <w:rFonts w:ascii="宋体" w:hAnsi="宋体" w:cs="宋体" w:eastAsia="宋体" w:hint="default"/>
        </w:rPr>
        <w:t>7.43%</w:t>
      </w:r>
      <w:r>
        <w:rPr/>
        <w:t>。 报告期开展的主要工作如下：</w:t>
      </w:r>
    </w:p>
    <w:p>
      <w:pPr>
        <w:pStyle w:val="BodyText"/>
        <w:spacing w:line="477" w:lineRule="auto" w:before="54"/>
        <w:ind w:right="108" w:firstLine="360"/>
        <w:jc w:val="left"/>
      </w:pPr>
      <w:r>
        <w:rPr/>
        <w:t>（</w:t>
      </w:r>
      <w:r>
        <w:rPr>
          <w:rFonts w:ascii="宋体" w:hAnsi="宋体" w:cs="宋体" w:eastAsia="宋体" w:hint="default"/>
        </w:rPr>
        <w:t>1</w:t>
      </w:r>
      <w:r>
        <w:rPr/>
        <w:t>）产品和技术研发方面，公司持续投入大量研发资金，加强研发管理能力，通过持续优化</w:t>
      </w:r>
      <w:r>
        <w:rPr>
          <w:rFonts w:ascii="宋体" w:hAnsi="宋体" w:cs="宋体" w:eastAsia="宋体" w:hint="default"/>
        </w:rPr>
        <w:t>IPD</w:t>
      </w:r>
      <w:r>
        <w:rPr/>
        <w:t>流程，制定结构设计、 </w:t>
      </w:r>
      <w:r>
        <w:rPr>
          <w:spacing w:val="-2"/>
        </w:rPr>
        <w:t>稳定性设计指导方法和安全设计规范，提高产品设计可靠性和稳定性，从而满足市场严格的安全保护需求。通过严格的项目</w:t>
      </w:r>
      <w:r>
        <w:rPr>
          <w:spacing w:val="-63"/>
        </w:rPr>
        <w:t> </w:t>
      </w:r>
      <w:r>
        <w:rPr>
          <w:spacing w:val="-63"/>
        </w:rPr>
      </w:r>
      <w:r>
        <w:rPr/>
        <w:t>管控和优化改造，完善产品上市管理，公司</w:t>
      </w:r>
      <w:r>
        <w:rPr>
          <w:rFonts w:ascii="宋体" w:hAnsi="宋体" w:cs="宋体" w:eastAsia="宋体" w:hint="default"/>
        </w:rPr>
        <w:t>G</w:t>
      </w:r>
      <w:r>
        <w:rPr/>
        <w:t>系列、</w:t>
      </w:r>
      <w:r>
        <w:rPr>
          <w:rFonts w:ascii="宋体" w:hAnsi="宋体" w:cs="宋体" w:eastAsia="宋体" w:hint="default"/>
        </w:rPr>
        <w:t>K</w:t>
      </w:r>
      <w:r>
        <w:rPr/>
        <w:t>系列及</w:t>
      </w:r>
      <w:r>
        <w:rPr>
          <w:rFonts w:ascii="宋体" w:hAnsi="宋体" w:cs="宋体" w:eastAsia="宋体" w:hint="default"/>
        </w:rPr>
        <w:t>M-POS</w:t>
      </w:r>
      <w:r>
        <w:rPr/>
        <w:t>产品出机数量理想。</w:t>
      </w:r>
    </w:p>
    <w:p>
      <w:pPr>
        <w:pStyle w:val="BodyText"/>
        <w:spacing w:line="477" w:lineRule="auto" w:before="54"/>
        <w:ind w:right="94" w:firstLine="360"/>
        <w:jc w:val="left"/>
      </w:pPr>
      <w:r>
        <w:rPr>
          <w:spacing w:val="-2"/>
        </w:rPr>
        <w:t>在新技术研发方面，公司积极研发基于新一代云平台技术架构的大型交易结算支撑系统平台，该平台以大数据收集、存</w:t>
      </w:r>
      <w:r>
        <w:rPr/>
        <w:t> </w:t>
      </w:r>
      <w:r>
        <w:rPr>
          <w:spacing w:val="-4"/>
        </w:rPr>
        <w:t>储、分析为基础功能设计，开发完成后将可覆盖全交易过程。该数据平台与公司设备结合使用，可有效为客户降低运营成本，</w:t>
      </w:r>
      <w:r>
        <w:rPr>
          <w:spacing w:val="-46"/>
        </w:rPr>
        <w:t> </w:t>
      </w:r>
      <w:r>
        <w:rPr>
          <w:spacing w:val="-46"/>
        </w:rPr>
      </w:r>
      <w:r>
        <w:rPr>
          <w:spacing w:val="-4"/>
        </w:rPr>
        <w:t>辅助客户提升运营效率。此外，公司积极开展指纹识别、虹膜识别、脸孔识别等生物识别技术在支付领域的应用方案，目前，</w:t>
      </w:r>
      <w:r>
        <w:rPr>
          <w:spacing w:val="-42"/>
        </w:rPr>
        <w:t> </w:t>
      </w:r>
      <w:r>
        <w:rPr>
          <w:spacing w:val="-42"/>
        </w:rPr>
      </w:r>
      <w:r>
        <w:rPr/>
        <w:t>公司已有</w:t>
      </w:r>
      <w:r>
        <w:rPr>
          <w:rFonts w:ascii="宋体" w:hAnsi="宋体" w:cs="宋体" w:eastAsia="宋体" w:hint="default"/>
        </w:rPr>
        <w:t>POS</w:t>
      </w:r>
      <w:r>
        <w:rPr/>
        <w:t>终端能够受理苹果、华为为代表的手机指纹支付的新需求。报告期间，公司研发费用占营业收入的</w:t>
      </w:r>
      <w:r>
        <w:rPr>
          <w:rFonts w:ascii="宋体" w:hAnsi="宋体" w:cs="宋体" w:eastAsia="宋体" w:hint="default"/>
        </w:rPr>
        <w:t>13.45%</w:t>
      </w:r>
      <w:r>
        <w:rPr/>
        <w:t>。</w:t>
      </w:r>
    </w:p>
    <w:p>
      <w:pPr>
        <w:pStyle w:val="BodyText"/>
        <w:spacing w:line="477" w:lineRule="auto" w:before="54"/>
        <w:ind w:right="190" w:firstLine="360"/>
        <w:jc w:val="both"/>
      </w:pPr>
      <w:r>
        <w:rPr/>
        <w:t>（</w:t>
      </w:r>
      <w:r>
        <w:rPr>
          <w:rFonts w:ascii="宋体" w:hAnsi="宋体" w:cs="宋体" w:eastAsia="宋体" w:hint="default"/>
        </w:rPr>
        <w:t>2</w:t>
      </w:r>
      <w:r>
        <w:rPr/>
        <w:t>）市场方面，公司进一步完善梯队式的市场队伍建设，按照不同客户业务模式组建专门的市场团队，积极研究市场 </w:t>
      </w:r>
      <w:r>
        <w:rPr>
          <w:spacing w:val="-2"/>
        </w:rPr>
        <w:t>新需求、新变化。在电子支付受理市场竞争日益激烈的大环境下，公司通过利用现有资源挖掘更多市场空间，大力发展新客</w:t>
      </w:r>
      <w:r>
        <w:rPr>
          <w:spacing w:val="-64"/>
        </w:rPr>
        <w:t> </w:t>
      </w:r>
      <w:r>
        <w:rPr>
          <w:spacing w:val="-64"/>
        </w:rPr>
      </w:r>
      <w:r>
        <w:rPr>
          <w:spacing w:val="-2"/>
        </w:rPr>
        <w:t>户。调整产品销售组合方案，重点完成智能</w:t>
      </w:r>
      <w:r>
        <w:rPr>
          <w:rFonts w:ascii="宋体" w:hAnsi="宋体" w:cs="宋体" w:eastAsia="宋体" w:hint="default"/>
          <w:spacing w:val="-2"/>
        </w:rPr>
        <w:t>POS</w:t>
      </w:r>
      <w:r>
        <w:rPr>
          <w:spacing w:val="-2"/>
        </w:rPr>
        <w:t>的推广工作，为公司的智能</w:t>
      </w:r>
      <w:r>
        <w:rPr>
          <w:rFonts w:ascii="宋体" w:hAnsi="宋体" w:cs="宋体" w:eastAsia="宋体" w:hint="default"/>
          <w:spacing w:val="-2"/>
        </w:rPr>
        <w:t>POS</w:t>
      </w:r>
      <w:r>
        <w:rPr>
          <w:spacing w:val="-2"/>
        </w:rPr>
        <w:t>市场打开了新局面，实现阶段性突破。同时成</w:t>
      </w:r>
      <w:r>
        <w:rPr>
          <w:spacing w:val="-61"/>
        </w:rPr>
        <w:t> </w:t>
      </w:r>
      <w:r>
        <w:rPr>
          <w:spacing w:val="-61"/>
        </w:rPr>
      </w:r>
      <w:r>
        <w:rPr/>
        <w:t>功入围银联商务、通联支付、农信银资金清算中心、建设银行、中国邮储等主流金融机构的采购名单。</w:t>
      </w:r>
    </w:p>
    <w:p>
      <w:pPr>
        <w:pStyle w:val="BodyText"/>
        <w:spacing w:line="477" w:lineRule="auto" w:before="54"/>
        <w:ind w:right="190" w:firstLine="360"/>
        <w:jc w:val="both"/>
      </w:pPr>
      <w:r>
        <w:rPr>
          <w:spacing w:val="-2"/>
        </w:rPr>
        <w:t>海外市场方面，公司通过对国际市场区域管理做了升级调整及细分，对重点市场的支持进行补充和调整，销售收入实现</w:t>
      </w:r>
      <w:r>
        <w:rPr/>
        <w:t> </w:t>
      </w:r>
      <w:r>
        <w:rPr>
          <w:spacing w:val="-1"/>
        </w:rPr>
        <w:t>了新的突破；继续参加法国智能卡</w:t>
      </w:r>
      <w:r>
        <w:rPr>
          <w:rFonts w:ascii="宋体" w:hAnsi="宋体" w:cs="宋体" w:eastAsia="宋体" w:hint="default"/>
          <w:spacing w:val="-1"/>
        </w:rPr>
        <w:t>&amp;</w:t>
      </w:r>
      <w:r>
        <w:rPr>
          <w:spacing w:val="-1"/>
        </w:rPr>
        <w:t>身份识别技术工业展（</w:t>
      </w:r>
      <w:r>
        <w:rPr>
          <w:rFonts w:ascii="宋体" w:hAnsi="宋体" w:cs="宋体" w:eastAsia="宋体" w:hint="default"/>
          <w:spacing w:val="-1"/>
        </w:rPr>
        <w:t>Cartes</w:t>
      </w:r>
      <w:r>
        <w:rPr>
          <w:rFonts w:ascii="宋体" w:hAnsi="宋体" w:cs="宋体" w:eastAsia="宋体" w:hint="default"/>
          <w:spacing w:val="-37"/>
        </w:rPr>
        <w:t> </w:t>
      </w:r>
      <w:r>
        <w:rPr>
          <w:rFonts w:ascii="宋体" w:hAnsi="宋体" w:cs="宋体" w:eastAsia="宋体" w:hint="default"/>
          <w:spacing w:val="-1"/>
        </w:rPr>
        <w:t>Identification</w:t>
      </w:r>
      <w:r>
        <w:rPr>
          <w:spacing w:val="-1"/>
        </w:rPr>
        <w:t>），公司品牌得到进一步提升；公司为国</w:t>
      </w:r>
      <w:r>
        <w:rPr>
          <w:spacing w:val="-86"/>
        </w:rPr>
        <w:t> </w:t>
      </w:r>
      <w:r>
        <w:rPr>
          <w:spacing w:val="-86"/>
        </w:rPr>
      </w:r>
      <w:r>
        <w:rPr>
          <w:spacing w:val="-2"/>
        </w:rPr>
        <w:t>际市场搭建了专门的海外市场技术支撑团队，为海外市场的业务拓展提供及时的技术服务支撑，针对不同地区的技术要求和</w:t>
      </w:r>
      <w:r>
        <w:rPr>
          <w:spacing w:val="-64"/>
        </w:rPr>
        <w:t> </w:t>
      </w:r>
      <w:r>
        <w:rPr>
          <w:spacing w:val="-64"/>
        </w:rPr>
      </w:r>
      <w:r>
        <w:rPr/>
        <w:t>认证要求完成开发服务和认证。国际市场全年实现销售收入占公司营业收入的</w:t>
      </w:r>
      <w:r>
        <w:rPr>
          <w:rFonts w:ascii="宋体" w:hAnsi="宋体" w:cs="宋体" w:eastAsia="宋体" w:hint="default"/>
        </w:rPr>
        <w:t>5.7%</w:t>
      </w:r>
      <w:r>
        <w:rPr/>
        <w:t>。</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1" w:firstLine="360"/>
        <w:jc w:val="both"/>
      </w:pPr>
      <w:r>
        <w:rPr/>
        <w:t>（</w:t>
      </w:r>
      <w:r>
        <w:rPr>
          <w:rFonts w:ascii="宋体" w:hAnsi="宋体" w:cs="宋体" w:eastAsia="宋体" w:hint="default"/>
        </w:rPr>
        <w:t>3</w:t>
      </w:r>
      <w:r>
        <w:rPr/>
        <w:t>）生产管理方面，进一步完善供应链管理，推进库存结构优化管理，提升研发与采购的协同性，切实从供应链管理 </w:t>
      </w:r>
      <w:r>
        <w:rPr>
          <w:spacing w:val="-2"/>
        </w:rPr>
        <w:t>的角度来优化成本控制；加大新供应商的引进和开发工作，确保采购成本的竞争力；在订单大幅增加的情况下，加强生产订</w:t>
      </w:r>
      <w:r>
        <w:rPr>
          <w:spacing w:val="-65"/>
        </w:rPr>
        <w:t> </w:t>
      </w:r>
      <w:r>
        <w:rPr>
          <w:spacing w:val="-65"/>
        </w:rPr>
      </w:r>
      <w:r>
        <w:rPr>
          <w:spacing w:val="-2"/>
        </w:rPr>
        <w:t>单管理，提高订单的准时率；优化了库存管理制度，有效提高库存周转率；通过生产效率提升、生产直通率提升、工艺优化</w:t>
      </w:r>
      <w:r>
        <w:rPr>
          <w:spacing w:val="-68"/>
        </w:rPr>
        <w:t> </w:t>
      </w:r>
      <w:r>
        <w:rPr>
          <w:spacing w:val="-68"/>
        </w:rPr>
      </w:r>
      <w:r>
        <w:rPr/>
        <w:t>等活动，进一步提升整体工效与品质。</w:t>
      </w:r>
    </w:p>
    <w:p>
      <w:pPr>
        <w:pStyle w:val="BodyText"/>
        <w:spacing w:line="477" w:lineRule="auto" w:before="54"/>
        <w:ind w:right="94" w:firstLine="360"/>
        <w:jc w:val="left"/>
      </w:pPr>
      <w:r>
        <w:rPr>
          <w:spacing w:val="-2"/>
        </w:rPr>
        <w:t>（</w:t>
      </w:r>
      <w:r>
        <w:rPr>
          <w:rFonts w:ascii="宋体" w:hAnsi="宋体" w:cs="宋体" w:eastAsia="宋体" w:hint="default"/>
          <w:spacing w:val="-2"/>
        </w:rPr>
        <w:t>4</w:t>
      </w:r>
      <w:r>
        <w:rPr>
          <w:spacing w:val="-2"/>
        </w:rPr>
        <w:t>）人力资源和企业综合软实力建设方面，为保证公司的良好运行和发展，保留优秀员工，加大公司人员结构的优化，</w:t>
      </w:r>
      <w:r>
        <w:rPr/>
        <w:t> </w:t>
      </w:r>
      <w:r>
        <w:rPr>
          <w:spacing w:val="-4"/>
        </w:rPr>
        <w:t>提升人均效率；继续推进</w:t>
      </w:r>
      <w:r>
        <w:rPr>
          <w:rFonts w:ascii="宋体" w:hAnsi="宋体" w:cs="宋体" w:eastAsia="宋体" w:hint="default"/>
          <w:spacing w:val="-4"/>
        </w:rPr>
        <w:t>“</w:t>
      </w:r>
      <w:r>
        <w:rPr>
          <w:spacing w:val="-4"/>
        </w:rPr>
        <w:t>精英培养</w:t>
      </w:r>
      <w:r>
        <w:rPr>
          <w:rFonts w:ascii="宋体" w:hAnsi="宋体" w:cs="宋体" w:eastAsia="宋体" w:hint="default"/>
          <w:spacing w:val="-4"/>
        </w:rPr>
        <w:t>”</w:t>
      </w:r>
      <w:r>
        <w:rPr>
          <w:spacing w:val="-4"/>
        </w:rPr>
        <w:t>计划，针对性提升公司中层管理人员的综合素养；公司制定并执行了大学生培养机制，</w:t>
      </w:r>
      <w:r>
        <w:rPr>
          <w:spacing w:val="-46"/>
        </w:rPr>
        <w:t> </w:t>
      </w:r>
      <w:r>
        <w:rPr>
          <w:spacing w:val="-46"/>
        </w:rPr>
      </w:r>
      <w:r>
        <w:rPr/>
        <w:t>基于</w:t>
      </w:r>
      <w:r>
        <w:rPr>
          <w:rFonts w:ascii="宋体" w:hAnsi="宋体" w:cs="宋体" w:eastAsia="宋体" w:hint="default"/>
        </w:rPr>
        <w:t>“</w:t>
      </w:r>
      <w:r>
        <w:rPr/>
        <w:t>择优舍劣</w:t>
      </w:r>
      <w:r>
        <w:rPr>
          <w:rFonts w:ascii="宋体" w:hAnsi="宋体" w:cs="宋体" w:eastAsia="宋体" w:hint="default"/>
        </w:rPr>
        <w:t>”</w:t>
      </w:r>
      <w:r>
        <w:rPr/>
        <w:t>的策略，今年培养增加</w:t>
      </w:r>
      <w:r>
        <w:rPr>
          <w:rFonts w:ascii="宋体" w:hAnsi="宋体" w:cs="宋体" w:eastAsia="宋体" w:hint="default"/>
        </w:rPr>
        <w:t>IDP</w:t>
      </w:r>
      <w:r>
        <w:rPr/>
        <w:t>（实习发展计划）等培养人才计划，高效地进行人才培养，有效保证公司优秀 </w:t>
      </w:r>
      <w:r>
        <w:rPr>
          <w:spacing w:val="-2"/>
        </w:rPr>
        <w:t>大学生的保有率；完成公司薪酬套改项目方案，通过调整企业组织内部分配关系，调动员工工作积极性；继公司在</w:t>
      </w:r>
      <w:r>
        <w:rPr>
          <w:rFonts w:ascii="宋体" w:hAnsi="宋体" w:cs="宋体" w:eastAsia="宋体" w:hint="default"/>
          <w:spacing w:val="-2"/>
        </w:rPr>
        <w:t>2014</w:t>
      </w:r>
      <w:r>
        <w:rPr>
          <w:spacing w:val="-2"/>
        </w:rPr>
        <w:t>年推</w:t>
      </w:r>
      <w:r>
        <w:rPr>
          <w:spacing w:val="-65"/>
        </w:rPr>
        <w:t> </w:t>
      </w:r>
      <w:r>
        <w:rPr>
          <w:spacing w:val="-2"/>
        </w:rPr>
        <w:t>出了股票期权激励计划，并已完成</w:t>
      </w:r>
      <w:r>
        <w:rPr>
          <w:rFonts w:ascii="宋体" w:hAnsi="宋体" w:cs="宋体" w:eastAsia="宋体" w:hint="default"/>
          <w:spacing w:val="-2"/>
        </w:rPr>
        <w:t>2014</w:t>
      </w:r>
      <w:r>
        <w:rPr>
          <w:spacing w:val="-2"/>
        </w:rPr>
        <w:t>年股票期权激励计划第一次股票期权行权事宜，公司于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月推出</w:t>
      </w:r>
      <w:r>
        <w:rPr>
          <w:rFonts w:ascii="宋体" w:hAnsi="宋体" w:cs="宋体" w:eastAsia="宋体" w:hint="default"/>
          <w:spacing w:val="-2"/>
        </w:rPr>
        <w:t>2015</w:t>
      </w:r>
      <w:r>
        <w:rPr>
          <w:spacing w:val="-2"/>
        </w:rPr>
        <w:t>年股票期</w:t>
      </w:r>
      <w:r>
        <w:rPr>
          <w:spacing w:val="-57"/>
        </w:rPr>
        <w:t> </w:t>
      </w:r>
      <w:r>
        <w:rPr>
          <w:spacing w:val="-57"/>
        </w:rPr>
      </w:r>
      <w:r>
        <w:rPr/>
        <w:t>权激励计划草案，并于</w:t>
      </w:r>
      <w:r>
        <w:rPr>
          <w:rFonts w:ascii="宋体" w:hAnsi="宋体" w:cs="宋体" w:eastAsia="宋体" w:hint="default"/>
        </w:rPr>
        <w:t>2016</w:t>
      </w:r>
      <w:r>
        <w:rPr/>
        <w:t>年</w:t>
      </w:r>
      <w:r>
        <w:rPr>
          <w:rFonts w:ascii="宋体" w:hAnsi="宋体" w:cs="宋体" w:eastAsia="宋体" w:hint="default"/>
        </w:rPr>
        <w:t>1</w:t>
      </w:r>
      <w:r>
        <w:rPr/>
        <w:t>月完成授予，有效将员工长远利益与公司利益进行结合，促进了公司业务的快速发展。</w:t>
      </w:r>
    </w:p>
    <w:p>
      <w:pPr>
        <w:pStyle w:val="BodyText"/>
        <w:spacing w:line="240" w:lineRule="auto" w:before="54"/>
        <w:ind w:left="512" w:right="94"/>
        <w:jc w:val="left"/>
      </w:pPr>
      <w:r>
        <w:rPr/>
        <w:t>（</w:t>
      </w:r>
      <w:r>
        <w:rPr>
          <w:rFonts w:ascii="宋体" w:hAnsi="宋体" w:cs="宋体" w:eastAsia="宋体" w:hint="default"/>
        </w:rPr>
        <w:t>5</w:t>
      </w:r>
      <w:r>
        <w:rPr/>
        <w:t>）投资并购方面：</w:t>
      </w:r>
    </w:p>
    <w:p>
      <w:pPr>
        <w:spacing w:line="240" w:lineRule="auto" w:before="10"/>
        <w:rPr>
          <w:rFonts w:ascii="宋体" w:hAnsi="宋体" w:cs="宋体" w:eastAsia="宋体" w:hint="default"/>
          <w:sz w:val="17"/>
          <w:szCs w:val="17"/>
        </w:rPr>
      </w:pPr>
    </w:p>
    <w:p>
      <w:pPr>
        <w:pStyle w:val="BodyText"/>
        <w:spacing w:line="477" w:lineRule="auto"/>
        <w:ind w:right="94" w:firstLine="360"/>
        <w:jc w:val="left"/>
      </w:pPr>
      <w:r>
        <w:rPr/>
        <w:t>①布局电子支付版块及大数据运营：随着公司子公司及并购公司的增加，为了加强各业务板块的经营管理与独立核算， </w:t>
      </w:r>
      <w:r>
        <w:rPr>
          <w:spacing w:val="-2"/>
        </w:rPr>
        <w:t>保证对团队的激励，拓宽公司业务管理半径，充分发挥公司现有业务的协同效益，</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月，公司以自有资金出资</w:t>
      </w:r>
      <w:r>
        <w:rPr>
          <w:rFonts w:ascii="宋体" w:hAnsi="宋体" w:cs="宋体" w:eastAsia="宋体" w:hint="default"/>
          <w:spacing w:val="-2"/>
        </w:rPr>
        <w:t>2</w:t>
      </w:r>
      <w:r>
        <w:rPr>
          <w:spacing w:val="-2"/>
        </w:rPr>
        <w:t>亿元人</w:t>
      </w:r>
      <w:r>
        <w:rPr>
          <w:spacing w:val="-60"/>
        </w:rPr>
        <w:t> </w:t>
      </w:r>
      <w:r>
        <w:rPr/>
        <w:t>民币完成设立了全资子公司支付公司，将公司现有金融</w:t>
      </w:r>
      <w:r>
        <w:rPr>
          <w:rFonts w:ascii="宋体" w:hAnsi="宋体" w:cs="宋体" w:eastAsia="宋体" w:hint="default"/>
        </w:rPr>
        <w:t>POS</w:t>
      </w:r>
      <w:r>
        <w:rPr/>
        <w:t>设备技术研发、销售和生产业务全部切换到该支付公司。</w:t>
      </w:r>
    </w:p>
    <w:p>
      <w:pPr>
        <w:pStyle w:val="BodyText"/>
        <w:spacing w:line="477" w:lineRule="auto" w:before="54"/>
        <w:ind w:right="191"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月，公司出资人民币</w:t>
      </w:r>
      <w:r>
        <w:rPr>
          <w:rFonts w:ascii="宋体" w:hAnsi="宋体" w:cs="宋体" w:eastAsia="宋体" w:hint="default"/>
          <w:spacing w:val="-2"/>
        </w:rPr>
        <w:t>6,000</w:t>
      </w:r>
      <w:r>
        <w:rPr>
          <w:spacing w:val="-2"/>
        </w:rPr>
        <w:t>万元完成设立信联征信，目前该公司已完成企业征信机构备案，信联征信的设立有利</w:t>
      </w:r>
      <w:r>
        <w:rPr/>
        <w:t> </w:t>
      </w:r>
      <w:r>
        <w:rPr>
          <w:spacing w:val="-2"/>
        </w:rPr>
        <w:t>于公司把握机遇开拓征信业务市场，利用公司在电子支付行业内累积的经验及客户源，建立健全、客观的信用数据体系，进</w:t>
      </w:r>
      <w:r>
        <w:rPr>
          <w:spacing w:val="-64"/>
        </w:rPr>
        <w:t> </w:t>
      </w:r>
      <w:r>
        <w:rPr>
          <w:spacing w:val="-64"/>
        </w:rPr>
      </w:r>
      <w:r>
        <w:rPr/>
        <w:t>一步完善公司战略布局。</w:t>
      </w:r>
    </w:p>
    <w:p>
      <w:pPr>
        <w:pStyle w:val="BodyText"/>
        <w:spacing w:line="240" w:lineRule="auto" w:before="54"/>
        <w:ind w:left="512" w:right="94"/>
        <w:jc w:val="left"/>
      </w:pPr>
      <w:r>
        <w:rPr/>
        <w:t>②增资大拿科技</w:t>
      </w:r>
    </w:p>
    <w:p>
      <w:pPr>
        <w:spacing w:line="240" w:lineRule="auto" w:before="10"/>
        <w:rPr>
          <w:rFonts w:ascii="宋体" w:hAnsi="宋体" w:cs="宋体" w:eastAsia="宋体" w:hint="default"/>
          <w:sz w:val="17"/>
          <w:szCs w:val="17"/>
        </w:rPr>
      </w:pPr>
    </w:p>
    <w:p>
      <w:pPr>
        <w:pStyle w:val="BodyText"/>
        <w:spacing w:line="477" w:lineRule="auto"/>
        <w:ind w:right="111" w:firstLine="360"/>
        <w:jc w:val="both"/>
      </w:pPr>
      <w:r>
        <w:rPr>
          <w:rFonts w:ascii="宋体" w:hAnsi="宋体" w:cs="宋体" w:eastAsia="宋体" w:hint="default"/>
        </w:rPr>
        <w:t>2015</w:t>
      </w:r>
      <w:r>
        <w:rPr/>
        <w:t>年</w:t>
      </w:r>
      <w:r>
        <w:rPr>
          <w:rFonts w:ascii="宋体" w:hAnsi="宋体" w:cs="宋体" w:eastAsia="宋体" w:hint="default"/>
        </w:rPr>
        <w:t>4</w:t>
      </w:r>
      <w:r>
        <w:rPr/>
        <w:t>月，公司使用自有资金人民币</w:t>
      </w:r>
      <w:r>
        <w:rPr>
          <w:rFonts w:ascii="宋体" w:hAnsi="宋体" w:cs="宋体" w:eastAsia="宋体" w:hint="default"/>
        </w:rPr>
        <w:t>5,000</w:t>
      </w:r>
      <w:r>
        <w:rPr/>
        <w:t>万元完成认购深圳市大拿科技有限公司增发</w:t>
      </w:r>
      <w:r>
        <w:rPr>
          <w:rFonts w:ascii="宋体" w:hAnsi="宋体" w:cs="宋体" w:eastAsia="宋体" w:hint="default"/>
        </w:rPr>
        <w:t>30%</w:t>
      </w:r>
      <w:r>
        <w:rPr/>
        <w:t>的股权。大拿科技是全球领 先的物联网技术和云计算方案提供商，参股该公司有利于公司布局移动互联网前沿技术研发领域，获得未来市场发展先机。</w:t>
      </w:r>
    </w:p>
    <w:p>
      <w:pPr>
        <w:pStyle w:val="BodyText"/>
        <w:spacing w:line="240" w:lineRule="auto" w:before="54"/>
        <w:ind w:left="512" w:right="94"/>
        <w:jc w:val="left"/>
      </w:pPr>
      <w:r>
        <w:rPr/>
        <w:t>③收购浙江中正</w:t>
      </w:r>
    </w:p>
    <w:p>
      <w:pPr>
        <w:spacing w:line="240" w:lineRule="auto" w:before="10"/>
        <w:rPr>
          <w:rFonts w:ascii="宋体" w:hAnsi="宋体" w:cs="宋体" w:eastAsia="宋体" w:hint="default"/>
          <w:sz w:val="17"/>
          <w:szCs w:val="17"/>
        </w:rPr>
      </w:pPr>
    </w:p>
    <w:p>
      <w:pPr>
        <w:pStyle w:val="BodyText"/>
        <w:spacing w:line="477" w:lineRule="auto"/>
        <w:ind w:right="190" w:firstLine="360"/>
        <w:jc w:val="both"/>
      </w:pPr>
      <w:r>
        <w:rPr>
          <w:rFonts w:ascii="宋体" w:hAnsi="宋体" w:cs="宋体" w:eastAsia="宋体" w:hint="default"/>
          <w:spacing w:val="-2"/>
        </w:rPr>
        <w:t>2015</w:t>
      </w:r>
      <w:r>
        <w:rPr>
          <w:spacing w:val="-2"/>
        </w:rPr>
        <w:t>年，公司完成收购浙江中正</w:t>
      </w:r>
      <w:r>
        <w:rPr>
          <w:rFonts w:ascii="宋体" w:hAnsi="宋体" w:cs="宋体" w:eastAsia="宋体" w:hint="default"/>
          <w:spacing w:val="-2"/>
        </w:rPr>
        <w:t>100%</w:t>
      </w:r>
      <w:r>
        <w:rPr>
          <w:spacing w:val="-2"/>
        </w:rPr>
        <w:t>的股权。浙江中正专注于提高金融系统的安全和效率，其指纹识别相关产品在国内</w:t>
      </w:r>
      <w:r>
        <w:rPr/>
        <w:t> 各大商业银行及四大国有银行的市场占比超过</w:t>
      </w:r>
      <w:r>
        <w:rPr>
          <w:rFonts w:ascii="宋体" w:hAnsi="宋体" w:cs="宋体" w:eastAsia="宋体" w:hint="default"/>
        </w:rPr>
        <w:t>50%</w:t>
      </w:r>
      <w:r>
        <w:rPr/>
        <w:t>，已成为中国金融领域指纹系统第一品牌，其客户与公司客户高度一致， </w:t>
      </w:r>
      <w:r>
        <w:rPr>
          <w:spacing w:val="-2"/>
        </w:rPr>
        <w:t>双方将实现资源共享，从市场、客户和产品等方面深度合作，实现优势互补。同时为公司带来新的业务，完善公司产业链布</w:t>
      </w:r>
      <w:r>
        <w:rPr>
          <w:spacing w:val="-67"/>
        </w:rPr>
        <w:t> </w:t>
      </w:r>
      <w:r>
        <w:rPr>
          <w:spacing w:val="-67"/>
        </w:rPr>
      </w:r>
      <w:r>
        <w:rPr/>
        <w:t>局。</w:t>
      </w:r>
    </w:p>
    <w:p>
      <w:pPr>
        <w:pStyle w:val="BodyText"/>
        <w:spacing w:line="477" w:lineRule="auto" w:before="54"/>
        <w:ind w:left="512" w:right="184"/>
        <w:jc w:val="left"/>
      </w:pPr>
      <w:r>
        <w:rPr/>
        <w:t>④收购美国</w:t>
      </w:r>
      <w:r>
        <w:rPr>
          <w:rFonts w:ascii="宋体" w:hAnsi="宋体" w:cs="宋体" w:eastAsia="宋体" w:hint="default"/>
        </w:rPr>
        <w:t>ExaDigm,Inc. 2015</w:t>
      </w:r>
      <w:r>
        <w:rPr/>
        <w:t>年</w:t>
      </w:r>
      <w:r>
        <w:rPr>
          <w:rFonts w:ascii="宋体" w:hAnsi="宋体" w:cs="宋体" w:eastAsia="宋体" w:hint="default"/>
        </w:rPr>
        <w:t>10</w:t>
      </w:r>
      <w:r>
        <w:rPr/>
        <w:t>月，公司以自有资金</w:t>
      </w:r>
      <w:r>
        <w:rPr>
          <w:rFonts w:ascii="宋体" w:hAnsi="宋体" w:cs="宋体" w:eastAsia="宋体" w:hint="default"/>
        </w:rPr>
        <w:t>470</w:t>
      </w:r>
      <w:r>
        <w:rPr/>
        <w:t>万美元完成收购参股公司美国</w:t>
      </w:r>
      <w:r>
        <w:rPr>
          <w:rFonts w:ascii="宋体" w:hAnsi="宋体" w:cs="宋体" w:eastAsia="宋体" w:hint="default"/>
        </w:rPr>
        <w:t>ExaDigm,Inc.</w:t>
      </w:r>
      <w:r>
        <w:rPr/>
        <w:t>的剩余全部股权，至此，公司累计持有美</w:t>
      </w:r>
    </w:p>
    <w:p>
      <w:pPr>
        <w:pStyle w:val="BodyText"/>
        <w:spacing w:line="477" w:lineRule="auto" w:before="54"/>
        <w:ind w:right="190"/>
        <w:jc w:val="both"/>
      </w:pPr>
      <w:r>
        <w:rPr/>
        <w:t>国</w:t>
      </w:r>
      <w:r>
        <w:rPr>
          <w:rFonts w:ascii="宋体" w:hAnsi="宋体" w:cs="宋体" w:eastAsia="宋体" w:hint="default"/>
        </w:rPr>
        <w:t>ExaDigm,Inc.100%</w:t>
      </w:r>
      <w:r>
        <w:rPr/>
        <w:t>股权。收购</w:t>
      </w:r>
      <w:r>
        <w:rPr>
          <w:rFonts w:ascii="宋体" w:hAnsi="宋体" w:cs="宋体" w:eastAsia="宋体" w:hint="default"/>
        </w:rPr>
        <w:t>ExaDigm</w:t>
      </w:r>
      <w:r>
        <w:rPr/>
        <w:t>有利于公司推进海外市场业务战略布局，获得公司在美国及全球电子支付行业市场 </w:t>
      </w:r>
      <w:r>
        <w:rPr>
          <w:spacing w:val="-2"/>
        </w:rPr>
        <w:t>的主动权，同时有助于公司改进和提升公司产品和服务的国际化运营水平，提高公司的国际综合竞争力，把握电子支付受理</w:t>
      </w:r>
      <w:r>
        <w:rPr>
          <w:spacing w:val="-63"/>
        </w:rPr>
        <w:t> </w:t>
      </w:r>
      <w:r>
        <w:rPr>
          <w:spacing w:val="-63"/>
        </w:rPr>
      </w:r>
      <w:r>
        <w:rPr/>
        <w:t>终端设备国际市场的机会。</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512" w:right="94"/>
        <w:jc w:val="left"/>
      </w:pPr>
      <w:r>
        <w:rPr/>
        <w:t>⑤发起设立相互保险公司</w:t>
      </w:r>
    </w:p>
    <w:p>
      <w:pPr>
        <w:spacing w:line="240" w:lineRule="auto" w:before="10"/>
        <w:rPr>
          <w:rFonts w:ascii="宋体" w:hAnsi="宋体" w:cs="宋体" w:eastAsia="宋体" w:hint="default"/>
          <w:sz w:val="17"/>
          <w:szCs w:val="17"/>
        </w:rPr>
      </w:pPr>
    </w:p>
    <w:p>
      <w:pPr>
        <w:pStyle w:val="BodyText"/>
        <w:spacing w:line="477" w:lineRule="auto"/>
        <w:ind w:right="94" w:firstLine="360"/>
        <w:jc w:val="left"/>
      </w:pP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月，公司出借自有资金</w:t>
      </w:r>
      <w:r>
        <w:rPr>
          <w:rFonts w:ascii="宋体" w:hAnsi="宋体" w:cs="宋体" w:eastAsia="宋体" w:hint="default"/>
          <w:spacing w:val="-2"/>
        </w:rPr>
        <w:t>5,000</w:t>
      </w:r>
      <w:r>
        <w:rPr>
          <w:spacing w:val="-2"/>
        </w:rPr>
        <w:t>万元，参与发起设立相互人寿保险公司（或组织），出借资金后公司拟占相互人寿</w:t>
      </w:r>
      <w:r>
        <w:rPr/>
        <w:t> </w:t>
      </w:r>
      <w:r>
        <w:rPr>
          <w:spacing w:val="-4"/>
        </w:rPr>
        <w:t>保险公司（或组织）初始运营资金的</w:t>
      </w:r>
      <w:r>
        <w:rPr>
          <w:rFonts w:ascii="宋体" w:hAnsi="宋体" w:cs="宋体" w:eastAsia="宋体" w:hint="default"/>
          <w:spacing w:val="-4"/>
        </w:rPr>
        <w:t>5%</w:t>
      </w:r>
      <w:r>
        <w:rPr>
          <w:spacing w:val="-4"/>
        </w:rPr>
        <w:t>。参与该项目，公司旨在充分利用公司的业务优势，推进公司在金融领域的战略布局，</w:t>
      </w:r>
      <w:r>
        <w:rPr>
          <w:spacing w:val="-43"/>
        </w:rPr>
        <w:t> </w:t>
      </w:r>
      <w:r>
        <w:rPr>
          <w:spacing w:val="-43"/>
        </w:rPr>
      </w:r>
      <w:r>
        <w:rPr/>
        <w:t>提升公司的综合竞争力，为股东创造更大的价值。</w:t>
      </w:r>
    </w:p>
    <w:p>
      <w:pPr>
        <w:pStyle w:val="BodyText"/>
        <w:spacing w:line="477" w:lineRule="auto" w:before="54"/>
        <w:ind w:right="94" w:firstLine="360"/>
        <w:jc w:val="left"/>
      </w:pPr>
      <w:r>
        <w:rPr/>
        <w:t>（</w:t>
      </w:r>
      <w:r>
        <w:rPr>
          <w:rFonts w:ascii="宋体" w:hAnsi="宋体" w:cs="宋体" w:eastAsia="宋体" w:hint="default"/>
        </w:rPr>
        <w:t>6</w:t>
      </w:r>
      <w:r>
        <w:rPr/>
        <w:t>）公司风险控制管理方面，公司认真落实监管机构对公司的检查意见，加强对内风险控制体系的建设与完善，进一 步规范财务管理工作，提升和落实审计部门的工作效力，规范</w:t>
      </w:r>
      <w:r>
        <w:rPr>
          <w:rFonts w:ascii="宋体" w:hAnsi="宋体" w:cs="宋体" w:eastAsia="宋体" w:hint="default"/>
        </w:rPr>
        <w:t>“</w:t>
      </w:r>
      <w:r>
        <w:rPr/>
        <w:t>三会</w:t>
      </w:r>
      <w:r>
        <w:rPr>
          <w:rFonts w:ascii="宋体" w:hAnsi="宋体" w:cs="宋体" w:eastAsia="宋体" w:hint="default"/>
        </w:rPr>
        <w:t>”</w:t>
      </w:r>
      <w:r>
        <w:rPr/>
        <w:t>工作运行，提升公司治理能力，加强业务管控水平， 优化内控制度体系，使得公司整体风险管控水平上了一个新台阶。</w:t>
      </w:r>
    </w:p>
    <w:p>
      <w:pPr>
        <w:pStyle w:val="BodyText"/>
        <w:spacing w:line="477" w:lineRule="auto" w:before="54"/>
        <w:ind w:right="184" w:firstLine="360"/>
        <w:jc w:val="left"/>
      </w:pPr>
      <w:r>
        <w:rPr/>
        <w:t>（</w:t>
      </w:r>
      <w:r>
        <w:rPr>
          <w:rFonts w:ascii="宋体" w:hAnsi="宋体" w:cs="宋体" w:eastAsia="宋体" w:hint="default"/>
        </w:rPr>
        <w:t>7</w:t>
      </w:r>
      <w:r>
        <w:rPr/>
        <w:t>）投资者关系工作方面，切实加强投资者关系建设与维护，及时回复投资者关系互动平台上的提问，认真解决投资 者问题，根据投资者需求，及时组织投资机构交流活动。</w:t>
      </w:r>
    </w:p>
    <w:p>
      <w:pPr>
        <w:spacing w:line="240" w:lineRule="auto" w:before="6"/>
        <w:rPr>
          <w:rFonts w:ascii="宋体" w:hAnsi="宋体" w:cs="宋体" w:eastAsia="宋体" w:hint="default"/>
          <w:sz w:val="17"/>
          <w:szCs w:val="17"/>
        </w:rPr>
      </w:pPr>
    </w:p>
    <w:p>
      <w:pPr>
        <w:pStyle w:val="Heading2"/>
        <w:spacing w:line="240" w:lineRule="auto"/>
        <w:ind w:right="94"/>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94"/>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t>年</w:t>
      </w:r>
      <w:r>
        <w:rPr>
          <w:spacing w:val="-89"/>
        </w:rPr>
        <w:t>，</w:t>
      </w:r>
      <w:r>
        <w:rPr/>
        <w:t>公司实现营业收入</w:t>
      </w:r>
      <w:r>
        <w:rPr>
          <w:rFonts w:ascii="宋体" w:hAnsi="宋体" w:cs="宋体" w:eastAsia="宋体" w:hint="default"/>
          <w:spacing w:val="-2"/>
        </w:rPr>
        <w:t>9</w:t>
      </w:r>
      <w:r>
        <w:rPr>
          <w:rFonts w:ascii="宋体" w:hAnsi="宋体" w:cs="宋体" w:eastAsia="宋体" w:hint="default"/>
          <w:spacing w:val="1"/>
        </w:rPr>
        <w:t>7</w:t>
      </w:r>
      <w:r>
        <w:rPr>
          <w:rFonts w:ascii="宋体" w:hAnsi="宋体" w:cs="宋体" w:eastAsia="宋体" w:hint="default"/>
          <w:spacing w:val="-2"/>
        </w:rPr>
        <w:t>,7</w:t>
      </w:r>
      <w:r>
        <w:rPr>
          <w:rFonts w:ascii="宋体" w:hAnsi="宋体" w:cs="宋体" w:eastAsia="宋体" w:hint="default"/>
          <w:spacing w:val="1"/>
        </w:rPr>
        <w:t>56</w:t>
      </w:r>
      <w:r>
        <w:rPr>
          <w:rFonts w:ascii="宋体" w:hAnsi="宋体" w:cs="宋体" w:eastAsia="宋体" w:hint="default"/>
          <w:spacing w:val="-2"/>
        </w:rPr>
        <w:t>.</w:t>
      </w:r>
      <w:r>
        <w:rPr>
          <w:rFonts w:ascii="宋体" w:hAnsi="宋体" w:cs="宋体" w:eastAsia="宋体" w:hint="default"/>
          <w:spacing w:val="1"/>
        </w:rPr>
        <w:t>64</w:t>
      </w:r>
      <w:r>
        <w:rPr/>
        <w:t>万元</w:t>
      </w:r>
      <w:r>
        <w:rPr>
          <w:spacing w:val="-89"/>
        </w:rPr>
        <w:t>，</w:t>
      </w:r>
      <w:r>
        <w:rPr/>
        <w:t>同比增</w:t>
      </w:r>
      <w:r>
        <w:rPr>
          <w:spacing w:val="-3"/>
        </w:rPr>
        <w:t>长</w:t>
      </w:r>
      <w:r>
        <w:rPr>
          <w:rFonts w:ascii="宋体" w:hAnsi="宋体" w:cs="宋体" w:eastAsia="宋体" w:hint="default"/>
          <w:spacing w:val="1"/>
        </w:rPr>
        <w:t>4</w:t>
      </w:r>
      <w:r>
        <w:rPr>
          <w:rFonts w:ascii="宋体" w:hAnsi="宋体" w:cs="宋体" w:eastAsia="宋体" w:hint="default"/>
          <w:spacing w:val="-2"/>
        </w:rPr>
        <w:t>4</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spacing w:val="1"/>
        </w:rPr>
        <w:t>4%</w:t>
      </w:r>
      <w:r>
        <w:rPr>
          <w:spacing w:val="-89"/>
        </w:rPr>
        <w:t>。</w:t>
      </w:r>
      <w:r>
        <w:rPr>
          <w:spacing w:val="-3"/>
        </w:rPr>
        <w:t>受</w:t>
      </w:r>
      <w:r>
        <w:rPr/>
        <w:t>股权激励产生管理费用摊销影响</w:t>
      </w:r>
      <w:r>
        <w:rPr>
          <w:spacing w:val="-89"/>
        </w:rPr>
        <w:t>，</w:t>
      </w:r>
      <w:r>
        <w:rPr/>
        <w:t>公司利润总额</w:t>
      </w:r>
      <w:r>
        <w:rPr>
          <w:rFonts w:ascii="宋体" w:hAnsi="宋体" w:cs="宋体" w:eastAsia="宋体" w:hint="default"/>
          <w:spacing w:val="1"/>
        </w:rPr>
        <w:t>8,</w:t>
      </w:r>
      <w:r>
        <w:rPr>
          <w:rFonts w:ascii="宋体" w:hAnsi="宋体" w:cs="宋体" w:eastAsia="宋体" w:hint="default"/>
          <w:spacing w:val="-2"/>
        </w:rPr>
        <w:t>7</w:t>
      </w:r>
      <w:r>
        <w:rPr>
          <w:rFonts w:ascii="宋体" w:hAnsi="宋体" w:cs="宋体" w:eastAsia="宋体" w:hint="default"/>
          <w:spacing w:val="1"/>
        </w:rPr>
        <w:t>2</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rPr>
        <w:t>5</w:t>
      </w:r>
    </w:p>
    <w:p>
      <w:pPr>
        <w:spacing w:line="240" w:lineRule="auto" w:before="10"/>
        <w:rPr>
          <w:rFonts w:ascii="宋体" w:hAnsi="宋体" w:cs="宋体" w:eastAsia="宋体" w:hint="default"/>
          <w:sz w:val="17"/>
          <w:szCs w:val="17"/>
        </w:rPr>
      </w:pPr>
    </w:p>
    <w:p>
      <w:pPr>
        <w:pStyle w:val="BodyText"/>
        <w:spacing w:line="240" w:lineRule="auto"/>
        <w:ind w:right="94"/>
        <w:jc w:val="left"/>
      </w:pPr>
      <w:r>
        <w:rPr/>
        <w:t>万元，同比增长</w:t>
      </w:r>
      <w:r>
        <w:rPr>
          <w:rFonts w:ascii="宋体" w:hAnsi="宋体" w:cs="宋体" w:eastAsia="宋体" w:hint="default"/>
        </w:rPr>
        <w:t>12.86%</w:t>
      </w:r>
      <w:r>
        <w:rPr/>
        <w:t>，实现归属于上市公司净利润</w:t>
      </w:r>
      <w:r>
        <w:rPr>
          <w:rFonts w:ascii="宋体" w:hAnsi="宋体" w:cs="宋体" w:eastAsia="宋体" w:hint="default"/>
        </w:rPr>
        <w:t>8,549.59</w:t>
      </w:r>
      <w:r>
        <w:rPr/>
        <w:t>万元，同比增长</w:t>
      </w:r>
      <w:r>
        <w:rPr>
          <w:rFonts w:ascii="宋体" w:hAnsi="宋体" w:cs="宋体" w:eastAsia="宋体" w:hint="default"/>
        </w:rPr>
        <w:t>7.43%</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5" w:type="dxa"/>
            <w:gridSpan w:val="2"/>
            <w:vMerge/>
            <w:tcBorders>
              <w:left w:val="single" w:sz="4" w:space="0" w:color="000000"/>
              <w:bottom w:val="single" w:sz="4" w:space="0" w:color="000000"/>
              <w:right w:val="single" w:sz="4" w:space="0" w:color="000000"/>
            </w:tcBorders>
            <w:shd w:val="clear" w:color="auto" w:fill="D4D4D4"/>
          </w:tcPr>
          <w:p>
            <w:pPr/>
          </w:p>
        </w:tc>
        <w:tc>
          <w:tcPr>
            <w:tcW w:w="15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0" w:type="dxa"/>
            <w:vMerge/>
            <w:tcBorders>
              <w:left w:val="single" w:sz="4" w:space="0" w:color="000000"/>
              <w:bottom w:val="single" w:sz="4" w:space="0" w:color="000000"/>
              <w:right w:val="single" w:sz="4" w:space="0" w:color="000000"/>
            </w:tcBorders>
            <w:shd w:val="clear" w:color="auto" w:fill="D4D4D4"/>
          </w:tcPr>
          <w:p>
            <w:pPr/>
          </w:p>
        </w:tc>
        <w:tc>
          <w:tcPr>
            <w:tcW w:w="1600" w:type="dxa"/>
            <w:vMerge/>
            <w:tcBorders>
              <w:left w:val="single" w:sz="4" w:space="0" w:color="000000"/>
              <w:bottom w:val="single" w:sz="4" w:space="0" w:color="000000"/>
              <w:right w:val="single" w:sz="4" w:space="0" w:color="000000"/>
            </w:tcBorders>
            <w:shd w:val="clear" w:color="auto" w:fill="D4D4D4"/>
          </w:tcPr>
          <w:p>
            <w:pPr/>
          </w:p>
        </w:tc>
        <w:tc>
          <w:tcPr>
            <w:tcW w:w="1586" w:type="dxa"/>
            <w:vMerge/>
            <w:tcBorders>
              <w:left w:val="single" w:sz="4" w:space="0" w:color="000000"/>
              <w:bottom w:val="single" w:sz="4" w:space="0" w:color="000000"/>
              <w:right w:val="single" w:sz="4" w:space="0" w:color="000000"/>
            </w:tcBorders>
            <w:shd w:val="clear" w:color="auto" w:fill="D4D4D4"/>
          </w:tcPr>
          <w:p>
            <w:pPr/>
          </w:p>
        </w:tc>
        <w:tc>
          <w:tcPr>
            <w:tcW w:w="159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44.14%</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905,132,855.08</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92.59%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33.46%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72,433,534.43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7.41%</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电子支付产品销售 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891,797,860.33</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91.20%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672,106,507.62</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99.10%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32.69%</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生物识别产品销售 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72,176,626.92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机租赁收入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6,264,773.82</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4,442,053.58</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41.03%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2,203,217.81</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1,541,954.41</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1,575,096.95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109,811.32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1,334.37%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3,548,813.68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921,864,278.18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641,491,615.09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43.71%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55,702,111.33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36,708,711.84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905,132,855.08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564,333,917.18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72,433,534.43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44,330,572.81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电子支付产品销 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891,797,860.33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561,142,233.16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生物识别产品销 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72,176,626.92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44,288,138.35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机租赁收入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6,264,773.82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2,112,217.66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2,203,217.81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190,769.45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1,575,096.95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3,548,813.68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931,131.37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921,864,278.18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583,926,763.99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55,702,111.33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24,737,726.00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7"/>
        <w:gridCol w:w="1592"/>
        <w:gridCol w:w="1594"/>
        <w:gridCol w:w="1596"/>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1,074,518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60.47%</w:t>
            </w:r>
          </w:p>
        </w:tc>
      </w:tr>
      <w:tr>
        <w:trPr>
          <w:trHeight w:val="403"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1,198,436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53.03%</w:t>
            </w:r>
          </w:p>
        </w:tc>
      </w:tr>
      <w:tr>
        <w:trPr>
          <w:trHeight w:val="401"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86.50%</w:t>
            </w:r>
          </w:p>
        </w:tc>
      </w:tr>
      <w:tr>
        <w:trPr>
          <w:trHeight w:val="403"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177,669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477" w:lineRule="auto"/>
        <w:ind w:right="0" w:firstLine="360"/>
        <w:jc w:val="left"/>
      </w:pPr>
      <w:r>
        <w:rPr>
          <w:rFonts w:ascii="宋体" w:hAnsi="宋体" w:cs="宋体" w:eastAsia="宋体" w:hint="default"/>
          <w:spacing w:val="-2"/>
        </w:rPr>
        <w:t>1.</w:t>
      </w:r>
      <w:r>
        <w:rPr>
          <w:spacing w:val="-2"/>
        </w:rPr>
        <w:t>报告期内，电子支付行业的产销量随着公司订单的增加，各类产品的销售量、生产量、库存量也根据市场情况发生变</w:t>
      </w:r>
      <w:r>
        <w:rPr/>
        <w:t> 化。</w:t>
      </w:r>
    </w:p>
    <w:p>
      <w:pPr>
        <w:pStyle w:val="BodyText"/>
        <w:spacing w:line="477" w:lineRule="auto" w:before="54"/>
        <w:ind w:right="0" w:firstLine="360"/>
        <w:jc w:val="left"/>
      </w:pPr>
      <w:r>
        <w:rPr>
          <w:rFonts w:ascii="宋体" w:hAnsi="宋体" w:cs="宋体" w:eastAsia="宋体" w:hint="default"/>
          <w:spacing w:val="-2"/>
        </w:rPr>
        <w:t>2.</w:t>
      </w:r>
      <w:r>
        <w:rPr>
          <w:spacing w:val="-2"/>
        </w:rPr>
        <w:t>报告期收购浙江中正</w:t>
      </w:r>
      <w:r>
        <w:rPr>
          <w:rFonts w:ascii="宋体" w:hAnsi="宋体" w:cs="宋体" w:eastAsia="宋体" w:hint="default"/>
          <w:spacing w:val="-2"/>
        </w:rPr>
        <w:t>100%</w:t>
      </w:r>
      <w:r>
        <w:rPr>
          <w:spacing w:val="-2"/>
        </w:rPr>
        <w:t>股权，成为本公司全资子公司并纳入合并报表，生物识别行业的产销量相应增加，与上年同</w:t>
      </w:r>
      <w:r>
        <w:rPr/>
        <w:t> 期不具有可比性。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521,952,440.00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352,608,881.85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14,729,115.24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13,676,698.81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27,652,361.94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22,672,143.40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564,333,917.18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388,957,724.06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40,602,371.64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824,548.65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2,903,652.52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44,330,572.81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388,957,724.06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5"/>
          <w:szCs w:val="15"/>
        </w:rPr>
      </w:pPr>
    </w:p>
    <w:p>
      <w:pPr>
        <w:pStyle w:val="BodyText"/>
        <w:spacing w:line="240" w:lineRule="auto"/>
        <w:ind w:left="512" w:right="0"/>
        <w:jc w:val="left"/>
      </w:pPr>
      <w:r>
        <w:rPr/>
        <w:t>生物识别行业系报告期收购浙江中正</w:t>
      </w:r>
      <w:r>
        <w:rPr>
          <w:spacing w:val="-47"/>
        </w:rPr>
        <w:t> </w:t>
      </w:r>
      <w:r>
        <w:rPr>
          <w:rFonts w:ascii="Times New Roman" w:hAnsi="Times New Roman" w:cs="Times New Roman" w:eastAsia="Times New Roman" w:hint="default"/>
        </w:rPr>
        <w:t>100%</w:t>
      </w:r>
      <w:r>
        <w:rPr/>
        <w:t>股权成为本公司全资子公司并纳入合并报表，与上年同期不具可比性。</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bookmarkStart w:name="（6）报告期内合并范围是否发生变动" w:id="33"/>
      <w:bookmarkEnd w:id="33"/>
      <w:r>
        <w:rPr/>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t>本公司于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w:t>
      </w:r>
      <w:r>
        <w:rPr/>
        <w:t>与浙江中正智能科技有限公</w:t>
      </w:r>
      <w:r>
        <w:rPr>
          <w:spacing w:val="-5"/>
        </w:rPr>
        <w:t>司</w:t>
      </w:r>
      <w:r>
        <w:rPr/>
        <w:t>（以下简称</w:t>
      </w:r>
      <w:r>
        <w:rPr>
          <w:rFonts w:ascii="Times New Roman" w:hAnsi="Times New Roman" w:cs="Times New Roman" w:eastAsia="Times New Roman" w:hint="default"/>
          <w:spacing w:val="-1"/>
        </w:rPr>
        <w:t>“</w:t>
      </w:r>
      <w:r>
        <w:rPr/>
        <w:t>浙江中正</w:t>
      </w:r>
      <w:r>
        <w:rPr>
          <w:rFonts w:ascii="Times New Roman" w:hAnsi="Times New Roman" w:cs="Times New Roman" w:eastAsia="Times New Roman" w:hint="default"/>
          <w:spacing w:val="-1"/>
        </w:rPr>
        <w:t>”</w:t>
      </w:r>
      <w:r>
        <w:rPr>
          <w:spacing w:val="-5"/>
        </w:rPr>
        <w:t>）</w:t>
      </w:r>
      <w:r>
        <w:rPr/>
        <w:t>及其全体股东签署</w:t>
      </w:r>
      <w:r>
        <w:rPr>
          <w:spacing w:val="-5"/>
        </w:rPr>
        <w:t>了</w:t>
      </w:r>
      <w:r>
        <w:rPr/>
        <w:t>《股权转让协议</w:t>
      </w:r>
      <w:r>
        <w:rPr>
          <w:spacing w:val="-92"/>
        </w:rPr>
        <w:t>》</w:t>
      </w:r>
      <w:r>
        <w:rPr/>
        <w:t>，</w:t>
      </w:r>
    </w:p>
    <w:p>
      <w:pPr>
        <w:spacing w:line="240" w:lineRule="auto" w:before="9"/>
        <w:rPr>
          <w:rFonts w:ascii="宋体" w:hAnsi="宋体" w:cs="宋体" w:eastAsia="宋体" w:hint="default"/>
          <w:sz w:val="16"/>
          <w:szCs w:val="16"/>
        </w:rPr>
      </w:pPr>
    </w:p>
    <w:p>
      <w:pPr>
        <w:pStyle w:val="BodyText"/>
        <w:spacing w:line="451" w:lineRule="auto"/>
        <w:ind w:right="94"/>
        <w:jc w:val="left"/>
      </w:pPr>
      <w:r>
        <w:rPr/>
        <w:t>本公司以</w:t>
      </w:r>
      <w:r>
        <w:rPr>
          <w:spacing w:val="-47"/>
        </w:rPr>
        <w:t> </w:t>
      </w:r>
      <w:r>
        <w:rPr>
          <w:rFonts w:ascii="Times New Roman" w:hAnsi="Times New Roman" w:cs="Times New Roman" w:eastAsia="Times New Roman" w:hint="default"/>
        </w:rPr>
        <w:t>25,200</w:t>
      </w:r>
      <w:r>
        <w:rPr>
          <w:rFonts w:ascii="Times New Roman" w:hAnsi="Times New Roman" w:cs="Times New Roman" w:eastAsia="Times New Roman" w:hint="default"/>
          <w:spacing w:val="-1"/>
        </w:rPr>
        <w:t> </w:t>
      </w:r>
      <w:r>
        <w:rPr/>
        <w:t>万元的价格收购浙江中正</w:t>
      </w:r>
      <w:r>
        <w:rPr>
          <w:spacing w:val="-47"/>
        </w:rPr>
        <w:t> </w:t>
      </w:r>
      <w:r>
        <w:rPr>
          <w:rFonts w:ascii="Times New Roman" w:hAnsi="Times New Roman" w:cs="Times New Roman" w:eastAsia="Times New Roman" w:hint="default"/>
        </w:rPr>
        <w:t>100%</w:t>
      </w:r>
      <w:r>
        <w:rPr/>
        <w:t>的股权，浙江中正于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3"/>
        </w:rPr>
        <w:t>日完成工商变更，本次收购完成后，浙</w:t>
      </w:r>
      <w:r>
        <w:rPr/>
        <w:t> 江中正成为本公司的全资子公司。</w:t>
      </w:r>
    </w:p>
    <w:p>
      <w:pPr>
        <w:pStyle w:val="BodyText"/>
        <w:spacing w:line="240" w:lineRule="auto" w:before="74"/>
        <w:ind w:right="94"/>
        <w:jc w:val="left"/>
        <w:rPr>
          <w:rFonts w:ascii="Times New Roman" w:hAnsi="Times New Roman" w:cs="Times New Roman" w:eastAsia="Times New Roman" w:hint="default"/>
        </w:rPr>
      </w:pPr>
      <w:r>
        <w:rPr>
          <w:rFonts w:ascii="Times New Roman" w:hAnsi="Times New Roman" w:cs="Times New Roman" w:eastAsia="Times New Roman" w:hint="default"/>
          <w:spacing w:val="-6"/>
        </w:rPr>
        <w:t>2</w:t>
      </w:r>
      <w:r>
        <w:rPr>
          <w:spacing w:val="-6"/>
        </w:rPr>
        <w:t>．深圳市新国都支付技术有限公司（以下简称</w:t>
      </w:r>
      <w:r>
        <w:rPr>
          <w:rFonts w:ascii="Times New Roman" w:hAnsi="Times New Roman" w:cs="Times New Roman" w:eastAsia="Times New Roman" w:hint="default"/>
          <w:spacing w:val="-6"/>
        </w:rPr>
        <w:t>“</w:t>
      </w:r>
      <w:r>
        <w:rPr>
          <w:spacing w:val="-6"/>
        </w:rPr>
        <w:t>支付公司</w:t>
      </w:r>
      <w:r>
        <w:rPr>
          <w:rFonts w:ascii="Times New Roman" w:hAnsi="Times New Roman" w:cs="Times New Roman" w:eastAsia="Times New Roman" w:hint="default"/>
          <w:spacing w:val="-6"/>
        </w:rPr>
        <w:t>”</w:t>
      </w:r>
      <w:r>
        <w:rPr>
          <w:spacing w:val="-6"/>
        </w:rPr>
        <w:t>）成立于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11"/>
        </w:rPr>
        <w:t>日，注册资本</w:t>
      </w:r>
      <w:r>
        <w:rPr>
          <w:spacing w:val="-4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3"/>
        </w:rPr>
        <w:t> </w:t>
      </w:r>
      <w:r>
        <w:rPr>
          <w:spacing w:val="-9"/>
        </w:rPr>
        <w:t>万元，实收资本</w:t>
      </w:r>
      <w:r>
        <w:rPr>
          <w:spacing w:val="-45"/>
        </w:rPr>
        <w:t> </w:t>
      </w:r>
      <w:r>
        <w:rPr>
          <w:rFonts w:ascii="Times New Roman" w:hAnsi="Times New Roman" w:cs="Times New Roman" w:eastAsia="Times New Roman" w:hint="default"/>
        </w:rPr>
        <w:t>1,000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94"/>
        <w:jc w:val="left"/>
      </w:pPr>
      <w:r>
        <w:rPr/>
        <w:t>万元，系由本公司出资设立，持股比例</w:t>
      </w:r>
      <w:r>
        <w:rPr>
          <w:spacing w:val="-47"/>
        </w:rPr>
        <w:t> </w:t>
      </w:r>
      <w:r>
        <w:rPr>
          <w:rFonts w:ascii="Times New Roman" w:hAnsi="Times New Roman" w:cs="Times New Roman" w:eastAsia="Times New Roman" w:hint="default"/>
        </w:rPr>
        <w:t>100%</w:t>
      </w:r>
      <w:r>
        <w:rPr/>
        <w:t>。</w:t>
      </w:r>
    </w:p>
    <w:p>
      <w:pPr>
        <w:spacing w:line="240" w:lineRule="auto" w:before="9"/>
        <w:rPr>
          <w:rFonts w:ascii="宋体" w:hAnsi="宋体" w:cs="宋体" w:eastAsia="宋体" w:hint="default"/>
          <w:sz w:val="16"/>
          <w:szCs w:val="16"/>
        </w:rPr>
      </w:pPr>
    </w:p>
    <w:p>
      <w:pPr>
        <w:pStyle w:val="BodyText"/>
        <w:spacing w:line="451" w:lineRule="auto"/>
        <w:ind w:right="94" w:hanging="1"/>
        <w:jc w:val="left"/>
      </w:pPr>
      <w:r>
        <w:rPr>
          <w:rFonts w:ascii="Times New Roman" w:hAnsi="Times New Roman" w:cs="Times New Roman" w:eastAsia="Times New Roman" w:hint="default"/>
          <w:spacing w:val="-4"/>
        </w:rPr>
        <w:t>3</w:t>
      </w:r>
      <w:r>
        <w:rPr>
          <w:spacing w:val="-4"/>
        </w:rPr>
        <w:t>．深圳市信联征信有限公司（以下简称</w:t>
      </w:r>
      <w:r>
        <w:rPr>
          <w:rFonts w:ascii="Times New Roman" w:hAnsi="Times New Roman" w:cs="Times New Roman" w:eastAsia="Times New Roman" w:hint="default"/>
          <w:spacing w:val="-4"/>
        </w:rPr>
        <w:t>“</w:t>
      </w:r>
      <w:r>
        <w:rPr>
          <w:spacing w:val="-4"/>
        </w:rPr>
        <w:t>信联征信</w:t>
      </w:r>
      <w:r>
        <w:rPr>
          <w:rFonts w:ascii="Times New Roman" w:hAnsi="Times New Roman" w:cs="Times New Roman" w:eastAsia="Times New Roman" w:hint="default"/>
          <w:spacing w:val="-4"/>
        </w:rPr>
        <w:t>”</w:t>
      </w:r>
      <w:r>
        <w:rPr>
          <w:spacing w:val="-4"/>
        </w:rPr>
        <w:t>）成立于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6"/>
        </w:rPr>
        <w:t>日，注册资本</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5"/>
        </w:rPr>
        <w:t>万元，实收资本</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 系由本公司出资设立，持股比例</w:t>
      </w:r>
      <w:r>
        <w:rPr>
          <w:spacing w:val="-47"/>
        </w:rPr>
        <w:t> </w:t>
      </w:r>
      <w:r>
        <w:rPr>
          <w:rFonts w:ascii="Times New Roman" w:hAnsi="Times New Roman" w:cs="Times New Roman" w:eastAsia="Times New Roman" w:hint="default"/>
        </w:rPr>
        <w:t>100%</w:t>
      </w:r>
      <w:r>
        <w:rPr/>
        <w:t>。</w:t>
      </w:r>
    </w:p>
    <w:p>
      <w:pPr>
        <w:pStyle w:val="BodyText"/>
        <w:spacing w:line="451" w:lineRule="auto" w:before="43"/>
        <w:ind w:right="94" w:hanging="1"/>
        <w:jc w:val="left"/>
      </w:pPr>
      <w:r>
        <w:rPr>
          <w:rFonts w:ascii="Times New Roman" w:hAnsi="Times New Roman" w:cs="Times New Roman" w:eastAsia="Times New Roman" w:hint="default"/>
        </w:rPr>
        <w:t>4</w:t>
      </w:r>
      <w:r>
        <w:rPr/>
        <w:t>．本公司于</w:t>
      </w:r>
      <w:r>
        <w:rPr>
          <w:spacing w:val="-45"/>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2"/>
        </w:rPr>
        <w:t>日与</w:t>
      </w:r>
      <w:r>
        <w:rPr>
          <w:spacing w:val="2"/>
        </w:rPr>
        <w:t> </w:t>
      </w:r>
      <w:r>
        <w:rPr>
          <w:rFonts w:ascii="Times New Roman" w:hAnsi="Times New Roman" w:cs="Times New Roman" w:eastAsia="Times New Roman" w:hint="default"/>
          <w:spacing w:val="-1"/>
          <w:w w:val="99"/>
        </w:rPr>
        <w:t>Xinguodu </w:t>
      </w:r>
      <w:r>
        <w:rPr>
          <w:rFonts w:ascii="Times New Roman" w:hAnsi="Times New Roman" w:cs="Times New Roman" w:eastAsia="Times New Roman" w:hint="default"/>
          <w:spacing w:val="-1"/>
        </w:rPr>
        <w:t>Inc.</w:t>
      </w:r>
      <w:r>
        <w:rPr>
          <w:spacing w:val="-1"/>
        </w:rPr>
        <w:t>、</w:t>
      </w:r>
      <w:r>
        <w:rPr>
          <w:rFonts w:ascii="Times New Roman" w:hAnsi="Times New Roman" w:cs="Times New Roman" w:eastAsia="Times New Roman" w:hint="default"/>
          <w:spacing w:val="-1"/>
        </w:rPr>
        <w:t>Exadigm,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及</w:t>
      </w:r>
      <w:r>
        <w:rPr>
          <w:spacing w:val="2"/>
        </w:rPr>
        <w:t> </w:t>
      </w:r>
      <w:r>
        <w:rPr>
          <w:rFonts w:ascii="Times New Roman" w:hAnsi="Times New Roman" w:cs="Times New Roman" w:eastAsia="Times New Roman" w:hint="default"/>
          <w:spacing w:val="-1"/>
        </w:rPr>
        <w:t>Exadigm,</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rPr>
        <w:t>Inc.</w:t>
      </w:r>
      <w:r>
        <w:rPr>
          <w:spacing w:val="-4"/>
        </w:rPr>
        <w:t>的股东代表四方签署了《并购协议》，本公</w:t>
      </w:r>
      <w:r>
        <w:rPr>
          <w:spacing w:val="-88"/>
        </w:rPr>
        <w:t> </w:t>
      </w:r>
      <w:r>
        <w:rPr>
          <w:spacing w:val="-88"/>
        </w:rPr>
      </w:r>
      <w:r>
        <w:rPr/>
        <w:t>司以</w:t>
      </w:r>
      <w:r>
        <w:rPr>
          <w:spacing w:val="-49"/>
        </w:rPr>
        <w:t> </w:t>
      </w:r>
      <w:r>
        <w:rPr>
          <w:rFonts w:ascii="Times New Roman" w:hAnsi="Times New Roman" w:cs="Times New Roman" w:eastAsia="Times New Roman" w:hint="default"/>
        </w:rPr>
        <w:t>470</w:t>
      </w:r>
      <w:r>
        <w:rPr>
          <w:rFonts w:ascii="Times New Roman" w:hAnsi="Times New Roman" w:cs="Times New Roman" w:eastAsia="Times New Roman" w:hint="default"/>
          <w:spacing w:val="-3"/>
        </w:rPr>
        <w:t> </w:t>
      </w:r>
      <w:r>
        <w:rPr/>
        <w:t>万美元的价格收购</w:t>
      </w:r>
      <w:r>
        <w:rPr>
          <w:spacing w:val="-49"/>
        </w:rPr>
        <w:t> </w:t>
      </w:r>
      <w:r>
        <w:rPr>
          <w:rFonts w:ascii="Times New Roman" w:hAnsi="Times New Roman" w:cs="Times New Roman" w:eastAsia="Times New Roman" w:hint="default"/>
        </w:rPr>
        <w:t>ExaDigm,Inc.</w:t>
      </w:r>
      <w:r>
        <w:rPr/>
        <w:t>的股权，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日上述股权收购事宜已完成并取得美国特拉华州出具的收 购完成确认函，收购完成后本公司持有</w:t>
      </w:r>
      <w:r>
        <w:rPr>
          <w:spacing w:val="-49"/>
        </w:rPr>
        <w:t> </w:t>
      </w:r>
      <w:r>
        <w:rPr>
          <w:rFonts w:ascii="Times New Roman" w:hAnsi="Times New Roman" w:cs="Times New Roman" w:eastAsia="Times New Roman" w:hint="default"/>
        </w:rPr>
        <w:t>ExaDigm,Inc.</w:t>
      </w:r>
      <w:r>
        <w:rPr/>
        <w:t>的</w:t>
      </w:r>
      <w:r>
        <w:rPr>
          <w:spacing w:val="-49"/>
        </w:rPr>
        <w:t> </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94"/>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553,958,704.11</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56.67%</w:t>
            </w:r>
          </w:p>
        </w:tc>
      </w:tr>
    </w:tbl>
    <w:p>
      <w:pPr>
        <w:pStyle w:val="BodyText"/>
        <w:spacing w:line="240" w:lineRule="auto" w:before="49"/>
        <w:ind w:right="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228,590,872.65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98,454,507.68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85,899,164.10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85,236,980.19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55,777,179.49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553,958,704.11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56.67%</w:t>
            </w:r>
          </w:p>
        </w:tc>
      </w:tr>
    </w:tbl>
    <w:p>
      <w:pPr>
        <w:pStyle w:val="BodyText"/>
        <w:spacing w:line="240" w:lineRule="auto" w:before="49"/>
        <w:ind w:right="94"/>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206,486,602.50</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65,212,522.52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11.52%</w:t>
            </w:r>
            <w:r>
              <w:rPr>
                <w:rFonts w:ascii="Times New Roman"/>
                <w:sz w:val="18"/>
              </w:rPr>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47,538,996.24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31,900,968.64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31,396,626.79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30,437,488.31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206,486,602.50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36.47%</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108,175,920.53</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98,295,524.31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211,711,652.53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156,945,062.59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主要系规模扩展</w:t>
            </w:r>
            <w:r>
              <w:rPr>
                <w:rFonts w:ascii="Times New Roman" w:hAnsi="Times New Roman" w:cs="Times New Roman" w:eastAsia="Times New Roman" w:hint="default"/>
                <w:sz w:val="18"/>
                <w:szCs w:val="18"/>
              </w:rPr>
              <w:t>,</w:t>
            </w:r>
            <w:r>
              <w:rPr>
                <w:rFonts w:ascii="宋体" w:hAnsi="宋体" w:cs="宋体" w:eastAsia="宋体" w:hint="default"/>
                <w:sz w:val="18"/>
                <w:szCs w:val="18"/>
              </w:rPr>
              <w:t>薪金增加所致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4,917,917.28</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-12,717,729.87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存款利息减少所致</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415" w:lineRule="auto"/>
        <w:ind w:left="512"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报告期内，公司积极研发基于新一代云平台技术架构的大型交易结算支撑系统平台，坚持自主创新，持续加大研发力度，</w:t>
      </w:r>
    </w:p>
    <w:p>
      <w:pPr>
        <w:pStyle w:val="BodyText"/>
        <w:spacing w:line="240" w:lineRule="auto" w:before="101"/>
        <w:ind w:right="94"/>
        <w:jc w:val="left"/>
      </w:pPr>
      <w:r>
        <w:rPr/>
        <w:t>此外，公司积极开展指纹识别、虹膜识别、脸孔识别等生物识别技术在支付领域的应用方案，全年研发项目总支出</w:t>
      </w:r>
    </w:p>
    <w:p>
      <w:pPr>
        <w:spacing w:line="240" w:lineRule="auto" w:before="10"/>
        <w:rPr>
          <w:rFonts w:ascii="宋体" w:hAnsi="宋体" w:cs="宋体" w:eastAsia="宋体" w:hint="default"/>
          <w:sz w:val="17"/>
          <w:szCs w:val="17"/>
        </w:rPr>
      </w:pPr>
    </w:p>
    <w:p>
      <w:pPr>
        <w:pStyle w:val="BodyText"/>
        <w:spacing w:line="412" w:lineRule="auto"/>
        <w:ind w:right="1834"/>
        <w:jc w:val="left"/>
      </w:pPr>
      <w:r>
        <w:rPr/>
        <w:pict>
          <v:shape style="position:absolute;margin-left:57pt;margin-top:38.591721pt;width:478.6pt;height:19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131,493,087.64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104,188,634.52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76,757,353.10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hAnsi="Times New Roman" w:cs="Times New Roman" w:eastAsia="Times New Roman" w:hint="default"/>
        </w:rPr>
        <w:t>131,493,087.64</w:t>
      </w:r>
      <w:r>
        <w:rPr/>
        <w:t>元，占营业收入的</w:t>
      </w:r>
      <w:r>
        <w:rPr>
          <w:rFonts w:ascii="Times New Roman" w:hAnsi="Times New Roman" w:cs="Times New Roman" w:eastAsia="Times New Roman" w:hint="default"/>
        </w:rPr>
        <w:t>13.45%</w:t>
      </w:r>
      <w:r>
        <w:rPr/>
        <w:t>，所有研发支出均作为当期费用核算，未有资本化研发支出。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94"/>
        <w:jc w:val="left"/>
      </w:pPr>
      <w:r>
        <w:rPr/>
        <w:t>研发投入总额占营业收入的比重较上年发生显著变化的原因</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研发投入资本化率大幅变动的原因及其合理性说明</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1,202,809,228.15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699,860,476.48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71.86%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938,408,380.78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703,727,789.05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264,400,847.37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-3,867,312.57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6,936.81%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394,662,824.66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5,381.43%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799,381,250.40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178,216,532.90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348.54%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-404,718,425.74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-171,016,532.90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-136.65%</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73,332,545.33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12,302,628.02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496.07%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40,981,111.05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32,351,434.28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872,628.02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3,607.36%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-107,920,145.58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-174,011,217.45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37.98%</w:t>
            </w: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tabs>
          <w:tab w:pos="572" w:val="left" w:leader="none"/>
        </w:tabs>
        <w:spacing w:line="477" w:lineRule="auto"/>
        <w:ind w:left="572" w:right="231" w:hanging="420"/>
        <w:jc w:val="left"/>
      </w:pPr>
      <w:r>
        <w:rPr>
          <w:rFonts w:ascii="宋体" w:hAnsi="宋体" w:cs="宋体" w:eastAsia="宋体" w:hint="default"/>
        </w:rPr>
        <w:t>1.</w:t>
        <w:tab/>
      </w:r>
      <w:r>
        <w:rPr/>
        <w:t>报告期，经营活动现金流入同比增加</w:t>
      </w:r>
      <w:r>
        <w:rPr>
          <w:rFonts w:ascii="宋体" w:hAnsi="宋体" w:cs="宋体" w:eastAsia="宋体" w:hint="default"/>
        </w:rPr>
        <w:t>71.86%</w:t>
      </w:r>
      <w:r>
        <w:rPr/>
        <w:t>，主要系公司销售回款力度加大，销售商品、提供劳务收到的现金大幅增 加所致。</w:t>
      </w:r>
    </w:p>
    <w:p>
      <w:pPr>
        <w:pStyle w:val="BodyText"/>
        <w:tabs>
          <w:tab w:pos="572" w:val="left" w:leader="none"/>
        </w:tabs>
        <w:spacing w:line="240" w:lineRule="auto" w:before="54"/>
        <w:ind w:right="94"/>
        <w:jc w:val="left"/>
      </w:pPr>
      <w:r>
        <w:rPr>
          <w:rFonts w:ascii="宋体" w:hAnsi="宋体" w:cs="宋体" w:eastAsia="宋体" w:hint="default"/>
        </w:rPr>
        <w:t>2.</w:t>
        <w:tab/>
      </w:r>
      <w:r>
        <w:rPr/>
        <w:t>报告期，经营活动现金流出同比增加</w:t>
      </w:r>
      <w:r>
        <w:rPr>
          <w:rFonts w:ascii="宋体" w:hAnsi="宋体" w:cs="宋体" w:eastAsia="宋体" w:hint="default"/>
        </w:rPr>
        <w:t>33.35%</w:t>
      </w:r>
      <w:r>
        <w:rPr/>
        <w:t>，主要系业务规模扩大，支付供应商材料货款增加。</w:t>
      </w:r>
    </w:p>
    <w:p>
      <w:pPr>
        <w:spacing w:line="240" w:lineRule="auto" w:before="10"/>
        <w:rPr>
          <w:rFonts w:ascii="宋体" w:hAnsi="宋体" w:cs="宋体" w:eastAsia="宋体" w:hint="default"/>
          <w:sz w:val="17"/>
          <w:szCs w:val="17"/>
        </w:rPr>
      </w:pPr>
    </w:p>
    <w:p>
      <w:pPr>
        <w:pStyle w:val="BodyText"/>
        <w:tabs>
          <w:tab w:pos="572" w:val="left" w:leader="none"/>
        </w:tabs>
        <w:spacing w:line="240" w:lineRule="auto"/>
        <w:ind w:right="94"/>
        <w:jc w:val="left"/>
      </w:pPr>
      <w:r>
        <w:rPr>
          <w:rFonts w:ascii="宋体" w:hAnsi="宋体" w:cs="宋体" w:eastAsia="宋体" w:hint="default"/>
        </w:rPr>
        <w:t>3.</w:t>
        <w:tab/>
      </w:r>
      <w:r>
        <w:rPr/>
        <w:t>报告期，流量净额同比增加</w:t>
      </w:r>
      <w:r>
        <w:rPr>
          <w:rFonts w:ascii="宋体" w:hAnsi="宋体" w:cs="宋体" w:eastAsia="宋体" w:hint="default"/>
        </w:rPr>
        <w:t>6,936.81%</w:t>
      </w:r>
      <w:r>
        <w:rPr/>
        <w:t>，主要系公司销售规模扩大，销售回款力度加大，软件退税增加所致。</w:t>
      </w:r>
    </w:p>
    <w:p>
      <w:pPr>
        <w:spacing w:line="240" w:lineRule="auto" w:before="10"/>
        <w:rPr>
          <w:rFonts w:ascii="宋体" w:hAnsi="宋体" w:cs="宋体" w:eastAsia="宋体" w:hint="default"/>
          <w:sz w:val="17"/>
          <w:szCs w:val="17"/>
        </w:rPr>
      </w:pPr>
    </w:p>
    <w:p>
      <w:pPr>
        <w:pStyle w:val="BodyText"/>
        <w:tabs>
          <w:tab w:pos="572" w:val="left" w:leader="none"/>
        </w:tabs>
        <w:spacing w:line="240" w:lineRule="auto"/>
        <w:ind w:right="94"/>
        <w:jc w:val="left"/>
      </w:pPr>
      <w:r>
        <w:rPr>
          <w:rFonts w:ascii="宋体" w:hAnsi="宋体" w:cs="宋体" w:eastAsia="宋体" w:hint="default"/>
        </w:rPr>
        <w:t>4.</w:t>
        <w:tab/>
      </w:r>
      <w:r>
        <w:rPr/>
        <w:t>报告期，投资活动流入同比增加</w:t>
      </w:r>
      <w:r>
        <w:rPr>
          <w:rFonts w:ascii="宋体" w:hAnsi="宋体" w:cs="宋体" w:eastAsia="宋体" w:hint="default"/>
        </w:rPr>
        <w:t>5,381.43%</w:t>
      </w:r>
      <w:r>
        <w:rPr/>
        <w:t>，主要系结构性存款增加所致。</w:t>
      </w:r>
    </w:p>
    <w:p>
      <w:pPr>
        <w:spacing w:line="240" w:lineRule="auto" w:before="10"/>
        <w:rPr>
          <w:rFonts w:ascii="宋体" w:hAnsi="宋体" w:cs="宋体" w:eastAsia="宋体" w:hint="default"/>
          <w:sz w:val="17"/>
          <w:szCs w:val="17"/>
        </w:rPr>
      </w:pPr>
    </w:p>
    <w:p>
      <w:pPr>
        <w:pStyle w:val="BodyText"/>
        <w:tabs>
          <w:tab w:pos="572" w:val="left" w:leader="none"/>
        </w:tabs>
        <w:spacing w:line="240" w:lineRule="auto"/>
        <w:ind w:right="94"/>
        <w:jc w:val="left"/>
      </w:pPr>
      <w:r>
        <w:rPr>
          <w:rFonts w:ascii="宋体" w:hAnsi="宋体" w:cs="宋体" w:eastAsia="宋体" w:hint="default"/>
        </w:rPr>
        <w:t>5.</w:t>
        <w:tab/>
      </w:r>
      <w:r>
        <w:rPr/>
        <w:t>报告期，投资活动现金流出同比增加</w:t>
      </w:r>
      <w:r>
        <w:rPr>
          <w:rFonts w:ascii="宋体" w:hAnsi="宋体" w:cs="宋体" w:eastAsia="宋体" w:hint="default"/>
        </w:rPr>
        <w:t>348.54%</w:t>
      </w:r>
      <w:r>
        <w:rPr/>
        <w:t>，主要系收购浙江中正、大拿科技所致。</w:t>
      </w:r>
    </w:p>
    <w:p>
      <w:pPr>
        <w:spacing w:line="240" w:lineRule="auto" w:before="8"/>
        <w:rPr>
          <w:rFonts w:ascii="宋体" w:hAnsi="宋体" w:cs="宋体" w:eastAsia="宋体" w:hint="default"/>
          <w:sz w:val="17"/>
          <w:szCs w:val="17"/>
        </w:rPr>
      </w:pPr>
    </w:p>
    <w:p>
      <w:pPr>
        <w:pStyle w:val="BodyText"/>
        <w:tabs>
          <w:tab w:pos="572" w:val="left" w:leader="none"/>
        </w:tabs>
        <w:spacing w:line="240" w:lineRule="auto"/>
        <w:ind w:right="0"/>
        <w:jc w:val="left"/>
      </w:pPr>
      <w:r>
        <w:rPr>
          <w:rFonts w:ascii="宋体" w:hAnsi="宋体" w:cs="宋体" w:eastAsia="宋体" w:hint="default"/>
        </w:rPr>
        <w:t>6.</w:t>
        <w:tab/>
      </w:r>
      <w:r>
        <w:rPr>
          <w:spacing w:val="-3"/>
        </w:rPr>
        <w:t>报告期，投资活动产生的现金流量净额同比下降</w:t>
      </w:r>
      <w:r>
        <w:rPr>
          <w:rFonts w:ascii="宋体" w:hAnsi="宋体" w:cs="宋体" w:eastAsia="宋体" w:hint="default"/>
          <w:spacing w:val="-3"/>
        </w:rPr>
        <w:t>136.65%</w:t>
      </w:r>
      <w:r>
        <w:rPr>
          <w:spacing w:val="-3"/>
        </w:rPr>
        <w:t>，主要系收购浙江中正、增资大拿科技和结构性存款增加所致。</w:t>
      </w:r>
    </w:p>
    <w:p>
      <w:pPr>
        <w:spacing w:line="240" w:lineRule="auto" w:before="10"/>
        <w:rPr>
          <w:rFonts w:ascii="宋体" w:hAnsi="宋体" w:cs="宋体" w:eastAsia="宋体" w:hint="default"/>
          <w:sz w:val="17"/>
          <w:szCs w:val="17"/>
        </w:rPr>
      </w:pPr>
    </w:p>
    <w:p>
      <w:pPr>
        <w:pStyle w:val="BodyText"/>
        <w:tabs>
          <w:tab w:pos="572" w:val="left" w:leader="none"/>
        </w:tabs>
        <w:spacing w:line="477" w:lineRule="auto"/>
        <w:ind w:left="572" w:right="192" w:hanging="420"/>
        <w:jc w:val="left"/>
      </w:pPr>
      <w:r>
        <w:rPr>
          <w:rFonts w:ascii="宋体" w:hAnsi="宋体" w:cs="宋体" w:eastAsia="宋体" w:hint="default"/>
        </w:rPr>
        <w:t>7.</w:t>
        <w:tab/>
      </w:r>
      <w:r>
        <w:rPr>
          <w:spacing w:val="-1"/>
        </w:rPr>
        <w:t>报告期，筹资活动现金流入同比增加</w:t>
      </w:r>
      <w:r>
        <w:rPr>
          <w:rFonts w:ascii="宋体" w:hAnsi="宋体" w:cs="宋体" w:eastAsia="宋体" w:hint="default"/>
          <w:spacing w:val="-1"/>
        </w:rPr>
        <w:t>496.07%</w:t>
      </w:r>
      <w:r>
        <w:rPr>
          <w:spacing w:val="-1"/>
        </w:rPr>
        <w:t>，主要系银行流动资金贷款和收到</w:t>
      </w:r>
      <w:r>
        <w:rPr>
          <w:rFonts w:ascii="宋体" w:hAnsi="宋体" w:cs="宋体" w:eastAsia="宋体" w:hint="default"/>
          <w:spacing w:val="-1"/>
        </w:rPr>
        <w:t>2014</w:t>
      </w:r>
      <w:r>
        <w:rPr>
          <w:spacing w:val="-1"/>
        </w:rPr>
        <w:t>年股权期权激励计划第一期股权激</w:t>
      </w:r>
      <w:r>
        <w:rPr/>
        <w:t> 励行权成本所致。</w:t>
      </w:r>
    </w:p>
    <w:p>
      <w:pPr>
        <w:pStyle w:val="BodyText"/>
        <w:tabs>
          <w:tab w:pos="572" w:val="left" w:leader="none"/>
        </w:tabs>
        <w:spacing w:line="240" w:lineRule="auto" w:before="54"/>
        <w:ind w:right="94"/>
        <w:jc w:val="left"/>
      </w:pPr>
      <w:r>
        <w:rPr>
          <w:rFonts w:ascii="宋体" w:hAnsi="宋体" w:cs="宋体" w:eastAsia="宋体" w:hint="default"/>
        </w:rPr>
        <w:t>8.</w:t>
        <w:tab/>
      </w:r>
      <w:r>
        <w:rPr/>
        <w:t>报告期，筹资活动现金流出同比增加</w:t>
      </w:r>
      <w:r>
        <w:rPr>
          <w:rFonts w:ascii="宋体" w:hAnsi="宋体" w:cs="宋体" w:eastAsia="宋体" w:hint="default"/>
        </w:rPr>
        <w:t>258.54%</w:t>
      </w:r>
      <w:r>
        <w:rPr/>
        <w:t>，主要系支付银行承兑汇票保证金增加所致。</w:t>
      </w:r>
    </w:p>
    <w:p>
      <w:pPr>
        <w:spacing w:line="240" w:lineRule="auto" w:before="10"/>
        <w:rPr>
          <w:rFonts w:ascii="宋体" w:hAnsi="宋体" w:cs="宋体" w:eastAsia="宋体" w:hint="default"/>
          <w:sz w:val="17"/>
          <w:szCs w:val="17"/>
        </w:rPr>
      </w:pPr>
    </w:p>
    <w:p>
      <w:pPr>
        <w:pStyle w:val="BodyText"/>
        <w:tabs>
          <w:tab w:pos="572" w:val="left" w:leader="none"/>
        </w:tabs>
        <w:spacing w:line="477" w:lineRule="auto"/>
        <w:ind w:left="572" w:right="231" w:hanging="420"/>
        <w:jc w:val="left"/>
      </w:pPr>
      <w:r>
        <w:rPr>
          <w:rFonts w:ascii="宋体" w:hAnsi="宋体" w:cs="宋体" w:eastAsia="宋体" w:hint="default"/>
        </w:rPr>
        <w:t>9.</w:t>
        <w:tab/>
      </w:r>
      <w:r>
        <w:rPr/>
        <w:t>报告期，筹资活动现金流量净额同比增加</w:t>
      </w:r>
      <w:r>
        <w:rPr>
          <w:rFonts w:ascii="宋体" w:hAnsi="宋体" w:cs="宋体" w:eastAsia="宋体" w:hint="default"/>
        </w:rPr>
        <w:t>3,607.36%,</w:t>
      </w:r>
      <w:r>
        <w:rPr/>
        <w:t>主要系银行流动资金贷款和收到</w:t>
      </w:r>
      <w:r>
        <w:rPr>
          <w:rFonts w:ascii="宋体" w:hAnsi="宋体" w:cs="宋体" w:eastAsia="宋体" w:hint="default"/>
        </w:rPr>
        <w:t>2014</w:t>
      </w:r>
      <w:r>
        <w:rPr/>
        <w:t>年股票期权激励计划第一期 股权激励行权成本所致。</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36" w:lineRule="auto"/>
        <w:ind w:right="1439" w:hanging="1"/>
        <w:jc w:val="left"/>
      </w:pPr>
      <w:r>
        <w:rPr>
          <w:rFonts w:ascii="宋体" w:hAnsi="宋体" w:cs="宋体" w:eastAsia="宋体" w:hint="default"/>
        </w:rPr>
        <w:t>10.</w:t>
      </w:r>
      <w:r>
        <w:rPr>
          <w:rFonts w:ascii="宋体" w:hAnsi="宋体" w:cs="宋体" w:eastAsia="宋体" w:hint="default"/>
          <w:spacing w:val="56"/>
        </w:rPr>
        <w:t> </w:t>
      </w:r>
      <w:r>
        <w:rPr/>
        <w:t>报告期，现金及现金等价物增加额同比增加</w:t>
      </w:r>
      <w:r>
        <w:rPr>
          <w:rFonts w:ascii="宋体" w:hAnsi="宋体" w:cs="宋体" w:eastAsia="宋体" w:hint="default"/>
        </w:rPr>
        <w:t>37.98%</w:t>
      </w:r>
      <w:r>
        <w:rPr/>
        <w:t>，主要系公司扩大销售规模，加强回款力度所致。 报告期内公司经营活动产生的现金净流量与本年度净利润存在重大差异的原因说明</w:t>
      </w:r>
    </w:p>
    <w:p>
      <w:pPr>
        <w:pStyle w:val="BodyText"/>
        <w:spacing w:line="216"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240" w:lineRule="auto"/>
        <w:ind w:left="153" w:right="0"/>
        <w:jc w:val="left"/>
      </w:pPr>
      <w:r>
        <w:rPr/>
        <w:t>主要系报告期存货、经营性应付项目增加影响，以银行承兑汇票支付供应商货款和销售回款增加所致。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5"/>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4,098,865.53</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主要系结构性存款收益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主要系结构性存款收益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9,876,348.57</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11.32%</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58,348,072.41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66.86%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主要系软件增值退税及政府 补贴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731,328.22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机故障赔偿支出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175"/>
        <w:gridCol w:w="1063"/>
        <w:gridCol w:w="1195"/>
        <w:gridCol w:w="1063"/>
        <w:gridCol w:w="797"/>
        <w:gridCol w:w="2918"/>
      </w:tblGrid>
      <w:tr>
        <w:trPr>
          <w:trHeight w:val="379" w:hRule="exact"/>
        </w:trPr>
        <w:tc>
          <w:tcPr>
            <w:tcW w:w="1345"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3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45" w:type="dxa"/>
            <w:vMerge w:val="restart"/>
            <w:tcBorders>
              <w:top w:val="single" w:sz="13" w:space="0" w:color="FFFFFF"/>
              <w:left w:val="single" w:sz="4" w:space="0" w:color="000000"/>
              <w:right w:val="single" w:sz="4" w:space="0" w:color="000000"/>
            </w:tcBorders>
            <w:shd w:val="clear" w:color="auto" w:fill="D4D4D4"/>
          </w:tcPr>
          <w:p>
            <w:pPr/>
          </w:p>
        </w:tc>
        <w:tc>
          <w:tcPr>
            <w:tcW w:w="117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1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4D4D4"/>
          </w:tcPr>
          <w:p>
            <w:pPr/>
          </w:p>
        </w:tc>
        <w:tc>
          <w:tcPr>
            <w:tcW w:w="117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4D4D4"/>
          </w:tcPr>
          <w:p>
            <w:pPr/>
          </w:p>
        </w:tc>
        <w:tc>
          <w:tcPr>
            <w:tcW w:w="117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428,153,435.0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23.49%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515,970,004.73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37.36%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-13.87%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358,297,454.8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19.66%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299,105,960.46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-1.99%</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198,185,930.7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10.87%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127,407,106.00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9.22%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1.65%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主要系生产备货存货增加所致。</w:t>
            </w: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75,710,833.32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24,526,601.30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主要系投资大拿科技所致。</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43,552,693.97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26,981,294.82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主要系租赁机具增加所致。</w:t>
            </w: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5"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296,925,757.8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230,792,939.85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16.71%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-0.42%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5"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51,558,464.00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主要系新增银行流动资金贷款所致。</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1,038,783.85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主要系新增美国</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Exadigm</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公司长期借</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3"/>
        <w:gridCol w:w="1195"/>
        <w:gridCol w:w="1063"/>
        <w:gridCol w:w="797"/>
        <w:gridCol w:w="2918"/>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29"/>
        <w:gridCol w:w="1209"/>
        <w:gridCol w:w="1212"/>
        <w:gridCol w:w="1208"/>
        <w:gridCol w:w="1218"/>
        <w:gridCol w:w="1212"/>
        <w:gridCol w:w="1075"/>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4D4D4"/>
          </w:tcPr>
          <w:p>
            <w:pPr/>
          </w:p>
        </w:tc>
        <w:tc>
          <w:tcPr>
            <w:tcW w:w="1229" w:type="dxa"/>
            <w:vMerge w:val="restart"/>
            <w:tcBorders>
              <w:top w:val="single" w:sz="4" w:space="0" w:color="000000"/>
              <w:left w:val="single" w:sz="4" w:space="0" w:color="000000"/>
              <w:right w:val="single" w:sz="4" w:space="0" w:color="000000"/>
            </w:tcBorders>
            <w:shd w:val="clear" w:color="auto" w:fill="D4D4D4"/>
          </w:tcPr>
          <w:p>
            <w:pPr/>
          </w:p>
        </w:tc>
        <w:tc>
          <w:tcPr>
            <w:tcW w:w="12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8" w:type="dxa"/>
            <w:vMerge w:val="restart"/>
            <w:tcBorders>
              <w:top w:val="single" w:sz="4" w:space="0" w:color="000000"/>
              <w:left w:val="single" w:sz="4" w:space="0" w:color="000000"/>
              <w:right w:val="single" w:sz="4" w:space="0" w:color="000000"/>
            </w:tcBorders>
            <w:shd w:val="clear" w:color="auto" w:fill="D4D4D4"/>
          </w:tcPr>
          <w:p>
            <w:pPr/>
          </w:p>
        </w:tc>
        <w:tc>
          <w:tcPr>
            <w:tcW w:w="1212" w:type="dxa"/>
            <w:vMerge w:val="restart"/>
            <w:tcBorders>
              <w:top w:val="single" w:sz="4" w:space="0" w:color="000000"/>
              <w:left w:val="single" w:sz="4" w:space="0" w:color="000000"/>
              <w:right w:val="single" w:sz="4" w:space="0" w:color="000000"/>
            </w:tcBorders>
            <w:shd w:val="clear" w:color="auto" w:fill="D4D4D4"/>
          </w:tcPr>
          <w:p>
            <w:pPr/>
          </w:p>
        </w:tc>
        <w:tc>
          <w:tcPr>
            <w:tcW w:w="1075" w:type="dxa"/>
            <w:vMerge w:val="restart"/>
            <w:tcBorders>
              <w:top w:val="single" w:sz="4" w:space="0" w:color="000000"/>
              <w:left w:val="single" w:sz="4" w:space="0" w:color="000000"/>
              <w:right w:val="single" w:sz="4" w:space="0" w:color="000000"/>
            </w:tcBorders>
            <w:shd w:val="clear" w:color="auto" w:fill="D4D4D4"/>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4D4D4"/>
          </w:tcPr>
          <w:p>
            <w:pPr/>
          </w:p>
        </w:tc>
        <w:tc>
          <w:tcPr>
            <w:tcW w:w="1229" w:type="dxa"/>
            <w:vMerge/>
            <w:tcBorders>
              <w:left w:val="single" w:sz="4" w:space="0" w:color="000000"/>
              <w:bottom w:val="nil" w:sz="6" w:space="0" w:color="auto"/>
              <w:right w:val="single" w:sz="4" w:space="0" w:color="000000"/>
            </w:tcBorders>
            <w:shd w:val="clear" w:color="auto" w:fill="D4D4D4"/>
          </w:tcPr>
          <w:p>
            <w:pPr/>
          </w:p>
        </w:tc>
        <w:tc>
          <w:tcPr>
            <w:tcW w:w="120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6" w:right="6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4D4D4"/>
          </w:tcPr>
          <w:p>
            <w:pPr/>
          </w:p>
        </w:tc>
        <w:tc>
          <w:tcPr>
            <w:tcW w:w="1212" w:type="dxa"/>
            <w:vMerge/>
            <w:tcBorders>
              <w:left w:val="single" w:sz="4" w:space="0" w:color="000000"/>
              <w:bottom w:val="nil" w:sz="6" w:space="0" w:color="auto"/>
              <w:right w:val="single" w:sz="4" w:space="0" w:color="000000"/>
            </w:tcBorders>
            <w:shd w:val="clear" w:color="auto" w:fill="D4D4D4"/>
          </w:tcPr>
          <w:p>
            <w:pPr/>
          </w:p>
        </w:tc>
        <w:tc>
          <w:tcPr>
            <w:tcW w:w="1075" w:type="dxa"/>
            <w:vMerge/>
            <w:tcBorders>
              <w:left w:val="single" w:sz="4" w:space="0" w:color="000000"/>
              <w:bottom w:val="nil" w:sz="6" w:space="0" w:color="auto"/>
              <w:right w:val="single" w:sz="4" w:space="0" w:color="000000"/>
            </w:tcBorders>
            <w:shd w:val="clear" w:color="auto" w:fill="D4D4D4"/>
          </w:tcPr>
          <w:p>
            <w:pPr/>
          </w:p>
        </w:tc>
      </w:tr>
      <w:tr>
        <w:trPr>
          <w:trHeight w:val="391" w:hRule="exact"/>
        </w:trPr>
        <w:tc>
          <w:tcPr>
            <w:tcW w:w="11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9" w:type="dxa"/>
            <w:vMerge/>
            <w:tcBorders>
              <w:left w:val="single" w:sz="4" w:space="0" w:color="000000"/>
              <w:right w:val="single" w:sz="4" w:space="0" w:color="000000"/>
            </w:tcBorders>
            <w:shd w:val="clear" w:color="auto" w:fill="D4D4D4"/>
          </w:tcPr>
          <w:p>
            <w:pPr/>
          </w:p>
        </w:tc>
        <w:tc>
          <w:tcPr>
            <w:tcW w:w="1212" w:type="dxa"/>
            <w:vMerge/>
            <w:tcBorders>
              <w:left w:val="single" w:sz="4" w:space="0" w:color="000000"/>
              <w:right w:val="single" w:sz="4" w:space="0" w:color="000000"/>
            </w:tcBorders>
            <w:shd w:val="clear" w:color="auto" w:fill="D4D4D4"/>
          </w:tcPr>
          <w:p>
            <w:pPr/>
          </w:p>
        </w:tc>
        <w:tc>
          <w:tcPr>
            <w:tcW w:w="1208" w:type="dxa"/>
            <w:vMerge/>
            <w:tcBorders>
              <w:left w:val="single" w:sz="4" w:space="0" w:color="000000"/>
              <w:right w:val="single" w:sz="4" w:space="0" w:color="000000"/>
            </w:tcBorders>
            <w:shd w:val="clear" w:color="auto" w:fill="D4D4D4"/>
          </w:tcPr>
          <w:p>
            <w:pPr/>
          </w:p>
        </w:tc>
        <w:tc>
          <w:tcPr>
            <w:tcW w:w="12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4D4D4"/>
          </w:tcPr>
          <w:p>
            <w:pPr/>
          </w:p>
        </w:tc>
        <w:tc>
          <w:tcPr>
            <w:tcW w:w="1229" w:type="dxa"/>
            <w:vMerge w:val="restart"/>
            <w:tcBorders>
              <w:top w:val="nil" w:sz="6" w:space="0" w:color="auto"/>
              <w:left w:val="single" w:sz="4" w:space="0" w:color="000000"/>
              <w:right w:val="single" w:sz="4" w:space="0" w:color="000000"/>
            </w:tcBorders>
            <w:shd w:val="clear" w:color="auto" w:fill="D4D4D4"/>
          </w:tcPr>
          <w:p>
            <w:pPr/>
          </w:p>
        </w:tc>
        <w:tc>
          <w:tcPr>
            <w:tcW w:w="1209" w:type="dxa"/>
            <w:vMerge/>
            <w:tcBorders>
              <w:left w:val="single" w:sz="4" w:space="0" w:color="000000"/>
              <w:bottom w:val="nil" w:sz="6" w:space="0" w:color="auto"/>
              <w:right w:val="single" w:sz="4" w:space="0" w:color="000000"/>
            </w:tcBorders>
            <w:shd w:val="clear" w:color="auto" w:fill="D4D4D4"/>
          </w:tcPr>
          <w:p>
            <w:pPr/>
          </w:p>
        </w:tc>
        <w:tc>
          <w:tcPr>
            <w:tcW w:w="1212" w:type="dxa"/>
            <w:vMerge/>
            <w:tcBorders>
              <w:left w:val="single" w:sz="4" w:space="0" w:color="000000"/>
              <w:right w:val="single" w:sz="4" w:space="0" w:color="000000"/>
            </w:tcBorders>
            <w:shd w:val="clear" w:color="auto" w:fill="D4D4D4"/>
          </w:tcPr>
          <w:p>
            <w:pPr/>
          </w:p>
        </w:tc>
        <w:tc>
          <w:tcPr>
            <w:tcW w:w="1208" w:type="dxa"/>
            <w:vMerge/>
            <w:tcBorders>
              <w:left w:val="single" w:sz="4" w:space="0" w:color="000000"/>
              <w:bottom w:val="nil" w:sz="6" w:space="0" w:color="auto"/>
              <w:right w:val="single" w:sz="4" w:space="0" w:color="000000"/>
            </w:tcBorders>
            <w:shd w:val="clear" w:color="auto" w:fill="D4D4D4"/>
          </w:tcPr>
          <w:p>
            <w:pPr/>
          </w:p>
        </w:tc>
        <w:tc>
          <w:tcPr>
            <w:tcW w:w="1218" w:type="dxa"/>
            <w:vMerge w:val="restart"/>
            <w:tcBorders>
              <w:top w:val="nil" w:sz="6" w:space="0" w:color="auto"/>
              <w:left w:val="single" w:sz="4" w:space="0" w:color="000000"/>
              <w:right w:val="single" w:sz="4" w:space="0" w:color="000000"/>
            </w:tcBorders>
            <w:shd w:val="clear" w:color="auto" w:fill="D4D4D4"/>
          </w:tcPr>
          <w:p>
            <w:pPr/>
          </w:p>
        </w:tc>
        <w:tc>
          <w:tcPr>
            <w:tcW w:w="1212" w:type="dxa"/>
            <w:vMerge w:val="restart"/>
            <w:tcBorders>
              <w:top w:val="nil" w:sz="6" w:space="0" w:color="auto"/>
              <w:left w:val="single" w:sz="4" w:space="0" w:color="000000"/>
              <w:right w:val="single" w:sz="4" w:space="0" w:color="000000"/>
            </w:tcBorders>
            <w:shd w:val="clear" w:color="auto" w:fill="D4D4D4"/>
          </w:tcPr>
          <w:p>
            <w:pPr/>
          </w:p>
        </w:tc>
        <w:tc>
          <w:tcPr>
            <w:tcW w:w="1075" w:type="dxa"/>
            <w:vMerge w:val="restart"/>
            <w:tcBorders>
              <w:top w:val="nil" w:sz="6" w:space="0" w:color="auto"/>
              <w:left w:val="single" w:sz="4" w:space="0" w:color="000000"/>
              <w:right w:val="single" w:sz="4" w:space="0" w:color="000000"/>
            </w:tcBorders>
            <w:shd w:val="clear" w:color="auto" w:fill="D4D4D4"/>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4D4D4"/>
          </w:tcPr>
          <w:p>
            <w:pPr/>
          </w:p>
        </w:tc>
        <w:tc>
          <w:tcPr>
            <w:tcW w:w="1229" w:type="dxa"/>
            <w:vMerge/>
            <w:tcBorders>
              <w:left w:val="single" w:sz="4" w:space="0" w:color="000000"/>
              <w:bottom w:val="single" w:sz="4" w:space="0" w:color="000000"/>
              <w:right w:val="single" w:sz="4" w:space="0" w:color="000000"/>
            </w:tcBorders>
            <w:shd w:val="clear" w:color="auto" w:fill="D4D4D4"/>
          </w:tcPr>
          <w:p>
            <w:pPr/>
          </w:p>
        </w:tc>
        <w:tc>
          <w:tcPr>
            <w:tcW w:w="120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2"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8" w:type="dxa"/>
            <w:vMerge/>
            <w:tcBorders>
              <w:left w:val="single" w:sz="4" w:space="0" w:color="000000"/>
              <w:bottom w:val="single" w:sz="4" w:space="0" w:color="000000"/>
              <w:right w:val="single" w:sz="4" w:space="0" w:color="000000"/>
            </w:tcBorders>
            <w:shd w:val="clear" w:color="auto" w:fill="D4D4D4"/>
          </w:tcPr>
          <w:p>
            <w:pPr/>
          </w:p>
        </w:tc>
        <w:tc>
          <w:tcPr>
            <w:tcW w:w="1212" w:type="dxa"/>
            <w:vMerge/>
            <w:tcBorders>
              <w:left w:val="single" w:sz="4" w:space="0" w:color="000000"/>
              <w:bottom w:val="single" w:sz="4" w:space="0" w:color="000000"/>
              <w:right w:val="single" w:sz="4" w:space="0" w:color="000000"/>
            </w:tcBorders>
            <w:shd w:val="clear" w:color="auto" w:fill="D4D4D4"/>
          </w:tcPr>
          <w:p>
            <w:pPr/>
          </w:p>
        </w:tc>
        <w:tc>
          <w:tcPr>
            <w:tcW w:w="1075"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3" w:type="dxa"/>
            <w:gridSpan w:val="7"/>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961"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12" w:right="9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92"/>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121,378.09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121,378.09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2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121,378.09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121,378.09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2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121,378.09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0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592,039,110.00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1" w:right="0"/>
              <w:jc w:val="left"/>
              <w:rPr>
                <w:rFonts w:ascii="Times New Roman" w:hAnsi="Times New Roman" w:cs="Times New Roman" w:eastAsia="Times New Roman" w:hint="default"/>
                <w:sz w:val="18"/>
                <w:szCs w:val="18"/>
              </w:rPr>
            </w:pPr>
            <w:r>
              <w:rPr>
                <w:rFonts w:ascii="Times New Roman"/>
                <w:sz w:val="18"/>
              </w:rPr>
              <w:t>592,039,110.00%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027"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大拿科 技有限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计算机 软、硬 件及通 讯产品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余承 富、深 圳市冉 腾科技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9"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57.83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2015-04</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w:t>
            </w:r>
          </w:p>
        </w:tc>
      </w:tr>
    </w:tbl>
    <w:p>
      <w:pPr>
        <w:spacing w:after="0" w:line="230" w:lineRule="exact"/>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79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7"/>
              <w:jc w:val="both"/>
              <w:rPr>
                <w:rFonts w:ascii="宋体" w:hAnsi="宋体" w:cs="宋体" w:eastAsia="宋体" w:hint="default"/>
                <w:sz w:val="18"/>
                <w:szCs w:val="18"/>
              </w:rPr>
            </w:pPr>
            <w:r>
              <w:rPr>
                <w:rFonts w:ascii="宋体" w:hAnsi="宋体" w:cs="宋体" w:eastAsia="宋体" w:hint="default"/>
                <w:sz w:val="18"/>
                <w:szCs w:val="18"/>
              </w:rPr>
              <w:t>的技术 开发， 国内贸 易；经 营进出 口业务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有限公 司、深 圳市轩 迪投资 企业</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深圳市 慧富投 资企业</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7"/>
              <w:jc w:val="both"/>
              <w:rPr>
                <w:rFonts w:ascii="宋体" w:hAnsi="宋体" w:cs="宋体" w:eastAsia="宋体" w:hint="default"/>
                <w:sz w:val="18"/>
                <w:szCs w:val="18"/>
              </w:rPr>
            </w:pPr>
            <w:r>
              <w:rPr>
                <w:rFonts w:ascii="宋体" w:hAnsi="宋体" w:cs="宋体" w:eastAsia="宋体" w:hint="default"/>
                <w:sz w:val="18"/>
                <w:szCs w:val="18"/>
              </w:rPr>
              <w:t>市新国 都技术 股份有 限公司 对外投 资公告</w:t>
            </w:r>
          </w:p>
        </w:tc>
      </w:tr>
      <w:tr>
        <w:trPr>
          <w:trHeight w:val="445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08"/>
              <w:jc w:val="both"/>
              <w:rPr>
                <w:rFonts w:ascii="宋体" w:hAnsi="宋体" w:cs="宋体" w:eastAsia="宋体" w:hint="default"/>
                <w:sz w:val="18"/>
                <w:szCs w:val="18"/>
              </w:rPr>
            </w:pPr>
            <w:r>
              <w:rPr>
                <w:rFonts w:ascii="宋体" w:hAnsi="宋体" w:cs="宋体" w:eastAsia="宋体" w:hint="default"/>
                <w:sz w:val="18"/>
                <w:szCs w:val="18"/>
              </w:rPr>
              <w:t>浙江中 正智能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both"/>
              <w:rPr>
                <w:rFonts w:ascii="宋体" w:hAnsi="宋体" w:cs="宋体" w:eastAsia="宋体" w:hint="default"/>
                <w:sz w:val="18"/>
                <w:szCs w:val="18"/>
              </w:rPr>
            </w:pPr>
            <w:r>
              <w:rPr>
                <w:rFonts w:ascii="宋体" w:hAnsi="宋体" w:cs="宋体" w:eastAsia="宋体" w:hint="default"/>
                <w:sz w:val="18"/>
                <w:szCs w:val="18"/>
              </w:rPr>
              <w:t>电子产 品、指 纹认证 系统、 网络安 全认证 系统、 计算机 加密技 术、信 息设备 安全认 证系统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6,476,3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08.86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7"/>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2015-04</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w:t>
            </w:r>
          </w:p>
          <w:p>
            <w:pPr>
              <w:pStyle w:val="TableParagraph"/>
              <w:spacing w:line="316"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签署投 资意向 书的公 告</w:t>
            </w:r>
          </w:p>
        </w:tc>
      </w:tr>
      <w:tr>
        <w:trPr>
          <w:trHeight w:val="50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62" w:lineRule="auto"/>
              <w:ind w:left="24" w:right="100"/>
              <w:jc w:val="left"/>
              <w:rPr>
                <w:rFonts w:ascii="Times New Roman" w:hAnsi="Times New Roman" w:cs="Times New Roman" w:eastAsia="Times New Roman" w:hint="default"/>
                <w:sz w:val="18"/>
                <w:szCs w:val="18"/>
              </w:rPr>
            </w:pPr>
            <w:r>
              <w:rPr>
                <w:rFonts w:ascii="Times New Roman"/>
                <w:sz w:val="18"/>
              </w:rPr>
              <w:t>ExaDig m,Inc.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金融</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设</w:t>
            </w:r>
          </w:p>
          <w:p>
            <w:pPr>
              <w:pStyle w:val="TableParagraph"/>
              <w:spacing w:line="316" w:lineRule="auto" w:before="63"/>
              <w:ind w:left="26" w:right="107"/>
              <w:jc w:val="left"/>
              <w:rPr>
                <w:rFonts w:ascii="宋体" w:hAnsi="宋体" w:cs="宋体" w:eastAsia="宋体" w:hint="default"/>
                <w:sz w:val="18"/>
                <w:szCs w:val="18"/>
              </w:rPr>
            </w:pPr>
            <w:r>
              <w:rPr>
                <w:rFonts w:ascii="宋体" w:hAnsi="宋体" w:cs="宋体" w:eastAsia="宋体" w:hint="default"/>
                <w:sz w:val="18"/>
                <w:szCs w:val="18"/>
              </w:rPr>
              <w:t>备的销 售、研 发和技 术服 务，并 向客户 提供涵 盖电子 支付通 信服务 和增值 服务的 整体解 决方案</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30,039,1</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-1,249,1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21.39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6"/>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2015-08</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第三</w:t>
            </w:r>
          </w:p>
          <w:p>
            <w:pPr>
              <w:pStyle w:val="TableParagraph"/>
              <w:spacing w:line="316" w:lineRule="auto" w:before="63"/>
              <w:ind w:left="26" w:right="107"/>
              <w:jc w:val="both"/>
              <w:rPr>
                <w:rFonts w:ascii="宋体" w:hAnsi="宋体" w:cs="宋体" w:eastAsia="宋体" w:hint="default"/>
                <w:sz w:val="18"/>
                <w:szCs w:val="18"/>
              </w:rPr>
            </w:pPr>
            <w:r>
              <w:rPr>
                <w:rFonts w:ascii="宋体" w:hAnsi="宋体" w:cs="宋体" w:eastAsia="宋体" w:hint="default"/>
                <w:sz w:val="18"/>
                <w:szCs w:val="18"/>
              </w:rPr>
              <w:t>届董事 会第十 四次会 议决议 公告</w:t>
            </w:r>
          </w:p>
        </w:tc>
      </w:tr>
      <w:tr>
        <w:trPr>
          <w:trHeight w:val="40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征集、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60,000,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5" w:right="0"/>
              <w:jc w:val="left"/>
              <w:rPr>
                <w:rFonts w:ascii="Times New Roman" w:hAnsi="Times New Roman" w:cs="Times New Roman" w:eastAsia="Times New Roman" w:hint="default"/>
                <w:sz w:val="18"/>
                <w:szCs w:val="18"/>
              </w:rPr>
            </w:pPr>
            <w:r>
              <w:rPr>
                <w:rFonts w:ascii="Times New Roman"/>
                <w:sz w:val="18"/>
              </w:rPr>
              <w:t>100.00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-379,54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90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信联征 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7"/>
              <w:jc w:val="left"/>
              <w:rPr>
                <w:rFonts w:ascii="宋体" w:hAnsi="宋体" w:cs="宋体" w:eastAsia="宋体" w:hint="default"/>
                <w:sz w:val="18"/>
                <w:szCs w:val="18"/>
              </w:rPr>
            </w:pPr>
            <w:r>
              <w:rPr>
                <w:rFonts w:ascii="宋体" w:hAnsi="宋体" w:cs="宋体" w:eastAsia="宋体" w:hint="default"/>
                <w:sz w:val="18"/>
                <w:szCs w:val="18"/>
              </w:rPr>
              <w:t>利用企 业信用 信息， 开展企 业信用 评估、 咨询； 计算机 软件开 发、销 售、网 络技术 开发、 咨询； 系统运 行维 护；数 据处理 的技术 咨询、 技术服 务；企 业营销 策划、 企业管 理咨 询、市 场信息 咨询</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5" w:right="0"/>
              <w:jc w:val="left"/>
              <w:rPr>
                <w:rFonts w:ascii="Times New Roman" w:hAnsi="Times New Roman" w:cs="Times New Roman" w:eastAsia="Times New Roman" w:hint="default"/>
                <w:sz w:val="18"/>
                <w:szCs w:val="18"/>
              </w:rPr>
            </w:pPr>
            <w:r>
              <w:rPr>
                <w:rFonts w:ascii="Times New Roman"/>
                <w:sz w:val="18"/>
              </w:rPr>
              <w:t>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118"/>
              <w:ind w:left="26" w:right="0"/>
              <w:jc w:val="left"/>
              <w:rPr>
                <w:rFonts w:ascii="Times New Roman" w:hAnsi="Times New Roman" w:cs="Times New Roman" w:eastAsia="Times New Roman" w:hint="default"/>
                <w:sz w:val="18"/>
                <w:szCs w:val="18"/>
              </w:rPr>
            </w:pPr>
            <w:r>
              <w:rPr>
                <w:rFonts w:ascii="Times New Roman"/>
                <w:sz w:val="18"/>
              </w:rPr>
              <w:t>2015-01</w:t>
            </w:r>
          </w:p>
          <w:p>
            <w:pPr>
              <w:pStyle w:val="TableParagraph"/>
              <w:spacing w:line="312" w:lineRule="exact" w:before="23"/>
              <w:ind w:left="26" w:right="4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 市新国 都技术 股份有 限公司 关于投 资设立 全资子 公司的 公告； </w:t>
            </w:r>
            <w:r>
              <w:rPr>
                <w:rFonts w:ascii="Times New Roman" w:hAnsi="Times New Roman" w:cs="Times New Roman" w:eastAsia="Times New Roman" w:hint="default"/>
                <w:sz w:val="18"/>
                <w:szCs w:val="18"/>
              </w:rPr>
              <w:t>2015-05</w:t>
            </w:r>
          </w:p>
          <w:p>
            <w:pPr>
              <w:pStyle w:val="TableParagraph"/>
              <w:spacing w:line="316" w:lineRule="auto" w:before="39"/>
              <w:ind w:left="26"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 市新国 都技术 股份有 限公司 关于全 资子公 司完成 工商注 册登记 的公 告。</w:t>
            </w:r>
          </w:p>
        </w:tc>
      </w:tr>
      <w:tr>
        <w:trPr>
          <w:trHeight w:val="47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08"/>
              <w:jc w:val="both"/>
              <w:rPr>
                <w:rFonts w:ascii="宋体" w:hAnsi="宋体" w:cs="宋体" w:eastAsia="宋体" w:hint="default"/>
                <w:sz w:val="18"/>
                <w:szCs w:val="18"/>
              </w:rPr>
            </w:pPr>
            <w:r>
              <w:rPr>
                <w:rFonts w:ascii="宋体" w:hAnsi="宋体" w:cs="宋体" w:eastAsia="宋体" w:hint="default"/>
                <w:sz w:val="18"/>
                <w:szCs w:val="18"/>
              </w:rPr>
              <w:t>深圳市 新国都 支付技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
              <w:jc w:val="left"/>
              <w:rPr>
                <w:rFonts w:ascii="宋体" w:hAnsi="宋体" w:cs="宋体" w:eastAsia="宋体" w:hint="default"/>
                <w:sz w:val="18"/>
                <w:szCs w:val="18"/>
              </w:rPr>
            </w:pPr>
            <w:r>
              <w:rPr>
                <w:rFonts w:ascii="宋体" w:hAnsi="宋体" w:cs="宋体" w:eastAsia="宋体" w:hint="default"/>
                <w:sz w:val="18"/>
                <w:szCs w:val="18"/>
              </w:rPr>
              <w:t>经营进 出口业 </w:t>
            </w:r>
            <w:r>
              <w:rPr>
                <w:rFonts w:ascii="宋体" w:hAnsi="宋体" w:cs="宋体" w:eastAsia="宋体" w:hint="default"/>
                <w:spacing w:val="-13"/>
                <w:sz w:val="18"/>
                <w:szCs w:val="18"/>
              </w:rPr>
              <w:t>务；</w:t>
            </w:r>
            <w:r>
              <w:rPr>
                <w:rFonts w:ascii="Times New Roman" w:hAnsi="Times New Roman" w:cs="Times New Roman" w:eastAsia="Times New Roman" w:hint="default"/>
                <w:spacing w:val="-13"/>
                <w:sz w:val="18"/>
                <w:szCs w:val="18"/>
              </w:rPr>
              <w:t>POS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终端、 固定无 线电话 机、电 子支付 设备、 计算机 软硬 件、电 子产品 的技术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-1,836,0</w:t>
            </w:r>
          </w:p>
          <w:p>
            <w:pPr>
              <w:pStyle w:val="TableParagraph"/>
              <w:spacing w:line="240" w:lineRule="auto" w:before="102"/>
              <w:ind w:left="225" w:right="0"/>
              <w:jc w:val="center"/>
              <w:rPr>
                <w:rFonts w:ascii="Times New Roman" w:hAnsi="Times New Roman" w:cs="Times New Roman" w:eastAsia="Times New Roman" w:hint="default"/>
                <w:sz w:val="18"/>
                <w:szCs w:val="18"/>
              </w:rPr>
            </w:pPr>
            <w:r>
              <w:rPr>
                <w:rFonts w:ascii="Times New Roman"/>
                <w:sz w:val="18"/>
              </w:rPr>
              <w:t>72.83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2014-11</w:t>
            </w:r>
            <w:r>
              <w:rPr>
                <w:rFonts w:ascii="Times New Roman" w:hAnsi="Times New Roman" w:cs="Times New Roman" w:eastAsia="Times New Roman" w:hint="default"/>
                <w:sz w:val="18"/>
                <w:szCs w:val="18"/>
              </w:rPr>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w:t>
            </w:r>
          </w:p>
          <w:p>
            <w:pPr>
              <w:pStyle w:val="TableParagraph"/>
              <w:spacing w:line="312" w:lineRule="exact" w:before="23"/>
              <w:ind w:left="26"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市新国 都技术 股份有 限公司 关于投 资设立 全资子 公司的 公告； </w:t>
            </w:r>
            <w:r>
              <w:rPr>
                <w:rFonts w:ascii="Times New Roman" w:hAnsi="Times New Roman" w:cs="Times New Roman" w:eastAsia="Times New Roman" w:hint="default"/>
                <w:sz w:val="18"/>
                <w:szCs w:val="18"/>
              </w:rPr>
              <w:t>2015-02</w:t>
            </w:r>
          </w:p>
          <w:p>
            <w:pPr>
              <w:pStyle w:val="TableParagraph"/>
              <w:spacing w:line="240" w:lineRule="auto" w:before="3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w:t>
            </w:r>
          </w:p>
        </w:tc>
      </w:tr>
    </w:tbl>
    <w:p>
      <w:pPr>
        <w:spacing w:after="0" w:line="240"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482"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7"/>
              <w:jc w:val="righ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7"/>
              <w:jc w:val="left"/>
              <w:rPr>
                <w:rFonts w:ascii="宋体" w:hAnsi="宋体" w:cs="宋体" w:eastAsia="宋体" w:hint="default"/>
                <w:sz w:val="18"/>
                <w:szCs w:val="18"/>
              </w:rPr>
            </w:pPr>
            <w:r>
              <w:rPr>
                <w:rFonts w:ascii="宋体" w:hAnsi="宋体" w:cs="宋体" w:eastAsia="宋体" w:hint="default"/>
                <w:sz w:val="18"/>
                <w:szCs w:val="18"/>
              </w:rPr>
              <w:t>市新国 都技术 股份有 限公司 关于全 资子公 司完成 工商注 册登记 的公 告。</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592,039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,110.00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261,114.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注：上表浙江中正预计收益</w:t>
      </w:r>
      <w:r>
        <w:rPr>
          <w:spacing w:val="-71"/>
        </w:rPr>
        <w:t> </w:t>
      </w:r>
      <w:r>
        <w:rPr>
          <w:rFonts w:ascii="Times New Roman" w:hAnsi="Times New Roman" w:cs="Times New Roman" w:eastAsia="Times New Roman" w:hint="default"/>
        </w:rPr>
        <w:t>18,000,000</w:t>
      </w:r>
      <w:r>
        <w:rPr>
          <w:rFonts w:ascii="Times New Roman" w:hAnsi="Times New Roman" w:cs="Times New Roman" w:eastAsia="Times New Roman" w:hint="default"/>
          <w:spacing w:val="-26"/>
        </w:rPr>
        <w:t> </w:t>
      </w:r>
      <w:r>
        <w:rPr/>
        <w:t>元为公司与原浙江中正及其全体股东签署的《股权转让协议》中浙江中正业绩承诺数</w:t>
      </w:r>
    </w:p>
    <w:p>
      <w:pPr>
        <w:pStyle w:val="BodyText"/>
        <w:spacing w:line="240" w:lineRule="auto" w:before="62"/>
        <w:ind w:right="0"/>
        <w:jc w:val="left"/>
      </w:pPr>
      <w:r>
        <w:rPr/>
        <w:t>据，</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年度浙江中正实际实现净利润为</w:t>
      </w:r>
      <w:r>
        <w:rPr>
          <w:spacing w:val="-48"/>
        </w:rPr>
        <w:t> </w:t>
      </w:r>
      <w:r>
        <w:rPr>
          <w:rFonts w:ascii="Times New Roman" w:hAnsi="Times New Roman" w:cs="Times New Roman" w:eastAsia="Times New Roman" w:hint="default"/>
        </w:rPr>
        <w:t>20,570,003.70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合并报表后贡献给公司净利润为</w:t>
      </w:r>
      <w:r>
        <w:rPr>
          <w:spacing w:val="-48"/>
        </w:rPr>
        <w:t> </w:t>
      </w:r>
      <w:r>
        <w:rPr>
          <w:rFonts w:ascii="Times New Roman" w:hAnsi="Times New Roman" w:cs="Times New Roman" w:eastAsia="Times New Roman" w:hint="default"/>
        </w:rPr>
        <w:t>6,476,308.86</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7"/>
        <w:gridCol w:w="895"/>
        <w:gridCol w:w="1090"/>
        <w:gridCol w:w="1178"/>
        <w:gridCol w:w="1193"/>
        <w:gridCol w:w="958"/>
        <w:gridCol w:w="955"/>
        <w:gridCol w:w="955"/>
        <w:gridCol w:w="958"/>
      </w:tblGrid>
      <w:tr>
        <w:trPr>
          <w:trHeight w:val="1025"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121,378.09</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121,378.09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121,378.09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121,378.09</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62"/>
        <w:gridCol w:w="878"/>
        <w:gridCol w:w="869"/>
        <w:gridCol w:w="871"/>
        <w:gridCol w:w="869"/>
        <w:gridCol w:w="869"/>
        <w:gridCol w:w="871"/>
        <w:gridCol w:w="869"/>
        <w:gridCol w:w="871"/>
        <w:gridCol w:w="869"/>
      </w:tblGrid>
      <w:tr>
        <w:trPr>
          <w:trHeight w:val="1337" w:hRule="exact"/>
        </w:trPr>
        <w:tc>
          <w:tcPr>
            <w:tcW w:w="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02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公开发行 普通股票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64,633.49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9,697.9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61,409.16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8,977.8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存放在公 司的募集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99" w:right="0"/>
              <w:jc w:val="center"/>
              <w:rPr>
                <w:rFonts w:ascii="Times New Roman" w:hAnsi="Times New Roman" w:cs="Times New Roman" w:eastAsia="Times New Roman" w:hint="default"/>
                <w:sz w:val="18"/>
                <w:szCs w:val="18"/>
              </w:rPr>
            </w:pPr>
            <w:r>
              <w:rPr>
                <w:rFonts w:ascii="Times New Roman"/>
                <w:sz w:val="18"/>
              </w:rPr>
              <w:t>64,633.49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9,697.9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61,409.16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8,977.8</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年度公司募集资金总额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64,633.49 </w:t>
            </w:r>
            <w:r>
              <w:rPr>
                <w:rFonts w:ascii="宋体" w:hAnsi="宋体" w:cs="宋体" w:eastAsia="宋体" w:hint="default"/>
                <w:spacing w:val="-3"/>
                <w:sz w:val="18"/>
                <w:szCs w:val="18"/>
              </w:rPr>
              <w:t>万元，其中超募资金金额为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41,016.49 </w:t>
            </w:r>
            <w:r>
              <w:rPr>
                <w:rFonts w:ascii="宋体" w:hAnsi="宋体" w:cs="宋体" w:eastAsia="宋体" w:hint="default"/>
                <w:spacing w:val="-6"/>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日，公司已累计</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61,409.16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万元，其中运营销售服务网络建设项目实施完毕，电子支付终端设备运营项目已使用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pacing w:val="-8"/>
                <w:sz w:val="18"/>
                <w:szCs w:val="18"/>
              </w:rPr>
              <w:t>元，公司于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于</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日召开第三届董事会第七次会议审议通过《关于终止部分募投项目并将剩余募集资金永久补充 </w:t>
            </w:r>
            <w:r>
              <w:rPr>
                <w:rFonts w:ascii="宋体" w:hAnsi="宋体" w:cs="宋体" w:eastAsia="宋体" w:hint="default"/>
                <w:spacing w:val="-4"/>
                <w:sz w:val="18"/>
                <w:szCs w:val="18"/>
              </w:rPr>
              <w:t>流动资金的议案》，同意终止募投项目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电子支付终端设备运营项目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的实施，并将该项目剩余资金（含利息收入）（资金转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出当日银行结息余额为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万元（含利息））永久补充流动资金。具体情况请参考下表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项目可行性发生重大变化的情</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15,435.82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37,010.86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2"/>
        <w:gridCol w:w="716"/>
        <w:gridCol w:w="717"/>
        <w:gridCol w:w="702"/>
        <w:gridCol w:w="734"/>
        <w:gridCol w:w="718"/>
        <w:gridCol w:w="718"/>
        <w:gridCol w:w="719"/>
        <w:gridCol w:w="718"/>
        <w:gridCol w:w="710"/>
      </w:tblGrid>
      <w:tr>
        <w:trPr>
          <w:trHeight w:val="1651"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运营销售服务网络 建设项目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2,690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2,690</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2"/>
              <w:jc w:val="center"/>
              <w:rPr>
                <w:rFonts w:ascii="Times New Roman" w:hAnsi="Times New Roman" w:cs="Times New Roman" w:eastAsia="Times New Roman" w:hint="default"/>
                <w:sz w:val="18"/>
                <w:szCs w:val="18"/>
              </w:rPr>
            </w:pPr>
            <w:r>
              <w:rPr>
                <w:rFonts w:ascii="Times New Roman"/>
                <w:sz w:val="18"/>
              </w:rPr>
              <w:t>1,967.88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73.16%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 运营项目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5,621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5,621</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2"/>
              <w:jc w:val="center"/>
              <w:rPr>
                <w:rFonts w:ascii="Times New Roman" w:hAnsi="Times New Roman" w:cs="Times New Roman" w:eastAsia="Times New Roman" w:hint="default"/>
                <w:sz w:val="18"/>
                <w:szCs w:val="18"/>
              </w:rPr>
            </w:pPr>
            <w:r>
              <w:rPr>
                <w:rFonts w:ascii="Times New Roman"/>
                <w:sz w:val="18"/>
              </w:rPr>
              <w:t>3,041.83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54.12%</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204.99</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865.50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电子支付技术产研 基地建设项目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15,306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386.57</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15,435.8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100.85%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项目节余资金永久 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3,123.16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2"/>
              <w:jc w:val="center"/>
              <w:rPr>
                <w:rFonts w:ascii="Times New Roman" w:hAnsi="Times New Roman" w:cs="Times New Roman" w:eastAsia="Times New Roman" w:hint="default"/>
                <w:sz w:val="18"/>
                <w:szCs w:val="18"/>
              </w:rPr>
            </w:pPr>
            <w:r>
              <w:rPr>
                <w:rFonts w:ascii="Times New Roman"/>
                <w:sz w:val="18"/>
              </w:rPr>
              <w:t>3,952.77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23,617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23,617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3,509.73</w:t>
            </w:r>
          </w:p>
        </w:tc>
        <w:tc>
          <w:tcPr>
            <w:tcW w:w="702"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left="59" w:right="-8"/>
              <w:jc w:val="center"/>
              <w:rPr>
                <w:rFonts w:ascii="Times New Roman" w:hAnsi="Times New Roman" w:cs="Times New Roman" w:eastAsia="Times New Roman" w:hint="default"/>
                <w:sz w:val="18"/>
                <w:szCs w:val="18"/>
              </w:rPr>
            </w:pPr>
            <w:r>
              <w:rPr>
                <w:rFonts w:ascii="Times New Roman"/>
                <w:sz w:val="18"/>
              </w:rPr>
              <w:t>24,398.3</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204.99</w:t>
            </w:r>
            <w:r>
              <w:rPr>
                <w:rFonts w:ascii="Times New Roman"/>
                <w:sz w:val="18"/>
              </w:rPr>
            </w:r>
          </w:p>
        </w:tc>
        <w:tc>
          <w:tcPr>
            <w:tcW w:w="719"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865.50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电子支付技术苏州 </w:t>
            </w:r>
            <w:r>
              <w:rPr>
                <w:rFonts w:ascii="宋体" w:hAnsi="宋体" w:cs="宋体" w:eastAsia="宋体" w:hint="default"/>
                <w:spacing w:val="-3"/>
                <w:sz w:val="18"/>
                <w:szCs w:val="18"/>
              </w:rPr>
              <w:t>研发基地项目（简称</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苏州项目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6,188.17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18,610.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72.46%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收购瑞柏泰公司</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2,000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393.65</w:t>
            </w:r>
            <w:r>
              <w:rPr>
                <w:rFonts w:ascii="Times New Roman"/>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873.73</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00002pt;margin-top:71.998985pt;width:478.8pt;height:695.8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726"/>
                    <w:gridCol w:w="731"/>
                    <w:gridCol w:w="715"/>
                    <w:gridCol w:w="718"/>
                    <w:gridCol w:w="667"/>
                    <w:gridCol w:w="768"/>
                    <w:gridCol w:w="718"/>
                    <w:gridCol w:w="718"/>
                    <w:gridCol w:w="720"/>
                    <w:gridCol w:w="718"/>
                    <w:gridCol w:w="713"/>
                  </w:tblGrid>
                  <w:tr>
                    <w:trPr>
                      <w:trHeight w:val="161" w:hRule="exact"/>
                    </w:trPr>
                    <w:tc>
                      <w:tcPr>
                        <w:tcW w:w="165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6" w:type="dxa"/>
                        <w:tcBorders>
                          <w:top w:val="single" w:sz="4" w:space="0" w:color="000000"/>
                          <w:left w:val="single" w:sz="4" w:space="0" w:color="000000"/>
                          <w:bottom w:val="nil" w:sz="6" w:space="0" w:color="auto"/>
                          <w:right w:val="single" w:sz="4" w:space="0" w:color="000000"/>
                        </w:tcBorders>
                        <w:shd w:val="clear" w:color="auto" w:fill="D4D4D4"/>
                      </w:tcPr>
                      <w:p>
                        <w:pPr/>
                      </w:p>
                    </w:tc>
                    <w:tc>
                      <w:tcPr>
                        <w:tcW w:w="731"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16,400</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16,400</w:t>
                        </w:r>
                      </w:p>
                    </w:tc>
                    <w:tc>
                      <w:tcPr>
                        <w:tcW w:w="71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16,400</w:t>
                        </w:r>
                      </w:p>
                    </w:tc>
                    <w:tc>
                      <w:tcPr>
                        <w:tcW w:w="768"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51" w:type="dxa"/>
                        <w:vMerge/>
                        <w:tcBorders>
                          <w:left w:val="single" w:sz="4" w:space="0" w:color="000000"/>
                          <w:right w:val="single" w:sz="4" w:space="0" w:color="000000"/>
                        </w:tcBorders>
                        <w:shd w:val="clear" w:color="auto" w:fill="D4D4D4"/>
                      </w:tcPr>
                      <w:p>
                        <w:pPr/>
                      </w:p>
                    </w:tc>
                    <w:tc>
                      <w:tcPr>
                        <w:tcW w:w="7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4D4D4"/>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68"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vMerge/>
                        <w:tcBorders>
                          <w:left w:val="single" w:sz="4" w:space="0" w:color="000000"/>
                          <w:bottom w:val="single" w:sz="4" w:space="0" w:color="000000"/>
                          <w:right w:val="single" w:sz="4" w:space="0" w:color="000000"/>
                        </w:tcBorders>
                        <w:shd w:val="clear" w:color="auto" w:fill="D4D4D4"/>
                      </w:tcPr>
                      <w:p>
                        <w:pPr/>
                      </w:p>
                    </w:tc>
                    <w:tc>
                      <w:tcPr>
                        <w:tcW w:w="726" w:type="dxa"/>
                        <w:tcBorders>
                          <w:top w:val="nil" w:sz="6" w:space="0" w:color="auto"/>
                          <w:left w:val="single" w:sz="4" w:space="0" w:color="000000"/>
                          <w:bottom w:val="single" w:sz="4" w:space="0" w:color="000000"/>
                          <w:right w:val="single" w:sz="4" w:space="0" w:color="000000"/>
                        </w:tcBorders>
                        <w:shd w:val="clear" w:color="auto" w:fill="D4D4D4"/>
                      </w:tcPr>
                      <w:p>
                        <w:pPr/>
                      </w:p>
                    </w:tc>
                    <w:tc>
                      <w:tcPr>
                        <w:tcW w:w="731" w:type="dxa"/>
                        <w:vMerge/>
                        <w:tcBorders>
                          <w:left w:val="single" w:sz="9" w:space="0" w:color="D4D4D4"/>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3"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26" w:type="dxa"/>
                        <w:tcBorders>
                          <w:top w:val="single" w:sz="4" w:space="0" w:color="000000"/>
                          <w:left w:val="single" w:sz="4" w:space="0" w:color="000000"/>
                          <w:bottom w:val="nil" w:sz="6" w:space="0" w:color="auto"/>
                          <w:right w:val="single" w:sz="4" w:space="0" w:color="000000"/>
                        </w:tcBorders>
                        <w:shd w:val="clear" w:color="auto" w:fill="D4D4D4"/>
                      </w:tcPr>
                      <w:p>
                        <w:pPr/>
                      </w:p>
                    </w:tc>
                    <w:tc>
                      <w:tcPr>
                        <w:tcW w:w="731" w:type="dxa"/>
                        <w:vMerge w:val="restart"/>
                        <w:tcBorders>
                          <w:top w:val="single" w:sz="4" w:space="0" w:color="000000"/>
                          <w:left w:val="single" w:sz="9" w:space="0" w:color="D4D4D4"/>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44,084.6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44,084.6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6,188.17</w:t>
                        </w:r>
                      </w:p>
                    </w:tc>
                    <w:tc>
                      <w:tcPr>
                        <w:tcW w:w="667" w:type="dxa"/>
                        <w:vMerge w:val="restart"/>
                        <w:tcBorders>
                          <w:top w:val="single" w:sz="4" w:space="0" w:color="000000"/>
                          <w:left w:val="single" w:sz="4" w:space="0" w:color="000000"/>
                          <w:right w:val="single" w:sz="10" w:space="0" w:color="D4D4D4"/>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37,010.</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86</w:t>
                        </w:r>
                      </w:p>
                    </w:tc>
                    <w:tc>
                      <w:tcPr>
                        <w:tcW w:w="76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393.65</w:t>
                        </w:r>
                      </w:p>
                    </w:tc>
                    <w:tc>
                      <w:tcPr>
                        <w:tcW w:w="720" w:type="dxa"/>
                        <w:vMerge w:val="restart"/>
                        <w:tcBorders>
                          <w:top w:val="single" w:sz="4" w:space="0" w:color="000000"/>
                          <w:left w:val="single" w:sz="4" w:space="0" w:color="000000"/>
                          <w:right w:val="single" w:sz="10" w:space="0" w:color="D4D4D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873.73</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4D4D4"/>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4D4D4"/>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20"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26" w:type="dxa"/>
                        <w:tcBorders>
                          <w:top w:val="nil" w:sz="6" w:space="0" w:color="auto"/>
                          <w:left w:val="single" w:sz="4" w:space="0" w:color="000000"/>
                          <w:bottom w:val="single" w:sz="4" w:space="0" w:color="000000"/>
                          <w:right w:val="single" w:sz="4" w:space="0" w:color="000000"/>
                        </w:tcBorders>
                        <w:shd w:val="clear" w:color="auto" w:fill="D4D4D4"/>
                      </w:tcPr>
                      <w:p>
                        <w:pPr/>
                      </w:p>
                    </w:tc>
                    <w:tc>
                      <w:tcPr>
                        <w:tcW w:w="731" w:type="dxa"/>
                        <w:vMerge/>
                        <w:tcBorders>
                          <w:left w:val="single" w:sz="9" w:space="0" w:color="D4D4D4"/>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4D4D4"/>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26" w:type="dxa"/>
                        <w:tcBorders>
                          <w:top w:val="single" w:sz="4" w:space="0" w:color="000000"/>
                          <w:left w:val="single" w:sz="4" w:space="0" w:color="000000"/>
                          <w:bottom w:val="nil" w:sz="6" w:space="0" w:color="auto"/>
                          <w:right w:val="single" w:sz="4" w:space="0" w:color="000000"/>
                        </w:tcBorders>
                        <w:shd w:val="clear" w:color="auto" w:fill="D4D4D4"/>
                      </w:tcPr>
                      <w:p>
                        <w:pPr/>
                      </w:p>
                    </w:tc>
                    <w:tc>
                      <w:tcPr>
                        <w:tcW w:w="731" w:type="dxa"/>
                        <w:vMerge w:val="restart"/>
                        <w:tcBorders>
                          <w:top w:val="single" w:sz="4" w:space="0" w:color="000000"/>
                          <w:left w:val="single" w:sz="9" w:space="0" w:color="D4D4D4"/>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9,697.9</w:t>
                        </w:r>
                      </w:p>
                    </w:tc>
                    <w:tc>
                      <w:tcPr>
                        <w:tcW w:w="667" w:type="dxa"/>
                        <w:vMerge w:val="restart"/>
                        <w:tcBorders>
                          <w:top w:val="single" w:sz="4" w:space="0" w:color="000000"/>
                          <w:left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61,409.</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16</w:t>
                        </w:r>
                      </w:p>
                    </w:tc>
                    <w:tc>
                      <w:tcPr>
                        <w:tcW w:w="76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598.59</w:t>
                        </w:r>
                      </w:p>
                    </w:tc>
                    <w:tc>
                      <w:tcPr>
                        <w:tcW w:w="720"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1,739.23</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4D4D4"/>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4D4D4"/>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20"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26" w:type="dxa"/>
                        <w:tcBorders>
                          <w:top w:val="nil" w:sz="6" w:space="0" w:color="auto"/>
                          <w:left w:val="single" w:sz="4" w:space="0" w:color="000000"/>
                          <w:bottom w:val="single" w:sz="4" w:space="0" w:color="000000"/>
                          <w:right w:val="single" w:sz="4" w:space="0" w:color="000000"/>
                        </w:tcBorders>
                        <w:shd w:val="clear" w:color="auto" w:fill="D4D4D4"/>
                      </w:tcPr>
                      <w:p>
                        <w:pPr/>
                      </w:p>
                    </w:tc>
                    <w:tc>
                      <w:tcPr>
                        <w:tcW w:w="731" w:type="dxa"/>
                        <w:vMerge/>
                        <w:tcBorders>
                          <w:left w:val="single" w:sz="9" w:space="0" w:color="D4D4D4"/>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4D4D4"/>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834"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51"/>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的实施进度未能达到计划进度和预计收益，具体原因为：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07" w:lineRule="auto" w:before="60"/>
                          <w:ind w:left="16" w:right="17"/>
                          <w:jc w:val="both"/>
                          <w:rPr>
                            <w:rFonts w:ascii="宋体" w:hAnsi="宋体" w:cs="宋体" w:eastAsia="宋体" w:hint="default"/>
                            <w:sz w:val="18"/>
                            <w:szCs w:val="18"/>
                          </w:rPr>
                        </w:pP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号文件《非金融机构支付服务管理办法》（以下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简称</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号令</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），根据该办法规定，国内非金融机构从事网上支付、预付卡的发行与受理、银行卡收单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服务等业务的，必须通过中国人民银行审批，并获得相关业务许可证书。电子支付终端设备运营项目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的运营内容主要为与广州羊城通有限公司合作开展基于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羊城通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公交卡的小额支付合作运营业务，以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及为商业银行、第三方提供设备租赁服务。由于受到</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号令实施和审批进度的影响，以及广州羊城通 </w:t>
                        </w:r>
                        <w:r>
                          <w:rPr>
                            <w:rFonts w:ascii="宋体" w:hAnsi="宋体" w:cs="宋体" w:eastAsia="宋体" w:hint="default"/>
                            <w:spacing w:val="-2"/>
                            <w:sz w:val="18"/>
                            <w:szCs w:val="18"/>
                          </w:rPr>
                          <w:t>有限公司在申领预付卡发行与受理牌照的进度限制，本项目的实施进度缓慢，项目一直未能达到预计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收益。截止至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日，广州羊城通有限公司仍未能取得预付卡发行与受理牌照，对公司电</w:t>
                        </w:r>
                      </w:p>
                      <w:p>
                        <w:pPr>
                          <w:pStyle w:val="TableParagraph"/>
                          <w:spacing w:line="307" w:lineRule="auto" w:before="7"/>
                          <w:ind w:left="16" w:right="19"/>
                          <w:jc w:val="both"/>
                          <w:rPr>
                            <w:rFonts w:ascii="宋体" w:hAnsi="宋体" w:cs="宋体" w:eastAsia="宋体" w:hint="default"/>
                            <w:sz w:val="18"/>
                            <w:szCs w:val="18"/>
                          </w:rPr>
                        </w:pPr>
                        <w:r>
                          <w:rPr>
                            <w:rFonts w:ascii="宋体" w:hAnsi="宋体" w:cs="宋体" w:eastAsia="宋体" w:hint="default"/>
                            <w:spacing w:val="-3"/>
                            <w:sz w:val="18"/>
                            <w:szCs w:val="18"/>
                          </w:rPr>
                          <w:t>子支付终端设备运营项目直接产生影响。鉴于上述情况，公司于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日日召开第三届董事 </w:t>
                        </w:r>
                        <w:r>
                          <w:rPr>
                            <w:rFonts w:ascii="宋体" w:hAnsi="宋体" w:cs="宋体" w:eastAsia="宋体" w:hint="default"/>
                            <w:spacing w:val="-3"/>
                            <w:sz w:val="18"/>
                            <w:szCs w:val="18"/>
                          </w:rPr>
                          <w:t>会第七次会议，审议通过《关于终止部分募投项目并将剩余募集资金永久补充流动资金的议案》，同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意终止募投项目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电子支付终端设备运营项目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的实施，并将该项目剩余资金（含利息收入）（资金转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出当日银行结息余额为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万元（含利息））永久补充流动资金。</w:t>
                        </w:r>
                      </w:p>
                      <w:p>
                        <w:pPr>
                          <w:pStyle w:val="TableParagraph"/>
                          <w:spacing w:line="300" w:lineRule="auto" w:before="48"/>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（原募集资金承诺投资项目，实施地点：南京）的实施进度未 能达到计划进度和预计收益，具体原因为：政府原本规定的项目土地建设规划要点由</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，建筑密度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，建筑密 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，建设规划要点的变更导致南京项目土地的原定建设方案</w:t>
                        </w:r>
                        <w:r>
                          <w:rPr>
                            <w:rFonts w:ascii="宋体" w:hAnsi="宋体" w:cs="宋体" w:eastAsia="宋体" w:hint="default"/>
                            <w:w w:val="99"/>
                            <w:sz w:val="18"/>
                            <w:szCs w:val="18"/>
                          </w:rPr>
                          <w:t> </w:t>
                        </w:r>
                        <w:r>
                          <w:rPr>
                            <w:rFonts w:ascii="宋体" w:hAnsi="宋体" w:cs="宋体" w:eastAsia="宋体" w:hint="default"/>
                            <w:sz w:val="18"/>
                            <w:szCs w:val="18"/>
                          </w:rPr>
                          <w:t>无法正常实施，且根据新的建设规划要点，项目地块已经无法满足公司使用需求。该项目于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312" w:lineRule="auto" w:before="13"/>
                          <w:ind w:left="16"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年度股东大会审议通过，公司已将该项目建设内容和投资资金分别迁移至深圳、 </w:t>
                        </w:r>
                        <w:r>
                          <w:rPr>
                            <w:rFonts w:ascii="宋体" w:hAnsi="宋体" w:cs="宋体" w:eastAsia="宋体" w:hint="default"/>
                            <w:spacing w:val="-2"/>
                            <w:sz w:val="18"/>
                            <w:szCs w:val="18"/>
                          </w:rPr>
                          <w:t>苏州两地实施，其中在深圳，由公司通过租赁厂房的方式实施电子支付设备生产中心；在苏州，由公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司的控股子公司苏州新国都电子技术有限公司实施电子支付技术研发中心建设项目。变更后项目实施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情况详见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募集资金投资项目实施地点变更情况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15"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vMerge/>
                        <w:tcBorders>
                          <w:left w:val="single" w:sz="10" w:space="0" w:color="D4D4D4"/>
                          <w:right w:val="single" w:sz="4" w:space="0" w:color="000000"/>
                        </w:tcBorders>
                      </w:tcPr>
                      <w:p>
                        <w:pPr/>
                      </w:p>
                    </w:tc>
                  </w:tr>
                  <w:tr>
                    <w:trPr>
                      <w:trHeight w:val="2834"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r>
                    <w:trPr>
                      <w:trHeight w:val="2189"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309" w:lineRule="auto" w:before="49"/>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、用超募资金增资深圳市易联技术有限公司（以下简称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易联技术</w:t>
                        </w:r>
                        <w:r>
                          <w:rPr>
                            <w:rFonts w:ascii="Times New Roman" w:hAnsi="Times New Roman" w:cs="Times New Roman" w:eastAsia="Times New Roman" w:hint="default"/>
                            <w:sz w:val="18"/>
                            <w:szCs w:val="18"/>
                          </w:rPr>
                          <w:t>”</w:t>
                        </w:r>
                        <w:r>
                          <w:rPr>
                            <w:rFonts w:ascii="宋体" w:hAnsi="宋体" w:cs="宋体" w:eastAsia="宋体" w:hint="default"/>
                            <w:sz w:val="18"/>
                            <w:szCs w:val="18"/>
                          </w:rPr>
                          <w:t>）开展</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目可行性发生重大变化，具体情况为：随着</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号令的推行，国内第三方支付市场发生重大变化，且市 </w:t>
                        </w:r>
                        <w:r>
                          <w:rPr>
                            <w:rFonts w:ascii="宋体" w:hAnsi="宋体" w:cs="宋体" w:eastAsia="宋体" w:hint="default"/>
                            <w:spacing w:val="-2"/>
                            <w:sz w:val="18"/>
                            <w:szCs w:val="18"/>
                          </w:rPr>
                          <w:t>场竞争不断加剧。易联技术开展电子支付服务项目，主要是为了推进小额支付运营业务的进展，计划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申领预付卡发行和受理业务。由于公司的小额支付运营业务受到阻碍，导致本项目无法实际开展，造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成项目可行性发生重大变化。</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年第一次临时股东大会审议通过了《审议</w:t>
                        </w:r>
                      </w:p>
                      <w:p>
                        <w:pPr>
                          <w:pStyle w:val="TableParagraph"/>
                          <w:spacing w:line="300" w:lineRule="auto" w:before="5"/>
                          <w:ind w:left="16" w:right="19"/>
                          <w:jc w:val="left"/>
                          <w:rPr>
                            <w:rFonts w:ascii="宋体" w:hAnsi="宋体" w:cs="宋体" w:eastAsia="宋体" w:hint="default"/>
                            <w:sz w:val="18"/>
                            <w:szCs w:val="18"/>
                          </w:rPr>
                        </w:pPr>
                        <w:r>
                          <w:rPr>
                            <w:rFonts w:ascii="宋体" w:hAnsi="宋体" w:cs="宋体" w:eastAsia="宋体" w:hint="default"/>
                            <w:sz w:val="18"/>
                            <w:szCs w:val="18"/>
                          </w:rPr>
                          <w:t>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并退回其他与主营业务相关的营运资金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亿元的议 </w:t>
                        </w:r>
                        <w:r>
                          <w:rPr>
                            <w:rFonts w:ascii="宋体" w:hAnsi="宋体" w:cs="宋体" w:eastAsia="宋体" w:hint="default"/>
                            <w:spacing w:val="-4"/>
                            <w:sz w:val="18"/>
                            <w:szCs w:val="18"/>
                          </w:rPr>
                          <w:t>案》，终止该项目的实施，以提高超募资金的使用效率。</w:t>
                        </w:r>
                      </w:p>
                      <w:p>
                        <w:pPr>
                          <w:pStyle w:val="TableParagraph"/>
                          <w:spacing w:line="309" w:lineRule="auto" w:before="72"/>
                          <w:ind w:left="16"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 </w:t>
                        </w:r>
                        <w:r>
                          <w:rPr>
                            <w:rFonts w:ascii="宋体" w:hAnsi="宋体" w:cs="宋体" w:eastAsia="宋体" w:hint="default"/>
                            <w:spacing w:val="-5"/>
                            <w:sz w:val="18"/>
                            <w:szCs w:val="18"/>
                          </w:rPr>
                          <w:t>件《非金融机构支付服务管理办法》（以下简称</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号令</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），根据该办法规定，国内非金融机构从事网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上支付、预付卡的发行与受理、银行卡收单服务等业务的，必须通过中国人民银行审批，并获得相关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业务许可证书。电子支付终端设备运营项目的运营内容主要为与广州羊城通有限公司合作开展基于 </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公交卡的小额支付合作运营业务，以及为商业银行、第三方提供设备租赁服务。由于受到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2"/>
                            <w:sz w:val="18"/>
                            <w:szCs w:val="18"/>
                          </w:rPr>
                          <w:t>号令实施和审批进度的影响，以及广州羊城通有限公司在申领预付卡发行与受理牌照的进度限制，本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项目的实施进度缓慢，项目一直未能达到预计收益。截止至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日，广州羊城通有限公司</w:t>
                        </w:r>
                        <w:r>
                          <w:rPr>
                            <w:rFonts w:ascii="宋体" w:hAnsi="宋体" w:cs="宋体" w:eastAsia="宋体" w:hint="default"/>
                            <w:sz w:val="18"/>
                            <w:szCs w:val="18"/>
                          </w:rPr>
                          <w:t> </w:t>
                        </w:r>
                        <w:r>
                          <w:rPr>
                            <w:rFonts w:ascii="宋体" w:hAnsi="宋体" w:cs="宋体" w:eastAsia="宋体" w:hint="default"/>
                            <w:spacing w:val="-4"/>
                            <w:sz w:val="18"/>
                            <w:szCs w:val="18"/>
                          </w:rPr>
                          <w:t>仍未能取得预付卡发行与受理牌照，对公司电子支付终端设备运营项目直接产生影响。鉴于上述情况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日召开第三届董事会第七次会议，审议通过《关于终止部分募投项目并将剩余</w:t>
                        </w:r>
                      </w:p>
                    </w:tc>
                  </w:tr>
                  <w:tr>
                    <w:trPr>
                      <w:trHeight w:val="703"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vMerge/>
                        <w:tcBorders>
                          <w:left w:val="single" w:sz="10" w:space="0" w:color="D4D4D4"/>
                          <w:right w:val="single" w:sz="4" w:space="0" w:color="000000"/>
                        </w:tcBorders>
                      </w:tcPr>
                      <w:p>
                        <w:pPr/>
                      </w:p>
                    </w:tc>
                  </w:tr>
                  <w:tr>
                    <w:trPr>
                      <w:trHeight w:val="2189"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165"/>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8985pt;width:478.75pt;height:688.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0"/>
                  </w:tblGrid>
                  <w:tr>
                    <w:trPr>
                      <w:trHeight w:val="986"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pacing w:val="-3"/>
                            <w:sz w:val="18"/>
                            <w:szCs w:val="18"/>
                          </w:rPr>
                          <w:t>募集资金永久补充流动资金的议案》，同意终止募投项目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电子支付终端设备运营项目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的实施，并将</w:t>
                        </w:r>
                        <w:r>
                          <w:rPr>
                            <w:rFonts w:ascii="宋体" w:hAnsi="宋体" w:cs="宋体" w:eastAsia="宋体" w:hint="default"/>
                            <w:spacing w:val="-47"/>
                            <w:sz w:val="18"/>
                            <w:szCs w:val="18"/>
                          </w:rPr>
                          <w:t> </w:t>
                        </w:r>
                        <w:r>
                          <w:rPr>
                            <w:rFonts w:ascii="宋体" w:hAnsi="宋体" w:cs="宋体" w:eastAsia="宋体" w:hint="default"/>
                            <w:spacing w:val="-5"/>
                            <w:sz w:val="18"/>
                            <w:szCs w:val="18"/>
                          </w:rPr>
                          <w:t>该项目剩余资金（含利息收入）（资金转出当日银行结息余额为</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万元（含利息））永久补充流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动资金。</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755"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 </w:t>
                        </w:r>
                        <w:r>
                          <w:rPr>
                            <w:rFonts w:ascii="宋体" w:hAnsi="宋体" w:cs="宋体" w:eastAsia="宋体" w:hint="default"/>
                            <w:sz w:val="18"/>
                            <w:szCs w:val="18"/>
                          </w:rPr>
                          <w:t>年第一次临时股东大会会议于</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日召开，审议通过了《关于审议使用部分其他</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与主营业务相关的营运资金对全资子公司深圳市新国都软件技术有限公司增资的议案》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z w:val="18"/>
                            <w:szCs w:val="18"/>
                          </w:rPr>
                        </w:r>
                      </w:p>
                      <w:p>
                        <w:pPr>
                          <w:pStyle w:val="TableParagraph"/>
                          <w:spacing w:line="240" w:lineRule="auto" w:before="62"/>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增资新国都软件公司</w:t>
                        </w:r>
                        <w:r>
                          <w:rPr>
                            <w:rFonts w:ascii="宋体" w:hAnsi="宋体" w:cs="宋体" w:eastAsia="宋体" w:hint="default"/>
                            <w:spacing w:val="-173"/>
                            <w:sz w:val="18"/>
                            <w:szCs w:val="18"/>
                          </w:rPr>
                          <w:t>。</w:t>
                        </w:r>
                        <w:r>
                          <w:rPr>
                            <w:rFonts w:ascii="宋体" w:hAnsi="宋体" w:cs="宋体" w:eastAsia="宋体" w:hint="default"/>
                            <w:sz w:val="18"/>
                            <w:szCs w:val="18"/>
                          </w:rPr>
                          <w:t>（注</w:t>
                        </w:r>
                        <w:r>
                          <w:rPr>
                            <w:rFonts w:ascii="宋体" w:hAnsi="宋体" w:cs="宋体" w:eastAsia="宋体" w:hint="default"/>
                            <w:spacing w:val="-82"/>
                            <w:sz w:val="18"/>
                            <w:szCs w:val="18"/>
                          </w:rPr>
                          <w:t>：</w:t>
                        </w:r>
                        <w:r>
                          <w:rPr>
                            <w:rFonts w:ascii="宋体" w:hAnsi="宋体" w:cs="宋体" w:eastAsia="宋体" w:hint="default"/>
                            <w:sz w:val="18"/>
                            <w:szCs w:val="18"/>
                          </w:rPr>
                          <w:t>现</w:t>
                        </w:r>
                        <w:r>
                          <w:rPr>
                            <w:rFonts w:ascii="宋体" w:hAnsi="宋体" w:cs="宋体" w:eastAsia="宋体" w:hint="default"/>
                            <w:spacing w:val="2"/>
                            <w:sz w:val="18"/>
                            <w:szCs w:val="18"/>
                          </w:rPr>
                          <w:t>已</w:t>
                        </w:r>
                        <w:r>
                          <w:rPr>
                            <w:rFonts w:ascii="宋体" w:hAnsi="宋体" w:cs="宋体" w:eastAsia="宋体" w:hint="default"/>
                            <w:sz w:val="18"/>
                            <w:szCs w:val="18"/>
                          </w:rPr>
                          <w:t>更名为深圳市易联技术有限公司</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z w:val="18"/>
                            <w:szCs w:val="18"/>
                          </w:rPr>
                          <w:t>支付服务项目</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并退回其他与主营业务相关的营运资金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r>
                          <w:rPr>
                            <w:rFonts w:ascii="宋体" w:hAnsi="宋体" w:cs="宋体" w:eastAsia="宋体" w:hint="default"/>
                            <w:spacing w:val="-3"/>
                            <w:sz w:val="18"/>
                            <w:szCs w:val="18"/>
                          </w:rPr>
                          <w:t>元</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，终止该项目的实施。</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日召开第二届董事会第二次会议，会议通过了《关于投资建设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w:t>
                        </w:r>
                      </w:p>
                      <w:p>
                        <w:pPr>
                          <w:pStyle w:val="TableParagraph"/>
                          <w:spacing w:line="300" w:lineRule="auto" w:before="62"/>
                          <w:ind w:left="23" w:right="14"/>
                          <w:jc w:val="left"/>
                          <w:rPr>
                            <w:rFonts w:ascii="宋体" w:hAnsi="宋体" w:cs="宋体" w:eastAsia="宋体" w:hint="default"/>
                            <w:sz w:val="18"/>
                            <w:szCs w:val="18"/>
                          </w:rPr>
                        </w:pPr>
                        <w:r>
                          <w:rPr>
                            <w:rFonts w:ascii="宋体" w:hAnsi="宋体" w:cs="宋体" w:eastAsia="宋体" w:hint="default"/>
                            <w:spacing w:val="-4"/>
                            <w:sz w:val="18"/>
                            <w:szCs w:val="18"/>
                          </w:rPr>
                          <w:t>技术苏州研发基地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的议案》，同意从其他与主营业务相关的营运资金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超募资金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中支出</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1.35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亿元人民</w:t>
                        </w:r>
                        <w:r>
                          <w:rPr>
                            <w:rFonts w:ascii="宋体" w:hAnsi="宋体" w:cs="宋体" w:eastAsia="宋体" w:hint="default"/>
                            <w:spacing w:val="-85"/>
                            <w:sz w:val="18"/>
                            <w:szCs w:val="18"/>
                          </w:rPr>
                          <w:t> </w:t>
                        </w:r>
                        <w:r>
                          <w:rPr>
                            <w:rFonts w:ascii="宋体" w:hAnsi="宋体" w:cs="宋体" w:eastAsia="宋体" w:hint="default"/>
                            <w:sz w:val="18"/>
                            <w:szCs w:val="18"/>
                          </w:rPr>
                          <w:t>币，以货币资金形式对苏州新国都投资。</w:t>
                        </w:r>
                      </w:p>
                      <w:p>
                        <w:pPr>
                          <w:pStyle w:val="TableParagraph"/>
                          <w:spacing w:line="240" w:lineRule="auto" w:before="70"/>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、本公司于</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日召开第二届董事会第三次会议，会议通过了《关于使用部分超幕资金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永久补充流动资金的议案</w:t>
                        </w:r>
                        <w:r>
                          <w:rPr>
                            <w:rFonts w:ascii="宋体" w:hAnsi="宋体" w:cs="宋体" w:eastAsia="宋体" w:hint="default"/>
                            <w:spacing w:val="-92"/>
                            <w:sz w:val="18"/>
                            <w:szCs w:val="18"/>
                          </w:rPr>
                          <w:t>》</w:t>
                        </w:r>
                        <w:r>
                          <w:rPr>
                            <w:rFonts w:ascii="宋体" w:hAnsi="宋体" w:cs="宋体" w:eastAsia="宋体" w:hint="default"/>
                            <w:spacing w:val="-75"/>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意公司使用部分超幕资金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7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公司从募集资金账户支取人民币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万元用于永久补充流动资金。</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年第一次临时股东大会，会议审议通过了《审议使用部分</w:t>
                        </w:r>
                      </w:p>
                      <w:p>
                        <w:pPr>
                          <w:pStyle w:val="TableParagraph"/>
                          <w:spacing w:line="240" w:lineRule="auto" w:before="62"/>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超募资金永久补充流动资金的议案</w:t>
                        </w:r>
                        <w:r>
                          <w:rPr>
                            <w:rFonts w:ascii="宋体" w:hAnsi="宋体" w:cs="宋体" w:eastAsia="宋体" w:hint="default"/>
                            <w:spacing w:val="-9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同意公司使用部分超幕资金</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w:t>
                        </w:r>
                        <w:r>
                          <w:rPr>
                            <w:rFonts w:ascii="宋体" w:hAnsi="宋体" w:cs="宋体" w:eastAsia="宋体" w:hint="default"/>
                            <w:spacing w:val="-3"/>
                            <w:sz w:val="18"/>
                            <w:szCs w:val="18"/>
                          </w:rPr>
                          <w:t>动</w:t>
                        </w:r>
                        <w:r>
                          <w:rPr>
                            <w:rFonts w:ascii="宋体" w:hAnsi="宋体" w:cs="宋体" w:eastAsia="宋体" w:hint="default"/>
                            <w:sz w:val="18"/>
                            <w:szCs w:val="18"/>
                          </w:rPr>
                          <w:t>资金</w:t>
                        </w:r>
                        <w:r>
                          <w:rPr>
                            <w:rFonts w:ascii="宋体" w:hAnsi="宋体" w:cs="宋体" w:eastAsia="宋体" w:hint="default"/>
                            <w:spacing w:val="-77"/>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月，公司从募集资金账户支取人民币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w:t>
                        </w:r>
                      </w:p>
                      <w:p>
                        <w:pPr>
                          <w:pStyle w:val="TableParagraph"/>
                          <w:spacing w:line="300" w:lineRule="auto" w:before="103"/>
                          <w:ind w:left="23"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日召开第二届董事会第十次会议，会议通过了《审议收购深圳市瑞柏泰 电子有限公司</w:t>
                        </w:r>
                        <w:r>
                          <w:rPr>
                            <w:rFonts w:ascii="宋体" w:hAnsi="宋体" w:cs="宋体" w:eastAsia="宋体" w:hint="default"/>
                            <w:spacing w:val="15"/>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股权的议案》，同意公司使用超募资金人民币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万元向蔡敏女士购买其所持瑞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柏泰公司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日，公司从募集资金账户转出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p>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日召开第二届董事会第三次会议，会议通过了《关于使用部分超幕资金</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意公司使用部分超幕资金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3"/>
                            <w:sz w:val="18"/>
                            <w:szCs w:val="18"/>
                          </w:rPr>
                          <w:t>会</w:t>
                        </w:r>
                        <w:r>
                          <w:rPr>
                            <w:rFonts w:ascii="宋体" w:hAnsi="宋体" w:cs="宋体" w:eastAsia="宋体" w:hint="default"/>
                            <w:sz w:val="18"/>
                            <w:szCs w:val="18"/>
                          </w:rPr>
                          <w:t>议还通过</w:t>
                        </w:r>
                      </w:p>
                      <w:p>
                        <w:pPr>
                          <w:pStyle w:val="TableParagraph"/>
                          <w:spacing w:line="300" w:lineRule="auto" w:before="62"/>
                          <w:ind w:left="24" w:right="19"/>
                          <w:jc w:val="left"/>
                          <w:rPr>
                            <w:rFonts w:ascii="宋体" w:hAnsi="宋体" w:cs="宋体" w:eastAsia="宋体" w:hint="default"/>
                            <w:sz w:val="18"/>
                            <w:szCs w:val="18"/>
                          </w:rPr>
                        </w:pPr>
                        <w:r>
                          <w:rPr>
                            <w:rFonts w:ascii="宋体" w:hAnsi="宋体" w:cs="宋体" w:eastAsia="宋体" w:hint="default"/>
                            <w:sz w:val="18"/>
                            <w:szCs w:val="18"/>
                          </w:rPr>
                          <w:t>了《审议增加投资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的议案》同意公司使用人民币</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电 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增加投资，其中 </w:t>
                        </w:r>
                        <w:r>
                          <w:rPr>
                            <w:rFonts w:ascii="Times New Roman" w:hAnsi="Times New Roman" w:cs="Times New Roman" w:eastAsia="Times New Roman" w:hint="default"/>
                            <w:sz w:val="18"/>
                            <w:szCs w:val="18"/>
                          </w:rPr>
                          <w:t>12,184.61 </w:t>
                        </w:r>
                        <w:r>
                          <w:rPr>
                            <w:rFonts w:ascii="宋体" w:hAnsi="宋体" w:cs="宋体" w:eastAsia="宋体" w:hint="default"/>
                            <w:sz w:val="18"/>
                            <w:szCs w:val="18"/>
                          </w:rPr>
                          <w:t>万元由上市超募资金解决，</w:t>
                        </w:r>
                        <w:r>
                          <w:rPr>
                            <w:rFonts w:ascii="Times New Roman" w:hAnsi="Times New Roman" w:cs="Times New Roman" w:eastAsia="Times New Roman" w:hint="default"/>
                            <w:sz w:val="18"/>
                            <w:szCs w:val="18"/>
                          </w:rPr>
                          <w:t>815.39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万元由 企业自筹解决，全部投资将以增资形式投入苏州新国都。截止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日，该项目累计使用</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186,108,636.44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元，主要用于支付苏州工地工程款。</w:t>
                        </w:r>
                      </w:p>
                      <w:p>
                        <w:pPr>
                          <w:pStyle w:val="TableParagraph"/>
                          <w:spacing w:line="307" w:lineRule="auto" w:before="103"/>
                          <w:ind w:left="23" w:right="1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日，公司发布《关于注销部分募集资金专户的公告》（公告编号：</w:t>
                        </w:r>
                        <w:r>
                          <w:rPr>
                            <w:rFonts w:ascii="Times New Roman" w:hAnsi="Times New Roman" w:cs="Times New Roman" w:eastAsia="Times New Roman" w:hint="default"/>
                            <w:spacing w:val="-7"/>
                            <w:sz w:val="18"/>
                            <w:szCs w:val="18"/>
                          </w:rPr>
                          <w:t>2015-007</w:t>
                        </w:r>
                        <w:r>
                          <w:rPr>
                            <w:rFonts w:ascii="宋体" w:hAnsi="宋体" w:cs="宋体" w:eastAsia="宋体" w:hint="default"/>
                            <w:spacing w:val="-7"/>
                            <w:sz w:val="18"/>
                            <w:szCs w:val="18"/>
                          </w:rPr>
                          <w:t>），截止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至公告披露日期，超募资金专户</w:t>
                        </w:r>
                        <w:r>
                          <w:rPr>
                            <w:rFonts w:ascii="Times New Roman" w:hAnsi="Times New Roman" w:cs="Times New Roman" w:eastAsia="Times New Roman" w:hint="default"/>
                            <w:sz w:val="18"/>
                            <w:szCs w:val="18"/>
                          </w:rPr>
                          <w:t>—</w:t>
                        </w:r>
                        <w:r>
                          <w:rPr>
                            <w:rFonts w:ascii="宋体" w:hAnsi="宋体" w:cs="宋体" w:eastAsia="宋体" w:hint="default"/>
                            <w:sz w:val="18"/>
                            <w:szCs w:val="18"/>
                          </w:rPr>
                          <w:t>中信银行深圳市市民中心支行（账号：</w:t>
                        </w:r>
                        <w:r>
                          <w:rPr>
                            <w:rFonts w:ascii="Times New Roman" w:hAnsi="Times New Roman" w:cs="Times New Roman" w:eastAsia="Times New Roman" w:hint="default"/>
                            <w:sz w:val="18"/>
                            <w:szCs w:val="18"/>
                          </w:rPr>
                          <w:t>7442410182600061107</w:t>
                        </w:r>
                        <w:r>
                          <w:rPr>
                            <w:rFonts w:ascii="宋体" w:hAnsi="宋体" w:cs="宋体" w:eastAsia="宋体" w:hint="default"/>
                            <w:sz w:val="18"/>
                            <w:szCs w:val="18"/>
                          </w:rPr>
                          <w:t>）余 </w:t>
                        </w:r>
                        <w:r>
                          <w:rPr>
                            <w:rFonts w:ascii="宋体" w:hAnsi="宋体" w:cs="宋体" w:eastAsia="宋体" w:hint="default"/>
                            <w:spacing w:val="-6"/>
                            <w:sz w:val="18"/>
                            <w:szCs w:val="18"/>
                          </w:rPr>
                          <w:t>额为零，公司将其予以注销，注销后公司与相关银行及公司保荐机构中信证券股份有限公司签订的《募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集资金三方监管协议》终止。</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49"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年度股东大会，审议通过了《关于审议变更募投项目电子支付技 </w:t>
                        </w:r>
                        <w:r>
                          <w:rPr>
                            <w:rFonts w:ascii="宋体" w:hAnsi="宋体" w:cs="宋体" w:eastAsia="宋体" w:hint="default"/>
                            <w:spacing w:val="-4"/>
                            <w:sz w:val="18"/>
                            <w:szCs w:val="18"/>
                          </w:rPr>
                          <w:t>术产研基地建设项目实施地址及部分实施方式的议案》。同意将原位于南京的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电子支付技术产研基地</w:t>
                        </w:r>
                        <w:r>
                          <w:rPr>
                            <w:rFonts w:ascii="宋体" w:hAnsi="宋体" w:cs="宋体" w:eastAsia="宋体" w:hint="default"/>
                            <w:spacing w:val="-56"/>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中规划的研发中心、客服中心迁移到苏州实施，项目规划的生产中心迁移到深圳宝安区以租赁 房屋的方式实施。原投入南京的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 </w:t>
                        </w:r>
                        <w:r>
                          <w:rPr>
                            <w:rFonts w:ascii="Times New Roman" w:hAnsi="Times New Roman" w:cs="Times New Roman" w:eastAsia="Times New Roman" w:hint="default"/>
                            <w:sz w:val="18"/>
                            <w:szCs w:val="18"/>
                          </w:rPr>
                          <w:t>15,306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万元，扣除投入深圳生</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产中心的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万元，剩余的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万元全部投入苏州项目。</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年度股东大会，审议通过了《关于审议变更募投项目电子支付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left="0" w:right="165"/>
        <w:jc w:val="right"/>
      </w:pPr>
      <w:r>
        <w:rPr/>
        <w:pict>
          <v:shape style="position:absolute;margin-left:56.459999pt;margin-top:-45.489311pt;width:478.75pt;height:631.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0"/>
                  </w:tblGrid>
                  <w:tr>
                    <w:trPr>
                      <w:trHeight w:val="258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both"/>
                          <w:rPr>
                            <w:rFonts w:ascii="宋体" w:hAnsi="宋体" w:cs="宋体" w:eastAsia="宋体" w:hint="default"/>
                            <w:sz w:val="18"/>
                            <w:szCs w:val="18"/>
                          </w:rPr>
                        </w:pPr>
                        <w:r>
                          <w:rPr>
                            <w:rFonts w:ascii="宋体" w:hAnsi="宋体" w:cs="宋体" w:eastAsia="宋体" w:hint="default"/>
                            <w:spacing w:val="-4"/>
                            <w:sz w:val="18"/>
                            <w:szCs w:val="18"/>
                          </w:rPr>
                          <w:t>技术产研基地建设项目实施地址及部分实施方式的议案》。同意将原位于南京的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电子支付技术产研基</w:t>
                        </w:r>
                        <w:r>
                          <w:rPr>
                            <w:rFonts w:ascii="宋体" w:hAnsi="宋体" w:cs="宋体" w:eastAsia="宋体" w:hint="default"/>
                            <w:spacing w:val="-56"/>
                            <w:sz w:val="18"/>
                            <w:szCs w:val="18"/>
                          </w:rPr>
                          <w:t> </w:t>
                        </w:r>
                        <w:r>
                          <w:rPr>
                            <w:rFonts w:ascii="宋体" w:hAnsi="宋体" w:cs="宋体" w:eastAsia="宋体" w:hint="default"/>
                            <w:sz w:val="18"/>
                            <w:szCs w:val="18"/>
                          </w:rPr>
                          <w:t>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中规划的研发中心、客服中心迁移到苏州实施，项目规划的生产中心迁移到深圳宝安区以租 </w:t>
                        </w:r>
                        <w:r>
                          <w:rPr>
                            <w:rFonts w:ascii="宋体" w:hAnsi="宋体" w:cs="宋体" w:eastAsia="宋体" w:hint="default"/>
                            <w:spacing w:val="-3"/>
                            <w:sz w:val="18"/>
                            <w:szCs w:val="18"/>
                          </w:rPr>
                          <w:t>赁房屋的方式实施。由于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年募集资金投入南京新国都土地使用权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万元，本次变更募投</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pacing w:val="-3"/>
                            <w:sz w:val="18"/>
                            <w:szCs w:val="18"/>
                          </w:rPr>
                          <w:t>项目实施地点，本公司将投入南京新国都的土地使用权金额为 </w:t>
                        </w:r>
                        <w:r>
                          <w:rPr>
                            <w:rFonts w:ascii="Times New Roman" w:hAnsi="Times New Roman" w:cs="Times New Roman" w:eastAsia="Times New Roman" w:hint="default"/>
                            <w:sz w:val="18"/>
                            <w:szCs w:val="18"/>
                          </w:rPr>
                          <w:t>1,475.71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万元转为公司自筹资金投入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并用自有资金归还募集资金，公司于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日办理银行资金归还手续。</w:t>
                        </w:r>
                      </w:p>
                      <w:p>
                        <w:pPr>
                          <w:pStyle w:val="TableParagraph"/>
                          <w:spacing w:line="309" w:lineRule="auto" w:before="103"/>
                          <w:ind w:left="23" w:right="19"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日，第二届董事会第八次会议审议通过了《关于变更运营销售服务网络建设项目部 </w:t>
                        </w:r>
                        <w:r>
                          <w:rPr>
                            <w:rFonts w:ascii="宋体" w:hAnsi="宋体" w:cs="宋体" w:eastAsia="宋体" w:hint="default"/>
                            <w:spacing w:val="-3"/>
                            <w:sz w:val="18"/>
                            <w:szCs w:val="18"/>
                          </w:rPr>
                          <w:t>分实施方式的公告》，决定将项目中原计划在一类办事处北京、上海、广州、青岛购置办公用房作为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办工场所改为租赁实施（公告编号</w:t>
                        </w:r>
                        <w:r>
                          <w:rPr>
                            <w:rFonts w:ascii="宋体" w:hAnsi="宋体" w:cs="宋体" w:eastAsia="宋体" w:hint="default"/>
                            <w:spacing w:val="-40"/>
                            <w:sz w:val="18"/>
                            <w:szCs w:val="18"/>
                          </w:rPr>
                          <w:t> </w:t>
                        </w:r>
                        <w:r>
                          <w:rPr>
                            <w:rFonts w:ascii="Times New Roman" w:hAnsi="Times New Roman" w:cs="Times New Roman" w:eastAsia="Times New Roman" w:hint="default"/>
                            <w:spacing w:val="-21"/>
                            <w:sz w:val="18"/>
                            <w:szCs w:val="18"/>
                          </w:rPr>
                          <w:t>2012-28</w:t>
                        </w:r>
                        <w:r>
                          <w:rPr>
                            <w:rFonts w:ascii="宋体" w:hAnsi="宋体" w:cs="宋体" w:eastAsia="宋体" w:hint="default"/>
                            <w:spacing w:val="-21"/>
                            <w:sz w:val="18"/>
                            <w:szCs w:val="18"/>
                          </w:rPr>
                          <w:t>）。</w:t>
                        </w:r>
                        <w:r>
                          <w:rPr>
                            <w:rFonts w:ascii="宋体" w:hAnsi="宋体" w:cs="宋体" w:eastAsia="宋体" w:hint="default"/>
                            <w:sz w:val="18"/>
                            <w:szCs w:val="18"/>
                          </w:rPr>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电子支付技术产研基地建设项目，截止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日公司已利用自筹资金先行投入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业经立信大华会计师事务所有限公司出具的立信大华核字</w:t>
                        </w:r>
                        <w:r>
                          <w:rPr>
                            <w:rFonts w:ascii="Times New Roman" w:hAnsi="Times New Roman" w:cs="Times New Roman" w:eastAsia="Times New Roman" w:hint="default"/>
                            <w:sz w:val="18"/>
                            <w:szCs w:val="18"/>
                          </w:rPr>
                          <w:t>[2010]2404 </w:t>
                        </w:r>
                        <w:r>
                          <w:rPr>
                            <w:rFonts w:ascii="宋体" w:hAnsi="宋体" w:cs="宋体" w:eastAsia="宋体" w:hint="default"/>
                            <w:spacing w:val="-4"/>
                            <w:sz w:val="18"/>
                            <w:szCs w:val="18"/>
                          </w:rPr>
                          <w:t>号《首次公开发行股票募集资金</w:t>
                        </w:r>
                        <w:r>
                          <w:rPr>
                            <w:rFonts w:ascii="宋体" w:hAnsi="宋体" w:cs="宋体" w:eastAsia="宋体" w:hint="default"/>
                            <w:sz w:val="18"/>
                            <w:szCs w:val="18"/>
                          </w:rPr>
                          <w:t> 投资项目实际自筹资金使用情况专项审核报告》确认，经本公司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四次会议决议通过，使用募集资金置换公司预先投入募集资金项目建设的自筹资金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日办理了银行资金置换手续。</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812"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运营销售服务网络建设项目</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已完成项目建设，节余资金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829.6</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万（含利息）。项目原计划在一类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办事处北京、上海、青岛、广州购置办公用房作为办公场地使用，现由于实际经营需要，将原计划购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置房产的实施方式改为通过租赁房产来实施，因此节约了项目成本。</w:t>
                        </w:r>
                      </w:p>
                      <w:p>
                        <w:pPr>
                          <w:pStyle w:val="TableParagraph"/>
                          <w:spacing w:line="240" w:lineRule="auto" w:before="67"/>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该项目公司原计划投资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万元，原计划完成时间为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7" w:lineRule="auto" w:before="62"/>
                          <w:ind w:left="23" w:right="17" w:hanging="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日，由于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号文件《非金融机构支 </w:t>
                        </w:r>
                        <w:r>
                          <w:rPr>
                            <w:rFonts w:ascii="宋体" w:hAnsi="宋体" w:cs="宋体" w:eastAsia="宋体" w:hint="default"/>
                            <w:spacing w:val="-7"/>
                            <w:sz w:val="18"/>
                            <w:szCs w:val="18"/>
                          </w:rPr>
                          <w:t>付服务管理办法》（以下简称</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），根据该办法规定，国内非金融机构从事网上支付、预付卡的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发行与受理、银行卡收单服务等业务的，必须通过中国人民银行审批，并获得相关业务许可证书。电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子支付终端设备运营项目的运营内容主要为与广州羊城通有限公司合作开展基于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 小额支付合作运营业务，以及为商业银行、第三方提供设备租赁服务。由于受到 </w:t>
                        </w:r>
                        <w:r>
                          <w:rPr>
                            <w:rFonts w:ascii="Times New Roman" w:hAnsi="Times New Roman" w:cs="Times New Roman" w:eastAsia="Times New Roman" w:hint="default"/>
                            <w:sz w:val="18"/>
                            <w:szCs w:val="18"/>
                          </w:rPr>
                          <w:t>2 </w:t>
                        </w:r>
                        <w:r>
                          <w:rPr>
                            <w:rFonts w:ascii="宋体" w:hAnsi="宋体" w:cs="宋体" w:eastAsia="宋体" w:hint="default"/>
                            <w:sz w:val="18"/>
                            <w:szCs w:val="18"/>
                          </w:rPr>
                          <w:t>号令实施和审批 </w:t>
                        </w:r>
                        <w:r>
                          <w:rPr>
                            <w:rFonts w:ascii="宋体" w:hAnsi="宋体" w:cs="宋体" w:eastAsia="宋体" w:hint="default"/>
                            <w:spacing w:val="-2"/>
                            <w:sz w:val="18"/>
                            <w:szCs w:val="18"/>
                          </w:rPr>
                          <w:t>进度的影响，以及广州羊城通有限公司在申领预付卡发行与受理牌照的进度限制，本项目的实施进度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缓慢，项目一直未能达到预计收益。 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日，广州羊城通有限公司仍未能取得预</w:t>
                        </w:r>
                      </w:p>
                      <w:p>
                        <w:pPr>
                          <w:pStyle w:val="TableParagraph"/>
                          <w:spacing w:line="240" w:lineRule="auto" w:before="7"/>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付卡发行与受理牌照，对公司电子支付终端设备运营项目产生直接影响。鉴于上述情况，公司于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2015</w:t>
                        </w:r>
                      </w:p>
                      <w:p>
                        <w:pPr>
                          <w:pStyle w:val="TableParagraph"/>
                          <w:spacing w:line="300" w:lineRule="auto" w:before="62"/>
                          <w:ind w:left="23" w:right="-4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日召开第三届董事会第七次会议，审议通过了《关于终止部分募投项目并将剩余募集资金 </w:t>
                        </w:r>
                        <w:r>
                          <w:rPr>
                            <w:rFonts w:ascii="宋体" w:hAnsi="宋体" w:cs="宋体" w:eastAsia="宋体" w:hint="default"/>
                            <w:spacing w:val="-3"/>
                            <w:sz w:val="18"/>
                            <w:szCs w:val="18"/>
                          </w:rPr>
                          <w:t>永久补充流动资金的议案》，同意终止募投项目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电子支付终端设备运营项目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的实施，并将该项目剩</w:t>
                        </w:r>
                        <w:r>
                          <w:rPr>
                            <w:rFonts w:ascii="宋体" w:hAnsi="宋体" w:cs="宋体" w:eastAsia="宋体" w:hint="default"/>
                            <w:spacing w:val="-47"/>
                            <w:sz w:val="18"/>
                            <w:szCs w:val="18"/>
                          </w:rPr>
                          <w:t> </w:t>
                        </w:r>
                        <w:r>
                          <w:rPr>
                            <w:rFonts w:ascii="宋体" w:hAnsi="宋体" w:cs="宋体" w:eastAsia="宋体" w:hint="default"/>
                            <w:spacing w:val="-4"/>
                            <w:sz w:val="18"/>
                            <w:szCs w:val="18"/>
                          </w:rPr>
                          <w:t>余资金（含利息收入）（资金转出当日银行结息余额为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23"/>
                            <w:sz w:val="18"/>
                            <w:szCs w:val="18"/>
                          </w:rPr>
                          <w:t> </w:t>
                        </w:r>
                        <w:r>
                          <w:rPr>
                            <w:rFonts w:ascii="宋体" w:hAnsi="宋体" w:cs="宋体" w:eastAsia="宋体" w:hint="default"/>
                            <w:spacing w:val="-6"/>
                            <w:sz w:val="18"/>
                            <w:szCs w:val="18"/>
                          </w:rPr>
                          <w:t>万元（含利息））永久补充流动资金。</w:t>
                        </w: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电子支付技 术产研基地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电子支付技 术产研基地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386.57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15,435.82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增资易联技 术公司开展 电子支付服 务项目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15,435.82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37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日，经第二届董事会第五次会议、第二届监事会第四</w:t>
            </w:r>
          </w:p>
          <w:p>
            <w:pPr>
              <w:pStyle w:val="TableParagraph"/>
              <w:spacing w:line="309" w:lineRule="auto" w:before="60"/>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次会议审议通过，于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年度股东大会，审议通过了《关于 审议变更募投项目电子支付技术产研基地建设项目实施地址及部分实施方式的议 </w:t>
            </w:r>
            <w:r>
              <w:rPr>
                <w:rFonts w:ascii="宋体" w:hAnsi="宋体" w:cs="宋体" w:eastAsia="宋体" w:hint="default"/>
                <w:spacing w:val="-5"/>
                <w:sz w:val="18"/>
                <w:szCs w:val="18"/>
              </w:rPr>
              <w:t>案》，决定将原计划投入南京的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电子支付技术产研基地项目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中规划的研发中心、客服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中心迁移到苏州实施，项目规划的生产中心迁移到深圳宝安区实施。其中，公司目前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未在深圳获得自有土地使用权，项目规划的生产中心由自建变更为租赁房屋建设。同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意将原位于南京的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 </w:t>
            </w:r>
            <w:r>
              <w:rPr>
                <w:rFonts w:ascii="宋体" w:hAnsi="宋体" w:cs="宋体" w:eastAsia="宋体" w:hint="default"/>
                <w:spacing w:val="-1"/>
                <w:sz w:val="18"/>
                <w:szCs w:val="18"/>
              </w:rPr>
              <w:t>苏州实施，项目规划的生产中心迁移到深圳宝安区以租赁房屋的方式实施。原投入南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京的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电子支付技术产研基地项目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总投资</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15,306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万元，扣除投入深圳生产中心的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万元，剩余的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万元全部投入苏州项目。公司通过募集资金专户向原募投项目支</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付的人民币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万元（主要用于土地使用权出让金、土地交易税费、建筑方案设 </w:t>
            </w:r>
            <w:r>
              <w:rPr>
                <w:rFonts w:ascii="宋体" w:hAnsi="宋体" w:cs="宋体" w:eastAsia="宋体" w:hint="default"/>
                <w:spacing w:val="-5"/>
                <w:sz w:val="18"/>
                <w:szCs w:val="18"/>
              </w:rPr>
              <w:t>计费），已全部用公司自有资金予以置换。</w:t>
            </w:r>
          </w:p>
          <w:p>
            <w:pPr>
              <w:pStyle w:val="TableParagraph"/>
              <w:spacing w:line="304" w:lineRule="auto" w:before="72"/>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、增资易联技术开展电子支付服务项目，项目可行性发生重大变化，具体情况为： 随着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号令的推行，国内第三方支付市场发生重大变化，且市场竞争不断加剧。易联 </w:t>
            </w:r>
            <w:r>
              <w:rPr>
                <w:rFonts w:ascii="宋体" w:hAnsi="宋体" w:cs="宋体" w:eastAsia="宋体" w:hint="default"/>
                <w:spacing w:val="-1"/>
                <w:sz w:val="18"/>
                <w:szCs w:val="18"/>
              </w:rPr>
              <w:t>技术开展电子支付服务项目，主要是为了推进小额支付运营业务的进展，计划申领预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付卡发行和受理业务。由于公司的小额支付运营业务受到阻碍，导致本项目无法实际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开展，造成项目可行性发生重大变化。</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日，经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 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 与主营业务相关的营运资金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亿元的议案》，终止该项目的实施，以提高超募资金的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使用效率。</w:t>
            </w:r>
          </w:p>
        </w:tc>
      </w:tr>
      <w:tr>
        <w:trPr>
          <w:trHeight w:val="71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六、重大资产和股权出售" w:id="52"/>
      <w:bookmarkEnd w:id="52"/>
      <w:r>
        <w:rPr>
          <w:b w:val="0"/>
          <w:bCs w:val="0"/>
        </w:rPr>
      </w: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深圳市易联 技术有限公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电子支付技 术、软件技 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345,107,749.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322,545,296.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128,497,087.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26,158,560.9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46,568,260.2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南京市新国 都技术有限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软件技术开 发与销售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21,495,655.5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20,950,083.6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-3,551,757.8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-3,626,213.3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广州市新国 都信息科技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计算机软 件、智能设 备的研究、 开发、销售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3,000,000.00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236.43</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6,943.92</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苏州新国都 电子技术有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电子产品及 计算机产品 的开发、销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408,060,000.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424,413,059.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419,481,903.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23,439,871.1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20,760,933.3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24,793,671.0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浙江中正智 能科技有限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网络安全认 证、防伪、 加密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31,332,600.0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146,358,738.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126,908,825.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72,433,534.4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6,115,846.04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6,805,533.18</w:t>
            </w:r>
            <w:r>
              <w:rPr>
                <w:rFonts w:ascii="Times New Roman"/>
                <w:sz w:val="18"/>
              </w:rPr>
            </w:r>
          </w:p>
        </w:tc>
      </w:tr>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19"/>
              <w:jc w:val="both"/>
              <w:rPr>
                <w:rFonts w:ascii="宋体" w:hAnsi="宋体" w:cs="宋体" w:eastAsia="宋体" w:hint="default"/>
                <w:sz w:val="18"/>
                <w:szCs w:val="18"/>
              </w:rPr>
            </w:pPr>
            <w:r>
              <w:rPr>
                <w:rFonts w:ascii="宋体" w:hAnsi="宋体" w:cs="宋体" w:eastAsia="宋体" w:hint="default"/>
                <w:sz w:val="18"/>
                <w:szCs w:val="18"/>
              </w:rPr>
              <w:t>深圳市新国 都支付技术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 固定无线电 话机、电子 支付设备、 计算机软硬 件、电子产 品的技术开 发、生产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8,818,246.24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8,163,927.17</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-1,836,072.8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-1,836,072.8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222.839996pt;margin-top:88.079987pt;width:49.45pt;height:17.650pt;mso-position-horizontal-relative:page;mso-position-vertical-relative:page;z-index:-1074088" coordorigin="4457,1762" coordsize="989,353">
            <v:shape style="position:absolute;left:4457;top:1762;width:989;height:353" coordorigin="4457,1762" coordsize="989,353" path="m4457,2114l5446,2114,5446,1762,4457,1762,4457,211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深圳市信联 征信有限公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征信业务的 </w:t>
            </w:r>
            <w:r>
              <w:rPr>
                <w:rFonts w:ascii="宋体" w:hAnsi="宋体" w:cs="宋体" w:eastAsia="宋体" w:hint="default"/>
                <w:spacing w:val="-6"/>
                <w:sz w:val="18"/>
                <w:szCs w:val="18"/>
              </w:rPr>
              <w:t>开发、运营、</w:t>
            </w:r>
            <w:r>
              <w:rPr>
                <w:rFonts w:ascii="宋体" w:hAnsi="宋体" w:cs="宋体" w:eastAsia="宋体" w:hint="default"/>
                <w:spacing w:val="-36"/>
                <w:sz w:val="18"/>
                <w:szCs w:val="18"/>
              </w:rPr>
              <w:t> </w:t>
            </w:r>
            <w:r>
              <w:rPr>
                <w:rFonts w:ascii="宋体" w:hAnsi="宋体" w:cs="宋体" w:eastAsia="宋体" w:hint="default"/>
                <w:sz w:val="18"/>
                <w:szCs w:val="18"/>
              </w:rPr>
              <w:t>服务及相关</w:t>
            </w:r>
            <w:r>
              <w:rPr>
                <w:rFonts w:ascii="宋体" w:hAnsi="宋体" w:cs="宋体" w:eastAsia="宋体" w:hint="default"/>
                <w:sz w:val="18"/>
                <w:szCs w:val="18"/>
              </w:rPr>
              <w:t> 业务</w:t>
            </w:r>
          </w:p>
        </w:tc>
        <w:tc>
          <w:tcPr>
            <w:tcW w:w="104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59,704,885.9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59,620,458.0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481,131.86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-379,470.51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-379,542.00</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ExaDigm,Inc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 备的销售、 研发和技术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63,613.00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10,218,186.4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-4,118,607.5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6,085,853.72</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-1,249,217.8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-1,249,121.3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44"/>
        <w:ind w:left="0" w:right="159"/>
        <w:jc w:val="right"/>
      </w:pPr>
      <w:r>
        <w:rPr/>
        <w:pict>
          <v:shape style="position:absolute;margin-left:56.400002pt;margin-top:-428.76828pt;width:479.2pt;height:513.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27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本次注销全资子公司有利于公司优化资 源配置，降低管理成本，提高管理效率 和管控能力，公司合并财务报表的范围 将相应发生变化，但因注销广州子公司 未对公司整体业务发展和盈利水平产生 重大影响，不会对公司合并财务报表产 生实质性影响。</w:t>
                        </w:r>
                      </w:p>
                    </w:tc>
                  </w:tr>
                  <w:tr>
                    <w:trPr>
                      <w:trHeight w:val="133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本次设立全资子公司有利于拓宽营业收 入来源和增强持续经营能力，保证公司 持续稳定发展，不会对上市公司的经营 产生不利影响。</w:t>
                        </w:r>
                      </w:p>
                    </w:tc>
                  </w:tr>
                  <w:tr>
                    <w:trPr>
                      <w:trHeight w:val="196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公司本次设立全资子公司开展征信及相 关业务，可以充分利用公司在行业内累 积的经验及客户源，把握机遇，积极开 拓征信服务业务市场，开拓征信服务， 建立健全、客观的信用数据体系，进一 步完善公司战略布局。</w:t>
                        </w:r>
                      </w:p>
                    </w:tc>
                  </w:tr>
                  <w:tr>
                    <w:trPr>
                      <w:trHeight w:val="196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深圳市大拿科技有限公司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认购增发股权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本次投资参股深圳市大拿科技有限公司 有助于公司布局移动互联网前沿技术研 发领域</w:t>
                        </w:r>
                        <w:r>
                          <w:rPr>
                            <w:rFonts w:ascii="Times New Roman" w:hAnsi="Times New Roman" w:cs="Times New Roman" w:eastAsia="Times New Roman" w:hint="default"/>
                            <w:sz w:val="18"/>
                            <w:szCs w:val="18"/>
                          </w:rPr>
                          <w:t>,</w:t>
                        </w:r>
                        <w:r>
                          <w:rPr>
                            <w:rFonts w:ascii="宋体" w:hAnsi="宋体" w:cs="宋体" w:eastAsia="宋体" w:hint="default"/>
                            <w:sz w:val="18"/>
                            <w:szCs w:val="18"/>
                          </w:rPr>
                          <w:t>获得未来市场发展先机，有助于 进一步提升公司对外输出管理的能力， 有助于进一步提升公司的业务整合能 力。</w:t>
                        </w:r>
                      </w:p>
                    </w:tc>
                  </w:tr>
                  <w:tr>
                    <w:trPr>
                      <w:trHeight w:val="16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有助于完善公司生态产业链布局，增强 公司综合竞争力；有助于资源共享，实 现在市场、客户和产品方面的优势互补 新增公司利润增长点，提升公司综合盈 利能力。</w:t>
                        </w:r>
                      </w:p>
                    </w:tc>
                  </w:tr>
                  <w:tr>
                    <w:trPr>
                      <w:trHeight w:val="67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ExaDigm,Inc.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本次收购可有效提升把握国际市场机遇 的能力，与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ExaDigm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共同推动公司国际</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1610"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33"/>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市场业务的发展，整合公司与 </w:t>
            </w:r>
            <w:r>
              <w:rPr>
                <w:rFonts w:ascii="Times New Roman" w:hAnsi="Times New Roman" w:cs="Times New Roman" w:eastAsia="Times New Roman" w:hint="default"/>
                <w:sz w:val="18"/>
                <w:szCs w:val="18"/>
              </w:rPr>
              <w:t>ExaDigm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各自的现有资源，实现双方优 势互补，有利于加快公司海外市场业务 进展，实质性推进公司的海外金融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市场战略布局。</w:t>
            </w:r>
          </w:p>
        </w:tc>
      </w:tr>
    </w:tbl>
    <w:p>
      <w:pPr>
        <w:pStyle w:val="BodyText"/>
        <w:spacing w:line="240" w:lineRule="auto" w:before="49"/>
        <w:ind w:right="0"/>
        <w:jc w:val="left"/>
      </w:pPr>
      <w:r>
        <w:rPr/>
        <w:t>主要控股参股公司情况说明</w:t>
      </w:r>
    </w:p>
    <w:p>
      <w:pPr>
        <w:spacing w:line="240" w:lineRule="auto" w:before="11"/>
        <w:rPr>
          <w:rFonts w:ascii="宋体" w:hAnsi="宋体" w:cs="宋体" w:eastAsia="宋体" w:hint="default"/>
          <w:sz w:val="14"/>
          <w:szCs w:val="14"/>
        </w:rPr>
      </w:pPr>
    </w:p>
    <w:p>
      <w:pPr>
        <w:pStyle w:val="BodyText"/>
        <w:spacing w:line="451" w:lineRule="auto"/>
        <w:ind w:right="0"/>
        <w:jc w:val="left"/>
      </w:pPr>
      <w:r>
        <w:rPr/>
        <w:t>（</w:t>
      </w:r>
      <w:r>
        <w:rPr>
          <w:rFonts w:ascii="Times New Roman" w:hAnsi="Times New Roman" w:cs="Times New Roman" w:eastAsia="Times New Roman" w:hint="default"/>
        </w:rPr>
        <w:t>1</w:t>
      </w:r>
      <w:r>
        <w:rPr/>
        <w:t>）深圳市易联技术有限公司</w:t>
      </w:r>
      <w:r>
        <w:rPr>
          <w:spacing w:val="-18"/>
        </w:rPr>
        <w:t> </w:t>
      </w:r>
      <w:r>
        <w:rPr/>
        <w:t>（以下简称</w:t>
      </w:r>
      <w:r>
        <w:rPr>
          <w:rFonts w:ascii="Times New Roman" w:hAnsi="Times New Roman" w:cs="Times New Roman" w:eastAsia="Times New Roman" w:hint="default"/>
        </w:rPr>
        <w:t>“</w:t>
      </w:r>
      <w:r>
        <w:rPr/>
        <w:t>易联技术</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19</w:t>
      </w:r>
      <w:r>
        <w:rPr>
          <w:spacing w:val="-3"/>
        </w:rPr>
        <w:t>日，公司全资子公司</w:t>
      </w:r>
      <w:r>
        <w:rPr>
          <w:rFonts w:ascii="Times New Roman" w:hAnsi="Times New Roman" w:cs="Times New Roman" w:eastAsia="Times New Roman" w:hint="default"/>
          <w:spacing w:val="-3"/>
        </w:rPr>
        <w:t>“</w:t>
      </w:r>
      <w:r>
        <w:rPr>
          <w:spacing w:val="-3"/>
        </w:rPr>
        <w:t>深圳市新国都软件技术有限公司</w:t>
      </w:r>
      <w:r>
        <w:rPr>
          <w:rFonts w:ascii="Times New Roman" w:hAnsi="Times New Roman" w:cs="Times New Roman" w:eastAsia="Times New Roman" w:hint="default"/>
          <w:spacing w:val="-3"/>
        </w:rPr>
        <w:t>”</w:t>
      </w:r>
      <w:r>
        <w:rPr>
          <w:spacing w:val="-3"/>
        </w:rPr>
        <w:t>更名为</w:t>
      </w:r>
      <w:r>
        <w:rPr>
          <w:rFonts w:ascii="Times New Roman" w:hAnsi="Times New Roman" w:cs="Times New Roman" w:eastAsia="Times New Roman" w:hint="default"/>
          <w:spacing w:val="-3"/>
        </w:rPr>
        <w:t>“</w:t>
      </w:r>
      <w:r>
        <w:rPr>
          <w:spacing w:val="-3"/>
        </w:rPr>
        <w:t>深圳市易联技术有限公司</w:t>
      </w:r>
      <w:r>
        <w:rPr>
          <w:rFonts w:ascii="Times New Roman" w:hAnsi="Times New Roman" w:cs="Times New Roman" w:eastAsia="Times New Roman" w:hint="default"/>
          <w:spacing w:val="-3"/>
        </w:rPr>
        <w:t>”</w:t>
      </w:r>
      <w:r>
        <w:rPr>
          <w:spacing w:val="-3"/>
        </w:rPr>
        <w:t>，易联技术成立于</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日，现注册资本</w:t>
      </w:r>
      <w:r>
        <w:rPr>
          <w:rFonts w:ascii="Times New Roman" w:hAnsi="Times New Roman" w:cs="Times New Roman" w:eastAsia="Times New Roman" w:hint="default"/>
          <w:spacing w:val="-1"/>
        </w:rPr>
        <w:t>11,000</w:t>
      </w:r>
      <w:r>
        <w:rPr>
          <w:spacing w:val="-1"/>
        </w:rPr>
        <w:t>万元，经营范围是：软件技术开发和销售，软件技术咨询，计算机系统集成，目前主要为母</w:t>
      </w:r>
      <w:r>
        <w:rPr>
          <w:spacing w:val="-77"/>
        </w:rPr>
        <w:t> </w:t>
      </w:r>
      <w:r>
        <w:rPr>
          <w:spacing w:val="-77"/>
        </w:rPr>
      </w:r>
      <w:r>
        <w:rPr/>
        <w:t>公司提供产品软件和增值应用软件的支撑服务。</w:t>
      </w:r>
    </w:p>
    <w:p>
      <w:pPr>
        <w:pStyle w:val="BodyText"/>
        <w:spacing w:line="451" w:lineRule="auto" w:before="74"/>
        <w:ind w:right="0"/>
        <w:jc w:val="left"/>
      </w:pPr>
      <w:r>
        <w:rPr/>
        <w:t>（</w:t>
      </w:r>
      <w:r>
        <w:rPr>
          <w:rFonts w:ascii="Times New Roman" w:hAnsi="Times New Roman" w:cs="Times New Roman" w:eastAsia="Times New Roman" w:hint="default"/>
        </w:rPr>
        <w:t>2</w:t>
      </w:r>
      <w:r>
        <w:rPr/>
        <w:t>）南京市新国都技术有限公司（以下简称</w:t>
      </w:r>
      <w:r>
        <w:rPr>
          <w:rFonts w:ascii="Times New Roman" w:hAnsi="Times New Roman" w:cs="Times New Roman" w:eastAsia="Times New Roman" w:hint="default"/>
        </w:rPr>
        <w:t>“</w:t>
      </w:r>
      <w:r>
        <w:rPr/>
        <w:t>南京新国都</w:t>
      </w:r>
      <w:r>
        <w:rPr>
          <w:rFonts w:ascii="Times New Roman" w:hAnsi="Times New Roman" w:cs="Times New Roman" w:eastAsia="Times New Roman" w:hint="default"/>
        </w:rPr>
        <w:t>”</w:t>
      </w:r>
      <w:r>
        <w:rPr/>
        <w:t>） </w:t>
      </w:r>
      <w:r>
        <w:rPr>
          <w:spacing w:val="-1"/>
        </w:rPr>
        <w:t>南京新国都成立日期：</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日，注册资本：</w:t>
      </w:r>
      <w:r>
        <w:rPr>
          <w:rFonts w:ascii="Times New Roman" w:hAnsi="Times New Roman" w:cs="Times New Roman" w:eastAsia="Times New Roman" w:hint="default"/>
          <w:spacing w:val="-1"/>
        </w:rPr>
        <w:t>1,300</w:t>
      </w:r>
      <w:r>
        <w:rPr>
          <w:spacing w:val="-1"/>
        </w:rPr>
        <w:t>万元，经营范围是：软件技术开发与销售、技术咨询和服务；计算</w:t>
      </w:r>
      <w:r>
        <w:rPr>
          <w:spacing w:val="-74"/>
        </w:rPr>
        <w:t> </w:t>
      </w:r>
      <w:r>
        <w:rPr>
          <w:spacing w:val="-74"/>
        </w:rPr>
      </w:r>
      <w:r>
        <w:rPr/>
        <w:t>机系统集成；投资咨询服务；计算机产品及电子产品的技术开发、生产、销售、租赁及技术服务。</w:t>
      </w:r>
    </w:p>
    <w:p>
      <w:pPr>
        <w:pStyle w:val="BodyText"/>
        <w:spacing w:line="451" w:lineRule="auto" w:before="74"/>
        <w:ind w:right="144"/>
        <w:jc w:val="left"/>
      </w:pPr>
      <w:r>
        <w:rPr/>
        <w:t>（</w:t>
      </w:r>
      <w:r>
        <w:rPr>
          <w:rFonts w:ascii="Times New Roman" w:hAnsi="Times New Roman" w:cs="Times New Roman" w:eastAsia="Times New Roman" w:hint="default"/>
        </w:rPr>
        <w:t>3</w:t>
      </w:r>
      <w:r>
        <w:rPr/>
        <w:t>）广州市新国都信息科技有限公司（以下简称</w:t>
      </w:r>
      <w:r>
        <w:rPr>
          <w:rFonts w:ascii="Times New Roman" w:hAnsi="Times New Roman" w:cs="Times New Roman" w:eastAsia="Times New Roman" w:hint="default"/>
        </w:rPr>
        <w:t>“</w:t>
      </w:r>
      <w:r>
        <w:rPr/>
        <w:t>广州新国都</w:t>
      </w:r>
      <w:r>
        <w:rPr>
          <w:rFonts w:ascii="Times New Roman" w:hAnsi="Times New Roman" w:cs="Times New Roman" w:eastAsia="Times New Roman" w:hint="default"/>
        </w:rPr>
        <w:t>”</w:t>
      </w:r>
      <w:r>
        <w:rPr/>
        <w:t>） 广州新国都成立日期：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日，注册资本：</w:t>
      </w:r>
      <w:r>
        <w:rPr>
          <w:rFonts w:ascii="Times New Roman" w:hAnsi="Times New Roman" w:cs="Times New Roman" w:eastAsia="Times New Roman" w:hint="default"/>
        </w:rPr>
        <w:t>300</w:t>
      </w:r>
      <w:r>
        <w:rPr/>
        <w:t>万元，经营范围是：计算机软件、智能设备的研究、开发、销售、技 </w:t>
      </w:r>
      <w:r>
        <w:rPr>
          <w:spacing w:val="-2"/>
        </w:rPr>
        <w:t>术咨询、技术服务；计算机系统集成技术服务。广州新国都主要开展募集资金投资项目</w:t>
      </w:r>
      <w:r>
        <w:rPr>
          <w:rFonts w:ascii="Times New Roman" w:hAnsi="Times New Roman" w:cs="Times New Roman" w:eastAsia="Times New Roman" w:hint="default"/>
          <w:spacing w:val="-2"/>
        </w:rPr>
        <w:t>“</w:t>
      </w:r>
      <w:r>
        <w:rPr>
          <w:spacing w:val="-2"/>
        </w:rPr>
        <w:t>电子支付终端设备运营项目</w:t>
      </w:r>
      <w:r>
        <w:rPr>
          <w:rFonts w:ascii="Times New Roman" w:hAnsi="Times New Roman" w:cs="Times New Roman" w:eastAsia="Times New Roman" w:hint="default"/>
          <w:spacing w:val="-2"/>
        </w:rPr>
        <w:t>”</w:t>
      </w:r>
      <w:r>
        <w:rPr>
          <w:spacing w:val="-2"/>
        </w:rPr>
        <w:t>中的广</w:t>
      </w:r>
      <w:r>
        <w:rPr>
          <w:spacing w:val="-46"/>
        </w:rPr>
        <w:t> </w:t>
      </w:r>
      <w:r>
        <w:rPr/>
        <w:t>州羊城通小额支付合作运营业务。</w:t>
      </w:r>
    </w:p>
    <w:p>
      <w:pPr>
        <w:pStyle w:val="BodyText"/>
        <w:spacing w:line="240" w:lineRule="auto" w:before="74"/>
        <w:ind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日，广州新国都已注销。</w:t>
      </w:r>
    </w:p>
    <w:p>
      <w:pPr>
        <w:spacing w:line="240" w:lineRule="auto" w:before="9"/>
        <w:rPr>
          <w:rFonts w:ascii="宋体" w:hAnsi="宋体" w:cs="宋体" w:eastAsia="宋体" w:hint="default"/>
          <w:sz w:val="16"/>
          <w:szCs w:val="16"/>
        </w:rPr>
      </w:pPr>
    </w:p>
    <w:p>
      <w:pPr>
        <w:pStyle w:val="BodyText"/>
        <w:spacing w:line="451" w:lineRule="auto"/>
        <w:ind w:right="0"/>
        <w:jc w:val="left"/>
      </w:pPr>
      <w:r>
        <w:rPr/>
        <w:t>（</w:t>
      </w:r>
      <w:r>
        <w:rPr>
          <w:rFonts w:ascii="Times New Roman" w:hAnsi="Times New Roman" w:cs="Times New Roman" w:eastAsia="Times New Roman" w:hint="default"/>
        </w:rPr>
        <w:t>4</w:t>
      </w:r>
      <w:r>
        <w:rPr/>
        <w:t>）苏州新国都电子技术有限公司（以下简称</w:t>
      </w:r>
      <w:r>
        <w:rPr>
          <w:rFonts w:ascii="Times New Roman" w:hAnsi="Times New Roman" w:cs="Times New Roman" w:eastAsia="Times New Roman" w:hint="default"/>
        </w:rPr>
        <w:t>“</w:t>
      </w:r>
      <w:r>
        <w:rPr/>
        <w:t>苏州新国都</w:t>
      </w:r>
      <w:r>
        <w:rPr>
          <w:rFonts w:ascii="Times New Roman" w:hAnsi="Times New Roman" w:cs="Times New Roman" w:eastAsia="Times New Roman" w:hint="default"/>
        </w:rPr>
        <w:t>”</w:t>
      </w:r>
      <w:r>
        <w:rPr/>
        <w:t>） </w:t>
      </w:r>
      <w:r>
        <w:rPr>
          <w:spacing w:val="-2"/>
        </w:rPr>
        <w:t>苏州新国都成立日期：</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日，注册资本：</w:t>
      </w:r>
      <w:r>
        <w:rPr>
          <w:rFonts w:ascii="Times New Roman" w:hAnsi="Times New Roman" w:cs="Times New Roman" w:eastAsia="Times New Roman" w:hint="default"/>
          <w:spacing w:val="-2"/>
        </w:rPr>
        <w:t>40,806</w:t>
      </w:r>
      <w:r>
        <w:rPr>
          <w:spacing w:val="-2"/>
        </w:rPr>
        <w:t>万元，实收资本</w:t>
      </w:r>
      <w:r>
        <w:rPr>
          <w:rFonts w:ascii="Times New Roman" w:hAnsi="Times New Roman" w:cs="Times New Roman" w:eastAsia="Times New Roman" w:hint="default"/>
          <w:spacing w:val="-2"/>
        </w:rPr>
        <w:t>39,606</w:t>
      </w:r>
      <w:r>
        <w:rPr>
          <w:spacing w:val="-2"/>
        </w:rPr>
        <w:t>万元，经营范围是：电子产品及计算机产品</w:t>
      </w:r>
      <w:r>
        <w:rPr>
          <w:spacing w:val="-56"/>
        </w:rPr>
        <w:t> </w:t>
      </w:r>
      <w:r>
        <w:rPr>
          <w:spacing w:val="-56"/>
        </w:rPr>
      </w:r>
      <w:r>
        <w:rPr>
          <w:spacing w:val="-4"/>
        </w:rPr>
        <w:t>的技术开发、销售、技术咨询及技术服务；计算机系统集成；投资咨询服务。苏州新国都目前主要作为超募资金投资项目</w:t>
      </w:r>
      <w:r>
        <w:rPr>
          <w:rFonts w:ascii="Times New Roman" w:hAnsi="Times New Roman" w:cs="Times New Roman" w:eastAsia="Times New Roman" w:hint="default"/>
          <w:spacing w:val="-4"/>
        </w:rPr>
        <w:t>“</w:t>
      </w:r>
      <w:r>
        <w:rPr>
          <w:spacing w:val="-4"/>
        </w:rPr>
        <w:t>电</w:t>
      </w:r>
      <w:r>
        <w:rPr>
          <w:spacing w:val="-38"/>
        </w:rPr>
        <w:t> </w:t>
      </w:r>
      <w:r>
        <w:rPr/>
        <w:t>子支付技术苏州研发基地项目</w:t>
      </w:r>
      <w:r>
        <w:rPr>
          <w:rFonts w:ascii="Times New Roman" w:hAnsi="Times New Roman" w:cs="Times New Roman" w:eastAsia="Times New Roman" w:hint="default"/>
        </w:rPr>
        <w:t>”</w:t>
      </w:r>
      <w:r>
        <w:rPr/>
        <w:t>和原募集资金投资项目</w:t>
      </w:r>
      <w:r>
        <w:rPr>
          <w:rFonts w:ascii="Times New Roman" w:hAnsi="Times New Roman" w:cs="Times New Roman" w:eastAsia="Times New Roman" w:hint="default"/>
        </w:rPr>
        <w:t>“</w:t>
      </w:r>
      <w:r>
        <w:rPr/>
        <w:t>电子支付技术产研基地建设项目（南京）</w:t>
      </w:r>
      <w:r>
        <w:rPr>
          <w:rFonts w:ascii="Times New Roman" w:hAnsi="Times New Roman" w:cs="Times New Roman" w:eastAsia="Times New Roman" w:hint="default"/>
        </w:rPr>
        <w:t>”</w:t>
      </w:r>
      <w:r>
        <w:rPr/>
        <w:t>中的客服中心、研发中心 建设部分的实施主体。苏州新国都的股权构成为：公司持股比例为</w:t>
      </w:r>
      <w:r>
        <w:rPr>
          <w:rFonts w:ascii="Times New Roman" w:hAnsi="Times New Roman" w:cs="Times New Roman" w:eastAsia="Times New Roman" w:hint="default"/>
        </w:rPr>
        <w:t>94.6%</w:t>
      </w:r>
      <w:r>
        <w:rPr/>
        <w:t>，苏州君宝投资有限公司持股比例为</w:t>
      </w:r>
      <w:r>
        <w:rPr>
          <w:rFonts w:ascii="Times New Roman" w:hAnsi="Times New Roman" w:cs="Times New Roman" w:eastAsia="Times New Roman" w:hint="default"/>
        </w:rPr>
        <w:t>5.4%</w:t>
      </w:r>
      <w:r>
        <w:rPr/>
        <w:t>。</w:t>
      </w:r>
    </w:p>
    <w:p>
      <w:pPr>
        <w:pStyle w:val="BodyText"/>
        <w:spacing w:line="458" w:lineRule="auto" w:before="43"/>
        <w:ind w:right="144"/>
        <w:jc w:val="left"/>
      </w:pPr>
      <w:r>
        <w:rPr/>
        <w:t>（</w:t>
      </w:r>
      <w:r>
        <w:rPr>
          <w:rFonts w:ascii="Times New Roman" w:hAnsi="Times New Roman" w:cs="Times New Roman" w:eastAsia="Times New Roman" w:hint="default"/>
        </w:rPr>
        <w:t>5</w:t>
      </w:r>
      <w:r>
        <w:rPr/>
        <w:t>）深圳市瑞柏泰电子有限公司（以下简称</w:t>
      </w:r>
      <w:r>
        <w:rPr>
          <w:rFonts w:ascii="Times New Roman" w:hAnsi="Times New Roman" w:cs="Times New Roman" w:eastAsia="Times New Roman" w:hint="default"/>
        </w:rPr>
        <w:t>“</w:t>
      </w:r>
      <w:r>
        <w:rPr/>
        <w:t>瑞柏泰</w:t>
      </w:r>
      <w:r>
        <w:rPr>
          <w:rFonts w:ascii="Times New Roman" w:hAnsi="Times New Roman" w:cs="Times New Roman" w:eastAsia="Times New Roman" w:hint="default"/>
        </w:rPr>
        <w:t>”</w:t>
      </w:r>
      <w:r>
        <w:rPr/>
        <w:t>） 瑞柏泰成立日期：</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日，注册资本：</w:t>
      </w:r>
      <w:r>
        <w:rPr>
          <w:rFonts w:ascii="Times New Roman" w:hAnsi="Times New Roman" w:cs="Times New Roman" w:eastAsia="Times New Roman" w:hint="default"/>
        </w:rPr>
        <w:t>1052.63</w:t>
      </w:r>
      <w:r>
        <w:rPr/>
        <w:t>万元，经营范围是：主要从事金融</w:t>
      </w:r>
      <w:r>
        <w:rPr>
          <w:rFonts w:ascii="Times New Roman" w:hAnsi="Times New Roman" w:cs="Times New Roman" w:eastAsia="Times New Roman" w:hint="default"/>
        </w:rPr>
        <w:t>POS</w:t>
      </w:r>
      <w:r>
        <w:rPr/>
        <w:t>机、多媒体自助终端等电子支 付受理设备软硬件及其配套设备的技术开发、销售。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日，瑞柏泰完成工商登记变更手续。变更后，瑞柏泰的股东为蔡敏女士和新国都股份，其中蔡敏女士持股占比</w:t>
      </w:r>
    </w:p>
    <w:p>
      <w:pPr>
        <w:pStyle w:val="BodyText"/>
        <w:spacing w:line="240" w:lineRule="auto" w:before="37"/>
        <w:ind w:right="0"/>
        <w:jc w:val="left"/>
      </w:pPr>
      <w:r>
        <w:rPr>
          <w:rFonts w:ascii="Times New Roman" w:hAnsi="Times New Roman" w:cs="Times New Roman" w:eastAsia="Times New Roman" w:hint="default"/>
        </w:rPr>
        <w:t>80%</w:t>
      </w:r>
      <w:r>
        <w:rPr/>
        <w:t>，新国都股份持股占比</w:t>
      </w:r>
      <w:r>
        <w:rPr>
          <w:rFonts w:ascii="Times New Roman" w:hAnsi="Times New Roman" w:cs="Times New Roman" w:eastAsia="Times New Roman" w:hint="default"/>
        </w:rPr>
        <w:t>20%</w:t>
      </w:r>
      <w:r>
        <w:rPr/>
        <w:t>。</w:t>
      </w:r>
    </w:p>
    <w:p>
      <w:pPr>
        <w:spacing w:line="240" w:lineRule="auto" w:before="9"/>
        <w:rPr>
          <w:rFonts w:ascii="宋体" w:hAnsi="宋体" w:cs="宋体" w:eastAsia="宋体" w:hint="default"/>
          <w:sz w:val="16"/>
          <w:szCs w:val="16"/>
        </w:rPr>
      </w:pPr>
    </w:p>
    <w:p>
      <w:pPr>
        <w:pStyle w:val="BodyText"/>
        <w:spacing w:line="451" w:lineRule="auto"/>
        <w:ind w:right="0"/>
        <w:jc w:val="left"/>
      </w:pPr>
      <w:r>
        <w:rPr/>
        <w:t>（</w:t>
      </w:r>
      <w:r>
        <w:rPr>
          <w:rFonts w:ascii="Times New Roman" w:hAnsi="Times New Roman" w:cs="Times New Roman" w:eastAsia="Times New Roman" w:hint="default"/>
        </w:rPr>
        <w:t>6</w:t>
      </w:r>
      <w:r>
        <w:rPr/>
        <w:t>）浙江中正智能科技有限公司（以下简称</w:t>
      </w:r>
      <w:r>
        <w:rPr>
          <w:rFonts w:ascii="Times New Roman" w:hAnsi="Times New Roman" w:cs="Times New Roman" w:eastAsia="Times New Roman" w:hint="default"/>
        </w:rPr>
        <w:t>“</w:t>
      </w:r>
      <w:r>
        <w:rPr/>
        <w:t>浙江中正</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日公司与浙江中正及其全体股东签署了《股权转让协议》，本公司以</w:t>
      </w:r>
      <w:r>
        <w:rPr>
          <w:rFonts w:ascii="Times New Roman" w:hAnsi="Times New Roman" w:cs="Times New Roman" w:eastAsia="Times New Roman" w:hint="default"/>
          <w:spacing w:val="-1"/>
        </w:rPr>
        <w:t>25,200</w:t>
      </w:r>
      <w:r>
        <w:rPr>
          <w:spacing w:val="-1"/>
        </w:rPr>
        <w:t>万元的价格收购浙江中正</w:t>
      </w:r>
      <w:r>
        <w:rPr>
          <w:rFonts w:ascii="Times New Roman" w:hAnsi="Times New Roman" w:cs="Times New Roman" w:eastAsia="Times New Roman" w:hint="default"/>
          <w:spacing w:val="-1"/>
        </w:rPr>
        <w:t>100%</w:t>
      </w:r>
      <w:r>
        <w:rPr>
          <w:spacing w:val="-1"/>
        </w:rPr>
        <w:t>的股</w:t>
      </w:r>
      <w:r>
        <w:rPr>
          <w:spacing w:val="-47"/>
        </w:rPr>
        <w:t> </w:t>
      </w:r>
      <w:r>
        <w:rPr/>
        <w:t>权，浙江中正于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日完成工商变更，本次收购完成后，浙江中正成为本公司的全资子公司。</w:t>
      </w:r>
    </w:p>
    <w:p>
      <w:pPr>
        <w:spacing w:after="0" w:line="451"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624"/>
        <w:jc w:val="left"/>
      </w:pPr>
      <w:r>
        <w:rPr/>
        <w:t>（</w:t>
      </w:r>
      <w:r>
        <w:rPr>
          <w:rFonts w:ascii="Times New Roman" w:hAnsi="Times New Roman" w:cs="Times New Roman" w:eastAsia="Times New Roman" w:hint="default"/>
        </w:rPr>
        <w:t>7</w:t>
      </w:r>
      <w:r>
        <w:rPr/>
        <w:t>）深圳市新国都支付技术有限公司（以下简称</w:t>
      </w:r>
      <w:r>
        <w:rPr>
          <w:rFonts w:ascii="Times New Roman" w:hAnsi="Times New Roman" w:cs="Times New Roman" w:eastAsia="Times New Roman" w:hint="default"/>
        </w:rPr>
        <w:t>“</w:t>
      </w:r>
      <w:r>
        <w:rPr/>
        <w:t>支付公司</w:t>
      </w:r>
      <w:r>
        <w:rPr>
          <w:rFonts w:ascii="Times New Roman" w:hAnsi="Times New Roman" w:cs="Times New Roman" w:eastAsia="Times New Roman" w:hint="default"/>
        </w:rPr>
        <w:t>”</w:t>
      </w:r>
      <w:r>
        <w:rPr/>
        <w:t>） 支付公司成立于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20,000</w:t>
      </w:r>
      <w:r>
        <w:rPr/>
        <w:t>万元，实收资本</w:t>
      </w:r>
      <w:r>
        <w:rPr>
          <w:rFonts w:ascii="Times New Roman" w:hAnsi="Times New Roman" w:cs="Times New Roman" w:eastAsia="Times New Roman" w:hint="default"/>
        </w:rPr>
        <w:t>1,000</w:t>
      </w:r>
      <w:r>
        <w:rPr/>
        <w:t>万元，系由本公司出资设立，持股比例</w:t>
      </w:r>
      <w:r>
        <w:rPr>
          <w:rFonts w:ascii="Times New Roman" w:hAnsi="Times New Roman" w:cs="Times New Roman" w:eastAsia="Times New Roman" w:hint="default"/>
        </w:rPr>
        <w:t>100%</w:t>
      </w:r>
      <w:r>
        <w:rPr/>
        <w:t>。</w:t>
      </w:r>
    </w:p>
    <w:p>
      <w:pPr>
        <w:pStyle w:val="BodyText"/>
        <w:spacing w:line="451" w:lineRule="auto" w:before="43"/>
        <w:ind w:right="714"/>
        <w:jc w:val="left"/>
      </w:pPr>
      <w:r>
        <w:rPr/>
        <w:t>（</w:t>
      </w:r>
      <w:r>
        <w:rPr>
          <w:rFonts w:ascii="Times New Roman" w:hAnsi="Times New Roman" w:cs="Times New Roman" w:eastAsia="Times New Roman" w:hint="default"/>
        </w:rPr>
        <w:t>8</w:t>
      </w:r>
      <w:r>
        <w:rPr/>
        <w:t>）深圳市信联征信有限公司（以下简称</w:t>
      </w:r>
      <w:r>
        <w:rPr>
          <w:rFonts w:ascii="Times New Roman" w:hAnsi="Times New Roman" w:cs="Times New Roman" w:eastAsia="Times New Roman" w:hint="default"/>
        </w:rPr>
        <w:t>“</w:t>
      </w:r>
      <w:r>
        <w:rPr/>
        <w:t>信联征信</w:t>
      </w:r>
      <w:r>
        <w:rPr>
          <w:rFonts w:ascii="Times New Roman" w:hAnsi="Times New Roman" w:cs="Times New Roman" w:eastAsia="Times New Roman" w:hint="default"/>
        </w:rPr>
        <w:t>“</w:t>
      </w:r>
      <w:r>
        <w:rPr/>
        <w:t>） 信联征信成立于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6,000</w:t>
      </w:r>
      <w:r>
        <w:rPr/>
        <w:t>万元，实收资本</w:t>
      </w:r>
      <w:r>
        <w:rPr>
          <w:rFonts w:ascii="Times New Roman" w:hAnsi="Times New Roman" w:cs="Times New Roman" w:eastAsia="Times New Roman" w:hint="default"/>
        </w:rPr>
        <w:t>6,000</w:t>
      </w:r>
      <w:r>
        <w:rPr/>
        <w:t>万元，系由本公司出资设立，持股比例</w:t>
      </w:r>
      <w:r>
        <w:rPr>
          <w:rFonts w:ascii="Times New Roman" w:hAnsi="Times New Roman" w:cs="Times New Roman" w:eastAsia="Times New Roman" w:hint="default"/>
        </w:rPr>
        <w:t>100%</w:t>
      </w:r>
      <w:r>
        <w:rPr/>
        <w:t>。</w:t>
      </w:r>
    </w:p>
    <w:p>
      <w:pPr>
        <w:pStyle w:val="BodyText"/>
        <w:spacing w:line="240" w:lineRule="auto" w:before="43"/>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ExaDigm,Inc.</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200" w:firstLine="7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日与</w:t>
      </w:r>
      <w:r>
        <w:rPr>
          <w:spacing w:val="-24"/>
        </w:rPr>
        <w:t> </w:t>
      </w:r>
      <w:r>
        <w:rPr>
          <w:rFonts w:ascii="Times New Roman" w:hAnsi="Times New Roman" w:cs="Times New Roman" w:eastAsia="Times New Roman" w:hint="default"/>
        </w:rPr>
        <w:t>Xinguodu</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Exadigm,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及</w:t>
      </w:r>
      <w:r>
        <w:rPr>
          <w:spacing w:val="-21"/>
        </w:rPr>
        <w:t> </w:t>
      </w:r>
      <w:r>
        <w:rPr>
          <w:rFonts w:ascii="Times New Roman" w:hAnsi="Times New Roman" w:cs="Times New Roman" w:eastAsia="Times New Roman" w:hint="default"/>
        </w:rPr>
        <w:t>Exadigm,</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的股东代表四方签署了《并购协议》，本公司以</w:t>
      </w:r>
      <w:r>
        <w:rPr>
          <w:rFonts w:ascii="Times New Roman" w:hAnsi="Times New Roman" w:cs="Times New Roman" w:eastAsia="Times New Roman" w:hint="default"/>
        </w:rPr>
        <w:t>470</w:t>
      </w:r>
      <w:r>
        <w:rPr/>
        <w:t>万美元 的价格收购</w:t>
      </w:r>
      <w:r>
        <w:rPr>
          <w:rFonts w:ascii="Times New Roman" w:hAnsi="Times New Roman" w:cs="Times New Roman" w:eastAsia="Times New Roman" w:hint="default"/>
        </w:rPr>
        <w:t>ExaDigm,Inc.</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日上述股权收购事宜已完成并取得美国特拉华州出具的收购完成确认函，收 购完成后本公司持有</w:t>
      </w:r>
      <w:r>
        <w:rPr>
          <w:rFonts w:ascii="Times New Roman" w:hAnsi="Times New Roman" w:cs="Times New Roman" w:eastAsia="Times New Roman" w:hint="default"/>
        </w:rPr>
        <w:t>ExaDigm,Inc.</w:t>
      </w:r>
      <w:r>
        <w:rPr/>
        <w:t>的</w:t>
      </w:r>
      <w:r>
        <w:rPr>
          <w:rFonts w:ascii="Times New Roman" w:hAnsi="Times New Roman" w:cs="Times New Roman" w:eastAsia="Times New Roman" w:hint="default"/>
        </w:rPr>
        <w:t>100%</w:t>
      </w:r>
      <w:r>
        <w:rPr/>
        <w:t>股权。</w:t>
      </w:r>
    </w:p>
    <w:p>
      <w:pPr>
        <w:pStyle w:val="BodyText"/>
        <w:spacing w:line="451" w:lineRule="auto" w:before="43"/>
        <w:ind w:right="144" w:firstLine="72"/>
        <w:jc w:val="left"/>
      </w:pPr>
      <w:r>
        <w:rPr/>
        <w:t>（</w:t>
      </w:r>
      <w:r>
        <w:rPr>
          <w:rFonts w:ascii="Times New Roman" w:hAnsi="Times New Roman" w:cs="Times New Roman" w:eastAsia="Times New Roman" w:hint="default"/>
        </w:rPr>
        <w:t>10</w:t>
      </w:r>
      <w:r>
        <w:rPr/>
        <w:t>）深圳市大拿科技有限公司（以下简称</w:t>
      </w:r>
      <w:r>
        <w:rPr>
          <w:rFonts w:ascii="Times New Roman" w:hAnsi="Times New Roman" w:cs="Times New Roman" w:eastAsia="Times New Roman" w:hint="default"/>
        </w:rPr>
        <w:t>“</w:t>
      </w:r>
      <w:r>
        <w:rPr/>
        <w:t>大拿科技</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日，本公司与深圳市大拿科技有限公司及其全体股东签署了《增资协议书》，本公司以人民币</w:t>
      </w:r>
      <w:r>
        <w:rPr>
          <w:rFonts w:ascii="Times New Roman" w:hAnsi="Times New Roman" w:cs="Times New Roman" w:eastAsia="Times New Roman" w:hint="default"/>
        </w:rPr>
        <w:t>5,000.00</w:t>
      </w:r>
      <w:r>
        <w:rPr/>
        <w:t>万元向大 拿科技增资，增资完成后本公司持有大拿科技</w:t>
      </w:r>
      <w:r>
        <w:rPr>
          <w:rFonts w:ascii="Times New Roman" w:hAnsi="Times New Roman" w:cs="Times New Roman" w:eastAsia="Times New Roman" w:hint="default"/>
        </w:rPr>
        <w:t>30%</w:t>
      </w:r>
      <w:r>
        <w:rPr/>
        <w:t>的股权。</w:t>
      </w:r>
    </w:p>
    <w:p>
      <w:pPr>
        <w:spacing w:line="240" w:lineRule="auto" w:before="9"/>
        <w:rPr>
          <w:rFonts w:ascii="宋体" w:hAnsi="宋体" w:cs="宋体" w:eastAsia="宋体" w:hint="default"/>
          <w:sz w:val="16"/>
          <w:szCs w:val="16"/>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both"/>
      </w:pPr>
      <w:r>
        <w:rPr>
          <w:rFonts w:ascii="Times New Roman" w:hAnsi="Times New Roman" w:cs="Times New Roman" w:eastAsia="Times New Roman" w:hint="default"/>
        </w:rPr>
        <w:t>1</w:t>
      </w:r>
      <w:r>
        <w:rPr/>
        <w:t>、行业格局和发展趋势</w:t>
      </w:r>
    </w:p>
    <w:p>
      <w:pPr>
        <w:spacing w:line="240" w:lineRule="auto" w:before="9"/>
        <w:rPr>
          <w:rFonts w:ascii="宋体" w:hAnsi="宋体" w:cs="宋体" w:eastAsia="宋体" w:hint="default"/>
          <w:sz w:val="16"/>
          <w:szCs w:val="16"/>
        </w:rPr>
      </w:pPr>
    </w:p>
    <w:p>
      <w:pPr>
        <w:pStyle w:val="BodyText"/>
        <w:spacing w:line="451" w:lineRule="auto"/>
        <w:ind w:left="512" w:right="0" w:hanging="360"/>
        <w:jc w:val="left"/>
      </w:pPr>
      <w:r>
        <w:rPr/>
        <w:t>（</w:t>
      </w:r>
      <w:r>
        <w:rPr>
          <w:rFonts w:ascii="Times New Roman" w:hAnsi="Times New Roman" w:cs="Times New Roman" w:eastAsia="Times New Roman" w:hint="default"/>
        </w:rPr>
        <w:t>1</w:t>
      </w:r>
      <w:r>
        <w:rPr/>
        <w:t>）电子支付产业的核心参与方 </w:t>
      </w:r>
      <w:r>
        <w:rPr>
          <w:spacing w:val="-2"/>
        </w:rPr>
        <w:t>中国电子支付核心参与方中由银联和央行支付系统所组成的支付清算处于电子支付体系最核心的位置，其为整个电子支</w:t>
      </w:r>
    </w:p>
    <w:p>
      <w:pPr>
        <w:pStyle w:val="BodyText"/>
        <w:spacing w:line="477" w:lineRule="auto" w:before="74"/>
        <w:ind w:right="150"/>
        <w:jc w:val="both"/>
      </w:pPr>
      <w:r>
        <w:rPr>
          <w:spacing w:val="-2"/>
        </w:rPr>
        <w:t>付产业的枢纽。商业银行、线上线下的第三方支付机构、通讯运营商是电子支付体系主要的参与主体，其参与者数量和交易</w:t>
      </w:r>
      <w:r>
        <w:rPr>
          <w:spacing w:val="-64"/>
        </w:rPr>
        <w:t> </w:t>
      </w:r>
      <w:r>
        <w:rPr>
          <w:spacing w:val="-64"/>
        </w:rPr>
      </w:r>
      <w:r>
        <w:rPr>
          <w:spacing w:val="-2"/>
        </w:rPr>
        <w:t>规模都在电子支付行业中领先。支付软硬件提供商和收单代理商是电子支付产业中起到辅助作用的主体，整个体系由中国人</w:t>
      </w:r>
      <w:r>
        <w:rPr>
          <w:spacing w:val="-64"/>
        </w:rPr>
        <w:t> </w:t>
      </w:r>
      <w:r>
        <w:rPr>
          <w:spacing w:val="-64"/>
        </w:rPr>
      </w:r>
      <w:r>
        <w:rPr/>
        <w:t>民银行等监管方进行监督管理，为中国的用户和商户进行服务。</w:t>
      </w:r>
    </w:p>
    <w:p>
      <w:pPr>
        <w:spacing w:after="0" w:line="477"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5100" w:lineRule="exact"/>
        <w:ind w:left="160"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5342889" cy="3238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342889" cy="3238500"/>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8"/>
        <w:rPr>
          <w:rFonts w:ascii="宋体" w:hAnsi="宋体" w:cs="宋体" w:eastAsia="宋体" w:hint="default"/>
          <w:sz w:val="10"/>
          <w:szCs w:val="10"/>
        </w:rPr>
      </w:pPr>
    </w:p>
    <w:p>
      <w:pPr>
        <w:pStyle w:val="BodyText"/>
        <w:spacing w:line="240" w:lineRule="auto" w:before="44"/>
        <w:ind w:right="94"/>
        <w:jc w:val="left"/>
      </w:pPr>
      <w:r>
        <w:rPr/>
        <w:t>资料来源：艾瑞咨询《</w:t>
      </w:r>
      <w:r>
        <w:rPr>
          <w:rFonts w:ascii="宋体" w:hAnsi="宋体" w:cs="宋体" w:eastAsia="宋体" w:hint="default"/>
        </w:rPr>
        <w:t>2015</w:t>
      </w:r>
      <w:r>
        <w:rPr/>
        <w:t>年中国电子支付行业研究报告》</w:t>
      </w:r>
    </w:p>
    <w:p>
      <w:pPr>
        <w:spacing w:line="240" w:lineRule="auto" w:before="10"/>
        <w:rPr>
          <w:rFonts w:ascii="宋体" w:hAnsi="宋体" w:cs="宋体" w:eastAsia="宋体" w:hint="default"/>
          <w:sz w:val="17"/>
          <w:szCs w:val="17"/>
        </w:rPr>
      </w:pPr>
    </w:p>
    <w:p>
      <w:pPr>
        <w:pStyle w:val="BodyText"/>
        <w:spacing w:line="477" w:lineRule="auto"/>
        <w:ind w:left="512" w:right="94" w:hanging="360"/>
        <w:jc w:val="left"/>
      </w:pPr>
      <w:r>
        <w:rPr/>
        <w:t>（</w:t>
      </w:r>
      <w:r>
        <w:rPr>
          <w:rFonts w:ascii="宋体" w:hAnsi="宋体" w:cs="宋体" w:eastAsia="宋体" w:hint="default"/>
        </w:rPr>
        <w:t>2</w:t>
      </w:r>
      <w:r>
        <w:rPr/>
        <w:t>）</w:t>
      </w:r>
      <w:r>
        <w:rPr>
          <w:rFonts w:ascii="宋体" w:hAnsi="宋体" w:cs="宋体" w:eastAsia="宋体" w:hint="default"/>
        </w:rPr>
        <w:t>2015</w:t>
      </w:r>
      <w:r>
        <w:rPr/>
        <w:t>年电子支付体系整体运营状况 </w:t>
      </w:r>
      <w:r>
        <w:rPr>
          <w:spacing w:val="-2"/>
        </w:rPr>
        <w:t>展望</w:t>
      </w:r>
      <w:r>
        <w:rPr>
          <w:rFonts w:ascii="宋体" w:hAnsi="宋体" w:cs="宋体" w:eastAsia="宋体" w:hint="default"/>
          <w:spacing w:val="-2"/>
        </w:rPr>
        <w:t>2016</w:t>
      </w:r>
      <w:r>
        <w:rPr>
          <w:spacing w:val="-2"/>
        </w:rPr>
        <w:t>年，信息化、移动互联网浪潮及新兴产业的不断兴起，将为经济注入新鲜血液，政策层面也将持续助推计算机</w:t>
      </w:r>
    </w:p>
    <w:p>
      <w:pPr>
        <w:pStyle w:val="BodyText"/>
        <w:spacing w:line="477" w:lineRule="auto" w:before="54"/>
        <w:ind w:right="94"/>
        <w:jc w:val="left"/>
      </w:pPr>
      <w:r>
        <w:rPr>
          <w:spacing w:val="-2"/>
        </w:rPr>
        <w:t>高新企业的转型及发展。据此，新国都也在传统优势领域稳定增长的同时，公司正凭借技术、市场和行业经验等优势，结合</w:t>
      </w:r>
      <w:r>
        <w:rPr>
          <w:spacing w:val="-67"/>
        </w:rPr>
        <w:t> </w:t>
      </w:r>
      <w:r>
        <w:rPr>
          <w:spacing w:val="-67"/>
        </w:rPr>
      </w:r>
      <w:r>
        <w:rPr>
          <w:spacing w:val="-4"/>
        </w:rPr>
        <w:t>我国信息化新浪潮，围绕电子支付领域以及金融相关领域，积极推进云平台、云存储、金融生态系统建设等创新业务的进展。</w:t>
      </w:r>
    </w:p>
    <w:p>
      <w:pPr>
        <w:pStyle w:val="BodyText"/>
        <w:spacing w:line="477" w:lineRule="auto" w:before="54"/>
        <w:ind w:right="94" w:firstLine="360"/>
        <w:jc w:val="left"/>
      </w:pPr>
      <w:r>
        <w:rPr>
          <w:rFonts w:ascii="宋体" w:hAnsi="宋体" w:cs="宋体" w:eastAsia="宋体" w:hint="default"/>
        </w:rPr>
        <w:t>2015</w:t>
      </w:r>
      <w:r>
        <w:rPr/>
        <w:t>年是公司战略转型和布局的第二年，更加深入地整合支付产业链上下游自主核心资源，金融生态体系也初现雏形。 </w:t>
      </w:r>
      <w:r>
        <w:rPr>
          <w:spacing w:val="-2"/>
        </w:rPr>
        <w:t>新国都密切关注电子支付、移动互联网和互联网金融行业的发展趋势，以帮助客户降低支付运营业务综合成本、提升客户运</w:t>
      </w:r>
      <w:r>
        <w:rPr>
          <w:spacing w:val="-63"/>
        </w:rPr>
        <w:t> </w:t>
      </w:r>
      <w:r>
        <w:rPr>
          <w:spacing w:val="-63"/>
        </w:rPr>
      </w:r>
      <w:r>
        <w:rPr>
          <w:spacing w:val="-2"/>
        </w:rPr>
        <w:t>营效率为目标，主动积累电子支付产业链上下游的核心技术资源，以产品和服务覆盖商户交易活动全流程；积极研究电子支</w:t>
      </w:r>
      <w:r>
        <w:rPr>
          <w:spacing w:val="-63"/>
        </w:rPr>
        <w:t> </w:t>
      </w:r>
      <w:r>
        <w:rPr>
          <w:spacing w:val="-63"/>
        </w:rPr>
      </w:r>
      <w:r>
        <w:rPr>
          <w:spacing w:val="-2"/>
        </w:rPr>
        <w:t>付交易新场景和产品新形态；围绕移动互联网的发展趋势，积极布局智能硬件研发领域，继续加大传统银行卡支付技术运营</w:t>
      </w:r>
      <w:r>
        <w:rPr>
          <w:spacing w:val="-63"/>
        </w:rPr>
        <w:t> </w:t>
      </w:r>
      <w:r>
        <w:rPr>
          <w:spacing w:val="-63"/>
        </w:rPr>
      </w:r>
      <w:r>
        <w:rPr>
          <w:spacing w:val="-2"/>
        </w:rPr>
        <w:t>服务的互联网运营模式的探索，布局符合未来移动互联网需求的新产品、新技术和新服务；以提升输出管理能力和投融资管</w:t>
      </w:r>
      <w:r>
        <w:rPr>
          <w:spacing w:val="-63"/>
        </w:rPr>
        <w:t> </w:t>
      </w:r>
      <w:r>
        <w:rPr>
          <w:spacing w:val="-63"/>
        </w:rPr>
      </w:r>
      <w:r>
        <w:rPr/>
        <w:t>理水平为核心，增强上市公司投融资平台功能，实现公司综合实力的跨越式大发展。</w:t>
      </w:r>
    </w:p>
    <w:p>
      <w:pPr>
        <w:pStyle w:val="BodyText"/>
        <w:spacing w:line="477" w:lineRule="auto" w:before="54"/>
        <w:ind w:right="94" w:firstLine="359"/>
        <w:jc w:val="left"/>
      </w:pPr>
      <w:r>
        <w:rPr>
          <w:spacing w:val="-2"/>
        </w:rPr>
        <w:t>根据</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5</w:t>
      </w:r>
      <w:r>
        <w:rPr>
          <w:spacing w:val="-2"/>
        </w:rPr>
        <w:t>日中国人民银行发布的《</w:t>
      </w:r>
      <w:r>
        <w:rPr>
          <w:rFonts w:ascii="宋体" w:hAnsi="宋体" w:cs="宋体" w:eastAsia="宋体" w:hint="default"/>
          <w:spacing w:val="-2"/>
        </w:rPr>
        <w:t>2015</w:t>
      </w:r>
      <w:r>
        <w:rPr>
          <w:spacing w:val="-2"/>
        </w:rPr>
        <w:t>年支付体系运行总体情况》显示，我国支付体系运行平稳，社会资金交易</w:t>
      </w:r>
      <w:r>
        <w:rPr/>
        <w:t> 规模不断扩大，支付业务量保持稳步增长，电子支付业务增长较快，我们主要关注：</w:t>
      </w:r>
    </w:p>
    <w:p>
      <w:pPr>
        <w:pStyle w:val="BodyText"/>
        <w:spacing w:line="477" w:lineRule="auto" w:before="54"/>
        <w:ind w:right="94" w:firstLine="360"/>
        <w:jc w:val="left"/>
      </w:pPr>
      <w:r>
        <w:rPr>
          <w:rFonts w:ascii="宋体" w:hAnsi="宋体" w:cs="宋体" w:eastAsia="宋体" w:hint="default"/>
        </w:rPr>
        <w:t>1</w:t>
      </w:r>
      <w:r>
        <w:rPr/>
        <w:t>）银行卡发卡量保持稳步增长。截至</w:t>
      </w:r>
      <w:r>
        <w:rPr>
          <w:rFonts w:ascii="宋体" w:hAnsi="宋体" w:cs="宋体" w:eastAsia="宋体" w:hint="default"/>
        </w:rPr>
        <w:t>2015</w:t>
      </w:r>
      <w:r>
        <w:rPr/>
        <w:t>年末，全国银行卡在用发卡数量</w:t>
      </w:r>
      <w:r>
        <w:rPr>
          <w:rFonts w:ascii="宋体" w:hAnsi="宋体" w:cs="宋体" w:eastAsia="宋体" w:hint="default"/>
        </w:rPr>
        <w:t>54.42</w:t>
      </w:r>
      <w:r>
        <w:rPr/>
        <w:t>亿张，虽然相比上年末增长幅度下降， 但较上年末仍然增长</w:t>
      </w:r>
      <w:r>
        <w:rPr>
          <w:rFonts w:ascii="宋体" w:hAnsi="宋体" w:cs="宋体" w:eastAsia="宋体" w:hint="default"/>
        </w:rPr>
        <w:t>10.25%</w:t>
      </w:r>
      <w:r>
        <w:rPr/>
        <w:t>，增长速度较快。借记卡在用发卡数量</w:t>
      </w:r>
      <w:r>
        <w:rPr>
          <w:rFonts w:ascii="宋体" w:hAnsi="宋体" w:cs="宋体" w:eastAsia="宋体" w:hint="default"/>
        </w:rPr>
        <w:t>50.10</w:t>
      </w:r>
      <w:r>
        <w:rPr/>
        <w:t>亿张，较上年末增长</w:t>
      </w:r>
      <w:r>
        <w:rPr>
          <w:rFonts w:ascii="宋体" w:hAnsi="宋体" w:cs="宋体" w:eastAsia="宋体" w:hint="default"/>
        </w:rPr>
        <w:t>11.81%</w:t>
      </w:r>
      <w:r>
        <w:rPr/>
        <w:t>；信用卡和借贷合一卡 </w:t>
      </w:r>
      <w:r>
        <w:rPr>
          <w:spacing w:val="-2"/>
        </w:rPr>
        <w:t>在用发卡数量共计</w:t>
      </w:r>
      <w:r>
        <w:rPr>
          <w:rFonts w:ascii="宋体" w:hAnsi="宋体" w:cs="宋体" w:eastAsia="宋体" w:hint="default"/>
          <w:spacing w:val="-2"/>
        </w:rPr>
        <w:t>4.32</w:t>
      </w:r>
      <w:r>
        <w:rPr>
          <w:spacing w:val="-2"/>
        </w:rPr>
        <w:t>亿张，较上年末下降</w:t>
      </w:r>
      <w:r>
        <w:rPr>
          <w:rFonts w:ascii="宋体" w:hAnsi="宋体" w:cs="宋体" w:eastAsia="宋体" w:hint="default"/>
          <w:spacing w:val="-2"/>
        </w:rPr>
        <w:t>5.05%</w:t>
      </w:r>
      <w:r>
        <w:rPr>
          <w:spacing w:val="-2"/>
        </w:rPr>
        <w:t>。截至</w:t>
      </w:r>
      <w:r>
        <w:rPr>
          <w:rFonts w:ascii="宋体" w:hAnsi="宋体" w:cs="宋体" w:eastAsia="宋体" w:hint="default"/>
          <w:spacing w:val="-2"/>
        </w:rPr>
        <w:t>2015</w:t>
      </w:r>
      <w:r>
        <w:rPr>
          <w:spacing w:val="-2"/>
        </w:rPr>
        <w:t>年末，全国人均持有银行卡</w:t>
      </w:r>
      <w:r>
        <w:rPr>
          <w:rFonts w:ascii="宋体" w:hAnsi="宋体" w:cs="宋体" w:eastAsia="宋体" w:hint="default"/>
          <w:spacing w:val="-2"/>
        </w:rPr>
        <w:t>3.99</w:t>
      </w:r>
      <w:r>
        <w:rPr>
          <w:spacing w:val="-2"/>
        </w:rPr>
        <w:t>张，较上年末增长</w:t>
      </w:r>
      <w:r>
        <w:rPr>
          <w:rFonts w:ascii="宋体" w:hAnsi="宋体" w:cs="宋体" w:eastAsia="宋体" w:hint="default"/>
          <w:spacing w:val="-2"/>
        </w:rPr>
        <w:t>9.62%</w:t>
      </w:r>
      <w:r>
        <w:rPr>
          <w:spacing w:val="-2"/>
        </w:rPr>
        <w:t>。人均</w:t>
      </w:r>
      <w:r>
        <w:rPr>
          <w:spacing w:val="-54"/>
        </w:rPr>
        <w:t> </w:t>
      </w:r>
      <w:r>
        <w:rPr>
          <w:spacing w:val="-54"/>
        </w:rPr>
      </w:r>
      <w:r>
        <w:rPr/>
        <w:t>持有信用卡</w:t>
      </w:r>
      <w:r>
        <w:rPr>
          <w:rFonts w:ascii="宋体" w:hAnsi="宋体" w:cs="宋体" w:eastAsia="宋体" w:hint="default"/>
        </w:rPr>
        <w:t>0.29</w:t>
      </w:r>
      <w:r>
        <w:rPr/>
        <w:t>张，较上年末下降</w:t>
      </w:r>
      <w:r>
        <w:rPr>
          <w:rFonts w:ascii="宋体" w:hAnsi="宋体" w:cs="宋体" w:eastAsia="宋体" w:hint="default"/>
        </w:rPr>
        <w:t>14.71%</w:t>
      </w:r>
      <w:r>
        <w:rPr/>
        <w:t>。北京、上海信用卡人均拥有量远高于全国平均水平，分别达到</w:t>
      </w:r>
      <w:r>
        <w:rPr>
          <w:rFonts w:ascii="宋体" w:hAnsi="宋体" w:cs="宋体" w:eastAsia="宋体" w:hint="default"/>
        </w:rPr>
        <w:t>1.34</w:t>
      </w:r>
      <w:r>
        <w:rPr/>
        <w:t>张和</w:t>
      </w:r>
      <w:r>
        <w:rPr>
          <w:rFonts w:ascii="宋体" w:hAnsi="宋体" w:cs="宋体" w:eastAsia="宋体" w:hint="default"/>
        </w:rPr>
        <w:t>1.01</w:t>
      </w:r>
      <w:r>
        <w:rPr/>
        <w:t>张。</w:t>
      </w:r>
    </w:p>
    <w:p>
      <w:pPr>
        <w:pStyle w:val="BodyText"/>
        <w:spacing w:line="240" w:lineRule="auto" w:before="54"/>
        <w:ind w:left="512" w:right="94"/>
        <w:jc w:val="left"/>
      </w:pPr>
      <w:r>
        <w:rPr/>
        <w:t>通过银行卡的发卡量数据显示，我们认为基于银行卡的电子支付收单服务在未来</w:t>
      </w:r>
      <w:r>
        <w:rPr>
          <w:rFonts w:ascii="宋体" w:hAnsi="宋体" w:cs="宋体" w:eastAsia="宋体" w:hint="default"/>
        </w:rPr>
        <w:t>3</w:t>
      </w:r>
      <w:r>
        <w:rPr/>
        <w:t>年内仍将保持较好的发展趋势。</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firstLine="360"/>
        <w:jc w:val="left"/>
      </w:pPr>
      <w:r>
        <w:rPr>
          <w:rFonts w:ascii="宋体" w:hAnsi="宋体" w:cs="宋体" w:eastAsia="宋体" w:hint="default"/>
        </w:rPr>
        <w:t>2</w:t>
      </w:r>
      <w:r>
        <w:rPr/>
        <w:t>）受理市场环境不断完善。截至</w:t>
      </w:r>
      <w:r>
        <w:rPr>
          <w:rFonts w:ascii="宋体" w:hAnsi="宋体" w:cs="宋体" w:eastAsia="宋体" w:hint="default"/>
        </w:rPr>
        <w:t>2015</w:t>
      </w:r>
      <w:r>
        <w:rPr/>
        <w:t>年末，银行卡跨行支付系统联网商户</w:t>
      </w:r>
      <w:r>
        <w:rPr>
          <w:rFonts w:ascii="宋体" w:hAnsi="宋体" w:cs="宋体" w:eastAsia="宋体" w:hint="default"/>
        </w:rPr>
        <w:t>1 670.00</w:t>
      </w:r>
      <w:r>
        <w:rPr/>
        <w:t>万户，联网</w:t>
      </w:r>
      <w:r>
        <w:rPr>
          <w:rFonts w:ascii="宋体" w:hAnsi="宋体" w:cs="宋体" w:eastAsia="宋体" w:hint="default"/>
        </w:rPr>
        <w:t>POS</w:t>
      </w:r>
      <w:r>
        <w:rPr/>
        <w:t>机具</w:t>
      </w: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rPr>
        <w:t>282.10</w:t>
      </w:r>
      <w:r>
        <w:rPr/>
        <w:t>万台，</w:t>
      </w:r>
      <w:r>
        <w:rPr>
          <w:spacing w:val="-3"/>
        </w:rPr>
        <w:t> 较上年末分别增加</w:t>
      </w:r>
      <w:r>
        <w:rPr>
          <w:rFonts w:ascii="宋体" w:hAnsi="宋体" w:cs="宋体" w:eastAsia="宋体" w:hint="default"/>
          <w:spacing w:val="-3"/>
        </w:rPr>
        <w:t>466.60</w:t>
      </w:r>
      <w:r>
        <w:rPr>
          <w:spacing w:val="-3"/>
        </w:rPr>
        <w:t>万户、</w:t>
      </w:r>
      <w:r>
        <w:rPr>
          <w:rFonts w:ascii="宋体" w:hAnsi="宋体" w:cs="宋体" w:eastAsia="宋体" w:hint="default"/>
          <w:spacing w:val="-3"/>
        </w:rPr>
        <w:t>688.60</w:t>
      </w:r>
      <w:r>
        <w:rPr>
          <w:spacing w:val="-3"/>
        </w:rPr>
        <w:t>万台。截至</w:t>
      </w:r>
      <w:r>
        <w:rPr>
          <w:rFonts w:ascii="宋体" w:hAnsi="宋体" w:cs="宋体" w:eastAsia="宋体" w:hint="default"/>
          <w:spacing w:val="-3"/>
        </w:rPr>
        <w:t>2015</w:t>
      </w:r>
      <w:r>
        <w:rPr>
          <w:spacing w:val="-3"/>
        </w:rPr>
        <w:t>年末，每台</w:t>
      </w:r>
      <w:r>
        <w:rPr>
          <w:rFonts w:ascii="宋体" w:hAnsi="宋体" w:cs="宋体" w:eastAsia="宋体" w:hint="default"/>
          <w:spacing w:val="-3"/>
        </w:rPr>
        <w:t>POS</w:t>
      </w:r>
      <w:r>
        <w:rPr>
          <w:spacing w:val="-3"/>
        </w:rPr>
        <w:t>机具对应的银行卡数量为</w:t>
      </w:r>
      <w:r>
        <w:rPr>
          <w:rFonts w:ascii="宋体" w:hAnsi="宋体" w:cs="宋体" w:eastAsia="宋体" w:hint="default"/>
          <w:spacing w:val="-3"/>
        </w:rPr>
        <w:t>238</w:t>
      </w:r>
      <w:r>
        <w:rPr>
          <w:spacing w:val="-3"/>
        </w:rPr>
        <w:t>张，较上年末下降</w:t>
      </w:r>
      <w:r>
        <w:rPr>
          <w:rFonts w:ascii="宋体" w:hAnsi="宋体" w:cs="宋体" w:eastAsia="宋体" w:hint="default"/>
          <w:spacing w:val="-3"/>
        </w:rPr>
        <w:t>23.23%</w:t>
      </w:r>
      <w:r>
        <w:rPr>
          <w:spacing w:val="-3"/>
        </w:rPr>
        <w:t>。</w:t>
      </w:r>
    </w:p>
    <w:p>
      <w:pPr>
        <w:pStyle w:val="BodyText"/>
        <w:spacing w:line="240" w:lineRule="auto" w:before="54"/>
        <w:ind w:left="512" w:right="94"/>
        <w:jc w:val="left"/>
      </w:pPr>
      <w:r>
        <w:rPr/>
        <w:t>基于银行卡的线下支付受理环境进一步改善，人们用卡的环境更加便利。</w:t>
      </w:r>
    </w:p>
    <w:p>
      <w:pPr>
        <w:spacing w:line="240" w:lineRule="auto" w:before="10"/>
        <w:rPr>
          <w:rFonts w:ascii="宋体" w:hAnsi="宋体" w:cs="宋体" w:eastAsia="宋体" w:hint="default"/>
          <w:sz w:val="17"/>
          <w:szCs w:val="17"/>
        </w:rPr>
      </w:pPr>
    </w:p>
    <w:p>
      <w:pPr>
        <w:pStyle w:val="BodyText"/>
        <w:spacing w:line="477" w:lineRule="auto"/>
        <w:ind w:right="94" w:firstLine="360"/>
        <w:jc w:val="left"/>
      </w:pPr>
      <w:r>
        <w:rPr>
          <w:rFonts w:ascii="宋体" w:hAnsi="宋体" w:cs="宋体" w:eastAsia="宋体" w:hint="default"/>
        </w:rPr>
        <w:t>3</w:t>
      </w:r>
      <w:r>
        <w:rPr/>
        <w:t>）银行卡交易量继续增长，消费业务增长显著。</w:t>
      </w:r>
      <w:r>
        <w:rPr>
          <w:rFonts w:ascii="宋体" w:hAnsi="宋体" w:cs="宋体" w:eastAsia="宋体" w:hint="default"/>
        </w:rPr>
        <w:t>2015</w:t>
      </w:r>
      <w:r>
        <w:rPr/>
        <w:t>年，全国共发生银行卡交易</w:t>
      </w:r>
      <w:r>
        <w:rPr>
          <w:rFonts w:ascii="宋体" w:hAnsi="宋体" w:cs="宋体" w:eastAsia="宋体" w:hint="default"/>
        </w:rPr>
        <w:t>852.29</w:t>
      </w:r>
      <w:r>
        <w:rPr/>
        <w:t>亿笔，同比增长</w:t>
      </w:r>
      <w:r>
        <w:rPr>
          <w:rFonts w:ascii="宋体" w:hAnsi="宋体" w:cs="宋体" w:eastAsia="宋体" w:hint="default"/>
        </w:rPr>
        <w:t>43.07%</w:t>
      </w:r>
      <w:r>
        <w:rPr/>
        <w:t>，增速 加快</w:t>
      </w:r>
      <w:r>
        <w:rPr>
          <w:rFonts w:ascii="宋体" w:hAnsi="宋体" w:cs="宋体" w:eastAsia="宋体" w:hint="default"/>
        </w:rPr>
        <w:t>17.91</w:t>
      </w:r>
      <w:r>
        <w:rPr/>
        <w:t>个百分点；金额</w:t>
      </w:r>
      <w:r>
        <w:rPr>
          <w:rFonts w:ascii="宋体" w:hAnsi="宋体" w:cs="宋体" w:eastAsia="宋体" w:hint="default"/>
        </w:rPr>
        <w:t>669.82</w:t>
      </w:r>
      <w:r>
        <w:rPr/>
        <w:t>万亿元，同比增长</w:t>
      </w:r>
      <w:r>
        <w:rPr>
          <w:rFonts w:ascii="宋体" w:hAnsi="宋体" w:cs="宋体" w:eastAsia="宋体" w:hint="default"/>
        </w:rPr>
        <w:t>48.88%</w:t>
      </w:r>
      <w:r>
        <w:rPr/>
        <w:t>，增速加快</w:t>
      </w:r>
      <w:r>
        <w:rPr>
          <w:rFonts w:ascii="宋体" w:hAnsi="宋体" w:cs="宋体" w:eastAsia="宋体" w:hint="default"/>
        </w:rPr>
        <w:t>42.61</w:t>
      </w:r>
      <w:r>
        <w:rPr/>
        <w:t>个百分点。日均</w:t>
      </w:r>
      <w:r>
        <w:rPr>
          <w:rFonts w:ascii="宋体" w:hAnsi="宋体" w:cs="宋体" w:eastAsia="宋体" w:hint="default"/>
        </w:rPr>
        <w:t>23 350.41</w:t>
      </w:r>
      <w:r>
        <w:rPr/>
        <w:t>万笔</w:t>
      </w:r>
      <w:r>
        <w:rPr>
          <w:rFonts w:ascii="宋体" w:hAnsi="宋体" w:cs="宋体" w:eastAsia="宋体" w:hint="default"/>
        </w:rPr>
        <w:t>,</w:t>
      </w:r>
      <w:r>
        <w:rPr/>
        <w:t>金额</w:t>
      </w:r>
      <w:r>
        <w:rPr>
          <w:rFonts w:ascii="宋体" w:hAnsi="宋体" w:cs="宋体" w:eastAsia="宋体" w:hint="default"/>
        </w:rPr>
        <w:t>18</w:t>
      </w:r>
      <w:r>
        <w:rPr>
          <w:rFonts w:ascii="宋体" w:hAnsi="宋体" w:cs="宋体" w:eastAsia="宋体" w:hint="default"/>
          <w:spacing w:val="-7"/>
        </w:rPr>
        <w:t> </w:t>
      </w:r>
      <w:r>
        <w:rPr>
          <w:rFonts w:ascii="宋体" w:hAnsi="宋体" w:cs="宋体" w:eastAsia="宋体" w:hint="default"/>
        </w:rPr>
        <w:t>351.23</w:t>
      </w:r>
      <w:r>
        <w:rPr>
          <w:rFonts w:ascii="宋体" w:hAnsi="宋体" w:cs="宋体" w:eastAsia="宋体" w:hint="default"/>
          <w:spacing w:val="1"/>
        </w:rPr>
        <w:t> </w:t>
      </w:r>
      <w:r>
        <w:rPr>
          <w:spacing w:val="-2"/>
        </w:rPr>
        <w:t>亿元。其中，银行卡存现</w:t>
      </w:r>
      <w:r>
        <w:rPr>
          <w:rFonts w:ascii="宋体" w:hAnsi="宋体" w:cs="宋体" w:eastAsia="宋体" w:hint="default"/>
          <w:spacing w:val="-2"/>
        </w:rPr>
        <w:t>91.92</w:t>
      </w:r>
      <w:r>
        <w:rPr>
          <w:spacing w:val="-2"/>
        </w:rPr>
        <w:t>亿笔，金额</w:t>
      </w:r>
      <w:r>
        <w:rPr>
          <w:rFonts w:ascii="宋体" w:hAnsi="宋体" w:cs="宋体" w:eastAsia="宋体" w:hint="default"/>
          <w:spacing w:val="-2"/>
        </w:rPr>
        <w:t>70.97</w:t>
      </w:r>
      <w:r>
        <w:rPr>
          <w:spacing w:val="-2"/>
        </w:rPr>
        <w:t>万亿元，同比分别增长</w:t>
      </w:r>
      <w:r>
        <w:rPr>
          <w:rFonts w:ascii="宋体" w:hAnsi="宋体" w:cs="宋体" w:eastAsia="宋体" w:hint="default"/>
          <w:spacing w:val="-2"/>
        </w:rPr>
        <w:t>4.57%</w:t>
      </w:r>
      <w:r>
        <w:rPr>
          <w:spacing w:val="-2"/>
        </w:rPr>
        <w:t>和</w:t>
      </w:r>
      <w:r>
        <w:rPr>
          <w:rFonts w:ascii="宋体" w:hAnsi="宋体" w:cs="宋体" w:eastAsia="宋体" w:hint="default"/>
          <w:spacing w:val="-2"/>
        </w:rPr>
        <w:t>0.47%</w:t>
      </w:r>
      <w:r>
        <w:rPr>
          <w:spacing w:val="-2"/>
        </w:rPr>
        <w:t>；取现</w:t>
      </w:r>
      <w:r>
        <w:rPr>
          <w:rFonts w:ascii="宋体" w:hAnsi="宋体" w:cs="宋体" w:eastAsia="宋体" w:hint="default"/>
          <w:spacing w:val="-2"/>
        </w:rPr>
        <w:t>184.21</w:t>
      </w:r>
      <w:r>
        <w:rPr>
          <w:spacing w:val="-2"/>
        </w:rPr>
        <w:t>亿笔，金额</w:t>
      </w:r>
      <w:r>
        <w:rPr>
          <w:rFonts w:ascii="宋体" w:hAnsi="宋体" w:cs="宋体" w:eastAsia="宋体" w:hint="default"/>
          <w:spacing w:val="-2"/>
        </w:rPr>
        <w:t>73.15</w:t>
      </w:r>
      <w:r>
        <w:rPr>
          <w:spacing w:val="-2"/>
        </w:rPr>
        <w:t>万亿元，</w:t>
      </w:r>
      <w:r>
        <w:rPr>
          <w:spacing w:val="-48"/>
        </w:rPr>
        <w:t> </w:t>
      </w:r>
      <w:r>
        <w:rPr/>
        <w:t>同比分别下降</w:t>
      </w:r>
      <w:r>
        <w:rPr>
          <w:rFonts w:ascii="宋体" w:hAnsi="宋体" w:cs="宋体" w:eastAsia="宋体" w:hint="default"/>
        </w:rPr>
        <w:t>7.48%</w:t>
      </w:r>
      <w:r>
        <w:rPr/>
        <w:t>和</w:t>
      </w:r>
      <w:r>
        <w:rPr>
          <w:rFonts w:ascii="宋体" w:hAnsi="宋体" w:cs="宋体" w:eastAsia="宋体" w:hint="default"/>
        </w:rPr>
        <w:t>1.69%</w:t>
      </w:r>
      <w:r>
        <w:rPr/>
        <w:t>；转账业务</w:t>
      </w:r>
      <w:r>
        <w:rPr>
          <w:rFonts w:ascii="宋体" w:hAnsi="宋体" w:cs="宋体" w:eastAsia="宋体" w:hint="default"/>
        </w:rPr>
        <w:t>285.86</w:t>
      </w:r>
      <w:r>
        <w:rPr/>
        <w:t>亿笔，金额</w:t>
      </w:r>
      <w:r>
        <w:rPr>
          <w:rFonts w:ascii="宋体" w:hAnsi="宋体" w:cs="宋体" w:eastAsia="宋体" w:hint="default"/>
        </w:rPr>
        <w:t>470.70</w:t>
      </w:r>
      <w:r>
        <w:rPr/>
        <w:t>万亿元，同比分别增长</w:t>
      </w:r>
      <w:r>
        <w:rPr>
          <w:rFonts w:ascii="宋体" w:hAnsi="宋体" w:cs="宋体" w:eastAsia="宋体" w:hint="default"/>
        </w:rPr>
        <w:t>157.11%</w:t>
      </w:r>
      <w:r>
        <w:rPr/>
        <w:t>和</w:t>
      </w:r>
      <w:r>
        <w:rPr>
          <w:rFonts w:ascii="宋体" w:hAnsi="宋体" w:cs="宋体" w:eastAsia="宋体" w:hint="default"/>
        </w:rPr>
        <w:t>79.34%</w:t>
      </w:r>
      <w:r>
        <w:rPr/>
        <w:t>；消费业务</w:t>
      </w:r>
      <w:r>
        <w:rPr>
          <w:rFonts w:ascii="宋体" w:hAnsi="宋体" w:cs="宋体" w:eastAsia="宋体" w:hint="default"/>
        </w:rPr>
        <w:t>290.30</w:t>
      </w:r>
      <w:r>
        <w:rPr>
          <w:rFonts w:ascii="宋体" w:hAnsi="宋体" w:cs="宋体" w:eastAsia="宋体" w:hint="default"/>
          <w:spacing w:val="1"/>
        </w:rPr>
        <w:t> </w:t>
      </w:r>
      <w:r>
        <w:rPr/>
        <w:t>亿笔，金额</w:t>
      </w:r>
      <w:r>
        <w:rPr>
          <w:rFonts w:ascii="宋体" w:hAnsi="宋体" w:cs="宋体" w:eastAsia="宋体" w:hint="default"/>
        </w:rPr>
        <w:t>55.00</w:t>
      </w:r>
      <w:r>
        <w:rPr/>
        <w:t>万亿元，同比分别增长</w:t>
      </w:r>
      <w:r>
        <w:rPr>
          <w:rFonts w:ascii="宋体" w:hAnsi="宋体" w:cs="宋体" w:eastAsia="宋体" w:hint="default"/>
        </w:rPr>
        <w:t>46.96%</w:t>
      </w:r>
      <w:r>
        <w:rPr/>
        <w:t>和</w:t>
      </w:r>
      <w:r>
        <w:rPr>
          <w:rFonts w:ascii="宋体" w:hAnsi="宋体" w:cs="宋体" w:eastAsia="宋体" w:hint="default"/>
        </w:rPr>
        <w:t>29.78%</w:t>
      </w:r>
      <w:r>
        <w:rPr/>
        <w:t>。</w:t>
      </w:r>
    </w:p>
    <w:p>
      <w:pPr>
        <w:pStyle w:val="BodyText"/>
        <w:spacing w:line="477" w:lineRule="auto" w:before="54"/>
        <w:ind w:left="153" w:right="189" w:firstLine="359"/>
        <w:jc w:val="left"/>
      </w:pPr>
      <w:r>
        <w:rPr>
          <w:rFonts w:ascii="宋体" w:hAnsi="宋体" w:cs="宋体" w:eastAsia="宋体" w:hint="default"/>
        </w:rPr>
        <w:t>2015 </w:t>
      </w:r>
      <w:r>
        <w:rPr/>
        <w:t>年，全国银行卡卡均消费金额为</w:t>
      </w:r>
      <w:r>
        <w:rPr>
          <w:rFonts w:ascii="宋体" w:hAnsi="宋体" w:cs="宋体" w:eastAsia="宋体" w:hint="default"/>
        </w:rPr>
        <w:t>10 106 </w:t>
      </w:r>
      <w:r>
        <w:rPr/>
        <w:t>元，同比增长</w:t>
      </w:r>
      <w:r>
        <w:rPr>
          <w:rFonts w:ascii="宋体" w:hAnsi="宋体" w:cs="宋体" w:eastAsia="宋体" w:hint="default"/>
        </w:rPr>
        <w:t>17.69%</w:t>
      </w:r>
      <w:r>
        <w:rPr/>
        <w:t>；笔均消费金额为</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894</w:t>
      </w:r>
      <w:r>
        <w:rPr/>
        <w:t>元，同比下降</w:t>
      </w:r>
      <w:r>
        <w:rPr>
          <w:rFonts w:ascii="宋体" w:hAnsi="宋体" w:cs="宋体" w:eastAsia="宋体" w:hint="default"/>
        </w:rPr>
        <w:t>11.74%</w:t>
      </w:r>
      <w:r>
        <w:rPr/>
        <w:t>；银行 卡跨行消费业务</w:t>
      </w:r>
      <w:r>
        <w:rPr>
          <w:rFonts w:ascii="宋体" w:hAnsi="宋体" w:cs="宋体" w:eastAsia="宋体" w:hint="default"/>
        </w:rPr>
        <w:t>172.39</w:t>
      </w:r>
      <w:r>
        <w:rPr/>
        <w:t>亿笔，金额</w:t>
      </w:r>
      <w:r>
        <w:rPr>
          <w:rFonts w:ascii="宋体" w:hAnsi="宋体" w:cs="宋体" w:eastAsia="宋体" w:hint="default"/>
        </w:rPr>
        <w:t>42.91</w:t>
      </w:r>
      <w:r>
        <w:rPr/>
        <w:t>万亿元，同比分别增长</w:t>
      </w:r>
      <w:r>
        <w:rPr>
          <w:rFonts w:ascii="宋体" w:hAnsi="宋体" w:cs="宋体" w:eastAsia="宋体" w:hint="default"/>
        </w:rPr>
        <w:t>108.20%</w:t>
      </w:r>
      <w:r>
        <w:rPr/>
        <w:t>和</w:t>
      </w:r>
      <w:r>
        <w:rPr>
          <w:rFonts w:ascii="宋体" w:hAnsi="宋体" w:cs="宋体" w:eastAsia="宋体" w:hint="default"/>
        </w:rPr>
        <w:t>49.83%</w:t>
      </w:r>
      <w:r>
        <w:rPr/>
        <w:t>，分别占银行卡消费业务量的</w:t>
      </w:r>
      <w:r>
        <w:rPr>
          <w:rFonts w:ascii="宋体" w:hAnsi="宋体" w:cs="宋体" w:eastAsia="宋体" w:hint="default"/>
        </w:rPr>
        <w:t>59.38%</w:t>
      </w:r>
      <w:r>
        <w:rPr/>
        <w:t>和 </w:t>
      </w:r>
      <w:r>
        <w:rPr>
          <w:rFonts w:ascii="宋体" w:hAnsi="宋体" w:cs="宋体" w:eastAsia="宋体" w:hint="default"/>
        </w:rPr>
        <w:t>78.02%</w:t>
      </w:r>
      <w:r>
        <w:rPr/>
        <w:t>。全年银行卡渗透率达到</w:t>
      </w:r>
      <w:r>
        <w:rPr>
          <w:rFonts w:ascii="宋体" w:hAnsi="宋体" w:cs="宋体" w:eastAsia="宋体" w:hint="default"/>
        </w:rPr>
        <w:t>47.96%</w:t>
      </w:r>
      <w:r>
        <w:rPr/>
        <w:t>，比上年上升</w:t>
      </w:r>
      <w:r>
        <w:rPr>
          <w:rFonts w:ascii="宋体" w:hAnsi="宋体" w:cs="宋体" w:eastAsia="宋体" w:hint="default"/>
        </w:rPr>
        <w:t>0.26</w:t>
      </w:r>
      <w:r>
        <w:rPr/>
        <w:t>个百分点。</w:t>
      </w:r>
    </w:p>
    <w:p>
      <w:pPr>
        <w:pStyle w:val="BodyText"/>
        <w:spacing w:line="477" w:lineRule="auto" w:before="54"/>
        <w:ind w:left="153" w:right="190" w:firstLine="360"/>
        <w:jc w:val="both"/>
      </w:pPr>
      <w:r>
        <w:rPr>
          <w:spacing w:val="-2"/>
        </w:rPr>
        <w:t>上述数据显示，银行卡转账业务和消费业务增长快速，人们对现金的使用依赖进一步下降，电子支付在人们日常交易活</w:t>
      </w:r>
      <w:r>
        <w:rPr/>
        <w:t> </w:t>
      </w:r>
      <w:r>
        <w:rPr>
          <w:spacing w:val="-2"/>
        </w:rPr>
        <w:t>动中的地位进一步提升。跨行消费业务增长迅速，银行卡第三方收单服务机构作为跨行交易提供结算服务的主力军，其业务</w:t>
      </w:r>
      <w:r>
        <w:rPr>
          <w:spacing w:val="-63"/>
        </w:rPr>
        <w:t> </w:t>
      </w:r>
      <w:r>
        <w:rPr>
          <w:spacing w:val="-63"/>
        </w:rPr>
      </w:r>
      <w:r>
        <w:rPr/>
        <w:t>增长迅速，从而间接导致其对金融</w:t>
      </w:r>
      <w:r>
        <w:rPr>
          <w:rFonts w:ascii="宋体" w:hAnsi="宋体" w:cs="宋体" w:eastAsia="宋体" w:hint="default"/>
        </w:rPr>
        <w:t>POS</w:t>
      </w:r>
      <w:r>
        <w:rPr/>
        <w:t>产品的需求快速增长。消费业务的快速增长，也体现了我国经济逐步进入消费市场的 趋势，电子支付产业链的服务机构基于消费大数据为商户和消费者提供增值服务的动力强劲。</w:t>
      </w:r>
    </w:p>
    <w:p>
      <w:pPr>
        <w:pStyle w:val="BodyText"/>
        <w:spacing w:line="477" w:lineRule="auto" w:before="54"/>
        <w:ind w:left="153" w:right="183" w:firstLine="360"/>
        <w:jc w:val="left"/>
      </w:pPr>
      <w:r>
        <w:rPr>
          <w:rFonts w:ascii="宋体" w:hAnsi="宋体" w:cs="宋体" w:eastAsia="宋体" w:hint="default"/>
        </w:rPr>
        <w:t>4</w:t>
      </w:r>
      <w:r>
        <w:rPr/>
        <w:t>）电子支付业务保持增长态势，移动支付业务快速增长。（注释：本文所称电子支付是指客户通过网上银行、电话银 行和手机银行、</w:t>
      </w:r>
      <w:r>
        <w:rPr>
          <w:rFonts w:ascii="宋体" w:hAnsi="宋体" w:cs="宋体" w:eastAsia="宋体" w:hint="default"/>
        </w:rPr>
        <w:t>POS</w:t>
      </w:r>
      <w:r>
        <w:rPr/>
        <w:t>、</w:t>
      </w:r>
      <w:r>
        <w:rPr>
          <w:rFonts w:ascii="宋体" w:hAnsi="宋体" w:cs="宋体" w:eastAsia="宋体" w:hint="default"/>
        </w:rPr>
        <w:t>ATM</w:t>
      </w:r>
      <w:r>
        <w:rPr>
          <w:rFonts w:ascii="宋体" w:hAnsi="宋体" w:cs="宋体" w:eastAsia="宋体" w:hint="default"/>
          <w:spacing w:val="-2"/>
        </w:rPr>
        <w:t> </w:t>
      </w:r>
      <w:r>
        <w:rPr/>
        <w:t>及其他电子渠道，从结算类账户发起的账务变动类业务笔数和金额。包括网上支付、电话支付、 移动支付、其他电子支付</w:t>
      </w:r>
      <w:r>
        <w:rPr>
          <w:rFonts w:ascii="宋体" w:hAnsi="宋体" w:cs="宋体" w:eastAsia="宋体" w:hint="default"/>
        </w:rPr>
        <w:t>ATM </w:t>
      </w:r>
      <w:r>
        <w:rPr/>
        <w:t>业务和</w:t>
      </w:r>
      <w:r>
        <w:rPr>
          <w:rFonts w:ascii="宋体" w:hAnsi="宋体" w:cs="宋体" w:eastAsia="宋体" w:hint="default"/>
        </w:rPr>
        <w:t>POS</w:t>
      </w:r>
      <w:r>
        <w:rPr/>
        <w:t>业务等五种业务类型。）</w:t>
      </w:r>
      <w:r>
        <w:rPr>
          <w:rFonts w:ascii="宋体" w:hAnsi="宋体" w:cs="宋体" w:eastAsia="宋体" w:hint="default"/>
        </w:rPr>
        <w:t>2015</w:t>
      </w:r>
      <w:r>
        <w:rPr/>
        <w:t>年，银行业金融机构共发生电子支付</w:t>
      </w:r>
      <w:r>
        <w:rPr>
          <w:rFonts w:ascii="宋体" w:hAnsi="宋体" w:cs="宋体" w:eastAsia="宋体" w:hint="default"/>
        </w:rPr>
        <w:t>7</w:t>
      </w:r>
      <w:r>
        <w:rPr/>
        <w:t>业务</w:t>
      </w: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rPr>
        <w:t>052.34</w:t>
      </w:r>
      <w:r>
        <w:rPr>
          <w:rFonts w:ascii="宋体" w:hAnsi="宋体" w:cs="宋体" w:eastAsia="宋体" w:hint="default"/>
          <w:spacing w:val="1"/>
        </w:rPr>
        <w:t> </w:t>
      </w:r>
      <w:r>
        <w:rPr/>
        <w:t>亿笔，金额</w:t>
      </w:r>
      <w:r>
        <w:rPr>
          <w:rFonts w:ascii="宋体" w:hAnsi="宋体" w:cs="宋体" w:eastAsia="宋体" w:hint="default"/>
        </w:rPr>
        <w:t>2</w:t>
      </w:r>
      <w:r>
        <w:rPr>
          <w:rFonts w:ascii="宋体" w:hAnsi="宋体" w:cs="宋体" w:eastAsia="宋体" w:hint="default"/>
          <w:spacing w:val="-48"/>
        </w:rPr>
        <w:t> </w:t>
      </w:r>
      <w:r>
        <w:rPr>
          <w:rFonts w:ascii="宋体" w:hAnsi="宋体" w:cs="宋体" w:eastAsia="宋体" w:hint="default"/>
        </w:rPr>
        <w:t>506.23</w:t>
      </w:r>
      <w:r>
        <w:rPr/>
        <w:t>万亿元。其中，网上支付业务</w:t>
      </w:r>
      <w:r>
        <w:rPr>
          <w:rFonts w:ascii="宋体" w:hAnsi="宋体" w:cs="宋体" w:eastAsia="宋体" w:hint="default"/>
        </w:rPr>
        <w:t>363.71</w:t>
      </w:r>
      <w:r>
        <w:rPr/>
        <w:t>亿笔，金额</w:t>
      </w:r>
      <w:r>
        <w:rPr>
          <w:rFonts w:ascii="宋体" w:hAnsi="宋体" w:cs="宋体" w:eastAsia="宋体" w:hint="default"/>
        </w:rPr>
        <w:t>2</w:t>
      </w:r>
      <w:r>
        <w:rPr>
          <w:rFonts w:ascii="宋体" w:hAnsi="宋体" w:cs="宋体" w:eastAsia="宋体" w:hint="default"/>
          <w:spacing w:val="-48"/>
        </w:rPr>
        <w:t> </w:t>
      </w:r>
      <w:r>
        <w:rPr>
          <w:rFonts w:ascii="宋体" w:hAnsi="宋体" w:cs="宋体" w:eastAsia="宋体" w:hint="default"/>
        </w:rPr>
        <w:t>018.20</w:t>
      </w:r>
      <w:r>
        <w:rPr/>
        <w:t>万亿元，同比分别增长</w:t>
      </w:r>
      <w:r>
        <w:rPr>
          <w:rFonts w:ascii="宋体" w:hAnsi="宋体" w:cs="宋体" w:eastAsia="宋体" w:hint="default"/>
        </w:rPr>
        <w:t>27.29%</w:t>
      </w:r>
      <w:r>
        <w:rPr/>
        <w:t>和</w:t>
      </w:r>
      <w:r>
        <w:rPr>
          <w:rFonts w:ascii="宋体" w:hAnsi="宋体" w:cs="宋体" w:eastAsia="宋体" w:hint="default"/>
        </w:rPr>
        <w:t>46.67%</w:t>
      </w:r>
      <w:r>
        <w:rPr/>
        <w:t>；电话 </w:t>
      </w:r>
      <w:r>
        <w:rPr>
          <w:spacing w:val="-2"/>
        </w:rPr>
        <w:t>支付业务</w:t>
      </w:r>
      <w:r>
        <w:rPr>
          <w:rFonts w:ascii="宋体" w:hAnsi="宋体" w:cs="宋体" w:eastAsia="宋体" w:hint="default"/>
          <w:spacing w:val="-2"/>
        </w:rPr>
        <w:t>2.98</w:t>
      </w:r>
      <w:r>
        <w:rPr>
          <w:spacing w:val="-2"/>
        </w:rPr>
        <w:t>亿笔，金额</w:t>
      </w:r>
      <w:r>
        <w:rPr>
          <w:rFonts w:ascii="宋体" w:hAnsi="宋体" w:cs="宋体" w:eastAsia="宋体" w:hint="default"/>
          <w:spacing w:val="-2"/>
        </w:rPr>
        <w:t>14.99</w:t>
      </w:r>
      <w:r>
        <w:rPr>
          <w:spacing w:val="-2"/>
        </w:rPr>
        <w:t>万亿元，同比分别增长</w:t>
      </w:r>
      <w:r>
        <w:rPr>
          <w:rFonts w:ascii="宋体" w:hAnsi="宋体" w:cs="宋体" w:eastAsia="宋体" w:hint="default"/>
          <w:spacing w:val="-2"/>
        </w:rPr>
        <w:t>27.35%</w:t>
      </w:r>
      <w:r>
        <w:rPr>
          <w:spacing w:val="-2"/>
        </w:rPr>
        <w:t>和</w:t>
      </w:r>
      <w:r>
        <w:rPr>
          <w:rFonts w:ascii="宋体" w:hAnsi="宋体" w:cs="宋体" w:eastAsia="宋体" w:hint="default"/>
          <w:spacing w:val="-2"/>
        </w:rPr>
        <w:t>148.18%</w:t>
      </w:r>
      <w:r>
        <w:rPr>
          <w:spacing w:val="-2"/>
        </w:rPr>
        <w:t>；移动支付业务</w:t>
      </w:r>
      <w:r>
        <w:rPr>
          <w:rFonts w:ascii="宋体" w:hAnsi="宋体" w:cs="宋体" w:eastAsia="宋体" w:hint="default"/>
          <w:spacing w:val="-2"/>
        </w:rPr>
        <w:t>138.37</w:t>
      </w:r>
      <w:r>
        <w:rPr>
          <w:spacing w:val="-2"/>
        </w:rPr>
        <w:t>亿笔，金额</w:t>
      </w:r>
      <w:r>
        <w:rPr>
          <w:rFonts w:ascii="宋体" w:hAnsi="宋体" w:cs="宋体" w:eastAsia="宋体" w:hint="default"/>
          <w:spacing w:val="-2"/>
        </w:rPr>
        <w:t>108.22</w:t>
      </w:r>
      <w:r>
        <w:rPr>
          <w:spacing w:val="-2"/>
        </w:rPr>
        <w:t>万亿元，同</w:t>
      </w:r>
      <w:r>
        <w:rPr>
          <w:spacing w:val="-47"/>
        </w:rPr>
        <w:t> </w:t>
      </w:r>
      <w:r>
        <w:rPr>
          <w:spacing w:val="-47"/>
        </w:rPr>
      </w:r>
      <w:r>
        <w:rPr/>
        <w:t>比分别增长</w:t>
      </w:r>
      <w:r>
        <w:rPr>
          <w:rFonts w:ascii="宋体" w:hAnsi="宋体" w:cs="宋体" w:eastAsia="宋体" w:hint="default"/>
        </w:rPr>
        <w:t>205.86%</w:t>
      </w:r>
      <w:r>
        <w:rPr/>
        <w:t>和</w:t>
      </w:r>
      <w:r>
        <w:rPr>
          <w:rFonts w:ascii="宋体" w:hAnsi="宋体" w:cs="宋体" w:eastAsia="宋体" w:hint="default"/>
        </w:rPr>
        <w:t>379.06%</w:t>
      </w:r>
      <w:r>
        <w:rPr/>
        <w:t>。</w:t>
      </w:r>
      <w:r>
        <w:rPr>
          <w:rFonts w:ascii="宋体" w:hAnsi="宋体" w:cs="宋体" w:eastAsia="宋体" w:hint="default"/>
        </w:rPr>
        <w:t>2015</w:t>
      </w:r>
      <w:r>
        <w:rPr/>
        <w:t>年，非银行支付机构累计发生网络支付业务</w:t>
      </w:r>
      <w:r>
        <w:rPr>
          <w:rFonts w:ascii="宋体" w:hAnsi="宋体" w:cs="宋体" w:eastAsia="宋体" w:hint="default"/>
        </w:rPr>
        <w:t>821.45</w:t>
      </w:r>
      <w:r>
        <w:rPr/>
        <w:t>亿笔，金额</w:t>
      </w:r>
      <w:r>
        <w:rPr>
          <w:rFonts w:ascii="宋体" w:hAnsi="宋体" w:cs="宋体" w:eastAsia="宋体" w:hint="default"/>
        </w:rPr>
        <w:t>49.48</w:t>
      </w:r>
      <w:r>
        <w:rPr/>
        <w:t>万亿元，同比分别 增长</w:t>
      </w:r>
      <w:r>
        <w:rPr>
          <w:rFonts w:ascii="宋体" w:hAnsi="宋体" w:cs="宋体" w:eastAsia="宋体" w:hint="default"/>
        </w:rPr>
        <w:t>119.51%</w:t>
      </w:r>
      <w:r>
        <w:rPr/>
        <w:t>和</w:t>
      </w:r>
      <w:r>
        <w:rPr>
          <w:rFonts w:ascii="宋体" w:hAnsi="宋体" w:cs="宋体" w:eastAsia="宋体" w:hint="default"/>
        </w:rPr>
        <w:t>100.16%</w:t>
      </w:r>
      <w:r>
        <w:rPr/>
        <w:t>。</w:t>
      </w:r>
    </w:p>
    <w:p>
      <w:pPr>
        <w:pStyle w:val="BodyText"/>
        <w:spacing w:line="477" w:lineRule="auto" w:before="54"/>
        <w:ind w:left="153" w:right="183" w:firstLine="360"/>
        <w:jc w:val="left"/>
      </w:pPr>
      <w:r>
        <w:rPr/>
        <w:t>网上支付跨行清算系统业务快速增长。截至</w:t>
      </w:r>
      <w:r>
        <w:rPr>
          <w:rFonts w:ascii="宋体" w:hAnsi="宋体" w:cs="宋体" w:eastAsia="宋体" w:hint="default"/>
        </w:rPr>
        <w:t>2015</w:t>
      </w:r>
      <w:r>
        <w:rPr/>
        <w:t>年末，共有</w:t>
      </w:r>
      <w:r>
        <w:rPr>
          <w:rFonts w:ascii="宋体" w:hAnsi="宋体" w:cs="宋体" w:eastAsia="宋体" w:hint="default"/>
        </w:rPr>
        <w:t>161</w:t>
      </w:r>
      <w:r>
        <w:rPr/>
        <w:t>家机构接入网上支付跨行清算系统。</w:t>
      </w:r>
      <w:r>
        <w:rPr>
          <w:rFonts w:ascii="宋体" w:hAnsi="宋体" w:cs="宋体" w:eastAsia="宋体" w:hint="default"/>
        </w:rPr>
        <w:t>2015</w:t>
      </w:r>
      <w:r>
        <w:rPr/>
        <w:t>年，网上支付 跨行清算系统共处理业务</w:t>
      </w:r>
      <w:r>
        <w:rPr>
          <w:rFonts w:ascii="宋体" w:hAnsi="宋体" w:cs="宋体" w:eastAsia="宋体" w:hint="default"/>
        </w:rPr>
        <w:t>29.66</w:t>
      </w:r>
      <w:r>
        <w:rPr/>
        <w:t>亿笔，金额</w:t>
      </w:r>
      <w:r>
        <w:rPr>
          <w:rFonts w:ascii="宋体" w:hAnsi="宋体" w:cs="宋体" w:eastAsia="宋体" w:hint="default"/>
        </w:rPr>
        <w:t>27.76</w:t>
      </w:r>
      <w:r>
        <w:rPr/>
        <w:t>万亿元，同比分别增长</w:t>
      </w:r>
      <w:r>
        <w:rPr>
          <w:rFonts w:ascii="宋体" w:hAnsi="宋体" w:cs="宋体" w:eastAsia="宋体" w:hint="default"/>
        </w:rPr>
        <w:t>80.92%</w:t>
      </w:r>
      <w:r>
        <w:rPr/>
        <w:t>和</w:t>
      </w:r>
      <w:r>
        <w:rPr>
          <w:rFonts w:ascii="宋体" w:hAnsi="宋体" w:cs="宋体" w:eastAsia="宋体" w:hint="default"/>
        </w:rPr>
        <w:t>56.03%</w:t>
      </w:r>
      <w:r>
        <w:rPr/>
        <w:t>。日均处理业务</w:t>
      </w:r>
      <w:r>
        <w:rPr>
          <w:rFonts w:ascii="宋体" w:hAnsi="宋体" w:cs="宋体" w:eastAsia="宋体" w:hint="default"/>
        </w:rPr>
        <w:t>819.21</w:t>
      </w:r>
      <w:r>
        <w:rPr/>
        <w:t>万笔，金额 </w:t>
      </w:r>
      <w:r>
        <w:rPr>
          <w:rFonts w:ascii="宋体" w:hAnsi="宋体" w:cs="宋体" w:eastAsia="宋体" w:hint="default"/>
        </w:rPr>
        <w:t>766.75</w:t>
      </w:r>
      <w:r>
        <w:rPr/>
        <w:t>亿元。</w:t>
      </w:r>
    </w:p>
    <w:p>
      <w:pPr>
        <w:pStyle w:val="BodyText"/>
        <w:spacing w:line="477" w:lineRule="auto" w:before="54"/>
        <w:ind w:left="153" w:right="192" w:firstLine="360"/>
        <w:jc w:val="right"/>
      </w:pPr>
      <w:r>
        <w:rPr>
          <w:spacing w:val="-1"/>
        </w:rPr>
        <w:t>银行卡跨行支付系统业务保持高位增长。</w:t>
      </w:r>
      <w:r>
        <w:rPr>
          <w:rFonts w:ascii="宋体" w:hAnsi="宋体" w:cs="宋体" w:eastAsia="宋体" w:hint="default"/>
          <w:spacing w:val="-1"/>
        </w:rPr>
        <w:t>2015</w:t>
      </w:r>
      <w:r>
        <w:rPr>
          <w:spacing w:val="-1"/>
        </w:rPr>
        <w:t>年，银行卡跨行支付系统共处理业务</w:t>
      </w:r>
      <w:r>
        <w:rPr>
          <w:rFonts w:ascii="宋体" w:hAnsi="宋体" w:cs="宋体" w:eastAsia="宋体" w:hint="default"/>
          <w:spacing w:val="-1"/>
        </w:rPr>
        <w:t>206.68</w:t>
      </w:r>
      <w:r>
        <w:rPr>
          <w:spacing w:val="-1"/>
        </w:rPr>
        <w:t>亿笔，金额</w:t>
      </w:r>
      <w:r>
        <w:rPr>
          <w:rFonts w:ascii="宋体" w:hAnsi="宋体" w:cs="宋体" w:eastAsia="宋体" w:hint="default"/>
          <w:spacing w:val="-1"/>
        </w:rPr>
        <w:t>49.28</w:t>
      </w:r>
      <w:r>
        <w:rPr>
          <w:spacing w:val="-1"/>
        </w:rPr>
        <w:t>万亿元，同</w:t>
      </w:r>
      <w:r>
        <w:rPr/>
        <w:t> 比分别增长</w:t>
      </w:r>
      <w:r>
        <w:rPr>
          <w:rFonts w:ascii="宋体" w:hAnsi="宋体" w:cs="宋体" w:eastAsia="宋体" w:hint="default"/>
        </w:rPr>
        <w:t>75.01%</w:t>
      </w:r>
      <w:r>
        <w:rPr/>
        <w:t>和</w:t>
      </w:r>
      <w:r>
        <w:rPr>
          <w:rFonts w:ascii="宋体" w:hAnsi="宋体" w:cs="宋体" w:eastAsia="宋体" w:hint="default"/>
        </w:rPr>
        <w:t>46.62%</w:t>
      </w:r>
      <w:r>
        <w:rPr/>
        <w:t>，分别占支付系统业务量的</w:t>
      </w:r>
      <w:r>
        <w:rPr>
          <w:rFonts w:ascii="宋体" w:hAnsi="宋体" w:cs="宋体" w:eastAsia="宋体" w:hint="default"/>
        </w:rPr>
        <w:t>44.02%</w:t>
      </w:r>
      <w:r>
        <w:rPr/>
        <w:t>和</w:t>
      </w:r>
      <w:r>
        <w:rPr>
          <w:rFonts w:ascii="宋体" w:hAnsi="宋体" w:cs="宋体" w:eastAsia="宋体" w:hint="default"/>
        </w:rPr>
        <w:t>1.12%</w:t>
      </w:r>
      <w:r>
        <w:rPr/>
        <w:t>。日均处理业务</w:t>
      </w:r>
      <w:r>
        <w:rPr>
          <w:rFonts w:ascii="宋体" w:hAnsi="宋体" w:cs="宋体" w:eastAsia="宋体" w:hint="default"/>
        </w:rPr>
        <w:t>5 662.35</w:t>
      </w:r>
      <w:r>
        <w:rPr/>
        <w:t>万笔，金额</w:t>
      </w:r>
      <w:r>
        <w:rPr>
          <w:rFonts w:ascii="宋体" w:hAnsi="宋体" w:cs="宋体" w:eastAsia="宋体" w:hint="default"/>
        </w:rPr>
        <w:t>1</w:t>
      </w:r>
      <w:r>
        <w:rPr>
          <w:rFonts w:ascii="宋体" w:hAnsi="宋体" w:cs="宋体" w:eastAsia="宋体" w:hint="default"/>
          <w:spacing w:val="-10"/>
        </w:rPr>
        <w:t> </w:t>
      </w:r>
      <w:r>
        <w:rPr>
          <w:rFonts w:ascii="宋体" w:hAnsi="宋体" w:cs="宋体" w:eastAsia="宋体" w:hint="default"/>
        </w:rPr>
        <w:t>350.01</w:t>
      </w:r>
      <w:r>
        <w:rPr/>
        <w:t>亿元。 上述数据显示，电子支付业务整体保持快速增长，网上支付和银行卡跨行支付业务均保持快速增长，</w:t>
      </w:r>
      <w:r>
        <w:rPr>
          <w:spacing w:val="1"/>
        </w:rPr>
        <w:t> </w:t>
      </w:r>
      <w:r>
        <w:rPr/>
        <w:t>尤其是移动支付</w:t>
      </w:r>
      <w:r>
        <w:rPr/>
        <w:t> </w:t>
      </w:r>
      <w:r>
        <w:rPr>
          <w:spacing w:val="-2"/>
        </w:rPr>
        <w:t>业务和非银行支付机构发生的网络支付业务增速均超过</w:t>
      </w:r>
      <w:r>
        <w:rPr>
          <w:rFonts w:ascii="宋体" w:hAnsi="宋体" w:cs="宋体" w:eastAsia="宋体" w:hint="default"/>
          <w:spacing w:val="-2"/>
        </w:rPr>
        <w:t>100%</w:t>
      </w:r>
      <w:r>
        <w:rPr>
          <w:spacing w:val="-2"/>
        </w:rPr>
        <w:t>，这说明电子支付移动化、网络化趋势明显。随着中国发展与改</w:t>
      </w:r>
      <w:r>
        <w:rPr>
          <w:spacing w:val="-75"/>
        </w:rPr>
        <w:t> </w:t>
      </w:r>
      <w:r>
        <w:rPr>
          <w:spacing w:val="-75"/>
        </w:rPr>
      </w:r>
      <w:r>
        <w:rPr>
          <w:w w:val="95"/>
        </w:rPr>
        <w:t>革委员会</w:t>
      </w:r>
      <w:r>
        <w:rPr>
          <w:rFonts w:ascii="宋体" w:hAnsi="宋体" w:cs="宋体" w:eastAsia="宋体" w:hint="default"/>
          <w:w w:val="95"/>
        </w:rPr>
        <w:t>2016</w:t>
      </w:r>
      <w:r>
        <w:rPr>
          <w:w w:val="95"/>
        </w:rPr>
        <w:t>年</w:t>
      </w:r>
      <w:r>
        <w:rPr>
          <w:rFonts w:ascii="宋体" w:hAnsi="宋体" w:cs="宋体" w:eastAsia="宋体" w:hint="default"/>
          <w:w w:val="95"/>
        </w:rPr>
        <w:t>3</w:t>
      </w:r>
      <w:r>
        <w:rPr>
          <w:w w:val="95"/>
        </w:rPr>
        <w:t>月最新颁布的银行卡扣率新政的逐步落地实施，我们认为电子支付收单服务的网络化融合趋势会进一步加</w:t>
      </w:r>
    </w:p>
    <w:p>
      <w:pPr>
        <w:spacing w:after="0" w:line="477" w:lineRule="auto"/>
        <w:jc w:val="righ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94"/>
        <w:jc w:val="left"/>
      </w:pPr>
      <w:r>
        <w:rPr/>
        <w:t>快，金融</w:t>
      </w:r>
      <w:r>
        <w:rPr>
          <w:rFonts w:ascii="宋体" w:hAnsi="宋体" w:cs="宋体" w:eastAsia="宋体" w:hint="default"/>
        </w:rPr>
        <w:t>POS</w:t>
      </w:r>
      <w:r>
        <w:rPr/>
        <w:t>设备支持网上交易的能力、智能化的要求更清晰，市场对设备厂商的软硬件综合服务能力要求更高。</w:t>
      </w:r>
    </w:p>
    <w:p>
      <w:pPr>
        <w:spacing w:line="240" w:lineRule="auto" w:before="10"/>
        <w:rPr>
          <w:rFonts w:ascii="宋体" w:hAnsi="宋体" w:cs="宋体" w:eastAsia="宋体" w:hint="default"/>
          <w:sz w:val="17"/>
          <w:szCs w:val="17"/>
        </w:rPr>
      </w:pPr>
    </w:p>
    <w:p>
      <w:pPr>
        <w:pStyle w:val="BodyText"/>
        <w:spacing w:line="477" w:lineRule="auto"/>
        <w:ind w:right="96" w:firstLine="360"/>
        <w:jc w:val="left"/>
      </w:pPr>
      <w:r>
        <w:rPr>
          <w:rFonts w:ascii="宋体" w:hAnsi="宋体" w:cs="宋体" w:eastAsia="宋体" w:hint="default"/>
        </w:rPr>
        <w:t>5</w:t>
      </w:r>
      <w:r>
        <w:rPr/>
        <w:t>）农信银支付清算系统业务笔数持续增长。</w:t>
      </w:r>
      <w:r>
        <w:rPr>
          <w:rFonts w:ascii="宋体" w:hAnsi="宋体" w:cs="宋体" w:eastAsia="宋体" w:hint="default"/>
        </w:rPr>
        <w:t>2015 </w:t>
      </w:r>
      <w:r>
        <w:rPr/>
        <w:t>年，农信银支付清算系统共处理业务</w:t>
      </w:r>
      <w:r>
        <w:rPr>
          <w:rFonts w:ascii="宋体" w:hAnsi="宋体" w:cs="宋体" w:eastAsia="宋体" w:hint="default"/>
        </w:rPr>
        <w:t>5.73 </w:t>
      </w:r>
      <w:r>
        <w:rPr/>
        <w:t>亿笔，金额</w:t>
      </w:r>
      <w:r>
        <w:rPr>
          <w:rFonts w:ascii="宋体" w:hAnsi="宋体" w:cs="宋体" w:eastAsia="宋体" w:hint="default"/>
        </w:rPr>
        <w:t>3.60</w:t>
      </w:r>
      <w:r>
        <w:rPr>
          <w:rFonts w:ascii="宋体" w:hAnsi="宋体" w:cs="宋体" w:eastAsia="宋体" w:hint="default"/>
          <w:spacing w:val="-2"/>
        </w:rPr>
        <w:t> </w:t>
      </w:r>
      <w:r>
        <w:rPr/>
        <w:t>万亿元， 同比分别增长</w:t>
      </w:r>
      <w:r>
        <w:rPr>
          <w:rFonts w:ascii="宋体" w:hAnsi="宋体" w:cs="宋体" w:eastAsia="宋体" w:hint="default"/>
        </w:rPr>
        <w:t>156.39%</w:t>
      </w:r>
      <w:r>
        <w:rPr/>
        <w:t>和</w:t>
      </w:r>
      <w:r>
        <w:rPr>
          <w:rFonts w:ascii="宋体" w:hAnsi="宋体" w:cs="宋体" w:eastAsia="宋体" w:hint="default"/>
        </w:rPr>
        <w:t>27.39%</w:t>
      </w:r>
      <w:r>
        <w:rPr/>
        <w:t>，分别占支付系统业务量的</w:t>
      </w:r>
      <w:r>
        <w:rPr>
          <w:rFonts w:ascii="宋体" w:hAnsi="宋体" w:cs="宋体" w:eastAsia="宋体" w:hint="default"/>
        </w:rPr>
        <w:t>1.22%</w:t>
      </w:r>
      <w:r>
        <w:rPr/>
        <w:t>和</w:t>
      </w:r>
      <w:r>
        <w:rPr>
          <w:rFonts w:ascii="宋体" w:hAnsi="宋体" w:cs="宋体" w:eastAsia="宋体" w:hint="default"/>
        </w:rPr>
        <w:t>0.08%</w:t>
      </w:r>
      <w:r>
        <w:rPr/>
        <w:t>。日均处理业务</w:t>
      </w:r>
      <w:r>
        <w:rPr>
          <w:rFonts w:ascii="宋体" w:hAnsi="宋体" w:cs="宋体" w:eastAsia="宋体" w:hint="default"/>
        </w:rPr>
        <w:t>156.96 </w:t>
      </w:r>
      <w:r>
        <w:rPr/>
        <w:t>万笔，金额</w:t>
      </w:r>
      <w:r>
        <w:rPr>
          <w:rFonts w:ascii="宋体" w:hAnsi="宋体" w:cs="宋体" w:eastAsia="宋体" w:hint="default"/>
        </w:rPr>
        <w:t>98.50</w:t>
      </w:r>
      <w:r>
        <w:rPr>
          <w:rFonts w:ascii="宋体" w:hAnsi="宋体" w:cs="宋体" w:eastAsia="宋体" w:hint="default"/>
          <w:spacing w:val="-9"/>
        </w:rPr>
        <w:t> </w:t>
      </w:r>
      <w:r>
        <w:rPr/>
        <w:t>亿元。</w:t>
      </w:r>
    </w:p>
    <w:p>
      <w:pPr>
        <w:pStyle w:val="BodyText"/>
        <w:spacing w:line="477" w:lineRule="auto" w:before="54"/>
        <w:ind w:right="94" w:firstLine="360"/>
        <w:jc w:val="left"/>
      </w:pPr>
      <w:r>
        <w:rPr>
          <w:spacing w:val="-2"/>
        </w:rPr>
        <w:t>上述数据显示，我国农村电子支付服务市场快速发展，但交易量和金额仅占支付体系总体量的零头，我国农村电子支付</w:t>
      </w:r>
      <w:r>
        <w:rPr/>
        <w:t> 服务市场值得持续关注。</w:t>
      </w:r>
    </w:p>
    <w:p>
      <w:pPr>
        <w:pStyle w:val="BodyText"/>
        <w:spacing w:line="477" w:lineRule="auto" w:before="54"/>
        <w:ind w:left="153" w:right="185" w:firstLine="359"/>
        <w:jc w:val="left"/>
      </w:pPr>
      <w:r>
        <w:rPr>
          <w:rFonts w:ascii="宋体" w:hAnsi="宋体" w:cs="宋体" w:eastAsia="宋体" w:hint="default"/>
        </w:rPr>
        <w:t>6</w:t>
      </w:r>
      <w:r>
        <w:rPr/>
        <w:t>）人民币跨境支付系统运行平稳。</w:t>
      </w:r>
      <w:r>
        <w:rPr>
          <w:rFonts w:ascii="宋体" w:hAnsi="宋体" w:cs="宋体" w:eastAsia="宋体" w:hint="default"/>
        </w:rPr>
        <w:t>2015</w:t>
      </w:r>
      <w:r>
        <w:rPr/>
        <w:t>年，人民币跨境支付系统处理业务</w:t>
      </w:r>
      <w:r>
        <w:rPr>
          <w:rFonts w:ascii="宋体" w:hAnsi="宋体" w:cs="宋体" w:eastAsia="宋体" w:hint="default"/>
        </w:rPr>
        <w:t>8.67</w:t>
      </w:r>
      <w:r>
        <w:rPr/>
        <w:t>万笔，金额</w:t>
      </w:r>
      <w:r>
        <w:rPr>
          <w:rFonts w:ascii="宋体" w:hAnsi="宋体" w:cs="宋体" w:eastAsia="宋体" w:hint="default"/>
        </w:rPr>
        <w:t>4</w:t>
      </w:r>
      <w:r>
        <w:rPr>
          <w:rFonts w:ascii="宋体" w:hAnsi="宋体" w:cs="宋体" w:eastAsia="宋体" w:hint="default"/>
          <w:spacing w:val="-1"/>
        </w:rPr>
        <w:t> </w:t>
      </w:r>
      <w:r>
        <w:rPr>
          <w:rFonts w:ascii="宋体" w:hAnsi="宋体" w:cs="宋体" w:eastAsia="宋体" w:hint="default"/>
        </w:rPr>
        <w:t>808.98</w:t>
      </w:r>
      <w:r>
        <w:rPr/>
        <w:t>亿元，日均处理业 务</w:t>
      </w:r>
      <w:r>
        <w:rPr>
          <w:rFonts w:ascii="宋体" w:hAnsi="宋体" w:cs="宋体" w:eastAsia="宋体" w:hint="default"/>
        </w:rPr>
        <w:t>0.14</w:t>
      </w:r>
      <w:r>
        <w:rPr/>
        <w:t>万笔，金额</w:t>
      </w:r>
      <w:r>
        <w:rPr>
          <w:rFonts w:ascii="宋体" w:hAnsi="宋体" w:cs="宋体" w:eastAsia="宋体" w:hint="default"/>
        </w:rPr>
        <w:t>77.56</w:t>
      </w:r>
      <w:r>
        <w:rPr/>
        <w:t>亿元。</w:t>
      </w:r>
    </w:p>
    <w:p>
      <w:pPr>
        <w:pStyle w:val="BodyText"/>
        <w:spacing w:line="477" w:lineRule="auto" w:before="54"/>
        <w:ind w:left="153" w:right="94" w:firstLine="360"/>
        <w:jc w:val="left"/>
      </w:pPr>
      <w:r>
        <w:rPr>
          <w:spacing w:val="-2"/>
        </w:rPr>
        <w:t>上述数据显示，我国人民币跨境支付的交易业务量和金额均很少，这可能是非金融支付机构在处理跨境交易时，统计上</w:t>
      </w:r>
      <w:r>
        <w:rPr/>
        <w:t> </w:t>
      </w:r>
      <w:r>
        <w:rPr>
          <w:spacing w:val="-4"/>
        </w:rPr>
        <w:t>未能计入央行的人民币跨境支付业务，但基于中国人们出国旅游、教育、购物和投资带来的人民币跨境结算服务市场的增长，</w:t>
      </w:r>
      <w:r>
        <w:rPr>
          <w:spacing w:val="-44"/>
        </w:rPr>
        <w:t> </w:t>
      </w:r>
      <w:r>
        <w:rPr>
          <w:spacing w:val="-44"/>
        </w:rPr>
      </w:r>
      <w:r>
        <w:rPr>
          <w:spacing w:val="-2"/>
        </w:rPr>
        <w:t>人民币在全球货币结算体系中的使用频率已经超过港币、加拿大元和澳元，仅次于美元、欧元、英镑和日元。因此，我们看</w:t>
      </w:r>
      <w:r>
        <w:rPr>
          <w:spacing w:val="-68"/>
        </w:rPr>
        <w:t> </w:t>
      </w:r>
      <w:r>
        <w:rPr>
          <w:spacing w:val="-68"/>
        </w:rPr>
      </w:r>
      <w:r>
        <w:rPr/>
        <w:t>好基于银联卡的电子结算服务在海外市场的发展，以及由此带来的中国电子支付受理厂商在全球市场的发展机遇。</w:t>
      </w:r>
    </w:p>
    <w:p>
      <w:pPr>
        <w:pStyle w:val="BodyText"/>
        <w:spacing w:line="240" w:lineRule="auto" w:before="54"/>
        <w:ind w:left="153" w:right="94"/>
        <w:jc w:val="left"/>
      </w:pPr>
      <w:r>
        <w:rPr/>
        <w:t>（</w:t>
      </w:r>
      <w:r>
        <w:rPr>
          <w:rFonts w:ascii="宋体" w:hAnsi="宋体" w:cs="宋体" w:eastAsia="宋体" w:hint="default"/>
        </w:rPr>
        <w:t>3</w:t>
      </w:r>
      <w:r>
        <w:rPr/>
        <w:t>）电子支付产业发展趋势</w:t>
      </w:r>
    </w:p>
    <w:p>
      <w:pPr>
        <w:spacing w:line="240" w:lineRule="auto" w:before="10"/>
        <w:rPr>
          <w:rFonts w:ascii="宋体" w:hAnsi="宋体" w:cs="宋体" w:eastAsia="宋体" w:hint="default"/>
          <w:sz w:val="17"/>
          <w:szCs w:val="17"/>
        </w:rPr>
      </w:pPr>
    </w:p>
    <w:p>
      <w:pPr>
        <w:pStyle w:val="BodyText"/>
        <w:spacing w:line="477" w:lineRule="auto"/>
        <w:ind w:left="513" w:right="94"/>
        <w:jc w:val="left"/>
      </w:pPr>
      <w:r>
        <w:rPr>
          <w:rFonts w:ascii="宋体" w:hAnsi="宋体" w:cs="宋体" w:eastAsia="宋体" w:hint="default"/>
        </w:rPr>
        <w:t>1</w:t>
      </w:r>
      <w:r>
        <w:rPr/>
        <w:t>）电子支付服务与金融服务的融合 </w:t>
      </w:r>
      <w:r>
        <w:rPr>
          <w:spacing w:val="-2"/>
        </w:rPr>
        <w:t>电子支付实现了资金流动和支付行为的分类，所以各家支付机构除了提供基础的支付服务，凭借其积累的不同类型的核</w:t>
      </w:r>
    </w:p>
    <w:p>
      <w:pPr>
        <w:pStyle w:val="BodyText"/>
        <w:spacing w:line="477" w:lineRule="auto" w:before="54"/>
        <w:ind w:left="153" w:right="94"/>
        <w:jc w:val="left"/>
      </w:pPr>
      <w:r>
        <w:rPr>
          <w:spacing w:val="-2"/>
        </w:rPr>
        <w:t>心用户，将相关支付数据价值深入挖掘，通过向企业和消费者两个方向提供服务加以变现，致力于向客户提供丰富的增值服</w:t>
      </w:r>
      <w:r>
        <w:rPr>
          <w:spacing w:val="-63"/>
        </w:rPr>
        <w:t> </w:t>
      </w:r>
      <w:r>
        <w:rPr>
          <w:spacing w:val="-63"/>
        </w:rPr>
      </w:r>
      <w:r>
        <w:rPr>
          <w:spacing w:val="-2"/>
        </w:rPr>
        <w:t>务，如缴费、还款、授信以及金融产品和服务，提升用户满意度和粘性。以余额宝为代表的</w:t>
      </w:r>
      <w:r>
        <w:rPr>
          <w:rFonts w:ascii="宋体" w:hAnsi="宋体" w:cs="宋体" w:eastAsia="宋体" w:hint="default"/>
          <w:spacing w:val="-2"/>
        </w:rPr>
        <w:t>“</w:t>
      </w:r>
      <w:r>
        <w:rPr>
          <w:spacing w:val="-2"/>
        </w:rPr>
        <w:t>第三方支付</w:t>
      </w:r>
      <w:r>
        <w:rPr>
          <w:rFonts w:ascii="宋体" w:hAnsi="宋体" w:cs="宋体" w:eastAsia="宋体" w:hint="default"/>
          <w:spacing w:val="-2"/>
        </w:rPr>
        <w:t>+</w:t>
      </w:r>
      <w:r>
        <w:rPr>
          <w:spacing w:val="-2"/>
        </w:rPr>
        <w:t>货币市场基金</w:t>
      </w:r>
      <w:r>
        <w:rPr>
          <w:rFonts w:ascii="宋体" w:hAnsi="宋体" w:cs="宋体" w:eastAsia="宋体" w:hint="default"/>
          <w:spacing w:val="-2"/>
        </w:rPr>
        <w:t>”</w:t>
      </w:r>
      <w:r>
        <w:rPr>
          <w:spacing w:val="-2"/>
        </w:rPr>
        <w:t>，</w:t>
      </w:r>
      <w:r>
        <w:rPr>
          <w:spacing w:val="-69"/>
        </w:rPr>
        <w:t> </w:t>
      </w:r>
      <w:r>
        <w:rPr/>
        <w:t>即是使理财投资与支付交易的界限、金融产品与货币的界限被突破。</w:t>
      </w:r>
    </w:p>
    <w:p>
      <w:pPr>
        <w:pStyle w:val="BodyText"/>
        <w:spacing w:line="240" w:lineRule="auto" w:before="54"/>
        <w:ind w:left="513" w:right="94"/>
        <w:jc w:val="left"/>
        <w:rPr>
          <w:rFonts w:ascii="宋体" w:hAnsi="宋体" w:cs="宋体" w:eastAsia="宋体" w:hint="default"/>
        </w:rPr>
      </w:pPr>
      <w:r>
        <w:rPr>
          <w:rFonts w:ascii="宋体" w:hAnsi="宋体" w:cs="宋体" w:eastAsia="宋体" w:hint="default"/>
        </w:rPr>
        <w:t>2</w:t>
      </w:r>
      <w:r>
        <w:rPr/>
        <w:t>）移动互联网的发展，使电子支付服务成为各大网络平台商的</w:t>
      </w:r>
      <w:r>
        <w:rPr>
          <w:rFonts w:ascii="宋体" w:hAnsi="宋体" w:cs="宋体" w:eastAsia="宋体" w:hint="default"/>
        </w:rPr>
        <w:t>“</w:t>
      </w:r>
      <w:r>
        <w:rPr/>
        <w:t>标配</w:t>
      </w:r>
      <w:r>
        <w:rPr>
          <w:rFonts w:ascii="宋体" w:hAnsi="宋体" w:cs="宋体" w:eastAsia="宋体" w:hint="default"/>
        </w:rPr>
        <w:t>”</w:t>
      </w:r>
    </w:p>
    <w:p>
      <w:pPr>
        <w:spacing w:line="240" w:lineRule="auto" w:before="10"/>
        <w:rPr>
          <w:rFonts w:ascii="宋体" w:hAnsi="宋体" w:cs="宋体" w:eastAsia="宋体" w:hint="default"/>
          <w:sz w:val="17"/>
          <w:szCs w:val="17"/>
        </w:rPr>
      </w:pPr>
    </w:p>
    <w:p>
      <w:pPr>
        <w:pStyle w:val="BodyText"/>
        <w:spacing w:line="477" w:lineRule="auto"/>
        <w:ind w:left="153" w:right="94" w:firstLine="360"/>
        <w:jc w:val="left"/>
      </w:pPr>
      <w:r>
        <w:rPr>
          <w:spacing w:val="-2"/>
        </w:rPr>
        <w:t>中国网络经济市场规模发展非常迅速，为电子支付行业的发展提供了良好的交易环境丰富了交易场景，预计未来网络经</w:t>
      </w:r>
      <w:r>
        <w:rPr/>
        <w:t> 济仍然将保持较高增速而持续的增长。</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4530" w:lineRule="exact"/>
        <w:ind w:left="160"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340533" cy="28765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5340533" cy="287655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7"/>
        <w:rPr>
          <w:rFonts w:ascii="宋体" w:hAnsi="宋体" w:cs="宋体" w:eastAsia="宋体" w:hint="default"/>
          <w:sz w:val="8"/>
          <w:szCs w:val="8"/>
        </w:rPr>
      </w:pPr>
    </w:p>
    <w:p>
      <w:pPr>
        <w:pStyle w:val="BodyText"/>
        <w:spacing w:line="477" w:lineRule="auto" w:before="44"/>
        <w:ind w:left="512" w:right="187"/>
        <w:jc w:val="left"/>
        <w:rPr>
          <w:rFonts w:ascii="宋体" w:hAnsi="宋体" w:cs="宋体" w:eastAsia="宋体" w:hint="default"/>
        </w:rPr>
      </w:pPr>
      <w:r>
        <w:rPr/>
        <w:t>资料来源：艾瑞咨询《</w:t>
      </w:r>
      <w:r>
        <w:rPr>
          <w:rFonts w:ascii="宋体" w:hAnsi="宋体" w:cs="宋体" w:eastAsia="宋体" w:hint="default"/>
        </w:rPr>
        <w:t>2015</w:t>
      </w:r>
      <w:r>
        <w:rPr/>
        <w:t>年中国电子支付行业研究报告》 </w:t>
      </w:r>
      <w:r>
        <w:rPr>
          <w:spacing w:val="-3"/>
        </w:rPr>
        <w:t>根据东方财富</w:t>
      </w:r>
      <w:r>
        <w:rPr>
          <w:rFonts w:ascii="宋体" w:hAnsi="宋体" w:cs="宋体" w:eastAsia="宋体" w:hint="default"/>
          <w:spacing w:val="-3"/>
        </w:rPr>
        <w:t>Choice</w:t>
      </w:r>
      <w:r>
        <w:rPr>
          <w:spacing w:val="-3"/>
        </w:rPr>
        <w:t>数据显示，</w:t>
      </w:r>
      <w:r>
        <w:rPr>
          <w:rFonts w:ascii="宋体" w:hAnsi="宋体" w:cs="宋体" w:eastAsia="宋体" w:hint="default"/>
          <w:spacing w:val="-3"/>
        </w:rPr>
        <w:t>2010</w:t>
      </w:r>
      <w:r>
        <w:rPr>
          <w:spacing w:val="-3"/>
        </w:rPr>
        <w:t>年到</w:t>
      </w:r>
      <w:r>
        <w:rPr>
          <w:rFonts w:ascii="宋体" w:hAnsi="宋体" w:cs="宋体" w:eastAsia="宋体" w:hint="default"/>
          <w:spacing w:val="-3"/>
        </w:rPr>
        <w:t>2015</w:t>
      </w:r>
      <w:r>
        <w:rPr>
          <w:spacing w:val="-3"/>
        </w:rPr>
        <w:t>年中国整体网民和手机网民规模进入稳定增长时期，整体网民数量达到</w:t>
      </w:r>
      <w:r>
        <w:rPr>
          <w:rFonts w:ascii="宋体" w:hAnsi="宋体" w:cs="宋体" w:eastAsia="宋体" w:hint="default"/>
          <w:spacing w:val="-3"/>
        </w:rPr>
        <w:t>6.9</w:t>
      </w:r>
      <w:r>
        <w:rPr>
          <w:rFonts w:ascii="宋体" w:hAnsi="宋体" w:cs="宋体" w:eastAsia="宋体" w:hint="default"/>
        </w:rPr>
      </w:r>
    </w:p>
    <w:p>
      <w:pPr>
        <w:pStyle w:val="BodyText"/>
        <w:spacing w:line="477" w:lineRule="auto" w:before="54"/>
        <w:ind w:right="94"/>
        <w:jc w:val="left"/>
      </w:pPr>
      <w:r>
        <w:rPr/>
        <w:t>亿，实现了</w:t>
      </w:r>
      <w:r>
        <w:rPr>
          <w:rFonts w:ascii="宋体" w:hAnsi="宋体" w:cs="宋体" w:eastAsia="宋体" w:hint="default"/>
        </w:rPr>
        <w:t>10.3%</w:t>
      </w:r>
      <w:r>
        <w:rPr/>
        <w:t>年均增长率，手机网民数量则达到</w:t>
      </w:r>
      <w:r>
        <w:rPr>
          <w:rFonts w:ascii="宋体" w:hAnsi="宋体" w:cs="宋体" w:eastAsia="宋体" w:hint="default"/>
        </w:rPr>
        <w:t>6.2</w:t>
      </w:r>
      <w:r>
        <w:rPr/>
        <w:t>亿，实现了</w:t>
      </w:r>
      <w:r>
        <w:rPr>
          <w:rFonts w:ascii="宋体" w:hAnsi="宋体" w:cs="宋体" w:eastAsia="宋体" w:hint="default"/>
        </w:rPr>
        <w:t>17.9%</w:t>
      </w:r>
      <w:r>
        <w:rPr/>
        <w:t>的年均增长，互联网普及率于</w:t>
      </w:r>
      <w:r>
        <w:rPr>
          <w:rFonts w:ascii="宋体" w:hAnsi="宋体" w:cs="宋体" w:eastAsia="宋体" w:hint="default"/>
        </w:rPr>
        <w:t>2015</w:t>
      </w:r>
      <w:r>
        <w:rPr/>
        <w:t>年底达到</w:t>
      </w:r>
      <w:r>
        <w:rPr>
          <w:rFonts w:ascii="宋体" w:hAnsi="宋体" w:cs="宋体" w:eastAsia="宋体" w:hint="default"/>
        </w:rPr>
        <w:t>50.3%</w:t>
      </w:r>
      <w:r>
        <w:rPr/>
        <w:t>。 </w:t>
      </w:r>
      <w:r>
        <w:rPr>
          <w:spacing w:val="-2"/>
        </w:rPr>
        <w:t>中国电子支付市场规模则以更高的速度在增长，</w:t>
      </w:r>
      <w:r>
        <w:rPr>
          <w:rFonts w:ascii="宋体" w:hAnsi="宋体" w:cs="宋体" w:eastAsia="宋体" w:hint="default"/>
          <w:spacing w:val="-2"/>
        </w:rPr>
        <w:t>2015</w:t>
      </w:r>
      <w:r>
        <w:rPr>
          <w:spacing w:val="-2"/>
        </w:rPr>
        <w:t>年前三季度，我国网上支付金额达到</w:t>
      </w:r>
      <w:r>
        <w:rPr>
          <w:rFonts w:ascii="宋体" w:hAnsi="宋体" w:cs="宋体" w:eastAsia="宋体" w:hint="default"/>
          <w:spacing w:val="-2"/>
        </w:rPr>
        <w:t>8.32</w:t>
      </w:r>
      <w:r>
        <w:rPr>
          <w:spacing w:val="-2"/>
        </w:rPr>
        <w:t>万亿，网络购物金额达到</w:t>
      </w:r>
      <w:r>
        <w:rPr>
          <w:rFonts w:ascii="宋体" w:hAnsi="宋体" w:cs="宋体" w:eastAsia="宋体" w:hint="default"/>
          <w:spacing w:val="-2"/>
        </w:rPr>
        <w:t>8.32</w:t>
      </w:r>
      <w:r>
        <w:rPr>
          <w:rFonts w:ascii="宋体" w:hAnsi="宋体" w:cs="宋体" w:eastAsia="宋体" w:hint="default"/>
          <w:spacing w:val="-58"/>
        </w:rPr>
        <w:t> </w:t>
      </w:r>
      <w:r>
        <w:rPr>
          <w:rFonts w:ascii="宋体" w:hAnsi="宋体" w:cs="宋体" w:eastAsia="宋体" w:hint="default"/>
          <w:spacing w:val="-58"/>
        </w:rPr>
      </w:r>
      <w:r>
        <w:rPr/>
        <w:t>万亿，移动购物金额</w:t>
      </w:r>
      <w:r>
        <w:rPr>
          <w:rFonts w:ascii="宋体" w:hAnsi="宋体" w:cs="宋体" w:eastAsia="宋体" w:hint="default"/>
        </w:rPr>
        <w:t>1.32</w:t>
      </w:r>
      <w:r>
        <w:rPr/>
        <w:t>万亿，分别同比增长</w:t>
      </w:r>
      <w:r>
        <w:rPr>
          <w:rFonts w:ascii="宋体" w:hAnsi="宋体" w:cs="宋体" w:eastAsia="宋体" w:hint="default"/>
        </w:rPr>
        <w:t>45.21%</w:t>
      </w:r>
      <w:r>
        <w:rPr/>
        <w:t>、</w:t>
      </w:r>
      <w:r>
        <w:rPr>
          <w:rFonts w:ascii="宋体" w:hAnsi="宋体" w:cs="宋体" w:eastAsia="宋体" w:hint="default"/>
        </w:rPr>
        <w:t>43.39%</w:t>
      </w:r>
      <w:r>
        <w:rPr/>
        <w:t>和</w:t>
      </w:r>
      <w:r>
        <w:rPr>
          <w:rFonts w:ascii="宋体" w:hAnsi="宋体" w:cs="宋体" w:eastAsia="宋体" w:hint="default"/>
        </w:rPr>
        <w:t>136.16%</w:t>
      </w:r>
      <w:r>
        <w:rPr/>
        <w:t>，且网上支付和移动购物</w:t>
      </w:r>
      <w:r>
        <w:rPr>
          <w:rFonts w:ascii="宋体" w:hAnsi="宋体" w:cs="宋体" w:eastAsia="宋体" w:hint="default"/>
        </w:rPr>
        <w:t>2015</w:t>
      </w:r>
      <w:r>
        <w:rPr/>
        <w:t>年前三季度累计金额 已经超过</w:t>
      </w:r>
      <w:r>
        <w:rPr>
          <w:rFonts w:ascii="宋体" w:hAnsi="宋体" w:cs="宋体" w:eastAsia="宋体" w:hint="default"/>
        </w:rPr>
        <w:t>2014</w:t>
      </w:r>
      <w:r>
        <w:rPr/>
        <w:t>年全年水平。</w:t>
      </w:r>
    </w:p>
    <w:p>
      <w:pPr>
        <w:spacing w:line="240" w:lineRule="auto" w:before="9"/>
        <w:rPr>
          <w:rFonts w:ascii="宋体" w:hAnsi="宋体" w:cs="宋体" w:eastAsia="宋体" w:hint="default"/>
          <w:sz w:val="8"/>
          <w:szCs w:val="8"/>
        </w:rPr>
      </w:pPr>
    </w:p>
    <w:p>
      <w:pPr>
        <w:spacing w:line="5025" w:lineRule="exact"/>
        <w:ind w:left="160"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238343" cy="31908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238343" cy="319087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1"/>
        <w:rPr>
          <w:rFonts w:ascii="宋体" w:hAnsi="宋体" w:cs="宋体" w:eastAsia="宋体" w:hint="default"/>
          <w:sz w:val="16"/>
          <w:szCs w:val="16"/>
        </w:rPr>
      </w:pPr>
    </w:p>
    <w:p>
      <w:pPr>
        <w:pStyle w:val="BodyText"/>
        <w:spacing w:line="240" w:lineRule="auto"/>
        <w:ind w:right="94"/>
        <w:jc w:val="left"/>
      </w:pPr>
      <w:r>
        <w:rPr/>
        <w:t>资料来源：东方财富</w:t>
      </w:r>
      <w:r>
        <w:rPr>
          <w:rFonts w:ascii="宋体" w:hAnsi="宋体" w:cs="宋体" w:eastAsia="宋体" w:hint="default"/>
        </w:rPr>
        <w:t>Choice</w:t>
      </w:r>
      <w:r>
        <w:rPr/>
        <w:t>数据、新国都整理</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5790" w:lineRule="exact"/>
        <w:ind w:left="160"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5256891" cy="36766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5256891" cy="3676650"/>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2"/>
        <w:rPr>
          <w:rFonts w:ascii="宋体" w:hAnsi="宋体" w:cs="宋体" w:eastAsia="宋体" w:hint="default"/>
          <w:sz w:val="8"/>
          <w:szCs w:val="8"/>
        </w:rPr>
      </w:pPr>
    </w:p>
    <w:p>
      <w:pPr>
        <w:pStyle w:val="BodyText"/>
        <w:spacing w:line="477" w:lineRule="auto" w:before="44"/>
        <w:ind w:left="512" w:right="0" w:hanging="360"/>
        <w:jc w:val="left"/>
      </w:pPr>
      <w:r>
        <w:rPr/>
        <w:t>资料来源：东方财富</w:t>
      </w:r>
      <w:r>
        <w:rPr>
          <w:rFonts w:ascii="宋体" w:hAnsi="宋体" w:cs="宋体" w:eastAsia="宋体" w:hint="default"/>
        </w:rPr>
        <w:t>Choice</w:t>
      </w:r>
      <w:r>
        <w:rPr/>
        <w:t>数据、新国都整理 </w:t>
      </w:r>
      <w:r>
        <w:rPr>
          <w:spacing w:val="-2"/>
        </w:rPr>
        <w:t>互联网经济模式经过二十多年的发展，主要的商业模式基本形成，各大领域均已形成运营巨头，各大运营平台厂商为了</w:t>
      </w:r>
    </w:p>
    <w:p>
      <w:pPr>
        <w:pStyle w:val="BodyText"/>
        <w:spacing w:line="477" w:lineRule="auto" w:before="54"/>
        <w:ind w:right="153"/>
        <w:jc w:val="both"/>
      </w:pPr>
      <w:r>
        <w:rPr>
          <w:spacing w:val="-2"/>
        </w:rPr>
        <w:t>提高其平台用户的服务体验、提升流量变现的转化率，结合其业务模式深度定制的电子支付工具和结算体系成为这些平台商</w:t>
      </w:r>
      <w:r>
        <w:rPr>
          <w:spacing w:val="-64"/>
        </w:rPr>
        <w:t> </w:t>
      </w:r>
      <w:r>
        <w:rPr>
          <w:spacing w:val="-64"/>
        </w:rPr>
      </w:r>
      <w:r>
        <w:rPr>
          <w:spacing w:val="-2"/>
        </w:rPr>
        <w:t>的</w:t>
      </w:r>
      <w:r>
        <w:rPr>
          <w:rFonts w:ascii="宋体" w:hAnsi="宋体" w:cs="宋体" w:eastAsia="宋体" w:hint="default"/>
          <w:spacing w:val="-2"/>
        </w:rPr>
        <w:t>“</w:t>
      </w:r>
      <w:r>
        <w:rPr>
          <w:spacing w:val="-2"/>
        </w:rPr>
        <w:t>标配</w:t>
      </w:r>
      <w:r>
        <w:rPr>
          <w:rFonts w:ascii="宋体" w:hAnsi="宋体" w:cs="宋体" w:eastAsia="宋体" w:hint="default"/>
          <w:spacing w:val="-2"/>
        </w:rPr>
        <w:t>”</w:t>
      </w:r>
      <w:r>
        <w:rPr>
          <w:spacing w:val="-2"/>
        </w:rPr>
        <w:t>。电子支付技术和产品供应厂商凭借其多年来的电子支付技术和产品开发经验，为这些平台厂商提供深度定制的</w:t>
      </w:r>
      <w:r>
        <w:rPr>
          <w:spacing w:val="-66"/>
        </w:rPr>
        <w:t> </w:t>
      </w:r>
      <w:r>
        <w:rPr>
          <w:spacing w:val="-66"/>
        </w:rPr>
      </w:r>
      <w:r>
        <w:rPr/>
        <w:t>电子支付技术综合解决方案，并结合其支付数据与平台厂商开展联合运营服务。</w:t>
      </w:r>
    </w:p>
    <w:p>
      <w:pPr>
        <w:pStyle w:val="BodyText"/>
        <w:spacing w:line="477" w:lineRule="auto" w:before="54"/>
        <w:ind w:left="512" w:right="144"/>
        <w:jc w:val="left"/>
      </w:pPr>
      <w:r>
        <w:rPr>
          <w:rFonts w:ascii="宋体" w:hAnsi="宋体" w:cs="宋体" w:eastAsia="宋体" w:hint="default"/>
        </w:rPr>
        <w:t>3</w:t>
      </w:r>
      <w:r>
        <w:rPr/>
        <w:t>）银行卡扣率新政推动电子支付服务差异化运营 随着</w:t>
      </w:r>
      <w:r>
        <w:rPr>
          <w:rFonts w:ascii="宋体" w:hAnsi="宋体" w:cs="宋体" w:eastAsia="宋体" w:hint="default"/>
        </w:rPr>
        <w:t>2016</w:t>
      </w:r>
      <w:r>
        <w:rPr/>
        <w:t>年</w:t>
      </w:r>
      <w:r>
        <w:rPr>
          <w:rFonts w:ascii="宋体" w:hAnsi="宋体" w:cs="宋体" w:eastAsia="宋体" w:hint="default"/>
        </w:rPr>
        <w:t>9</w:t>
      </w:r>
      <w:r>
        <w:rPr/>
        <w:t>月，银行卡扣率政策的落地实施，我们预计电子支付的线上线下融合趋势将更加明显，电子支付服务的渠</w:t>
      </w:r>
    </w:p>
    <w:p>
      <w:pPr>
        <w:pStyle w:val="BodyText"/>
        <w:spacing w:line="477" w:lineRule="auto" w:before="54"/>
        <w:ind w:right="150"/>
        <w:jc w:val="both"/>
      </w:pPr>
      <w:r>
        <w:rPr>
          <w:spacing w:val="-2"/>
        </w:rPr>
        <w:t>道化和功能化的属性越来越清晰，一方面具备一定商户体量的收单服务机构将开始向增值应用服务拓展，以提升为商户服务</w:t>
      </w:r>
      <w:r>
        <w:rPr>
          <w:spacing w:val="-64"/>
        </w:rPr>
        <w:t> </w:t>
      </w:r>
      <w:r>
        <w:rPr>
          <w:spacing w:val="-64"/>
        </w:rPr>
      </w:r>
      <w:r>
        <w:rPr>
          <w:spacing w:val="-2"/>
        </w:rPr>
        <w:t>的价值；另一方面，电子支付服务的标准化竞争已经非常明显，很多具备一定体量的收单服务机构，纷纷搭建自己的支付结</w:t>
      </w:r>
      <w:r>
        <w:rPr>
          <w:spacing w:val="-64"/>
        </w:rPr>
        <w:t> </w:t>
      </w:r>
      <w:r>
        <w:rPr>
          <w:spacing w:val="-64"/>
        </w:rPr>
      </w:r>
      <w:r>
        <w:rPr/>
        <w:t>算平台，深度结合其增值服务，搭建个性化、定制化的电子支付结算体系。</w:t>
      </w:r>
    </w:p>
    <w:p>
      <w:pPr>
        <w:pStyle w:val="BodyText"/>
        <w:spacing w:line="477" w:lineRule="auto" w:before="54"/>
        <w:ind w:left="512" w:right="0"/>
        <w:jc w:val="left"/>
      </w:pPr>
      <w:r>
        <w:rPr>
          <w:rFonts w:ascii="宋体" w:hAnsi="宋体" w:cs="宋体" w:eastAsia="宋体" w:hint="default"/>
        </w:rPr>
        <w:t>4</w:t>
      </w:r>
      <w:r>
        <w:rPr/>
        <w:t>）科学技术的进步将进一步加快电子支付服务行业的升级换代 </w:t>
      </w:r>
      <w:r>
        <w:rPr>
          <w:spacing w:val="-2"/>
        </w:rPr>
        <w:t>中国电子支付行业的技术标准不断完善，为促进电子支付行业的健康发展提供了技术支持和保障。首先，安全性上，通</w:t>
      </w:r>
    </w:p>
    <w:p>
      <w:pPr>
        <w:pStyle w:val="BodyText"/>
        <w:spacing w:line="477" w:lineRule="auto" w:before="54"/>
        <w:ind w:right="150"/>
        <w:jc w:val="both"/>
      </w:pPr>
      <w:r>
        <w:rPr>
          <w:spacing w:val="-2"/>
        </w:rPr>
        <w:t>过数据加密技术、数据签名技术、安全应用协议及安全认证体系等基础安全技术，使得电子支付过程中的用户信息及交易信</w:t>
      </w:r>
      <w:r>
        <w:rPr>
          <w:spacing w:val="-63"/>
        </w:rPr>
        <w:t> </w:t>
      </w:r>
      <w:r>
        <w:rPr>
          <w:spacing w:val="-63"/>
        </w:rPr>
      </w:r>
      <w:r>
        <w:rPr>
          <w:spacing w:val="-2"/>
        </w:rPr>
        <w:t>息得到保护，确保安全；其次，便捷性上，通过支付应用技术，网络技术，设备技术，认证技术等多种支付技术相结合，能</w:t>
      </w:r>
      <w:r>
        <w:rPr>
          <w:spacing w:val="-65"/>
        </w:rPr>
        <w:t> </w:t>
      </w:r>
      <w:r>
        <w:rPr>
          <w:spacing w:val="-65"/>
        </w:rPr>
      </w:r>
      <w:r>
        <w:rPr/>
        <w:t>够在确保支付交易安全进行的前提下，提高电子支付的便捷性，使得电子支付的效率大大提高。</w:t>
      </w:r>
    </w:p>
    <w:p>
      <w:pPr>
        <w:pStyle w:val="BodyText"/>
        <w:spacing w:line="477" w:lineRule="auto" w:before="54"/>
        <w:ind w:right="0" w:firstLine="360"/>
        <w:jc w:val="left"/>
      </w:pPr>
      <w:r>
        <w:rPr>
          <w:spacing w:val="-2"/>
        </w:rPr>
        <w:t>生物特征识别技术、物联网技术在电子支付领域的应用，将进一步加快电子支付服务行业的技术和产品的升级换代；征</w:t>
      </w:r>
      <w:r>
        <w:rPr/>
        <w:t> 信服务在电子支付领域的引入也将进一步提升电子支付领域的风控能力和成本，提升电子支付服务的运营效率。</w:t>
      </w:r>
    </w:p>
    <w:p>
      <w:pPr>
        <w:spacing w:after="0" w:line="47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jc w:val="left"/>
      </w:pPr>
      <w:r>
        <w:rPr>
          <w:rFonts w:ascii="宋体" w:hAnsi="宋体" w:cs="宋体" w:eastAsia="宋体" w:hint="default"/>
        </w:rPr>
        <w:t>5</w:t>
      </w:r>
      <w:r>
        <w:rPr/>
        <w:t>）生物信息识别技术、远程身份认证技术会成为电子支付服务领域的重要环节 随着电子支付的发展和账户虚拟化的趋势，繁多的账户给人的支付活动和生活造成困扰，不仅引起社会运行效率低下，</w:t>
      </w:r>
    </w:p>
    <w:p>
      <w:pPr>
        <w:pStyle w:val="BodyText"/>
        <w:spacing w:line="477" w:lineRule="auto" w:before="54"/>
        <w:ind w:right="191"/>
        <w:jc w:val="both"/>
      </w:pPr>
      <w:r>
        <w:rPr>
          <w:spacing w:val="-2"/>
        </w:rPr>
        <w:t>还给消费者和商户带来管理成本的增加。账户本质上是服务与权益的存储和支取，账户就是人的体现，账户属性对应着人的</w:t>
      </w:r>
      <w:r>
        <w:rPr>
          <w:spacing w:val="-63"/>
        </w:rPr>
        <w:t> </w:t>
      </w:r>
      <w:r>
        <w:rPr>
          <w:spacing w:val="-63"/>
        </w:rPr>
      </w:r>
      <w:r>
        <w:rPr/>
        <w:t>特定属性，如身份证和公共缴费账户对应着人的身份和社会属性，通讯账户和</w:t>
      </w:r>
      <w:r>
        <w:rPr>
          <w:rFonts w:ascii="宋体" w:hAnsi="宋体" w:cs="宋体" w:eastAsia="宋体" w:hint="default"/>
        </w:rPr>
        <w:t>SNS</w:t>
      </w:r>
      <w:r>
        <w:rPr/>
        <w:t>账户对应着人的真实和虚拟社交属性，银 行等金融机构账户对应着人的金融属性等，人的生物属性就是能贯通和验证这些属性的独特标识。</w:t>
      </w:r>
    </w:p>
    <w:p>
      <w:pPr>
        <w:pStyle w:val="BodyText"/>
        <w:spacing w:line="477" w:lineRule="auto" w:before="54"/>
        <w:ind w:right="94" w:firstLine="360"/>
        <w:jc w:val="left"/>
      </w:pPr>
      <w:r>
        <w:rPr/>
        <w:t>如何将生物信息识别技术、远程身份认证技术引入电子支付服务领域，并与现有电子支付结算业务和监管流程相结合， </w:t>
      </w:r>
      <w:r>
        <w:rPr>
          <w:spacing w:val="-2"/>
        </w:rPr>
        <w:t>从而有效降低电子支付行业的综合业务和管理成本，提升电子支付服务乃至整个金融体系风险控制水平，是摆在所有电子支</w:t>
      </w:r>
      <w:r>
        <w:rPr>
          <w:spacing w:val="-64"/>
        </w:rPr>
        <w:t> </w:t>
      </w:r>
      <w:r>
        <w:rPr>
          <w:spacing w:val="-64"/>
        </w:rPr>
      </w:r>
      <w:r>
        <w:rPr/>
        <w:t>付行业参与者面前的重要课题。</w:t>
      </w:r>
    </w:p>
    <w:p>
      <w:pPr>
        <w:pStyle w:val="BodyText"/>
        <w:spacing w:line="477" w:lineRule="auto" w:before="54"/>
        <w:ind w:left="512" w:right="94"/>
        <w:jc w:val="left"/>
      </w:pPr>
      <w:r>
        <w:rPr>
          <w:rFonts w:ascii="宋体" w:hAnsi="宋体" w:cs="宋体" w:eastAsia="宋体" w:hint="default"/>
        </w:rPr>
        <w:t>6</w:t>
      </w:r>
      <w:r>
        <w:rPr/>
        <w:t>）支付入口场景的多样化，带来电子支付服务模式和技术服务的创新 </w:t>
      </w:r>
      <w:r>
        <w:rPr>
          <w:spacing w:val="-2"/>
        </w:rPr>
        <w:t>随着电子支付成为是平台运营厂商的必备项，各大运营平台为了提高用户黏性，通过支付场景的设计，加强用户资源的</w:t>
      </w:r>
    </w:p>
    <w:p>
      <w:pPr>
        <w:pStyle w:val="BodyText"/>
        <w:spacing w:line="477" w:lineRule="auto" w:before="54"/>
        <w:ind w:right="104"/>
        <w:jc w:val="both"/>
      </w:pPr>
      <w:r>
        <w:rPr>
          <w:spacing w:val="-2"/>
        </w:rPr>
        <w:t>争夺，线上线下、</w:t>
      </w:r>
      <w:r>
        <w:rPr>
          <w:rFonts w:ascii="宋体" w:hAnsi="宋体" w:cs="宋体" w:eastAsia="宋体" w:hint="default"/>
          <w:spacing w:val="-2"/>
        </w:rPr>
        <w:t>O2O</w:t>
      </w:r>
      <w:r>
        <w:rPr>
          <w:spacing w:val="-2"/>
        </w:rPr>
        <w:t>的支付方式的界限越来越模糊，各种消费场景的支付方式多样化。用户在哪里支付，用什么工具支付，</w:t>
      </w:r>
      <w:r>
        <w:rPr>
          <w:spacing w:val="-64"/>
        </w:rPr>
        <w:t> </w:t>
      </w:r>
      <w:r>
        <w:rPr>
          <w:spacing w:val="-64"/>
        </w:rPr>
      </w:r>
      <w:r>
        <w:rPr/>
        <w:t>都将需要运营商和支付技术服务商共同进行精心的设计。</w:t>
      </w:r>
    </w:p>
    <w:p>
      <w:pPr>
        <w:pStyle w:val="BodyText"/>
        <w:spacing w:line="477" w:lineRule="auto" w:before="54"/>
        <w:ind w:right="94" w:firstLine="360"/>
        <w:jc w:val="left"/>
      </w:pPr>
      <w:r>
        <w:rPr>
          <w:spacing w:val="-2"/>
        </w:rPr>
        <w:t>对各大平台运营商、电子支付技术和产品供应厂商来说，要应对更加复杂的支付应用场景，必须提高电子支付服务模式</w:t>
      </w:r>
      <w:r>
        <w:rPr/>
        <w:t> 和技术服务模式的创新，才能应对市场的变化。</w:t>
      </w:r>
    </w:p>
    <w:p>
      <w:pPr>
        <w:pStyle w:val="BodyText"/>
        <w:spacing w:line="477" w:lineRule="auto" w:before="54"/>
        <w:ind w:left="512" w:right="94"/>
        <w:jc w:val="left"/>
      </w:pPr>
      <w:r>
        <w:rPr>
          <w:rFonts w:ascii="宋体" w:hAnsi="宋体" w:cs="宋体" w:eastAsia="宋体" w:hint="default"/>
        </w:rPr>
        <w:t>7</w:t>
      </w:r>
      <w:r>
        <w:rPr/>
        <w:t>）电子支付大数据的价值凸显 </w:t>
      </w:r>
      <w:r>
        <w:rPr>
          <w:spacing w:val="-4"/>
        </w:rPr>
        <w:t>电子支付行业的运营公司和技术服务厂商，通过共同为商户和消费者提供支付结算服务，将积累海量的电子支付大数据，</w:t>
      </w:r>
    </w:p>
    <w:p>
      <w:pPr>
        <w:pStyle w:val="BodyText"/>
        <w:spacing w:line="477" w:lineRule="auto" w:before="54"/>
        <w:ind w:right="191"/>
        <w:jc w:val="both"/>
      </w:pPr>
      <w:r>
        <w:rPr>
          <w:spacing w:val="-2"/>
        </w:rPr>
        <w:t>该部分数据将对消费者的消费习惯、消费信息进行精确分析，从而帮助商户为其消费者提供更好的服务，提升商户的经营效</w:t>
      </w:r>
      <w:r>
        <w:rPr>
          <w:spacing w:val="-63"/>
        </w:rPr>
        <w:t> </w:t>
      </w:r>
      <w:r>
        <w:rPr>
          <w:spacing w:val="-63"/>
        </w:rPr>
      </w:r>
      <w:r>
        <w:rPr/>
        <w:t>率，降低经营成本，从而提升商户与运营公司之间的粘性，进而提升运营商与技术服务厂商的合作粘性。</w:t>
      </w:r>
    </w:p>
    <w:p>
      <w:pPr>
        <w:pStyle w:val="BodyText"/>
        <w:spacing w:line="477" w:lineRule="auto" w:before="54"/>
        <w:ind w:right="191" w:firstLine="360"/>
        <w:jc w:val="both"/>
      </w:pPr>
      <w:r>
        <w:rPr>
          <w:spacing w:val="-2"/>
        </w:rPr>
        <w:t>对于个人用户而言，运营商根据其消费记录，深入了解用户，对用户的信用等级、消费能力、理财需求等进行挖掘，从</w:t>
      </w:r>
      <w:r>
        <w:rPr/>
        <w:t> </w:t>
      </w:r>
      <w:r>
        <w:rPr>
          <w:spacing w:val="-2"/>
        </w:rPr>
        <w:t>而帮助运营商挖掘其商户、消费者的其他商业价值属性，增加新的盈利点。如果说得支付者得天下，沉淀下来的海量交易数</w:t>
      </w:r>
      <w:r>
        <w:rPr>
          <w:spacing w:val="-65"/>
        </w:rPr>
        <w:t> </w:t>
      </w:r>
      <w:r>
        <w:rPr>
          <w:spacing w:val="-65"/>
        </w:rPr>
      </w:r>
      <w:r>
        <w:rPr/>
        <w:t>据及其应用才是未来支付运营和技术服务企业的最大价值所在。</w:t>
      </w:r>
    </w:p>
    <w:p>
      <w:pPr>
        <w:pStyle w:val="BodyText"/>
        <w:spacing w:line="477" w:lineRule="auto" w:before="54"/>
        <w:ind w:left="512" w:right="94" w:hanging="360"/>
        <w:jc w:val="left"/>
      </w:pPr>
      <w:r>
        <w:rPr/>
        <w:t>（</w:t>
      </w:r>
      <w:r>
        <w:rPr>
          <w:rFonts w:ascii="宋体" w:hAnsi="宋体" w:cs="宋体" w:eastAsia="宋体" w:hint="default"/>
        </w:rPr>
        <w:t>4</w:t>
      </w:r>
      <w:r>
        <w:rPr/>
        <w:t>）竞争对手情况 </w:t>
      </w:r>
      <w:r>
        <w:rPr>
          <w:spacing w:val="-2"/>
        </w:rPr>
        <w:t>国内市场，线下支付领域，与公司能够形成有效市场竞争威胁的电子支付受理终端设备的主要品牌有百富、联迪、惠尔</w:t>
      </w:r>
    </w:p>
    <w:p>
      <w:pPr>
        <w:pStyle w:val="BodyText"/>
        <w:spacing w:line="477" w:lineRule="auto" w:before="54"/>
        <w:ind w:right="191"/>
        <w:jc w:val="both"/>
      </w:pPr>
      <w:r>
        <w:rPr>
          <w:spacing w:val="-2"/>
        </w:rPr>
        <w:t>丰、新大陆。随着线上支付向线下的不断渗透，互联网支付服务巨头</w:t>
      </w:r>
      <w:r>
        <w:rPr>
          <w:rFonts w:ascii="宋体" w:hAnsi="宋体" w:cs="宋体" w:eastAsia="宋体" w:hint="default"/>
          <w:spacing w:val="-2"/>
        </w:rPr>
        <w:t>“</w:t>
      </w:r>
      <w:r>
        <w:rPr>
          <w:spacing w:val="-2"/>
        </w:rPr>
        <w:t>财付通</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支付宝</w:t>
      </w:r>
      <w:r>
        <w:rPr>
          <w:rFonts w:ascii="宋体" w:hAnsi="宋体" w:cs="宋体" w:eastAsia="宋体" w:hint="default"/>
          <w:spacing w:val="-2"/>
        </w:rPr>
        <w:t>”</w:t>
      </w:r>
      <w:r>
        <w:rPr>
          <w:spacing w:val="-2"/>
        </w:rPr>
        <w:t>，手机生产商苹果、三星，零</w:t>
      </w:r>
      <w:r>
        <w:rPr>
          <w:spacing w:val="-69"/>
        </w:rPr>
        <w:t> </w:t>
      </w:r>
      <w:r>
        <w:rPr>
          <w:spacing w:val="-69"/>
        </w:rPr>
      </w:r>
      <w:r>
        <w:rPr>
          <w:spacing w:val="-2"/>
        </w:rPr>
        <w:t>售商沃尔玛等也正在进入支付领域，他们为终端市场注入了新的需求。随着市场的发展，互联网支付工具在小额消费领域的</w:t>
      </w:r>
      <w:r>
        <w:rPr>
          <w:spacing w:val="-65"/>
        </w:rPr>
        <w:t> </w:t>
      </w:r>
      <w:r>
        <w:rPr>
          <w:spacing w:val="-65"/>
        </w:rPr>
      </w:r>
      <w:r>
        <w:rPr>
          <w:spacing w:val="-2"/>
        </w:rPr>
        <w:t>发展趋势非常迅猛，互联网支付工具在小额支付领域对银行卡的替代效应正在逐步凸显，互联网支付工具的推广，将对电子</w:t>
      </w:r>
      <w:r>
        <w:rPr>
          <w:spacing w:val="-63"/>
        </w:rPr>
        <w:t> </w:t>
      </w:r>
      <w:r>
        <w:rPr>
          <w:spacing w:val="-63"/>
        </w:rPr>
      </w:r>
      <w:r>
        <w:rPr>
          <w:spacing w:val="-2"/>
        </w:rPr>
        <w:t>支付技术和服务厂商带来新的服务客户和需求。就目前的发展态势来看，我们认为电子支付技术服务厂商与互联网支付机构</w:t>
      </w:r>
      <w:r>
        <w:rPr>
          <w:spacing w:val="-64"/>
        </w:rPr>
        <w:t> </w:t>
      </w:r>
      <w:r>
        <w:rPr>
          <w:spacing w:val="-64"/>
        </w:rPr>
      </w:r>
      <w:r>
        <w:rPr/>
        <w:t>的合作越来越多，不排除两者之间的合作会加强双方业务的融合趋势。</w:t>
      </w:r>
    </w:p>
    <w:p>
      <w:pPr>
        <w:pStyle w:val="BodyText"/>
        <w:spacing w:line="477" w:lineRule="auto" w:before="54"/>
        <w:ind w:right="94" w:firstLine="360"/>
        <w:jc w:val="left"/>
      </w:pPr>
      <w:r>
        <w:rPr>
          <w:spacing w:val="-2"/>
        </w:rPr>
        <w:t>随着国内电子支付行业的发展，电子支付产业链的整合趋势加强，一些设备厂商开始进军产业下游的收单服务领域，一</w:t>
      </w:r>
      <w:r>
        <w:rPr/>
        <w:t> </w:t>
      </w:r>
      <w:r>
        <w:rPr>
          <w:spacing w:val="-2"/>
        </w:rPr>
        <w:t>些收单服务机构也开始向其上游的技术和设备供应厂商进行拓展。从竞争结果来看，由于新的支付工具出现、新的竞争对手</w:t>
      </w:r>
    </w:p>
    <w:p>
      <w:pPr>
        <w:spacing w:after="0" w:line="477" w:lineRule="auto"/>
        <w:jc w:val="left"/>
        <w:sectPr>
          <w:footerReference w:type="default" r:id="rId18"/>
          <w:pgSz w:w="11910" w:h="16840"/>
          <w:pgMar w:footer="982" w:header="745" w:top="1060" w:bottom="1180" w:left="980" w:right="940"/>
          <w:pgNumType w:start="3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2"/>
        </w:rPr>
        <w:t>的加入，使得整个电子支付受理市场的原有商业环境极有可能发生重大变化，新的技术、新的产品的研发和创新、新的服务</w:t>
      </w:r>
      <w:r>
        <w:rPr>
          <w:spacing w:val="-64"/>
        </w:rPr>
        <w:t> </w:t>
      </w:r>
      <w:r>
        <w:rPr>
          <w:spacing w:val="-64"/>
        </w:rPr>
      </w:r>
      <w:r>
        <w:rPr/>
        <w:t>模式革新，都将在主流设备厂商之间掀起新一轮的技术和产品、服务的革新。</w:t>
      </w:r>
    </w:p>
    <w:p>
      <w:pPr>
        <w:pStyle w:val="BodyText"/>
        <w:spacing w:line="477" w:lineRule="auto" w:before="54"/>
        <w:ind w:right="94" w:firstLine="360"/>
        <w:jc w:val="left"/>
      </w:pPr>
      <w:r>
        <w:rPr>
          <w:spacing w:val="-2"/>
        </w:rPr>
        <w:t>国外市场，目前惠尔丰、安智两大品牌在欧美地区占据着绝对的优势，百富、瑞柏等品牌则在东南亚地区占据着较明显</w:t>
      </w:r>
      <w:r>
        <w:rPr/>
        <w:t> 的优势，新国都在国外市场上的影响力越来越强，继</w:t>
      </w:r>
      <w:r>
        <w:rPr>
          <w:rFonts w:ascii="宋体" w:hAnsi="宋体" w:cs="宋体" w:eastAsia="宋体" w:hint="default"/>
        </w:rPr>
        <w:t>2014</w:t>
      </w:r>
      <w:r>
        <w:rPr/>
        <w:t>年新国都海外市场订单取得突破之后，</w:t>
      </w:r>
      <w:r>
        <w:rPr>
          <w:rFonts w:ascii="宋体" w:hAnsi="宋体" w:cs="宋体" w:eastAsia="宋体" w:hint="default"/>
        </w:rPr>
        <w:t>2015</w:t>
      </w:r>
      <w:r>
        <w:rPr/>
        <w:t>年新国都收购美国 </w:t>
      </w:r>
      <w:r>
        <w:rPr>
          <w:rFonts w:ascii="宋体" w:hAnsi="宋体" w:cs="宋体" w:eastAsia="宋体" w:hint="default"/>
          <w:spacing w:val="-2"/>
        </w:rPr>
        <w:t>ExaDigm</w:t>
      </w:r>
      <w:r>
        <w:rPr>
          <w:spacing w:val="-2"/>
        </w:rPr>
        <w:t>，新国都进一步加强了海外市场业务发展的战略布局，而新国都完整的电子支付产业链布局和中国制造的成本优势，</w:t>
      </w:r>
      <w:r>
        <w:rPr>
          <w:spacing w:val="-61"/>
        </w:rPr>
        <w:t> </w:t>
      </w:r>
      <w:r>
        <w:rPr>
          <w:spacing w:val="-61"/>
        </w:rPr>
      </w:r>
      <w:r>
        <w:rPr/>
        <w:t>将提高其在国际市场上的综合竞争力。</w:t>
      </w:r>
    </w:p>
    <w:p>
      <w:pPr>
        <w:pStyle w:val="BodyText"/>
        <w:spacing w:line="477" w:lineRule="auto" w:before="54"/>
        <w:ind w:right="94" w:firstLine="360"/>
        <w:jc w:val="left"/>
      </w:pPr>
      <w:r>
        <w:rPr>
          <w:spacing w:val="-2"/>
        </w:rPr>
        <w:t>综上所述，电子支付服务行业已经迎来全新的发展机遇和挑战，对于传统的电子支付受理终端设备供应商来说，如何把</w:t>
      </w:r>
      <w:r>
        <w:rPr/>
        <w:t> 握住市场的变化，抓住未来市场发展的主流趋势，成为摆在所有市场参与者眼前共同的挑战与机会。 </w:t>
      </w:r>
      <w:r>
        <w:rPr>
          <w:rFonts w:ascii="宋体" w:hAnsi="宋体" w:cs="宋体" w:eastAsia="宋体" w:hint="default"/>
        </w:rPr>
        <w:t>2</w:t>
      </w:r>
      <w:r>
        <w:rPr/>
        <w:t>、公司的主要优势与困难</w:t>
      </w:r>
    </w:p>
    <w:p>
      <w:pPr>
        <w:pStyle w:val="BodyText"/>
        <w:spacing w:line="477" w:lineRule="auto" w:before="54"/>
        <w:ind w:left="512" w:right="94" w:hanging="360"/>
        <w:jc w:val="left"/>
      </w:pPr>
      <w:r>
        <w:rPr/>
        <w:t>（</w:t>
      </w:r>
      <w:r>
        <w:rPr>
          <w:rFonts w:ascii="宋体" w:hAnsi="宋体" w:cs="宋体" w:eastAsia="宋体" w:hint="default"/>
        </w:rPr>
        <w:t>1</w:t>
      </w:r>
      <w:r>
        <w:rPr/>
        <w:t>）公司的主要优势 </w:t>
      </w:r>
      <w:r>
        <w:rPr>
          <w:spacing w:val="-2"/>
        </w:rPr>
        <w:t>在互联网和移动互联网业务大发展的背景下，电子支付服务和流程已经开始发生重大变化的情况下，新国都的主要竞争</w:t>
      </w:r>
    </w:p>
    <w:p>
      <w:pPr>
        <w:pStyle w:val="BodyText"/>
        <w:spacing w:line="240" w:lineRule="auto" w:before="54"/>
        <w:ind w:right="94"/>
        <w:jc w:val="left"/>
      </w:pPr>
      <w:r>
        <w:rPr/>
        <w:t>优势体现在以下几个方面：</w:t>
      </w:r>
    </w:p>
    <w:p>
      <w:pPr>
        <w:spacing w:line="240" w:lineRule="auto" w:before="10"/>
        <w:rPr>
          <w:rFonts w:ascii="宋体" w:hAnsi="宋体" w:cs="宋体" w:eastAsia="宋体" w:hint="default"/>
          <w:sz w:val="17"/>
          <w:szCs w:val="17"/>
        </w:rPr>
      </w:pPr>
    </w:p>
    <w:p>
      <w:pPr>
        <w:pStyle w:val="BodyText"/>
        <w:spacing w:line="477" w:lineRule="auto"/>
        <w:ind w:left="512" w:right="184"/>
        <w:jc w:val="left"/>
      </w:pPr>
      <w:r>
        <w:rPr>
          <w:rFonts w:ascii="宋体" w:hAnsi="宋体" w:cs="宋体" w:eastAsia="宋体" w:hint="default"/>
        </w:rPr>
        <w:t>1</w:t>
      </w:r>
      <w:r>
        <w:rPr/>
        <w:t>）核心业务布局优势 十几年专注于电子支付领域，拥有专业的电子支付技术综合解决方案提供能力。互联网</w:t>
      </w:r>
      <w:r>
        <w:rPr>
          <w:rFonts w:ascii="宋体" w:hAnsi="宋体" w:cs="宋体" w:eastAsia="宋体" w:hint="default"/>
        </w:rPr>
        <w:t>+</w:t>
      </w:r>
      <w:r>
        <w:rPr/>
        <w:t>的浪潮已经开始冲击我国经济</w:t>
      </w:r>
    </w:p>
    <w:p>
      <w:pPr>
        <w:pStyle w:val="BodyText"/>
        <w:spacing w:line="477" w:lineRule="auto" w:before="54"/>
        <w:ind w:right="94"/>
        <w:jc w:val="left"/>
      </w:pPr>
      <w:r>
        <w:rPr>
          <w:spacing w:val="-2"/>
        </w:rPr>
        <w:t>领域的各行各业，我国社会生活正在不断的被移动互联网进行深入的改造。新国都传统优势领域</w:t>
      </w:r>
      <w:r>
        <w:rPr>
          <w:rFonts w:ascii="宋体" w:hAnsi="宋体" w:cs="宋体" w:eastAsia="宋体" w:hint="default"/>
          <w:spacing w:val="-2"/>
        </w:rPr>
        <w:t>——</w:t>
      </w:r>
      <w:r>
        <w:rPr>
          <w:spacing w:val="-2"/>
        </w:rPr>
        <w:t>电子支付作为移动互联</w:t>
      </w:r>
      <w:r>
        <w:rPr>
          <w:spacing w:val="-64"/>
        </w:rPr>
        <w:t> </w:t>
      </w:r>
      <w:r>
        <w:rPr/>
        <w:t>网时代下，经济活动中最核心的环节，在经济活动和商业生态圈里开始扮演越来越重要的角色，它将成为</w:t>
      </w:r>
      <w:r>
        <w:rPr>
          <w:rFonts w:ascii="宋体" w:hAnsi="宋体" w:cs="宋体" w:eastAsia="宋体" w:hint="default"/>
        </w:rPr>
        <w:t>O2O</w:t>
      </w:r>
      <w:r>
        <w:rPr/>
        <w:t>线上线下无缝 </w:t>
      </w:r>
      <w:r>
        <w:rPr>
          <w:spacing w:val="-2"/>
        </w:rPr>
        <w:t>对接的商业模式的核心一环，电子支付受理终端设备日益成为线上线下企业大力抢占的商业大数据运营端口。新国都专注于</w:t>
      </w:r>
      <w:r>
        <w:rPr>
          <w:spacing w:val="-64"/>
        </w:rPr>
        <w:t> </w:t>
      </w:r>
      <w:r>
        <w:rPr>
          <w:spacing w:val="-64"/>
        </w:rPr>
      </w:r>
      <w:r>
        <w:rPr>
          <w:spacing w:val="-4"/>
        </w:rPr>
        <w:t>电子支付领域十几年，积累了非常丰富的行业经验和商业资源，新国都将借助自身多年积累的行业经验和</w:t>
      </w:r>
      <w:r>
        <w:rPr>
          <w:rFonts w:ascii="宋体" w:hAnsi="宋体" w:cs="宋体" w:eastAsia="宋体" w:hint="default"/>
          <w:spacing w:val="-4"/>
        </w:rPr>
        <w:t>IT</w:t>
      </w:r>
      <w:r>
        <w:rPr>
          <w:spacing w:val="-4"/>
        </w:rPr>
        <w:t>软硬件综合能力，</w:t>
      </w:r>
      <w:r>
        <w:rPr>
          <w:spacing w:val="-38"/>
        </w:rPr>
        <w:t> </w:t>
      </w:r>
      <w:r>
        <w:rPr/>
        <w:t>打造基于金融</w:t>
      </w:r>
      <w:r>
        <w:rPr>
          <w:rFonts w:ascii="宋体" w:hAnsi="宋体" w:cs="宋体" w:eastAsia="宋体" w:hint="default"/>
        </w:rPr>
        <w:t>POS</w:t>
      </w:r>
      <w:r>
        <w:rPr/>
        <w:t>机的线上线下支付入口优势，整合产业上下游核心资源，使公司获得持续、稳健的盈利能力。</w:t>
      </w:r>
    </w:p>
    <w:p>
      <w:pPr>
        <w:pStyle w:val="BodyText"/>
        <w:spacing w:line="477" w:lineRule="auto" w:before="54"/>
        <w:ind w:left="512" w:right="94"/>
        <w:jc w:val="left"/>
      </w:pPr>
      <w:r>
        <w:rPr>
          <w:rFonts w:ascii="宋体" w:hAnsi="宋体" w:cs="宋体" w:eastAsia="宋体" w:hint="default"/>
        </w:rPr>
        <w:t>2</w:t>
      </w:r>
      <w:r>
        <w:rPr/>
        <w:t>）供应链管理体系和产业资源优势 </w:t>
      </w:r>
      <w:r>
        <w:rPr>
          <w:spacing w:val="-2"/>
        </w:rPr>
        <w:t>公司拥有完善的产品研发体系、市场营销体系、生产制造体系、质量管控体系、人力资源体系，有利于整合各个业务链</w:t>
      </w:r>
    </w:p>
    <w:p>
      <w:pPr>
        <w:pStyle w:val="BodyText"/>
        <w:spacing w:line="240" w:lineRule="auto" w:before="54"/>
        <w:ind w:right="94"/>
        <w:jc w:val="left"/>
      </w:pPr>
      <w:r>
        <w:rPr/>
        <w:t>的资源，控制生产成本和产品质量的同时进行产品和商业模式创新。</w:t>
      </w:r>
    </w:p>
    <w:p>
      <w:pPr>
        <w:spacing w:line="240" w:lineRule="auto" w:before="10"/>
        <w:rPr>
          <w:rFonts w:ascii="宋体" w:hAnsi="宋体" w:cs="宋体" w:eastAsia="宋体" w:hint="default"/>
          <w:sz w:val="17"/>
          <w:szCs w:val="17"/>
        </w:rPr>
      </w:pPr>
    </w:p>
    <w:p>
      <w:pPr>
        <w:pStyle w:val="BodyText"/>
        <w:spacing w:line="477" w:lineRule="auto"/>
        <w:ind w:left="512" w:right="94"/>
        <w:jc w:val="left"/>
      </w:pPr>
      <w:r>
        <w:rPr>
          <w:rFonts w:ascii="宋体" w:hAnsi="宋体" w:cs="宋体" w:eastAsia="宋体" w:hint="default"/>
        </w:rPr>
        <w:t>3</w:t>
      </w:r>
      <w:r>
        <w:rPr/>
        <w:t>）产品和服务的质量优势 </w:t>
      </w:r>
      <w:r>
        <w:rPr>
          <w:spacing w:val="-2"/>
        </w:rPr>
        <w:t>自公司成立以来，对产品质量精益求精，以打造低成本，高质量，快速响应的供应链管理体系为核心价值，公司一方面</w:t>
      </w:r>
    </w:p>
    <w:p>
      <w:pPr>
        <w:pStyle w:val="BodyText"/>
        <w:spacing w:line="477" w:lineRule="auto" w:before="54"/>
        <w:ind w:right="94"/>
        <w:jc w:val="left"/>
      </w:pPr>
      <w:r>
        <w:rPr>
          <w:spacing w:val="-2"/>
        </w:rPr>
        <w:t>通过生产效率提升、生产直通率提升、工艺优化等活动与项目，进一步提升整体工效与品质；另一方面，通过不断推动研发</w:t>
      </w:r>
      <w:r>
        <w:rPr>
          <w:spacing w:val="-67"/>
        </w:rPr>
        <w:t> </w:t>
      </w:r>
      <w:r>
        <w:rPr>
          <w:spacing w:val="-67"/>
        </w:rPr>
      </w:r>
      <w:r>
        <w:rPr/>
        <w:t>创新，持续优化产品成本，确保产品开发能够如期高质量的实现交付。</w:t>
      </w:r>
    </w:p>
    <w:p>
      <w:pPr>
        <w:pStyle w:val="BodyText"/>
        <w:spacing w:line="477" w:lineRule="auto" w:before="54"/>
        <w:ind w:left="512" w:right="94"/>
        <w:jc w:val="left"/>
      </w:pPr>
      <w:r>
        <w:rPr>
          <w:rFonts w:ascii="宋体" w:hAnsi="宋体" w:cs="宋体" w:eastAsia="宋体" w:hint="default"/>
        </w:rPr>
        <w:t>4</w:t>
      </w:r>
      <w:r>
        <w:rPr/>
        <w:t>）管理优势 </w:t>
      </w:r>
      <w:r>
        <w:rPr>
          <w:spacing w:val="-4"/>
        </w:rPr>
        <w:t>公司在自身管理能力建设方面取得了长足的进展，主要体现在战略梳理、业绩与考核、预算管理、经营计划拆解与落实、</w:t>
      </w:r>
    </w:p>
    <w:p>
      <w:pPr>
        <w:pStyle w:val="BodyText"/>
        <w:spacing w:line="477" w:lineRule="auto" w:before="54"/>
        <w:ind w:right="94"/>
        <w:jc w:val="left"/>
      </w:pPr>
      <w:r>
        <w:rPr>
          <w:spacing w:val="-2"/>
        </w:rPr>
        <w:t>流程化管理、信息化管理、精细化管理等方面，公司已经初步具备了对外输出管理的能力，为公司加快战略落地和外延式扩</w:t>
      </w:r>
      <w:r>
        <w:rPr>
          <w:spacing w:val="-64"/>
        </w:rPr>
        <w:t> </w:t>
      </w:r>
      <w:r>
        <w:rPr>
          <w:spacing w:val="-64"/>
        </w:rPr>
      </w:r>
      <w:r>
        <w:rPr/>
        <w:t>张提供了一定的能力保障。</w:t>
      </w:r>
    </w:p>
    <w:p>
      <w:pPr>
        <w:spacing w:after="0" w:line="477" w:lineRule="auto"/>
        <w:jc w:val="left"/>
        <w:sectPr>
          <w:footerReference w:type="default" r:id="rId19"/>
          <w:pgSz w:w="11910" w:h="16840"/>
          <w:pgMar w:footer="982" w:header="745" w:top="1060" w:bottom="1180" w:left="980" w:right="940"/>
          <w:pgNumType w:start="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jc w:val="left"/>
      </w:pPr>
      <w:r>
        <w:rPr>
          <w:rFonts w:ascii="宋体" w:hAnsi="宋体" w:cs="宋体" w:eastAsia="宋体" w:hint="default"/>
        </w:rPr>
        <w:t>5</w:t>
      </w:r>
      <w:r>
        <w:rPr/>
        <w:t>）资本市场优势 </w:t>
      </w:r>
      <w:r>
        <w:rPr>
          <w:spacing w:val="-2"/>
        </w:rPr>
        <w:t>公司在创业板成功上市后，目前仍是国内电子支付行业少数拥有资本市场支持的公司之一，国内资本市场的改革，尤其</w:t>
      </w:r>
    </w:p>
    <w:p>
      <w:pPr>
        <w:pStyle w:val="BodyText"/>
        <w:spacing w:line="477" w:lineRule="auto" w:before="54"/>
        <w:ind w:right="195"/>
        <w:jc w:val="both"/>
      </w:pPr>
      <w:r>
        <w:rPr/>
        <w:t>是</w:t>
      </w:r>
      <w:r>
        <w:rPr>
          <w:rFonts w:ascii="宋体" w:hAnsi="宋体" w:cs="宋体" w:eastAsia="宋体" w:hint="default"/>
        </w:rPr>
        <w:t>A</w:t>
      </w:r>
      <w:r>
        <w:rPr/>
        <w:t>股上市公司再融资制度的不断完善，能够为公司未来的业务发展和战略实施提供资金保障。公司将围绕未来战略发展规 </w:t>
      </w:r>
      <w:r>
        <w:rPr>
          <w:spacing w:val="-2"/>
        </w:rPr>
        <w:t>划，充分发挥公司资本市场优势，以市值促进产业发展，以产业发展夯实市值基础的方式，将公司推入一个产融结合、快速</w:t>
      </w:r>
      <w:r>
        <w:rPr>
          <w:spacing w:val="-67"/>
        </w:rPr>
        <w:t> </w:t>
      </w:r>
      <w:r>
        <w:rPr>
          <w:spacing w:val="-67"/>
        </w:rPr>
      </w:r>
      <w:r>
        <w:rPr/>
        <w:t>扩张的良性发展通道。</w:t>
      </w:r>
    </w:p>
    <w:p>
      <w:pPr>
        <w:pStyle w:val="BodyText"/>
        <w:spacing w:line="477" w:lineRule="auto" w:before="54"/>
        <w:ind w:left="512" w:right="94"/>
        <w:jc w:val="left"/>
      </w:pPr>
      <w:r>
        <w:rPr>
          <w:rFonts w:ascii="宋体" w:hAnsi="宋体" w:cs="宋体" w:eastAsia="宋体" w:hint="default"/>
        </w:rPr>
        <w:t>6</w:t>
      </w:r>
      <w:r>
        <w:rPr/>
        <w:t>）专利及技术优势 公司始终坚持自主研发道路，在产品和技术研发方面持续加大投入，报告期内，公司研发费用投入占营业收入</w:t>
      </w:r>
      <w:r>
        <w:rPr>
          <w:rFonts w:ascii="宋体" w:hAnsi="宋体" w:cs="宋体" w:eastAsia="宋体" w:hint="default"/>
        </w:rPr>
        <w:t>13.45%</w:t>
      </w:r>
      <w:r>
        <w:rPr/>
        <w:t>。</w:t>
      </w:r>
    </w:p>
    <w:p>
      <w:pPr>
        <w:pStyle w:val="BodyText"/>
        <w:spacing w:line="477" w:lineRule="auto" w:before="54"/>
        <w:ind w:right="200"/>
        <w:jc w:val="both"/>
      </w:pPr>
      <w:r>
        <w:rPr/>
        <w:t>截止报告期末，公司取得专利、计算机软件著作权及软件产品等研发成果如下：</w:t>
      </w:r>
      <w:r>
        <w:rPr>
          <w:rFonts w:ascii="宋体" w:hAnsi="宋体" w:cs="宋体" w:eastAsia="宋体" w:hint="default"/>
        </w:rPr>
        <w:t>179</w:t>
      </w:r>
      <w:r>
        <w:rPr/>
        <w:t>项国家专利，其中发明专利</w:t>
      </w:r>
      <w:r>
        <w:rPr>
          <w:rFonts w:ascii="宋体" w:hAnsi="宋体" w:cs="宋体" w:eastAsia="宋体" w:hint="default"/>
        </w:rPr>
        <w:t>53</w:t>
      </w:r>
      <w:r>
        <w:rPr/>
        <w:t>项；</w:t>
      </w:r>
      <w:r>
        <w:rPr>
          <w:rFonts w:ascii="宋体" w:hAnsi="宋体" w:cs="宋体" w:eastAsia="宋体" w:hint="default"/>
        </w:rPr>
        <w:t>10</w:t>
      </w:r>
      <w:r>
        <w:rPr/>
        <w:t>项 国际专利，</w:t>
      </w:r>
      <w:r>
        <w:rPr>
          <w:rFonts w:ascii="宋体" w:hAnsi="宋体" w:cs="宋体" w:eastAsia="宋体" w:hint="default"/>
        </w:rPr>
        <w:t>108</w:t>
      </w:r>
      <w:r>
        <w:rPr/>
        <w:t>个软件著作权证书和</w:t>
      </w:r>
      <w:r>
        <w:rPr>
          <w:rFonts w:ascii="宋体" w:hAnsi="宋体" w:cs="宋体" w:eastAsia="宋体" w:hint="default"/>
        </w:rPr>
        <w:t>49</w:t>
      </w:r>
      <w:r>
        <w:rPr/>
        <w:t>个软件产品登记证书。上述科研成果为公司的持续发展保驾护航，成为公司的核心竞 争力之一。</w:t>
      </w:r>
    </w:p>
    <w:p>
      <w:pPr>
        <w:pStyle w:val="BodyText"/>
        <w:spacing w:line="477" w:lineRule="auto" w:before="54"/>
        <w:ind w:left="512" w:right="7294" w:hanging="360"/>
        <w:jc w:val="left"/>
      </w:pPr>
      <w:r>
        <w:rPr/>
        <w:t>（</w:t>
      </w:r>
      <w:r>
        <w:rPr>
          <w:rFonts w:ascii="宋体" w:hAnsi="宋体" w:cs="宋体" w:eastAsia="宋体" w:hint="default"/>
        </w:rPr>
        <w:t>2</w:t>
      </w:r>
      <w:r>
        <w:rPr/>
        <w:t>）公司的主要困难 公司目前的主要困难在于：</w:t>
      </w:r>
    </w:p>
    <w:p>
      <w:pPr>
        <w:pStyle w:val="BodyText"/>
        <w:spacing w:line="477" w:lineRule="auto" w:before="54"/>
        <w:ind w:right="191" w:firstLine="360"/>
        <w:jc w:val="both"/>
      </w:pPr>
      <w:r>
        <w:rPr>
          <w:rFonts w:ascii="宋体" w:hAnsi="宋体" w:cs="宋体" w:eastAsia="宋体" w:hint="default"/>
        </w:rPr>
        <w:t>1</w:t>
      </w:r>
      <w:r>
        <w:rPr/>
        <w:t>）资金紧缺，急需储备资金以支持公司业务快速发展。公司在技术和产品研发投入、市场拓展、服务模式创新、外延 </w:t>
      </w:r>
      <w:r>
        <w:rPr>
          <w:spacing w:val="-2"/>
        </w:rPr>
        <w:t>扩张等方面都需要加大资金投入，但公司账上自有资金不足以支撑公司快速发展，急需加快融资步伐，以支持公司业务快速</w:t>
      </w:r>
      <w:r>
        <w:rPr>
          <w:spacing w:val="-63"/>
        </w:rPr>
        <w:t> </w:t>
      </w:r>
      <w:r>
        <w:rPr>
          <w:spacing w:val="-63"/>
        </w:rPr>
      </w:r>
      <w:r>
        <w:rPr/>
        <w:t>发展，唯有如此，才能使公司抓住市场机会，完成业务的跨越式大发展。</w:t>
      </w:r>
    </w:p>
    <w:p>
      <w:pPr>
        <w:pStyle w:val="BodyText"/>
        <w:spacing w:line="477" w:lineRule="auto" w:before="54"/>
        <w:ind w:right="200" w:firstLine="360"/>
        <w:jc w:val="both"/>
      </w:pPr>
      <w:r>
        <w:rPr>
          <w:rFonts w:ascii="宋体" w:hAnsi="宋体" w:cs="宋体" w:eastAsia="宋体" w:hint="default"/>
        </w:rPr>
        <w:t>2</w:t>
      </w:r>
      <w:r>
        <w:rPr/>
        <w:t>）海外市场资源不足，需要进一步加大海外市场的投入。由于专注于国内市场而海外市场的开拓时间较晚，海外市场 业务的经验仍然是短板，公司将计划在未来两年加大海外市场的投入，建设相对完善的海外营销服务体系。</w:t>
      </w:r>
    </w:p>
    <w:p>
      <w:pPr>
        <w:pStyle w:val="BodyText"/>
        <w:spacing w:line="477" w:lineRule="auto" w:before="54"/>
        <w:ind w:right="191" w:firstLine="360"/>
        <w:jc w:val="both"/>
      </w:pPr>
      <w:r>
        <w:rPr>
          <w:rFonts w:ascii="宋体" w:hAnsi="宋体" w:cs="宋体" w:eastAsia="宋体" w:hint="default"/>
        </w:rPr>
        <w:t>3</w:t>
      </w:r>
      <w:r>
        <w:rPr/>
        <w:t>）高端专业人才不足，限制公司业务发展。随着电子支付行业与互联网行业等其他行业的融合加快，公司急缺深刻理 </w:t>
      </w:r>
      <w:r>
        <w:rPr>
          <w:spacing w:val="-2"/>
        </w:rPr>
        <w:t>解和把握电子支付行业变化趋势、互联网市场机会的技术、市场和管理人才团队，尤其是优秀的运营人才和团队。高端人才</w:t>
      </w:r>
      <w:r>
        <w:rPr>
          <w:spacing w:val="-64"/>
        </w:rPr>
        <w:t> </w:t>
      </w:r>
      <w:r>
        <w:rPr>
          <w:spacing w:val="-64"/>
        </w:rPr>
      </w:r>
      <w:r>
        <w:rPr/>
        <w:t>的短缺，成为制约公司市场创新、产品和技术创新、管理创新的关键因素。</w:t>
      </w:r>
    </w:p>
    <w:p>
      <w:pPr>
        <w:pStyle w:val="BodyText"/>
        <w:spacing w:line="477" w:lineRule="auto" w:before="54"/>
        <w:ind w:right="193" w:firstLine="360"/>
        <w:jc w:val="both"/>
      </w:pPr>
      <w:r>
        <w:rPr>
          <w:rFonts w:ascii="宋体" w:hAnsi="宋体" w:cs="宋体" w:eastAsia="宋体" w:hint="default"/>
        </w:rPr>
        <w:t>4</w:t>
      </w:r>
      <w:r>
        <w:rPr/>
        <w:t>）管理能力不足成为制约公司发展的关键因素。在企业管理方面，虽然公司在企业管理升级方面投入了大量资金，但 </w:t>
      </w:r>
      <w:r>
        <w:rPr>
          <w:spacing w:val="-2"/>
        </w:rPr>
        <w:t>是随着电子支付行业的变化日新月异，尤其是互联网业务与传统生产制造业的业务流程存在明显差异，如何快速响应市场变</w:t>
      </w:r>
      <w:r>
        <w:rPr>
          <w:spacing w:val="-64"/>
        </w:rPr>
        <w:t> </w:t>
      </w:r>
      <w:r>
        <w:rPr>
          <w:spacing w:val="-64"/>
        </w:rPr>
      </w:r>
      <w:r>
        <w:rPr>
          <w:spacing w:val="-2"/>
        </w:rPr>
        <w:t>化，是摆在公司管理层面前的一个难题。随着公司外延扩张的进行，如何在完成并购交割后，做好并购后整合管理，都成为</w:t>
      </w:r>
      <w:r>
        <w:rPr>
          <w:spacing w:val="-67"/>
        </w:rPr>
        <w:t> </w:t>
      </w:r>
      <w:r>
        <w:rPr>
          <w:spacing w:val="-67"/>
        </w:rPr>
      </w:r>
      <w:r>
        <w:rPr/>
        <w:t>考验公司综合管理能力和管理输出能力的关键所在，这已经成为公司未来发展过程中不可忽视的制约因素。</w:t>
      </w:r>
    </w:p>
    <w:p>
      <w:pPr>
        <w:pStyle w:val="BodyText"/>
        <w:spacing w:line="477" w:lineRule="auto" w:before="54"/>
        <w:ind w:right="94" w:firstLine="360"/>
        <w:jc w:val="left"/>
      </w:pPr>
      <w:r>
        <w:rPr>
          <w:rFonts w:ascii="宋体" w:hAnsi="宋体" w:cs="宋体" w:eastAsia="宋体" w:hint="default"/>
        </w:rPr>
        <w:t>5</w:t>
      </w:r>
      <w:r>
        <w:rPr/>
        <w:t>）围绕企业发展和投融资服务的综合财务管理能力亟待升级。随着公司业务和战略落地，将增大对于资金的需求，对 </w:t>
      </w:r>
      <w:r>
        <w:rPr>
          <w:spacing w:val="-2"/>
        </w:rPr>
        <w:t>新国都的财务管理和风险控制提出了全新的挑战。新国都会在合理安排自有资金基础上，利用多层次的资本市场，开展全方</w:t>
      </w:r>
      <w:r>
        <w:rPr>
          <w:spacing w:val="-63"/>
        </w:rPr>
        <w:t> </w:t>
      </w:r>
      <w:r>
        <w:rPr>
          <w:spacing w:val="-63"/>
        </w:rPr>
      </w:r>
      <w:r>
        <w:rPr>
          <w:spacing w:val="-4"/>
        </w:rPr>
        <w:t>位的再融资业务，控制公司的财务风险，也确保公司未来发展资金需求，为公司的长远发展奠定基础，为股东创造最大效益。</w:t>
      </w:r>
      <w:r>
        <w:rPr>
          <w:spacing w:val="-46"/>
        </w:rPr>
        <w:t> </w:t>
      </w:r>
      <w:r>
        <w:rPr>
          <w:spacing w:val="-46"/>
        </w:rPr>
      </w:r>
      <w:r>
        <w:rPr>
          <w:rFonts w:ascii="宋体" w:hAnsi="宋体" w:cs="宋体" w:eastAsia="宋体" w:hint="default"/>
        </w:rPr>
        <w:t>3</w:t>
      </w:r>
      <w:r>
        <w:rPr/>
        <w:t>、公司未来发展战略</w:t>
      </w:r>
    </w:p>
    <w:p>
      <w:pPr>
        <w:pStyle w:val="BodyText"/>
        <w:spacing w:line="477" w:lineRule="auto" w:before="54"/>
        <w:ind w:right="104" w:firstLine="360"/>
        <w:jc w:val="both"/>
      </w:pPr>
      <w:r>
        <w:rPr>
          <w:spacing w:val="-2"/>
        </w:rPr>
        <w:t>结合最新市场变化，新国都制定了</w:t>
      </w:r>
      <w:r>
        <w:rPr>
          <w:rFonts w:ascii="宋体" w:hAnsi="宋体" w:cs="宋体" w:eastAsia="宋体" w:hint="default"/>
          <w:spacing w:val="-2"/>
        </w:rPr>
        <w:t>“</w:t>
      </w:r>
      <w:r>
        <w:rPr>
          <w:spacing w:val="-2"/>
        </w:rPr>
        <w:t>实体经济结合虚拟经济，以实体经济为本，虚拟经济为变现方式</w:t>
      </w:r>
      <w:r>
        <w:rPr>
          <w:rFonts w:ascii="宋体" w:hAnsi="宋体" w:cs="宋体" w:eastAsia="宋体" w:hint="default"/>
          <w:spacing w:val="-2"/>
        </w:rPr>
        <w:t>”</w:t>
      </w:r>
      <w:r>
        <w:rPr>
          <w:spacing w:val="-2"/>
        </w:rPr>
        <w:t>的战略框架，该</w:t>
      </w:r>
      <w:r>
        <w:rPr/>
        <w:t> </w:t>
      </w:r>
      <w:r>
        <w:rPr>
          <w:spacing w:val="-4"/>
        </w:rPr>
        <w:t>战略框架主要从三个方面推进：一，利用公司多年的电子支付行业经验，以电子支付为抓手，向电子支付产业链上下游拓展，</w:t>
      </w:r>
    </w:p>
    <w:p>
      <w:pPr>
        <w:spacing w:after="0" w:line="477" w:lineRule="auto"/>
        <w:jc w:val="both"/>
        <w:sectPr>
          <w:footerReference w:type="default" r:id="rId20"/>
          <w:pgSz w:w="11910" w:h="16840"/>
          <w:pgMar w:footer="982" w:header="745" w:top="1060" w:bottom="1180" w:left="980" w:right="940"/>
          <w:pgNumType w:start="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5"/>
        <w:jc w:val="both"/>
      </w:pPr>
      <w:r>
        <w:rPr>
          <w:spacing w:val="-2"/>
        </w:rPr>
        <w:t>加强支付产业链的资源整合；二，围绕交易环节，从征信、支付运营切入，进行战略布局，重点开展以支付数据为基础的大</w:t>
      </w:r>
      <w:r>
        <w:rPr>
          <w:spacing w:val="-70"/>
        </w:rPr>
        <w:t> </w:t>
      </w:r>
      <w:r>
        <w:rPr>
          <w:spacing w:val="-70"/>
        </w:rPr>
      </w:r>
      <w:r>
        <w:rPr>
          <w:spacing w:val="-2"/>
        </w:rPr>
        <w:t>数据运营模式探索，加强征信服务的投入，以电子支付服务行业的健康发展为己任，建设电子支付安全受理环境；三，依托</w:t>
      </w:r>
      <w:r>
        <w:rPr>
          <w:spacing w:val="-67"/>
        </w:rPr>
        <w:t> </w:t>
      </w:r>
      <w:r>
        <w:rPr>
          <w:spacing w:val="-67"/>
        </w:rPr>
      </w:r>
      <w:r>
        <w:rPr>
          <w:rFonts w:ascii="宋体" w:hAnsi="宋体" w:cs="宋体" w:eastAsia="宋体" w:hint="default"/>
        </w:rPr>
        <w:t>IT</w:t>
      </w:r>
      <w:r>
        <w:rPr/>
        <w:t>软硬件技术能力，重点投入智能硬件的研发与运营，在未来智能硬件大发展的时代获得一席之地。</w:t>
      </w:r>
    </w:p>
    <w:p>
      <w:pPr>
        <w:pStyle w:val="BodyText"/>
        <w:spacing w:line="477" w:lineRule="auto" w:before="54"/>
        <w:ind w:right="193" w:firstLine="360"/>
        <w:jc w:val="both"/>
      </w:pPr>
      <w:r>
        <w:rPr>
          <w:spacing w:val="-2"/>
        </w:rPr>
        <w:t>在电子支付和智能硬件两大主业架构的基础之上，结合征信风控能力，以运营服务为依托，为客户、商户提供金融服务</w:t>
      </w:r>
      <w:r>
        <w:rPr/>
        <w:t> 和</w:t>
      </w:r>
      <w:r>
        <w:rPr>
          <w:rFonts w:ascii="宋体" w:hAnsi="宋体" w:cs="宋体" w:eastAsia="宋体" w:hint="default"/>
        </w:rPr>
        <w:t>/</w:t>
      </w:r>
      <w:r>
        <w:rPr/>
        <w:t>或金融服务代购服务等衍生服务，实现消费大数据的变现，增加公司的盈利点，提高公司的持续盈利能力和业务抗风险 能力。</w:t>
      </w:r>
    </w:p>
    <w:p>
      <w:pPr>
        <w:pStyle w:val="BodyText"/>
        <w:spacing w:line="477" w:lineRule="auto" w:before="54"/>
        <w:ind w:left="512" w:right="94" w:hanging="361"/>
        <w:jc w:val="left"/>
      </w:pPr>
      <w:r>
        <w:rPr/>
        <w:t>（</w:t>
      </w:r>
      <w:r>
        <w:rPr>
          <w:rFonts w:ascii="宋体" w:hAnsi="宋体" w:cs="宋体" w:eastAsia="宋体" w:hint="default"/>
        </w:rPr>
        <w:t>1</w:t>
      </w:r>
      <w:r>
        <w:rPr/>
        <w:t>）围绕支付打造</w:t>
      </w:r>
      <w:r>
        <w:rPr>
          <w:rFonts w:ascii="宋体" w:hAnsi="宋体" w:cs="宋体" w:eastAsia="宋体" w:hint="default"/>
        </w:rPr>
        <w:t>“</w:t>
      </w:r>
      <w:r>
        <w:rPr/>
        <w:t>支付</w:t>
      </w:r>
      <w:r>
        <w:rPr>
          <w:rFonts w:ascii="宋体" w:hAnsi="宋体" w:cs="宋体" w:eastAsia="宋体" w:hint="default"/>
        </w:rPr>
        <w:t>+</w:t>
      </w:r>
      <w:r>
        <w:rPr/>
        <w:t>金融服务</w:t>
      </w:r>
      <w:r>
        <w:rPr>
          <w:rFonts w:ascii="宋体" w:hAnsi="宋体" w:cs="宋体" w:eastAsia="宋体" w:hint="default"/>
        </w:rPr>
        <w:t>”</w:t>
      </w:r>
      <w:r>
        <w:rPr/>
        <w:t>的商业运营服务组合体系 </w:t>
      </w:r>
      <w:r>
        <w:rPr>
          <w:spacing w:val="-2"/>
        </w:rPr>
        <w:t>支付是交易的核心基础环节，也是交易活动中信息流、资金流的重要节点，同时在这个环节会沉淀海量用户数据，具有</w:t>
      </w:r>
    </w:p>
    <w:p>
      <w:pPr>
        <w:pStyle w:val="BodyText"/>
        <w:spacing w:line="477" w:lineRule="auto" w:before="54"/>
        <w:ind w:right="94"/>
        <w:jc w:val="left"/>
      </w:pPr>
      <w:r>
        <w:rPr>
          <w:spacing w:val="-2"/>
        </w:rPr>
        <w:t>较强的延展性和金融属性。结合最新市场的变化趋势，公司继续围绕电子支付业务向交易以及交易相关的一系列业务（如金</w:t>
      </w:r>
      <w:r>
        <w:rPr>
          <w:spacing w:val="-63"/>
        </w:rPr>
        <w:t> </w:t>
      </w:r>
      <w:r>
        <w:rPr>
          <w:spacing w:val="-63"/>
        </w:rPr>
      </w:r>
      <w:r>
        <w:rPr>
          <w:spacing w:val="-2"/>
        </w:rPr>
        <w:t>融）拓展，贯通支付产业链上下游核心资源，为广大客户和商户提供涵盖支付智能终端设备、线上线下支付技术运营服务等</w:t>
      </w:r>
      <w:r>
        <w:rPr>
          <w:spacing w:val="-64"/>
        </w:rPr>
        <w:t> </w:t>
      </w:r>
      <w:r>
        <w:rPr>
          <w:spacing w:val="-64"/>
        </w:rPr>
      </w:r>
      <w:r>
        <w:rPr>
          <w:spacing w:val="-2"/>
        </w:rPr>
        <w:t>一站式综合支付服务解决方案。公司将基于支付领域的核心业务能力，依托大数据沉淀，拓展金融服务，以互联网金融为突</w:t>
      </w:r>
      <w:r>
        <w:rPr>
          <w:spacing w:val="-64"/>
        </w:rPr>
        <w:t> </w:t>
      </w:r>
      <w:r>
        <w:rPr>
          <w:spacing w:val="-64"/>
        </w:rPr>
      </w:r>
      <w:r>
        <w:rPr>
          <w:spacing w:val="-4"/>
        </w:rPr>
        <w:t>破口，协助客户为商户提供金融服务，以增加客户的盈利点，间接为公司增加营业收入。因此，公司积极布局金融服务领域，</w:t>
      </w:r>
      <w:r>
        <w:rPr>
          <w:spacing w:val="-42"/>
        </w:rPr>
        <w:t> </w:t>
      </w:r>
      <w:r>
        <w:rPr>
          <w:spacing w:val="-42"/>
        </w:rPr>
      </w:r>
      <w:r>
        <w:rPr/>
        <w:t>借助支付服务的类金融属性，着力打造</w:t>
      </w:r>
      <w:r>
        <w:rPr>
          <w:rFonts w:ascii="宋体" w:hAnsi="宋体" w:cs="宋体" w:eastAsia="宋体" w:hint="default"/>
        </w:rPr>
        <w:t>“</w:t>
      </w:r>
      <w:r>
        <w:rPr/>
        <w:t>支付</w:t>
      </w:r>
      <w:r>
        <w:rPr>
          <w:rFonts w:ascii="宋体" w:hAnsi="宋体" w:cs="宋体" w:eastAsia="宋体" w:hint="default"/>
        </w:rPr>
        <w:t>+</w:t>
      </w:r>
      <w:r>
        <w:rPr/>
        <w:t>金融服务</w:t>
      </w:r>
      <w:r>
        <w:rPr>
          <w:rFonts w:ascii="宋体" w:hAnsi="宋体" w:cs="宋体" w:eastAsia="宋体" w:hint="default"/>
        </w:rPr>
        <w:t>”</w:t>
      </w:r>
      <w:r>
        <w:rPr/>
        <w:t>的商业运营服务组合体系。</w:t>
      </w:r>
    </w:p>
    <w:p>
      <w:pPr>
        <w:pStyle w:val="BodyText"/>
        <w:spacing w:line="477" w:lineRule="auto" w:before="54"/>
        <w:ind w:left="512" w:right="94" w:hanging="360"/>
        <w:jc w:val="left"/>
      </w:pPr>
      <w:r>
        <w:rPr/>
        <w:t>（</w:t>
      </w:r>
      <w:r>
        <w:rPr>
          <w:rFonts w:ascii="宋体" w:hAnsi="宋体" w:cs="宋体" w:eastAsia="宋体" w:hint="default"/>
        </w:rPr>
        <w:t>2</w:t>
      </w:r>
      <w:r>
        <w:rPr/>
        <w:t>）围绕交易环节，着力打造移动互联网时代的征信服务能力 </w:t>
      </w:r>
      <w:r>
        <w:rPr>
          <w:spacing w:val="-4"/>
        </w:rPr>
        <w:t>征信体系的搭建解决了互联网时代各种交易场景中，各交易对手之间的信任问题。征信机构提供的信用报告、信用评估、</w:t>
      </w:r>
    </w:p>
    <w:p>
      <w:pPr>
        <w:pStyle w:val="BodyText"/>
        <w:spacing w:line="477" w:lineRule="auto" w:before="54"/>
        <w:ind w:right="190"/>
        <w:jc w:val="both"/>
      </w:pPr>
      <w:r>
        <w:rPr>
          <w:spacing w:val="-2"/>
        </w:rPr>
        <w:t>信用信息咨询等服务，能够辅助判断和控制交易的信用风险。但传统金融对用户的信用定价的成本过于高昂，征信服务要拓</w:t>
      </w:r>
      <w:r>
        <w:rPr>
          <w:spacing w:val="-63"/>
        </w:rPr>
        <w:t> </w:t>
      </w:r>
      <w:r>
        <w:rPr>
          <w:spacing w:val="-63"/>
        </w:rPr>
      </w:r>
      <w:r>
        <w:rPr>
          <w:spacing w:val="-2"/>
        </w:rPr>
        <w:t>展利用各种场景中的交易数据、生产生活数据，从多维角度，实时、立体地评价和刻画交易对手的信用全景状况，从而有效</w:t>
      </w:r>
      <w:r>
        <w:rPr>
          <w:spacing w:val="-67"/>
        </w:rPr>
        <w:t> </w:t>
      </w:r>
      <w:r>
        <w:rPr>
          <w:spacing w:val="-67"/>
        </w:rPr>
      </w:r>
      <w:r>
        <w:rPr/>
        <w:t>的提高交易效率，降低风险管理成本。</w:t>
      </w:r>
    </w:p>
    <w:p>
      <w:pPr>
        <w:pStyle w:val="BodyText"/>
        <w:spacing w:line="477" w:lineRule="auto" w:before="54"/>
        <w:ind w:right="190" w:firstLine="360"/>
        <w:jc w:val="both"/>
      </w:pPr>
      <w:r>
        <w:rPr>
          <w:spacing w:val="-2"/>
        </w:rPr>
        <w:t>新国都拟将征信业务与支付大数据相结合，充分利用公司在行业内累积的经验及商户资源，围绕电子支付业务和互联网</w:t>
      </w:r>
      <w:r>
        <w:rPr/>
        <w:t> </w:t>
      </w:r>
      <w:r>
        <w:rPr>
          <w:spacing w:val="-2"/>
        </w:rPr>
        <w:t>应有业务流程，重点加强征信服务能力建设，提高公司在产业快速发展过程的风控服务能力；积极探索以支付数据为基础的</w:t>
      </w:r>
      <w:r>
        <w:rPr>
          <w:spacing w:val="-63"/>
        </w:rPr>
        <w:t> </w:t>
      </w:r>
      <w:r>
        <w:rPr>
          <w:spacing w:val="-63"/>
        </w:rPr>
      </w:r>
      <w:r>
        <w:rPr/>
        <w:t>大数据运营，以电子支付服务行业的健康发展为己任，积极建设电子支付安全受理环境。</w:t>
      </w:r>
    </w:p>
    <w:p>
      <w:pPr>
        <w:pStyle w:val="BodyText"/>
        <w:spacing w:line="477" w:lineRule="auto" w:before="54"/>
        <w:ind w:left="512" w:right="94" w:hanging="360"/>
        <w:jc w:val="left"/>
      </w:pPr>
      <w:r>
        <w:rPr/>
        <w:t>（</w:t>
      </w:r>
      <w:r>
        <w:rPr>
          <w:rFonts w:ascii="宋体" w:hAnsi="宋体" w:cs="宋体" w:eastAsia="宋体" w:hint="default"/>
        </w:rPr>
        <w:t>3</w:t>
      </w:r>
      <w:r>
        <w:rPr/>
        <w:t>）依托</w:t>
      </w:r>
      <w:r>
        <w:rPr>
          <w:rFonts w:ascii="宋体" w:hAnsi="宋体" w:cs="宋体" w:eastAsia="宋体" w:hint="default"/>
        </w:rPr>
        <w:t>IT</w:t>
      </w:r>
      <w:r>
        <w:rPr/>
        <w:t>软硬件研发经验，重点投入智能硬件运营领域 </w:t>
      </w:r>
      <w:r>
        <w:rPr>
          <w:spacing w:val="-2"/>
        </w:rPr>
        <w:t>基于公司多年在</w:t>
      </w:r>
      <w:r>
        <w:rPr>
          <w:rFonts w:ascii="宋体" w:hAnsi="宋体" w:cs="宋体" w:eastAsia="宋体" w:hint="default"/>
          <w:spacing w:val="-2"/>
        </w:rPr>
        <w:t>IT</w:t>
      </w:r>
      <w:r>
        <w:rPr>
          <w:spacing w:val="-2"/>
        </w:rPr>
        <w:t>软硬件研发的经验和能力，新国都将在智能硬件研发、运营领域投入资源，获得智能化时代的市场发</w:t>
      </w:r>
    </w:p>
    <w:p>
      <w:pPr>
        <w:pStyle w:val="BodyText"/>
        <w:spacing w:line="240" w:lineRule="auto" w:before="54"/>
        <w:ind w:right="94"/>
        <w:jc w:val="left"/>
      </w:pPr>
      <w:r>
        <w:rPr/>
        <w:t>展红利，为公司增加新的业务收入来源。</w:t>
      </w:r>
    </w:p>
    <w:p>
      <w:pPr>
        <w:spacing w:line="240" w:lineRule="auto" w:before="10"/>
        <w:rPr>
          <w:rFonts w:ascii="宋体" w:hAnsi="宋体" w:cs="宋体" w:eastAsia="宋体" w:hint="default"/>
          <w:sz w:val="17"/>
          <w:szCs w:val="17"/>
        </w:rPr>
      </w:pPr>
    </w:p>
    <w:p>
      <w:pPr>
        <w:pStyle w:val="BodyText"/>
        <w:spacing w:line="240" w:lineRule="auto"/>
        <w:ind w:right="94"/>
        <w:jc w:val="left"/>
      </w:pPr>
      <w:r>
        <w:rPr>
          <w:rFonts w:ascii="宋体" w:hAnsi="宋体" w:cs="宋体" w:eastAsia="宋体" w:hint="default"/>
        </w:rPr>
        <w:t>4</w:t>
      </w:r>
      <w:r>
        <w:rPr/>
        <w:t>、公司未来经营计划</w:t>
      </w:r>
    </w:p>
    <w:p>
      <w:pPr>
        <w:spacing w:line="240" w:lineRule="auto" w:before="10"/>
        <w:rPr>
          <w:rFonts w:ascii="宋体" w:hAnsi="宋体" w:cs="宋体" w:eastAsia="宋体" w:hint="default"/>
          <w:sz w:val="17"/>
          <w:szCs w:val="17"/>
        </w:rPr>
      </w:pPr>
    </w:p>
    <w:p>
      <w:pPr>
        <w:pStyle w:val="BodyText"/>
        <w:spacing w:line="477" w:lineRule="auto"/>
        <w:ind w:right="190" w:firstLine="360"/>
        <w:jc w:val="both"/>
      </w:pPr>
      <w:r>
        <w:rPr>
          <w:rFonts w:ascii="宋体" w:hAnsi="宋体" w:cs="宋体" w:eastAsia="宋体" w:hint="default"/>
          <w:spacing w:val="-2"/>
        </w:rPr>
        <w:t>2016</w:t>
      </w:r>
      <w:r>
        <w:rPr>
          <w:spacing w:val="-2"/>
        </w:rPr>
        <w:t>年，公司将继续专注移动互联网支付行业的发展趋势，充分把握电子支付行业爆发增长的机会，同时以服务商户为</w:t>
      </w:r>
      <w:r>
        <w:rPr/>
        <w:t> 核心，完善公司生态圈的构建，逐步实现集团化战略转型的目标，公司的经营机会将围绕以下几个方面展开：</w:t>
      </w:r>
    </w:p>
    <w:p>
      <w:pPr>
        <w:pStyle w:val="BodyText"/>
        <w:spacing w:line="477" w:lineRule="auto" w:before="54"/>
        <w:ind w:left="512" w:right="184"/>
        <w:jc w:val="left"/>
      </w:pPr>
      <w:r>
        <w:rPr>
          <w:rFonts w:ascii="宋体" w:hAnsi="宋体" w:cs="宋体" w:eastAsia="宋体" w:hint="default"/>
        </w:rPr>
        <w:t>(1)</w:t>
      </w:r>
      <w:r>
        <w:rPr/>
        <w:t>保持主营业务持续增长，加强多渠道推广智能</w:t>
      </w:r>
      <w:r>
        <w:rPr>
          <w:rFonts w:ascii="宋体" w:hAnsi="宋体" w:cs="宋体" w:eastAsia="宋体" w:hint="default"/>
        </w:rPr>
        <w:t>POS</w:t>
      </w:r>
      <w:r>
        <w:rPr/>
        <w:t>的力度，拓宽国内外销售渠道，逐步深入国际市场。 </w:t>
      </w:r>
      <w:r>
        <w:rPr>
          <w:rFonts w:ascii="宋体" w:hAnsi="宋体" w:cs="宋体" w:eastAsia="宋体" w:hint="default"/>
        </w:rPr>
        <w:t>2015</w:t>
      </w:r>
      <w:r>
        <w:rPr/>
        <w:t>年，伴随移动支付、电子支付的快速发展，电子支付市场不断更新变化，先后有二维码支付和</w:t>
      </w:r>
      <w:r>
        <w:rPr>
          <w:rFonts w:ascii="宋体" w:hAnsi="宋体" w:cs="宋体" w:eastAsia="宋体" w:hint="default"/>
        </w:rPr>
        <w:t>NFC</w:t>
      </w:r>
      <w:r>
        <w:rPr/>
        <w:t>进场支付等新兴</w:t>
      </w:r>
    </w:p>
    <w:p>
      <w:pPr>
        <w:pStyle w:val="BodyText"/>
        <w:spacing w:line="240" w:lineRule="auto" w:before="54"/>
        <w:ind w:right="94"/>
        <w:jc w:val="left"/>
      </w:pPr>
      <w:r>
        <w:rPr/>
        <w:t>移动支付技术涌现，对传统金融</w:t>
      </w:r>
      <w:r>
        <w:rPr>
          <w:rFonts w:ascii="宋体" w:hAnsi="宋体" w:cs="宋体" w:eastAsia="宋体" w:hint="default"/>
        </w:rPr>
        <w:t>POS</w:t>
      </w:r>
      <w:r>
        <w:rPr/>
        <w:t>硬件以及软件更新换代产生了根本性的需求，公司一直深耕电子支付领域，以支付技术</w:t>
      </w:r>
    </w:p>
    <w:p>
      <w:pPr>
        <w:spacing w:after="0" w:line="240" w:lineRule="auto"/>
        <w:jc w:val="left"/>
        <w:sectPr>
          <w:footerReference w:type="default" r:id="rId21"/>
          <w:pgSz w:w="11910" w:h="16840"/>
          <w:pgMar w:footer="982" w:header="745" w:top="1060" w:bottom="1180" w:left="980" w:right="940"/>
          <w:pgNumType w:start="4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144" w:hanging="360"/>
        <w:jc w:val="left"/>
      </w:pPr>
      <w:r>
        <w:rPr/>
        <w:t>为基础，顺应市场发展将继续巩固和提升在电子支付技术受理终端设备的市场领先地位。 随着移动支付的迅猛发展，被赋予更多想象空间的智能</w:t>
      </w:r>
      <w:r>
        <w:rPr>
          <w:rFonts w:ascii="宋体" w:hAnsi="宋体" w:cs="宋体" w:eastAsia="宋体" w:hint="default"/>
        </w:rPr>
        <w:t>POS</w:t>
      </w:r>
      <w:r>
        <w:rPr/>
        <w:t>也受到了银联、商业银行以及第三方支付公司的关注，公司</w:t>
      </w:r>
    </w:p>
    <w:p>
      <w:pPr>
        <w:pStyle w:val="BodyText"/>
        <w:spacing w:line="477" w:lineRule="auto" w:before="54"/>
        <w:ind w:right="160"/>
        <w:jc w:val="both"/>
      </w:pPr>
      <w:r>
        <w:rPr/>
        <w:t>将通过利用现有资源挖掘更多市场空间，大力发展新客户。调整产品销售组合方案，重点完成智能</w:t>
      </w:r>
      <w:r>
        <w:rPr>
          <w:rFonts w:ascii="宋体" w:hAnsi="宋体" w:cs="宋体" w:eastAsia="宋体" w:hint="default"/>
        </w:rPr>
        <w:t>POS</w:t>
      </w:r>
      <w:r>
        <w:rPr/>
        <w:t>的推广工作，为公司 的智能</w:t>
      </w:r>
      <w:r>
        <w:rPr>
          <w:rFonts w:ascii="宋体" w:hAnsi="宋体" w:cs="宋体" w:eastAsia="宋体" w:hint="default"/>
        </w:rPr>
        <w:t>POS</w:t>
      </w:r>
      <w:r>
        <w:rPr/>
        <w:t>市场打开了新局面，实现阶段性突破。</w:t>
      </w:r>
    </w:p>
    <w:p>
      <w:pPr>
        <w:pStyle w:val="BodyText"/>
        <w:spacing w:line="477" w:lineRule="auto" w:before="54"/>
        <w:ind w:right="0" w:firstLine="360"/>
        <w:jc w:val="left"/>
      </w:pPr>
      <w:r>
        <w:rPr>
          <w:spacing w:val="-2"/>
        </w:rPr>
        <w:t>国际业务方面，加大国际空白市场的商务投入，扩宽销售渠道，增加销售模式，乘胜追击，逐步深入国际市场的各个支</w:t>
      </w:r>
      <w:r>
        <w:rPr/>
        <w:t> 付行业，培育新的增长点；推进国际各地当地市场认证的完成。</w:t>
      </w:r>
    </w:p>
    <w:p>
      <w:pPr>
        <w:pStyle w:val="BodyText"/>
        <w:spacing w:line="477" w:lineRule="auto" w:before="54"/>
        <w:ind w:left="512" w:right="0"/>
        <w:jc w:val="left"/>
      </w:pPr>
      <w:r>
        <w:rPr/>
        <w:t>通过这三驾马车共同对主营业务的拉动，公司有信心</w:t>
      </w:r>
      <w:r>
        <w:rPr>
          <w:rFonts w:ascii="宋体" w:hAnsi="宋体" w:cs="宋体" w:eastAsia="宋体" w:hint="default"/>
        </w:rPr>
        <w:t>2016</w:t>
      </w:r>
      <w:r>
        <w:rPr/>
        <w:t>年在主营业务上取得良好的业绩，进一步巩固行业地位。 </w:t>
      </w:r>
      <w:r>
        <w:rPr>
          <w:rFonts w:ascii="宋体" w:hAnsi="宋体" w:cs="宋体" w:eastAsia="宋体" w:hint="default"/>
        </w:rPr>
        <w:t>(2)</w:t>
      </w:r>
      <w:r>
        <w:rPr/>
        <w:t>继续整合电子支付产业链上下游核心技术资源。 </w:t>
      </w:r>
      <w:r>
        <w:rPr>
          <w:spacing w:val="-2"/>
        </w:rPr>
        <w:t>公司已通过收购与参股方式储备指纹识别等生物识别技术、以及物联网云技术等，并且在已有研发基础上针对支付市场</w:t>
      </w:r>
    </w:p>
    <w:p>
      <w:pPr>
        <w:pStyle w:val="BodyText"/>
        <w:spacing w:line="477" w:lineRule="auto" w:before="54"/>
        <w:ind w:right="153"/>
        <w:jc w:val="both"/>
      </w:pPr>
      <w:r>
        <w:rPr>
          <w:spacing w:val="-2"/>
        </w:rPr>
        <w:t>发展需求积极研发出了</w:t>
      </w:r>
      <w:r>
        <w:rPr>
          <w:rFonts w:ascii="宋体" w:hAnsi="宋体" w:cs="宋体" w:eastAsia="宋体" w:hint="default"/>
          <w:spacing w:val="-2"/>
        </w:rPr>
        <w:t>NFC</w:t>
      </w:r>
      <w:r>
        <w:rPr>
          <w:spacing w:val="-2"/>
        </w:rPr>
        <w:t>、智能</w:t>
      </w:r>
      <w:r>
        <w:rPr>
          <w:rFonts w:ascii="宋体" w:hAnsi="宋体" w:cs="宋体" w:eastAsia="宋体" w:hint="default"/>
          <w:spacing w:val="-2"/>
        </w:rPr>
        <w:t>POS</w:t>
      </w:r>
      <w:r>
        <w:rPr>
          <w:spacing w:val="-2"/>
        </w:rPr>
        <w:t>等相关技术。</w:t>
      </w:r>
      <w:r>
        <w:rPr>
          <w:rFonts w:ascii="宋体" w:hAnsi="宋体" w:cs="宋体" w:eastAsia="宋体" w:hint="default"/>
          <w:spacing w:val="-2"/>
        </w:rPr>
        <w:t>2016</w:t>
      </w:r>
      <w:r>
        <w:rPr>
          <w:spacing w:val="-2"/>
        </w:rPr>
        <w:t>年，公司会继续跟进电子支付市场技术的发展方向，提前做好相关技</w:t>
      </w:r>
      <w:r>
        <w:rPr>
          <w:spacing w:val="-61"/>
        </w:rPr>
        <w:t> </w:t>
      </w:r>
      <w:r>
        <w:rPr>
          <w:spacing w:val="-61"/>
        </w:rPr>
      </w:r>
      <w:r>
        <w:rPr>
          <w:spacing w:val="-2"/>
        </w:rPr>
        <w:t>术的研发布局工作，同时公司也会加强创新支付技术的研发工作。在技术领域方面，本年度公司计划重点关注智能硬件、大</w:t>
      </w:r>
      <w:r>
        <w:rPr>
          <w:spacing w:val="-66"/>
        </w:rPr>
        <w:t> </w:t>
      </w:r>
      <w:r>
        <w:rPr>
          <w:spacing w:val="-66"/>
        </w:rPr>
      </w:r>
      <w:r>
        <w:rPr/>
        <w:t>数据、人工智能、生物识别等相关领域技术。</w:t>
      </w:r>
    </w:p>
    <w:p>
      <w:pPr>
        <w:pStyle w:val="BodyText"/>
        <w:spacing w:line="477" w:lineRule="auto" w:before="54"/>
        <w:ind w:left="512" w:right="0"/>
        <w:jc w:val="left"/>
      </w:pPr>
      <w:r>
        <w:rPr>
          <w:rFonts w:ascii="宋体" w:hAnsi="宋体" w:cs="宋体" w:eastAsia="宋体" w:hint="default"/>
        </w:rPr>
        <w:t>(3)</w:t>
      </w:r>
      <w:r>
        <w:rPr/>
        <w:t>进一步探索构建基于移动互联网支付运营模式的自有核心业务生态圈。 </w:t>
      </w:r>
      <w:r>
        <w:rPr>
          <w:spacing w:val="-2"/>
        </w:rPr>
        <w:t>在支付板块、征信大数据运营板块、金融板块的各自领域里加强竞争力，在整体战略布局上，推动实现各板块之间的协</w:t>
      </w:r>
    </w:p>
    <w:p>
      <w:pPr>
        <w:pStyle w:val="BodyText"/>
        <w:spacing w:line="477" w:lineRule="auto" w:before="54"/>
        <w:ind w:right="153"/>
        <w:jc w:val="both"/>
      </w:pPr>
      <w:r>
        <w:rPr>
          <w:spacing w:val="-2"/>
        </w:rPr>
        <w:t>同效益，更大创造附加价值，增加业务盈利点。继续加大核心业务生态圈建设的投入，研发优质、适合目标商户的产品与技</w:t>
      </w:r>
      <w:r>
        <w:rPr>
          <w:spacing w:val="-67"/>
        </w:rPr>
        <w:t> </w:t>
      </w:r>
      <w:r>
        <w:rPr>
          <w:spacing w:val="-67"/>
        </w:rPr>
      </w:r>
      <w:r>
        <w:rPr>
          <w:spacing w:val="-2"/>
        </w:rPr>
        <w:t>术，以产品与服务覆盖商户经营的整个交易流程，进一步推动公司业务从电子支付受理终端设备制造业务向电子支付大数据</w:t>
      </w:r>
      <w:r>
        <w:rPr>
          <w:spacing w:val="-64"/>
        </w:rPr>
        <w:t> </w:t>
      </w:r>
      <w:r>
        <w:rPr>
          <w:spacing w:val="-64"/>
        </w:rPr>
      </w:r>
      <w:r>
        <w:rPr/>
        <w:t>运营转型，构建围绕电子支付的闭环生态圈。</w:t>
      </w:r>
    </w:p>
    <w:p>
      <w:pPr>
        <w:pStyle w:val="BodyText"/>
        <w:spacing w:line="477" w:lineRule="auto" w:before="54"/>
        <w:ind w:left="512" w:right="0"/>
        <w:jc w:val="left"/>
      </w:pPr>
      <w:r>
        <w:rPr>
          <w:rFonts w:ascii="宋体" w:hAnsi="宋体" w:cs="宋体" w:eastAsia="宋体" w:hint="default"/>
        </w:rPr>
        <w:t>(4)</w:t>
      </w:r>
      <w:r>
        <w:rPr/>
        <w:t>加强管理团队能力建设，建立新国都领导力模型，重视具有新国都特色企业文化氛围的树立。 </w:t>
      </w:r>
      <w:r>
        <w:rPr>
          <w:rFonts w:ascii="宋体" w:hAnsi="宋体" w:cs="宋体" w:eastAsia="宋体" w:hint="default"/>
          <w:spacing w:val="-2"/>
        </w:rPr>
        <w:t>2016</w:t>
      </w:r>
      <w:r>
        <w:rPr>
          <w:spacing w:val="-2"/>
        </w:rPr>
        <w:t>年，公司将继续加大对管理团队能力建设的培训，以满足公司转型中的战略发展需求，配合公司多元化战略业务布</w:t>
      </w:r>
    </w:p>
    <w:p>
      <w:pPr>
        <w:pStyle w:val="BodyText"/>
        <w:spacing w:line="477" w:lineRule="auto" w:before="54"/>
        <w:ind w:right="151"/>
        <w:jc w:val="both"/>
      </w:pPr>
      <w:r>
        <w:rPr>
          <w:spacing w:val="-2"/>
        </w:rPr>
        <w:t>局的发展，在相关领域培养和招募专业人才，确保公司的战略发展顺利进行。在公司管理水平建设上，一直目标成为具备管</w:t>
      </w:r>
      <w:r>
        <w:rPr>
          <w:spacing w:val="-65"/>
        </w:rPr>
        <w:t> </w:t>
      </w:r>
      <w:r>
        <w:rPr>
          <w:spacing w:val="-65"/>
        </w:rPr>
      </w:r>
      <w:r>
        <w:rPr/>
        <w:t>理输出能力的平台型公司。</w:t>
      </w:r>
    </w:p>
    <w:p>
      <w:pPr>
        <w:pStyle w:val="BodyText"/>
        <w:spacing w:line="477" w:lineRule="auto" w:before="54"/>
        <w:ind w:left="512" w:right="144"/>
        <w:jc w:val="left"/>
      </w:pPr>
      <w:r>
        <w:rPr>
          <w:rFonts w:ascii="宋体" w:hAnsi="宋体" w:cs="宋体" w:eastAsia="宋体" w:hint="default"/>
        </w:rPr>
        <w:t>(5)</w:t>
      </w:r>
      <w:r>
        <w:rPr/>
        <w:t>推动集团化进程，加强集团品牌体系建设。 </w:t>
      </w:r>
      <w:r>
        <w:rPr>
          <w:rFonts w:ascii="宋体" w:hAnsi="宋体" w:cs="宋体" w:eastAsia="宋体" w:hint="default"/>
        </w:rPr>
        <w:t>2016</w:t>
      </w:r>
      <w:r>
        <w:rPr/>
        <w:t>年，公司将继续推进金融</w:t>
      </w:r>
      <w:r>
        <w:rPr>
          <w:rFonts w:ascii="宋体" w:hAnsi="宋体" w:cs="宋体" w:eastAsia="宋体" w:hint="default"/>
        </w:rPr>
        <w:t>POS</w:t>
      </w:r>
      <w:r>
        <w:rPr/>
        <w:t>业务从母公司剥离的工作，切实推行公司多业务板块并行结构，逐步实现集团化，建</w:t>
      </w:r>
    </w:p>
    <w:p>
      <w:pPr>
        <w:pStyle w:val="BodyText"/>
        <w:spacing w:line="477" w:lineRule="auto" w:before="54"/>
        <w:ind w:left="512" w:right="0" w:hanging="360"/>
        <w:jc w:val="left"/>
      </w:pPr>
      <w:r>
        <w:rPr/>
        <w:t>设多品牌管理体系，加强母公司品牌形象打造和宣传工作。 </w:t>
      </w:r>
      <w:r>
        <w:rPr>
          <w:spacing w:val="-2"/>
        </w:rPr>
        <w:t>为了更有效推动公司整体战略发展，构建自有核心生态圈，公司计划将不同板块业务进行隔离，以确保各板块能够高效</w:t>
      </w:r>
    </w:p>
    <w:p>
      <w:pPr>
        <w:pStyle w:val="BodyText"/>
        <w:spacing w:line="477" w:lineRule="auto" w:before="54"/>
        <w:ind w:right="151"/>
        <w:jc w:val="both"/>
      </w:pPr>
      <w:r>
        <w:rPr>
          <w:spacing w:val="-2"/>
        </w:rPr>
        <w:t>独立运作经营，从而满足集团多样业务发展的需求。同时，继续加强集团品牌建设工作，通过互联网平台以及其他沟通交流</w:t>
      </w:r>
      <w:r>
        <w:rPr>
          <w:spacing w:val="-64"/>
        </w:rPr>
        <w:t> </w:t>
      </w:r>
      <w:r>
        <w:rPr>
          <w:spacing w:val="-64"/>
        </w:rPr>
      </w:r>
      <w:r>
        <w:rPr>
          <w:spacing w:val="-2"/>
        </w:rPr>
        <w:t>渠道，有效向消费者市场以及资本市场传递及时准确的信息，提升市场对公司的了解与认同，树立清晰的良好的公司品牌形</w:t>
      </w:r>
      <w:r>
        <w:rPr>
          <w:spacing w:val="-63"/>
        </w:rPr>
        <w:t> </w:t>
      </w:r>
      <w:r>
        <w:rPr>
          <w:spacing w:val="-63"/>
        </w:rPr>
      </w:r>
      <w:r>
        <w:rPr/>
        <w:t>象。</w:t>
      </w:r>
    </w:p>
    <w:p>
      <w:pPr>
        <w:pStyle w:val="BodyText"/>
        <w:spacing w:line="240" w:lineRule="auto" w:before="54"/>
        <w:ind w:right="0"/>
        <w:jc w:val="both"/>
      </w:pPr>
      <w:r>
        <w:rPr>
          <w:rFonts w:ascii="宋体" w:hAnsi="宋体" w:cs="宋体" w:eastAsia="宋体" w:hint="default"/>
        </w:rPr>
        <w:t>5</w:t>
      </w:r>
      <w:r>
        <w:rPr/>
        <w:t>、公司可能面对的风险因素分析</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t>（</w:t>
      </w:r>
      <w:r>
        <w:rPr>
          <w:rFonts w:ascii="宋体" w:hAnsi="宋体" w:cs="宋体" w:eastAsia="宋体" w:hint="default"/>
        </w:rPr>
        <w:t>1</w:t>
      </w:r>
      <w:r>
        <w:rPr/>
        <w:t>）政策法规及行业风险</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firstLine="360"/>
        <w:jc w:val="left"/>
      </w:pPr>
      <w:r>
        <w:rPr/>
        <w:t>随着信息技术在支付领域得到广泛的应用，支付基础设施建设取得了重大发展</w:t>
      </w:r>
      <w:r>
        <w:rPr>
          <w:rFonts w:ascii="宋体" w:hAnsi="宋体" w:cs="宋体" w:eastAsia="宋体" w:hint="default"/>
        </w:rPr>
        <w:t>,</w:t>
      </w:r>
      <w:r>
        <w:rPr/>
        <w:t>非现金支付工具日益普及且创新不断</w:t>
      </w:r>
      <w:r>
        <w:rPr>
          <w:rFonts w:ascii="宋体" w:hAnsi="宋体" w:cs="宋体" w:eastAsia="宋体" w:hint="default"/>
        </w:rPr>
        <w:t>, </w:t>
      </w:r>
      <w:r>
        <w:rPr/>
        <w:t>支付服务环境大幅改善</w:t>
      </w:r>
      <w:r>
        <w:rPr>
          <w:rFonts w:ascii="宋体" w:hAnsi="宋体" w:cs="宋体" w:eastAsia="宋体" w:hint="default"/>
        </w:rPr>
        <w:t>,</w:t>
      </w:r>
      <w:r>
        <w:rPr/>
        <w:t>有效支持了实体经济的发展。由于电子支付业务的类金融属性，其合法合规合理开展，对我国金融 </w:t>
      </w:r>
      <w:r>
        <w:rPr>
          <w:spacing w:val="-4"/>
        </w:rPr>
        <w:t>体系的安全有着重要影响，因此，电子支付服务业务从业务主体、业务全流程，一直以来都是金融监管机构重点监控的范围。</w:t>
      </w:r>
      <w:r>
        <w:rPr>
          <w:spacing w:val="-46"/>
        </w:rPr>
        <w:t> </w:t>
      </w:r>
      <w:r>
        <w:rPr>
          <w:spacing w:val="-46"/>
        </w:rPr>
      </w:r>
      <w:r>
        <w:rPr>
          <w:rFonts w:ascii="宋体" w:hAnsi="宋体" w:cs="宋体" w:eastAsia="宋体" w:hint="default"/>
          <w:spacing w:val="-2"/>
        </w:rPr>
        <w:t>2015</w:t>
      </w:r>
      <w:r>
        <w:rPr>
          <w:spacing w:val="-2"/>
        </w:rPr>
        <w:t>年以来，中国人民银行先后发布了《关于实施银行卡清算机构准入管理的决定》、《中国人民银行关于加强银行卡收单</w:t>
      </w:r>
      <w:r>
        <w:rPr>
          <w:spacing w:val="-63"/>
        </w:rPr>
        <w:t> </w:t>
      </w:r>
      <w:r>
        <w:rPr>
          <w:spacing w:val="-63"/>
        </w:rPr>
      </w:r>
      <w:r>
        <w:rPr>
          <w:spacing w:val="-2"/>
        </w:rPr>
        <w:t>业务外包管理的通知》、《非银行支付机构网络支付业务管理办法》等重要监管文件，对电子支付行业从参与主体、业务流</w:t>
      </w:r>
      <w:r>
        <w:rPr>
          <w:spacing w:val="-67"/>
        </w:rPr>
        <w:t> </w:t>
      </w:r>
      <w:r>
        <w:rPr>
          <w:spacing w:val="-67"/>
        </w:rPr>
      </w:r>
      <w:r>
        <w:rPr/>
        <w:t>程、交易权限等方面进行了全方位的规定，对行业产生了深远影响。</w:t>
      </w:r>
    </w:p>
    <w:p>
      <w:pPr>
        <w:pStyle w:val="BodyText"/>
        <w:spacing w:line="477" w:lineRule="auto" w:before="54"/>
        <w:ind w:right="94" w:firstLine="360"/>
        <w:jc w:val="left"/>
      </w:pPr>
      <w:r>
        <w:rPr>
          <w:spacing w:val="-2"/>
        </w:rPr>
        <w:t>针对该风险，公司也在把握行业政策，研究行业发展趋势，坚持电子支付安全、金融体系安全，加强公司相关业务的流</w:t>
      </w:r>
      <w:r>
        <w:rPr/>
        <w:t> 程控制的业务原则，积极应对行业监管给行业发展带来的新变化、新机遇和新挑战。</w:t>
      </w:r>
    </w:p>
    <w:p>
      <w:pPr>
        <w:pStyle w:val="BodyText"/>
        <w:spacing w:line="477" w:lineRule="auto" w:before="54"/>
        <w:ind w:left="512" w:right="94"/>
        <w:jc w:val="left"/>
      </w:pPr>
      <w:r>
        <w:rPr/>
        <w:t>（</w:t>
      </w:r>
      <w:r>
        <w:rPr>
          <w:rFonts w:ascii="宋体" w:hAnsi="宋体" w:cs="宋体" w:eastAsia="宋体" w:hint="default"/>
        </w:rPr>
        <w:t>2</w:t>
      </w:r>
      <w:r>
        <w:rPr/>
        <w:t>）兼并收购带来的财务风险、商誉减值风险 </w:t>
      </w:r>
      <w:r>
        <w:rPr>
          <w:spacing w:val="-2"/>
        </w:rPr>
        <w:t>公司因为战略发展需要，通过兼并收购等方式，获得新业务和新市场的同事，也会增大财务压力和增加财务风险，这对</w:t>
      </w:r>
    </w:p>
    <w:p>
      <w:pPr>
        <w:pStyle w:val="BodyText"/>
        <w:spacing w:line="477" w:lineRule="auto" w:before="54"/>
        <w:ind w:right="111"/>
        <w:jc w:val="both"/>
      </w:pPr>
      <w:r>
        <w:rPr>
          <w:spacing w:val="-2"/>
        </w:rPr>
        <w:t>公司财务管理和风险控制提出了更高的要求。兼并收购的财务风险主要有：对被并购企业价值评估不当的定价风险，能否足</w:t>
      </w:r>
      <w:r>
        <w:rPr>
          <w:spacing w:val="-63"/>
        </w:rPr>
        <w:t> </w:t>
      </w:r>
      <w:r>
        <w:rPr>
          <w:spacing w:val="-63"/>
        </w:rPr>
      </w:r>
      <w:r>
        <w:rPr/>
        <w:t>额筹集并购资金的融资风险，在现金支付方式的收购中会尤其突出的偿债风险和交易完成后对被并购企业的业务整合风险。</w:t>
      </w:r>
    </w:p>
    <w:p>
      <w:pPr>
        <w:pStyle w:val="BodyText"/>
        <w:spacing w:line="477" w:lineRule="auto" w:before="54"/>
        <w:ind w:right="94" w:firstLine="360"/>
        <w:jc w:val="left"/>
      </w:pPr>
      <w:r>
        <w:rPr>
          <w:spacing w:val="-2"/>
        </w:rPr>
        <w:t>而在整体经济相对疲弱的大环境下，被并购企业经营及盈利状况不达预期风险也相应增大，这会对上市公司盈利增速造</w:t>
      </w:r>
      <w:r>
        <w:rPr/>
        <w:t> 成拖累，兼并收购中产生的商誉也将面临计提减值的压力。</w:t>
      </w:r>
    </w:p>
    <w:p>
      <w:pPr>
        <w:pStyle w:val="BodyText"/>
        <w:spacing w:line="477" w:lineRule="auto" w:before="54"/>
        <w:ind w:right="193" w:firstLine="360"/>
        <w:jc w:val="both"/>
      </w:pPr>
      <w:r>
        <w:rPr>
          <w:spacing w:val="-2"/>
        </w:rPr>
        <w:t>针对该风险，公司将增强财务管理团队，建立更加严格的风险控制体系；审慎选择并购标的，加强对其尽职调查降低定</w:t>
      </w:r>
      <w:r>
        <w:rPr/>
        <w:t> </w:t>
      </w:r>
      <w:r>
        <w:rPr>
          <w:spacing w:val="-2"/>
        </w:rPr>
        <w:t>价风险；及时采取多种方式融资以获得所需资金，避免过度负债，根据实际情况选择自有资本、权益资本和债务资本，降低</w:t>
      </w:r>
      <w:r>
        <w:rPr>
          <w:spacing w:val="-67"/>
        </w:rPr>
        <w:t> </w:t>
      </w:r>
      <w:r>
        <w:rPr>
          <w:spacing w:val="-67"/>
        </w:rPr>
      </w:r>
      <w:r>
        <w:rPr>
          <w:spacing w:val="-2"/>
        </w:rPr>
        <w:t>融资风险，合理选择支付方式、时间及数量降低偿债风险；对于被并购企业实现战略整合、人力资源整合、文化整合和财务</w:t>
      </w:r>
      <w:r>
        <w:rPr>
          <w:spacing w:val="-67"/>
        </w:rPr>
        <w:t> </w:t>
      </w:r>
      <w:r>
        <w:rPr>
          <w:spacing w:val="-67"/>
        </w:rPr>
      </w:r>
      <w:r>
        <w:rPr/>
        <w:t>管理体系的整合，达到整合后企业价值最大化的目标。</w:t>
      </w:r>
    </w:p>
    <w:p>
      <w:pPr>
        <w:pStyle w:val="BodyText"/>
        <w:spacing w:line="477" w:lineRule="auto" w:before="54"/>
        <w:ind w:left="512" w:right="94"/>
        <w:jc w:val="left"/>
      </w:pPr>
      <w:r>
        <w:rPr/>
        <w:t>（</w:t>
      </w:r>
      <w:r>
        <w:rPr>
          <w:rFonts w:ascii="宋体" w:hAnsi="宋体" w:cs="宋体" w:eastAsia="宋体" w:hint="default"/>
        </w:rPr>
        <w:t>3</w:t>
      </w:r>
      <w:r>
        <w:rPr/>
        <w:t>）产品、技术和服务等不能满足市场需求的风险 </w:t>
      </w:r>
      <w:r>
        <w:rPr>
          <w:spacing w:val="-2"/>
        </w:rPr>
        <w:t>公司已经积极开展基于移动互联网的产品、技术和服务的创新探索，但由于电子支付行业、征信服务等业务本身具备的</w:t>
      </w:r>
    </w:p>
    <w:p>
      <w:pPr>
        <w:pStyle w:val="BodyText"/>
        <w:spacing w:line="477" w:lineRule="auto" w:before="54"/>
        <w:ind w:right="191"/>
        <w:jc w:val="both"/>
      </w:pPr>
      <w:r>
        <w:rPr>
          <w:spacing w:val="-2"/>
        </w:rPr>
        <w:t>复杂程度，以及行业发展带来的行业变化加速，业务需求及发展的试错成本越来越高，且这些业务目前都面临着商业模式上</w:t>
      </w:r>
      <w:r>
        <w:rPr>
          <w:spacing w:val="-63"/>
        </w:rPr>
        <w:t> </w:t>
      </w:r>
      <w:r>
        <w:rPr>
          <w:spacing w:val="-63"/>
        </w:rPr>
      </w:r>
      <w:r>
        <w:rPr>
          <w:spacing w:val="-2"/>
        </w:rPr>
        <w:t>的创新，需要公司进行不断的探讨和研究，这导致公司现有产品、技术和服务的创新速度可能跟不上市场的变化，不能满足</w:t>
      </w:r>
      <w:r>
        <w:rPr>
          <w:spacing w:val="-65"/>
        </w:rPr>
        <w:t> </w:t>
      </w:r>
      <w:r>
        <w:rPr>
          <w:spacing w:val="-65"/>
        </w:rPr>
      </w:r>
      <w:r>
        <w:rPr/>
        <w:t>市场需求，导致公司的盈利能力低于预期。</w:t>
      </w:r>
    </w:p>
    <w:p>
      <w:pPr>
        <w:pStyle w:val="BodyText"/>
        <w:spacing w:line="477" w:lineRule="auto" w:before="54"/>
        <w:ind w:right="94" w:firstLine="360"/>
        <w:jc w:val="left"/>
      </w:pPr>
      <w:r>
        <w:rPr>
          <w:spacing w:val="-2"/>
        </w:rPr>
        <w:t>针对该风险，公司将采取积极引进高端人才的策略，尤其是引进有过成功的基于案例的高端人才，积极并购在公司战略</w:t>
      </w:r>
      <w:r>
        <w:rPr/>
        <w:t> 布局领域拥有较高市场份额，商业模式已获得市场验证的公司，以提高公司对未来业务的把握能力。</w:t>
      </w:r>
    </w:p>
    <w:p>
      <w:pPr>
        <w:pStyle w:val="BodyText"/>
        <w:spacing w:line="477" w:lineRule="auto" w:before="54"/>
        <w:ind w:left="512" w:right="94"/>
        <w:jc w:val="left"/>
      </w:pPr>
      <w:r>
        <w:rPr/>
        <w:t>（</w:t>
      </w:r>
      <w:r>
        <w:rPr>
          <w:rFonts w:ascii="宋体" w:hAnsi="宋体" w:cs="宋体" w:eastAsia="宋体" w:hint="default"/>
        </w:rPr>
        <w:t>4</w:t>
      </w:r>
      <w:r>
        <w:rPr/>
        <w:t>）战略转型进度低于预期甚至失败的风险 </w:t>
      </w:r>
      <w:r>
        <w:rPr>
          <w:spacing w:val="-2"/>
        </w:rPr>
        <w:t>公司原有业务以电子支付终端制造业务为主，根据公司战略发展规划，公司未来的业务将涵盖研发、制造、运营服务等</w:t>
      </w:r>
    </w:p>
    <w:p>
      <w:pPr>
        <w:pStyle w:val="BodyText"/>
        <w:spacing w:line="477" w:lineRule="auto" w:before="54"/>
        <w:ind w:left="512" w:right="94" w:hanging="360"/>
        <w:jc w:val="left"/>
      </w:pPr>
      <w:r>
        <w:rPr/>
        <w:t>各个领域，在各种因素影响下，公司存在战略落地速度、效率和质量可能低于预期，甚至战略转型失败的风险。 </w:t>
      </w:r>
      <w:r>
        <w:rPr>
          <w:spacing w:val="-2"/>
        </w:rPr>
        <w:t>对于传统企业而言，拥抱新经济是一条切实可行但并不好走的转型路径。而新经济的重要组成部分是以互联网手段使用</w:t>
      </w:r>
    </w:p>
    <w:p>
      <w:pPr>
        <w:pStyle w:val="BodyText"/>
        <w:spacing w:line="240" w:lineRule="auto" w:before="54"/>
        <w:ind w:right="0"/>
        <w:jc w:val="both"/>
      </w:pPr>
      <w:r>
        <w:rPr/>
        <w:t>为基础。回顾产业发展的历史，第一代新经济指向互联网本身，而现在则是</w:t>
      </w:r>
      <w:r>
        <w:rPr>
          <w:rFonts w:ascii="宋体" w:hAnsi="宋体" w:cs="宋体" w:eastAsia="宋体" w:hint="default"/>
        </w:rPr>
        <w:t>“</w:t>
      </w:r>
      <w:r>
        <w:rPr/>
        <w:t>互联网</w:t>
      </w:r>
      <w:r>
        <w:rPr>
          <w:rFonts w:ascii="宋体" w:hAnsi="宋体" w:cs="宋体" w:eastAsia="宋体" w:hint="default"/>
        </w:rPr>
        <w:t>+”</w:t>
      </w:r>
      <w:r>
        <w:rPr/>
        <w:t>，但浮于表层的</w:t>
      </w:r>
      <w:r>
        <w:rPr>
          <w:rFonts w:ascii="宋体" w:hAnsi="宋体" w:cs="宋体" w:eastAsia="宋体" w:hint="default"/>
        </w:rPr>
        <w:t>“</w:t>
      </w:r>
      <w:r>
        <w:rPr/>
        <w:t>互联网</w:t>
      </w:r>
      <w:r>
        <w:rPr>
          <w:rFonts w:ascii="宋体" w:hAnsi="宋体" w:cs="宋体" w:eastAsia="宋体" w:hint="default"/>
        </w:rPr>
        <w:t>+”</w:t>
      </w:r>
      <w:r>
        <w:rPr/>
        <w:t>并不能</w:t>
      </w:r>
    </w:p>
    <w:p>
      <w:pPr>
        <w:spacing w:after="0" w:line="240"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1"/>
        <w:jc w:val="both"/>
      </w:pPr>
      <w:r>
        <w:rPr>
          <w:spacing w:val="-2"/>
        </w:rPr>
        <w:t>帮助企业突破原有的增长轨迹，也无法企及更高的发展空间。真正的发展突破要利用互联网技术来提升传统企业的经营管理</w:t>
      </w:r>
      <w:r>
        <w:rPr>
          <w:spacing w:val="-64"/>
        </w:rPr>
        <w:t> </w:t>
      </w:r>
      <w:r>
        <w:rPr>
          <w:spacing w:val="-64"/>
        </w:rPr>
      </w:r>
      <w:r>
        <w:rPr>
          <w:spacing w:val="-2"/>
        </w:rPr>
        <w:t>模式，有效降低企业管理成本，对企业的生产和工作流程进行系统化的改造，这不仅需要时间来沉淀，也需要企业的管理层</w:t>
      </w:r>
      <w:r>
        <w:rPr>
          <w:spacing w:val="-65"/>
        </w:rPr>
        <w:t> </w:t>
      </w:r>
      <w:r>
        <w:rPr>
          <w:spacing w:val="-65"/>
        </w:rPr>
      </w:r>
      <w:r>
        <w:rPr/>
        <w:t>具备过人的胆识和智慧，才能顺利完成企业的提升。</w:t>
      </w:r>
    </w:p>
    <w:p>
      <w:pPr>
        <w:pStyle w:val="BodyText"/>
        <w:spacing w:line="477" w:lineRule="auto" w:before="54"/>
        <w:ind w:right="193" w:firstLine="360"/>
        <w:jc w:val="both"/>
      </w:pPr>
      <w:r>
        <w:rPr>
          <w:spacing w:val="-2"/>
        </w:rPr>
        <w:t>针对此风险，公司管理层深知战略转型并不能一蹴而就，做好了长期的准备，已经在着手管理架构的重建，新经济新模</w:t>
      </w:r>
      <w:r>
        <w:rPr/>
        <w:t> 式下相关人力资源的储备，保持稳步战略布局的耐心和节奏，以及进行资金实力储备。</w:t>
      </w:r>
    </w:p>
    <w:p>
      <w:pPr>
        <w:pStyle w:val="BodyText"/>
        <w:spacing w:line="477" w:lineRule="auto" w:before="54"/>
        <w:ind w:left="512" w:right="94"/>
        <w:jc w:val="left"/>
      </w:pPr>
      <w:r>
        <w:rPr/>
        <w:t>（</w:t>
      </w:r>
      <w:r>
        <w:rPr>
          <w:rFonts w:ascii="宋体" w:hAnsi="宋体" w:cs="宋体" w:eastAsia="宋体" w:hint="default"/>
        </w:rPr>
        <w:t>5</w:t>
      </w:r>
      <w:r>
        <w:rPr/>
        <w:t>）管理团队不能适应公司发展需求的风险 </w:t>
      </w:r>
      <w:r>
        <w:rPr>
          <w:spacing w:val="-2"/>
        </w:rPr>
        <w:t>公司未来的战略规划和业务发展将主要围绕运营服务开展，但公司现有中高层管理人员、员工团队并不具备良好的运营</w:t>
      </w:r>
    </w:p>
    <w:p>
      <w:pPr>
        <w:pStyle w:val="BodyText"/>
        <w:spacing w:line="477" w:lineRule="auto" w:before="54"/>
        <w:ind w:right="191"/>
        <w:jc w:val="both"/>
      </w:pPr>
      <w:r>
        <w:rPr>
          <w:spacing w:val="-2"/>
        </w:rPr>
        <w:t>管理经验，不能很好的适应公司未来发展需求。人才是公司未来战略实施的核心要素，因此，公司如果不能成功引入高端运</w:t>
      </w:r>
      <w:r>
        <w:rPr>
          <w:spacing w:val="-65"/>
        </w:rPr>
        <w:t> </w:t>
      </w:r>
      <w:r>
        <w:rPr>
          <w:spacing w:val="-65"/>
        </w:rPr>
      </w:r>
      <w:r>
        <w:rPr/>
        <w:t>营管理人才，则有可能导致公司业务发展无法突破现有瓶颈。</w:t>
      </w:r>
    </w:p>
    <w:p>
      <w:pPr>
        <w:pStyle w:val="BodyText"/>
        <w:spacing w:line="477" w:lineRule="auto" w:before="54"/>
        <w:ind w:right="111" w:firstLine="360"/>
        <w:jc w:val="both"/>
      </w:pPr>
      <w:r>
        <w:rPr/>
        <w:t>针对该风险，公司已经开始根据业务需求，有意识的进行人才结构优化工作，调整岗位，裁汰冗员，并通过主动收购， 吸收优秀的互联网业务团队加入，逐步为公司的管理团队引入互联网业务经营人才队伍。</w:t>
      </w:r>
    </w:p>
    <w:p>
      <w:pPr>
        <w:pStyle w:val="BodyText"/>
        <w:spacing w:line="240" w:lineRule="auto" w:before="54"/>
        <w:ind w:left="512" w:right="94"/>
        <w:jc w:val="left"/>
      </w:pPr>
      <w:r>
        <w:rPr/>
        <w:t>（</w:t>
      </w:r>
      <w:r>
        <w:rPr>
          <w:rFonts w:ascii="宋体" w:hAnsi="宋体" w:cs="宋体" w:eastAsia="宋体" w:hint="default"/>
        </w:rPr>
        <w:t>6</w:t>
      </w:r>
      <w:r>
        <w:rPr/>
        <w:t>）关于发起设立保险公司的牌照申请及监管风险</w:t>
      </w:r>
    </w:p>
    <w:p>
      <w:pPr>
        <w:spacing w:line="240" w:lineRule="auto" w:before="10"/>
        <w:rPr>
          <w:rFonts w:ascii="宋体" w:hAnsi="宋体" w:cs="宋体" w:eastAsia="宋体" w:hint="default"/>
          <w:sz w:val="17"/>
          <w:szCs w:val="17"/>
        </w:rPr>
      </w:pPr>
    </w:p>
    <w:p>
      <w:pPr>
        <w:pStyle w:val="BodyText"/>
        <w:spacing w:line="477" w:lineRule="auto"/>
        <w:ind w:right="191" w:firstLine="360"/>
        <w:jc w:val="both"/>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10</w:t>
      </w:r>
      <w:r>
        <w:rPr/>
        <w:t>日，公司召开第三届董事会第十二次（临时）会议及第三届监事会第十二次会议审议通过《审议参与发起 设立相互人寿保险公司（或组织）的议案》，公司出借自有资金</w:t>
      </w:r>
      <w:r>
        <w:rPr>
          <w:rFonts w:ascii="宋体" w:hAnsi="宋体" w:cs="宋体" w:eastAsia="宋体" w:hint="default"/>
        </w:rPr>
        <w:t>5,000</w:t>
      </w:r>
      <w:r>
        <w:rPr/>
        <w:t>万元，参与发起设立相互人寿保险公司（或组织）， </w:t>
      </w:r>
      <w:r>
        <w:rPr>
          <w:spacing w:val="-2"/>
        </w:rPr>
        <w:t>出借资金后公司拟占相互人寿保险公司（或组织）初始运营资金的</w:t>
      </w:r>
      <w:r>
        <w:rPr>
          <w:rFonts w:ascii="宋体" w:hAnsi="宋体" w:cs="宋体" w:eastAsia="宋体" w:hint="default"/>
          <w:spacing w:val="-2"/>
        </w:rPr>
        <w:t>5%</w:t>
      </w:r>
      <w:r>
        <w:rPr>
          <w:spacing w:val="-2"/>
        </w:rPr>
        <w:t>。由于保险公司的筹建、设立，以及本公司作为资金出</w:t>
      </w:r>
      <w:r>
        <w:rPr>
          <w:spacing w:val="-66"/>
        </w:rPr>
        <w:t> </w:t>
      </w:r>
      <w:r>
        <w:rPr>
          <w:spacing w:val="-66"/>
        </w:rPr>
      </w:r>
      <w:r>
        <w:rPr>
          <w:spacing w:val="-2"/>
        </w:rPr>
        <w:t>借人（即主要发起会员）事项均需经中国保监会批准，客观上存在不被批准的可能性，因此本项出借资金计划的实施存在不</w:t>
      </w:r>
      <w:r>
        <w:rPr>
          <w:spacing w:val="-64"/>
        </w:rPr>
        <w:t> </w:t>
      </w:r>
      <w:r>
        <w:rPr>
          <w:spacing w:val="-64"/>
        </w:rPr>
      </w:r>
      <w:r>
        <w:rPr/>
        <w:t>确定性。另，由于法律或监管规定的变化，可能影响保险公司的正常运营，或消弱其投资收益的风险。</w:t>
      </w:r>
    </w:p>
    <w:p>
      <w:pPr>
        <w:spacing w:line="240" w:lineRule="auto" w:before="6"/>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65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接待机构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户，主要就公司创新产品 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年发展战略与机 </w:t>
            </w:r>
            <w:r>
              <w:rPr>
                <w:rFonts w:ascii="宋体" w:hAnsi="宋体" w:cs="宋体" w:eastAsia="宋体" w:hint="default"/>
                <w:spacing w:val="-5"/>
                <w:sz w:val="18"/>
                <w:szCs w:val="18"/>
              </w:rPr>
              <w:t>构进行沟通。详见公司发布于巨潮资讯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网的</w:t>
            </w:r>
            <w:r>
              <w:rPr>
                <w:rFonts w:ascii="Times New Roman" w:hAnsi="Times New Roman" w:cs="Times New Roman" w:eastAsia="Times New Roman" w:hint="default"/>
                <w:sz w:val="18"/>
                <w:szCs w:val="18"/>
              </w:rPr>
              <w:t>&lt;2015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 动记录表</w:t>
            </w:r>
            <w:r>
              <w:rPr>
                <w:rFonts w:ascii="Times New Roman" w:hAnsi="Times New Roman" w:cs="Times New Roman" w:eastAsia="Times New Roman" w:hint="default"/>
                <w:sz w:val="18"/>
                <w:szCs w:val="18"/>
              </w:rPr>
              <w:t>&gt;</w:t>
            </w:r>
          </w:p>
        </w:tc>
      </w:tr>
      <w:tr>
        <w:trPr>
          <w:trHeight w:val="196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日公司召开业绩说明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会，到场机构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户，主要就公司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7"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年业绩及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年战略、未来支付行业 </w:t>
            </w:r>
            <w:r>
              <w:rPr>
                <w:rFonts w:ascii="宋体" w:hAnsi="宋体" w:cs="宋体" w:eastAsia="宋体" w:hint="default"/>
                <w:spacing w:val="-5"/>
                <w:sz w:val="18"/>
                <w:szCs w:val="18"/>
              </w:rPr>
              <w:t>发展进行沟通。详见公司发布于巨潮资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讯网的</w:t>
            </w:r>
            <w:r>
              <w:rPr>
                <w:rFonts w:ascii="Times New Roman" w:hAnsi="Times New Roman" w:cs="Times New Roman" w:eastAsia="Times New Roman" w:hint="default"/>
                <w:sz w:val="18"/>
                <w:szCs w:val="18"/>
              </w:rPr>
              <w:t>&lt;2015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投资者关系活 动记录表</w:t>
            </w:r>
            <w:r>
              <w:rPr>
                <w:rFonts w:ascii="Times New Roman" w:hAnsi="Times New Roman" w:cs="Times New Roman" w:eastAsia="Times New Roman" w:hint="default"/>
                <w:sz w:val="18"/>
                <w:szCs w:val="18"/>
              </w:rPr>
              <w:t>&gt;</w:t>
            </w:r>
          </w:p>
        </w:tc>
      </w:tr>
    </w:tbl>
    <w:p>
      <w:pPr>
        <w:spacing w:after="0" w:line="307" w:lineRule="auto"/>
        <w:jc w:val="both"/>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0" w:right="3810"/>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77" w:lineRule="auto"/>
        <w:ind w:right="210" w:firstLine="360"/>
        <w:jc w:val="both"/>
      </w:pPr>
      <w:r>
        <w:rPr>
          <w:rFonts w:ascii="宋体" w:hAnsi="宋体" w:cs="宋体" w:eastAsia="宋体" w:hint="default"/>
          <w:spacing w:val="-2"/>
        </w:rPr>
        <w:t>2015</w:t>
      </w:r>
      <w:r>
        <w:rPr>
          <w:spacing w:val="-2"/>
        </w:rPr>
        <w:t>年公司为维护公司股东依法享有的资产收益等权利，重视股东投资回报，不断完善董事会、股东大会对公司利润分</w:t>
      </w:r>
      <w:r>
        <w:rPr/>
        <w:t> </w:t>
      </w:r>
      <w:r>
        <w:rPr>
          <w:spacing w:val="-2"/>
        </w:rPr>
        <w:t>配事项的决策程序和机制，进一步明确和完善公司的利润分配政策，增加股利分配决策透明度和可操作性，根据中国证券监</w:t>
      </w:r>
      <w:r>
        <w:rPr>
          <w:spacing w:val="-63"/>
        </w:rPr>
        <w:t> </w:t>
      </w:r>
      <w:r>
        <w:rPr>
          <w:spacing w:val="-63"/>
        </w:rPr>
      </w:r>
      <w:r>
        <w:rPr/>
        <w:t>督管理委员会《关于进一步落实上市公司现金分红有关事项的通知》（证监发〔</w:t>
      </w:r>
      <w:r>
        <w:rPr>
          <w:rFonts w:ascii="宋体" w:hAnsi="宋体" w:cs="宋体" w:eastAsia="宋体" w:hint="default"/>
        </w:rPr>
        <w:t>2012</w:t>
      </w:r>
      <w:r>
        <w:rPr/>
        <w:t>〕</w:t>
      </w:r>
      <w:r>
        <w:rPr>
          <w:rFonts w:ascii="宋体" w:hAnsi="宋体" w:cs="宋体" w:eastAsia="宋体" w:hint="default"/>
        </w:rPr>
        <w:t>37</w:t>
      </w:r>
      <w:r>
        <w:rPr/>
        <w:t>号）及《上市公司监管指引第</w:t>
      </w:r>
      <w:r>
        <w:rPr>
          <w:rFonts w:ascii="宋体" w:hAnsi="宋体" w:cs="宋体" w:eastAsia="宋体" w:hint="default"/>
        </w:rPr>
        <w:t>3</w:t>
      </w:r>
      <w:r>
        <w:rPr/>
        <w:t>号</w:t>
      </w:r>
    </w:p>
    <w:p>
      <w:pPr>
        <w:pStyle w:val="BodyText"/>
        <w:spacing w:line="477" w:lineRule="auto" w:before="54"/>
        <w:ind w:right="0"/>
        <w:jc w:val="left"/>
      </w:pPr>
      <w:r>
        <w:rPr>
          <w:rFonts w:ascii="宋体" w:hAnsi="宋体" w:cs="宋体" w:eastAsia="宋体" w:hint="default"/>
          <w:spacing w:val="-2"/>
        </w:rPr>
        <w:t>——</w:t>
      </w:r>
      <w:r>
        <w:rPr>
          <w:spacing w:val="-2"/>
        </w:rPr>
        <w:t>上市公司现金分红》（中国证券监督管理委员会公告〔</w:t>
      </w:r>
      <w:r>
        <w:rPr>
          <w:rFonts w:ascii="宋体" w:hAnsi="宋体" w:cs="宋体" w:eastAsia="宋体" w:hint="default"/>
          <w:spacing w:val="-2"/>
        </w:rPr>
        <w:t>2013</w:t>
      </w:r>
      <w:r>
        <w:rPr>
          <w:spacing w:val="-2"/>
        </w:rPr>
        <w:t>〕</w:t>
      </w:r>
      <w:r>
        <w:rPr>
          <w:rFonts w:ascii="宋体" w:hAnsi="宋体" w:cs="宋体" w:eastAsia="宋体" w:hint="default"/>
          <w:spacing w:val="-2"/>
        </w:rPr>
        <w:t>43</w:t>
      </w:r>
      <w:r>
        <w:rPr>
          <w:spacing w:val="-2"/>
        </w:rPr>
        <w:t>号）等文件精神和公司章程的相关规定，结合公司的实</w:t>
      </w:r>
      <w:r>
        <w:rPr>
          <w:spacing w:val="-62"/>
        </w:rPr>
        <w:t> </w:t>
      </w:r>
      <w:r>
        <w:rPr>
          <w:spacing w:val="-62"/>
        </w:rPr>
      </w:r>
      <w:r>
        <w:rPr/>
        <w:t>际情况，公司制定了</w:t>
      </w:r>
      <w:r>
        <w:rPr>
          <w:rFonts w:ascii="宋体" w:hAnsi="宋体" w:cs="宋体" w:eastAsia="宋体" w:hint="default"/>
        </w:rPr>
        <w:t>2015</w:t>
      </w:r>
      <w:r>
        <w:rPr/>
        <w:t>年至</w:t>
      </w:r>
      <w:r>
        <w:rPr>
          <w:rFonts w:ascii="宋体" w:hAnsi="宋体" w:cs="宋体" w:eastAsia="宋体" w:hint="default"/>
        </w:rPr>
        <w:t>2017</w:t>
      </w:r>
      <w:r>
        <w:rPr/>
        <w:t>年未来三年的分红回报规划，并经公司</w:t>
      </w:r>
      <w:r>
        <w:rPr>
          <w:rFonts w:ascii="宋体" w:hAnsi="宋体" w:cs="宋体" w:eastAsia="宋体" w:hint="default"/>
        </w:rPr>
        <w:t>2014</w:t>
      </w:r>
      <w:r>
        <w:rPr/>
        <w:t>年年度股东大会审议通过：</w:t>
      </w:r>
    </w:p>
    <w:p>
      <w:pPr>
        <w:pStyle w:val="BodyText"/>
        <w:spacing w:line="240" w:lineRule="auto" w:before="54"/>
        <w:ind w:left="512" w:right="0"/>
        <w:jc w:val="left"/>
      </w:pPr>
      <w:r>
        <w:rPr>
          <w:rFonts w:ascii="宋体" w:hAnsi="宋体" w:cs="宋体" w:eastAsia="宋体" w:hint="default"/>
        </w:rPr>
        <w:t>1</w:t>
      </w:r>
      <w:r>
        <w:rPr/>
        <w:t>、公司可以采取现金、股票、现金与股票相结合或者法律、法规允许的其他方式分配利润。</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宋体" w:hAnsi="宋体" w:cs="宋体" w:eastAsia="宋体" w:hint="default"/>
        </w:rPr>
        <w:t>2</w:t>
      </w:r>
      <w:r>
        <w:rPr/>
        <w:t>、根据《公司法》及《公司章程》的规定，在公司盈利且现金能够满足公司持续经营和长期发展的前提下，未来三年</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2015-2017</w:t>
      </w:r>
      <w:r>
        <w:rPr/>
        <w:t>年）以现金方式累计分配的利润不少于该三年实现的年均可分配利润的</w:t>
      </w:r>
      <w:r>
        <w:rPr>
          <w:rFonts w:ascii="宋体" w:hAnsi="宋体" w:cs="宋体" w:eastAsia="宋体" w:hint="default"/>
        </w:rPr>
        <w:t>30%</w:t>
      </w:r>
      <w:r>
        <w:rPr/>
        <w:t>。</w:t>
      </w:r>
    </w:p>
    <w:p>
      <w:pPr>
        <w:spacing w:line="240" w:lineRule="auto" w:before="10"/>
        <w:rPr>
          <w:rFonts w:ascii="宋体" w:hAnsi="宋体" w:cs="宋体" w:eastAsia="宋体" w:hint="default"/>
          <w:sz w:val="17"/>
          <w:szCs w:val="17"/>
        </w:rPr>
      </w:pPr>
    </w:p>
    <w:p>
      <w:pPr>
        <w:pStyle w:val="BodyText"/>
        <w:spacing w:line="477" w:lineRule="auto"/>
        <w:ind w:left="153" w:right="0" w:firstLine="359"/>
        <w:jc w:val="left"/>
      </w:pPr>
      <w:r>
        <w:rPr>
          <w:rFonts w:ascii="宋体" w:hAnsi="宋体" w:cs="宋体" w:eastAsia="宋体" w:hint="default"/>
          <w:spacing w:val="-2"/>
        </w:rPr>
        <w:t>3</w:t>
      </w:r>
      <w:r>
        <w:rPr>
          <w:spacing w:val="-2"/>
        </w:rPr>
        <w:t>、未来三年（</w:t>
      </w:r>
      <w:r>
        <w:rPr>
          <w:rFonts w:ascii="宋体" w:hAnsi="宋体" w:cs="宋体" w:eastAsia="宋体" w:hint="default"/>
          <w:spacing w:val="-2"/>
        </w:rPr>
        <w:t>2015-2017</w:t>
      </w:r>
      <w:r>
        <w:rPr>
          <w:spacing w:val="-2"/>
        </w:rPr>
        <w:t>年）公司原则上每年度进行一次现金分红，公司董事会可以根据公司盈利情况及资金需求状况</w:t>
      </w:r>
      <w:r>
        <w:rPr/>
        <w:t> 提议公司进行中期现金分红。</w:t>
      </w:r>
    </w:p>
    <w:p>
      <w:pPr>
        <w:pStyle w:val="BodyText"/>
        <w:spacing w:line="477" w:lineRule="auto" w:before="54"/>
        <w:ind w:left="153" w:right="0" w:firstLine="360"/>
        <w:jc w:val="left"/>
      </w:pPr>
      <w:r>
        <w:rPr>
          <w:rFonts w:ascii="宋体" w:hAnsi="宋体" w:cs="宋体" w:eastAsia="宋体" w:hint="default"/>
          <w:spacing w:val="-2"/>
        </w:rPr>
        <w:t>4</w:t>
      </w:r>
      <w:r>
        <w:rPr>
          <w:spacing w:val="-2"/>
        </w:rPr>
        <w:t>、未来三年（</w:t>
      </w:r>
      <w:r>
        <w:rPr>
          <w:rFonts w:ascii="宋体" w:hAnsi="宋体" w:cs="宋体" w:eastAsia="宋体" w:hint="default"/>
          <w:spacing w:val="-2"/>
        </w:rPr>
        <w:t>2015-2017</w:t>
      </w:r>
      <w:r>
        <w:rPr>
          <w:spacing w:val="-2"/>
        </w:rPr>
        <w:t>年）公司可以根据累计可供分配利润、公积金及现金流状况，在保证最低现金分红比例和公司</w:t>
      </w:r>
      <w:r>
        <w:rPr/>
        <w:t> 股本规模合理的前提下，为保持股本扩张与业绩增长相适应，公司可以采用股票股利方式进行利润分配。</w:t>
      </w:r>
    </w:p>
    <w:p>
      <w:pPr>
        <w:pStyle w:val="BodyText"/>
        <w:spacing w:line="477" w:lineRule="auto" w:before="54"/>
        <w:ind w:left="153" w:right="0" w:firstLine="360"/>
        <w:jc w:val="left"/>
      </w:pPr>
      <w:r>
        <w:rPr>
          <w:rFonts w:ascii="宋体" w:hAnsi="宋体" w:cs="宋体" w:eastAsia="宋体" w:hint="default"/>
          <w:spacing w:val="-3"/>
        </w:rPr>
        <w:t>2015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30</w:t>
      </w:r>
      <w:r>
        <w:rPr>
          <w:spacing w:val="-3"/>
        </w:rPr>
        <w:t>日，公司召开</w:t>
      </w:r>
      <w:r>
        <w:rPr>
          <w:rFonts w:ascii="宋体" w:hAnsi="宋体" w:cs="宋体" w:eastAsia="宋体" w:hint="default"/>
          <w:spacing w:val="-3"/>
        </w:rPr>
        <w:t>2014</w:t>
      </w:r>
      <w:r>
        <w:rPr>
          <w:spacing w:val="-3"/>
        </w:rPr>
        <w:t>年年度股东大会审议通过了</w:t>
      </w:r>
      <w:r>
        <w:rPr>
          <w:rFonts w:ascii="宋体" w:hAnsi="宋体" w:cs="宋体" w:eastAsia="宋体" w:hint="default"/>
          <w:spacing w:val="-3"/>
        </w:rPr>
        <w:t>2014</w:t>
      </w:r>
      <w:r>
        <w:rPr>
          <w:spacing w:val="-3"/>
        </w:rPr>
        <w:t>年度利润分配方案，公司以总股本</w:t>
      </w:r>
      <w:r>
        <w:rPr>
          <w:rFonts w:ascii="宋体" w:hAnsi="宋体" w:cs="宋体" w:eastAsia="宋体" w:hint="default"/>
          <w:spacing w:val="-3"/>
        </w:rPr>
        <w:t>114,300,000</w:t>
      </w:r>
      <w:r>
        <w:rPr>
          <w:spacing w:val="-3"/>
        </w:rPr>
        <w:t>股为基数，</w:t>
      </w:r>
      <w:r>
        <w:rPr/>
        <w:t> </w:t>
      </w:r>
      <w:r>
        <w:rPr>
          <w:spacing w:val="-2"/>
        </w:rPr>
        <w:t>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0.5</w:t>
      </w:r>
      <w:r>
        <w:rPr>
          <w:spacing w:val="-2"/>
        </w:rPr>
        <w:t>元人民币（含税）。同时，以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114,300,000</w:t>
      </w:r>
      <w:r>
        <w:rPr>
          <w:spacing w:val="-2"/>
        </w:rPr>
        <w:t>为基数，由资本公</w:t>
      </w:r>
      <w:r>
        <w:rPr>
          <w:spacing w:val="-53"/>
        </w:rPr>
        <w:t> </w:t>
      </w:r>
      <w:r>
        <w:rPr>
          <w:spacing w:val="-53"/>
        </w:rPr>
      </w:r>
      <w:r>
        <w:rPr>
          <w:spacing w:val="-2"/>
        </w:rPr>
        <w:t>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股，合计转增股本</w:t>
      </w:r>
      <w:r>
        <w:rPr>
          <w:rFonts w:ascii="宋体" w:hAnsi="宋体" w:cs="宋体" w:eastAsia="宋体" w:hint="default"/>
          <w:spacing w:val="-2"/>
        </w:rPr>
        <w:t>114,300,000</w:t>
      </w:r>
      <w:r>
        <w:rPr>
          <w:spacing w:val="-2"/>
        </w:rPr>
        <w:t>股，转增股本完成后，公司总股本为</w:t>
      </w:r>
      <w:r>
        <w:rPr>
          <w:rFonts w:ascii="宋体" w:hAnsi="宋体" w:cs="宋体" w:eastAsia="宋体" w:hint="default"/>
          <w:spacing w:val="-2"/>
        </w:rPr>
        <w:t>228,600,000</w:t>
      </w:r>
      <w:r>
        <w:rPr>
          <w:spacing w:val="-2"/>
        </w:rPr>
        <w:t>股。该权益分</w:t>
      </w:r>
      <w:r>
        <w:rPr>
          <w:spacing w:val="-52"/>
        </w:rPr>
        <w:t> </w:t>
      </w:r>
      <w:r>
        <w:rPr>
          <w:spacing w:val="-52"/>
        </w:rPr>
      </w:r>
      <w:r>
        <w:rPr/>
        <w:t>派方案已于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15</w:t>
      </w:r>
      <w:r>
        <w:rPr/>
        <w:t>日实施完毕。</w:t>
      </w:r>
    </w:p>
    <w:p>
      <w:pPr>
        <w:pStyle w:val="BodyText"/>
        <w:spacing w:line="477" w:lineRule="auto" w:before="54"/>
        <w:ind w:left="153" w:right="203" w:firstLine="360"/>
        <w:jc w:val="left"/>
      </w:pPr>
      <w:r>
        <w:rPr/>
        <w:pict>
          <v:shape style="position:absolute;margin-left:57pt;margin-top:68.588722pt;width:478.6pt;height:10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日公司召开第三届董事会第二十六次会议审议通过了</w:t>
      </w:r>
      <w:r>
        <w:rPr>
          <w:rFonts w:ascii="宋体" w:hAnsi="宋体" w:cs="宋体" w:eastAsia="宋体" w:hint="default"/>
        </w:rPr>
        <w:t>2015</w:t>
      </w:r>
      <w:r>
        <w:rPr/>
        <w:t>年度利润分配预案：公司以总股本</w:t>
      </w:r>
      <w:r>
        <w:rPr>
          <w:rFonts w:ascii="宋体" w:hAnsi="宋体" w:cs="宋体" w:eastAsia="宋体" w:hint="default"/>
        </w:rPr>
        <w:t>231,021,360</w:t>
      </w:r>
      <w:r>
        <w:rPr>
          <w:rFonts w:ascii="宋体" w:hAnsi="宋体" w:cs="宋体" w:eastAsia="宋体" w:hint="default"/>
          <w:spacing w:val="1"/>
        </w:rPr>
        <w:t> </w:t>
      </w:r>
      <w:r>
        <w:rPr/>
        <w:t>股为基数，向全体股东每</w:t>
      </w:r>
      <w:r>
        <w:rPr>
          <w:rFonts w:ascii="宋体" w:hAnsi="宋体" w:cs="宋体" w:eastAsia="宋体" w:hint="default"/>
        </w:rPr>
        <w:t>10</w:t>
      </w:r>
      <w:r>
        <w:rPr/>
        <w:t>股派发现金股利</w:t>
      </w:r>
      <w:r>
        <w:rPr>
          <w:rFonts w:ascii="宋体" w:hAnsi="宋体" w:cs="宋体" w:eastAsia="宋体" w:hint="default"/>
        </w:rPr>
        <w:t>0.5</w:t>
      </w:r>
      <w:r>
        <w:rPr/>
        <w:t>元人民币（含税）。本次利润分配预案尚需提交公司</w:t>
      </w:r>
      <w:r>
        <w:rPr>
          <w:rFonts w:ascii="宋体" w:hAnsi="宋体" w:cs="宋体" w:eastAsia="宋体" w:hint="default"/>
        </w:rPr>
        <w:t>2015</w:t>
      </w:r>
      <w:r>
        <w:rPr/>
        <w:t>年年度股东大会审 议。</w:t>
      </w:r>
    </w:p>
    <w:p>
      <w:pPr>
        <w:spacing w:after="0" w:line="477" w:lineRule="auto"/>
        <w:jc w:val="left"/>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公司报告期利润分配预案及资本公积金转增股本预案与公司章程和分红管理办法等的相关规定一致</w:t>
      </w:r>
    </w:p>
    <w:p>
      <w:pPr>
        <w:pStyle w:val="BodyText"/>
        <w:spacing w:line="350" w:lineRule="auto" w:before="115"/>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231,021,360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11,551,068.00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165,396,961.33</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公司以总股本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为</w:t>
            </w:r>
            <w:r>
              <w:rPr>
                <w:rFonts w:ascii="宋体" w:hAnsi="宋体" w:cs="宋体" w:eastAsia="宋体" w:hint="default"/>
                <w:sz w:val="18"/>
                <w:szCs w:val="18"/>
              </w:rPr>
              <w:t>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发</w:t>
            </w:r>
            <w:r>
              <w:rPr>
                <w:rFonts w:ascii="宋体" w:hAnsi="宋体" w:cs="宋体" w:eastAsia="宋体" w:hint="default"/>
                <w:sz w:val="18"/>
                <w:szCs w:val="18"/>
              </w:rPr>
              <w:t>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5"/>
          <w:szCs w:val="5"/>
        </w:rPr>
      </w:pPr>
    </w:p>
    <w:p>
      <w:pPr>
        <w:pStyle w:val="BodyText"/>
        <w:spacing w:line="240" w:lineRule="auto" w:before="44"/>
        <w:ind w:left="512" w:right="94"/>
        <w:jc w:val="left"/>
      </w:pPr>
      <w:r>
        <w:rPr/>
        <w:t>公司近</w:t>
      </w:r>
      <w:r>
        <w:rPr>
          <w:rFonts w:ascii="宋体" w:hAnsi="宋体" w:cs="宋体" w:eastAsia="宋体" w:hint="default"/>
        </w:rPr>
        <w:t>3</w:t>
      </w:r>
      <w:r>
        <w:rPr/>
        <w:t>年（包括本报告期）的普通股股利分配方案（预案）、资本公积金转增股本方案（预案）情况</w:t>
      </w:r>
    </w:p>
    <w:p>
      <w:pPr>
        <w:spacing w:line="240" w:lineRule="auto" w:before="10"/>
        <w:rPr>
          <w:rFonts w:ascii="宋体" w:hAnsi="宋体" w:cs="宋体" w:eastAsia="宋体" w:hint="default"/>
          <w:sz w:val="17"/>
          <w:szCs w:val="17"/>
        </w:rPr>
      </w:pPr>
    </w:p>
    <w:p>
      <w:pPr>
        <w:pStyle w:val="BodyText"/>
        <w:spacing w:line="477" w:lineRule="auto"/>
        <w:ind w:right="94" w:firstLine="359"/>
        <w:jc w:val="left"/>
      </w:pPr>
      <w:r>
        <w:rPr>
          <w:rFonts w:ascii="宋体" w:hAnsi="宋体" w:cs="宋体" w:eastAsia="宋体" w:hint="default"/>
          <w:spacing w:val="-2"/>
        </w:rPr>
        <w:t>1.2014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日，公司召开</w:t>
      </w:r>
      <w:r>
        <w:rPr>
          <w:rFonts w:ascii="宋体" w:hAnsi="宋体" w:cs="宋体" w:eastAsia="宋体" w:hint="default"/>
          <w:spacing w:val="-2"/>
        </w:rPr>
        <w:t>2013</w:t>
      </w:r>
      <w:r>
        <w:rPr>
          <w:spacing w:val="-2"/>
        </w:rPr>
        <w:t>年年度股东大会审议通过</w:t>
      </w:r>
      <w:r>
        <w:rPr>
          <w:rFonts w:ascii="宋体" w:hAnsi="宋体" w:cs="宋体" w:eastAsia="宋体" w:hint="default"/>
          <w:spacing w:val="-2"/>
        </w:rPr>
        <w:t>2013</w:t>
      </w:r>
      <w:r>
        <w:rPr>
          <w:spacing w:val="-2"/>
        </w:rPr>
        <w:t>年度利润分配方案，公司以总股本</w:t>
      </w:r>
      <w:r>
        <w:rPr>
          <w:rFonts w:ascii="宋体" w:hAnsi="宋体" w:cs="宋体" w:eastAsia="宋体" w:hint="default"/>
          <w:spacing w:val="-2"/>
        </w:rPr>
        <w:t>114,300,000</w:t>
      </w:r>
      <w:r>
        <w:rPr>
          <w:spacing w:val="-2"/>
        </w:rPr>
        <w:t>股为基数，</w:t>
      </w:r>
      <w:r>
        <w:rPr/>
        <w:t> </w:t>
      </w:r>
      <w:r>
        <w:rPr>
          <w:spacing w:val="-2"/>
        </w:rPr>
        <w:t>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1.00</w:t>
      </w:r>
      <w:r>
        <w:rPr>
          <w:spacing w:val="-2"/>
        </w:rPr>
        <w:t>元（含税），共分配现金股利</w:t>
      </w:r>
      <w:r>
        <w:rPr>
          <w:rFonts w:ascii="宋体" w:hAnsi="宋体" w:cs="宋体" w:eastAsia="宋体" w:hint="default"/>
          <w:spacing w:val="-2"/>
        </w:rPr>
        <w:t>11,430</w:t>
      </w:r>
      <w:r>
        <w:rPr>
          <w:spacing w:val="-2"/>
        </w:rPr>
        <w:t>万元。</w:t>
      </w:r>
      <w:r>
        <w:rPr>
          <w:rFonts w:ascii="宋体" w:hAnsi="宋体" w:cs="宋体" w:eastAsia="宋体" w:hint="default"/>
          <w:spacing w:val="-2"/>
        </w:rPr>
        <w:t>2013</w:t>
      </w:r>
      <w:r>
        <w:rPr>
          <w:spacing w:val="-2"/>
        </w:rPr>
        <w:t>年度公司未进行资本公积金转增</w:t>
      </w:r>
      <w:r>
        <w:rPr>
          <w:spacing w:val="-56"/>
        </w:rPr>
        <w:t> </w:t>
      </w:r>
      <w:r>
        <w:rPr/>
        <w:t>股本。</w:t>
      </w:r>
    </w:p>
    <w:p>
      <w:pPr>
        <w:pStyle w:val="BodyText"/>
        <w:spacing w:line="477" w:lineRule="auto" w:before="54"/>
        <w:ind w:right="190" w:firstLine="360"/>
        <w:jc w:val="both"/>
      </w:pPr>
      <w:r>
        <w:rPr>
          <w:rFonts w:ascii="宋体" w:hAnsi="宋体" w:cs="宋体" w:eastAsia="宋体" w:hint="default"/>
          <w:spacing w:val="-2"/>
        </w:rPr>
        <w:t>2.2015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日，公司召开</w:t>
      </w:r>
      <w:r>
        <w:rPr>
          <w:rFonts w:ascii="宋体" w:hAnsi="宋体" w:cs="宋体" w:eastAsia="宋体" w:hint="default"/>
          <w:spacing w:val="-2"/>
        </w:rPr>
        <w:t>2014</w:t>
      </w:r>
      <w:r>
        <w:rPr>
          <w:spacing w:val="-2"/>
        </w:rPr>
        <w:t>年年度股东大会审议通过了</w:t>
      </w:r>
      <w:r>
        <w:rPr>
          <w:rFonts w:ascii="宋体" w:hAnsi="宋体" w:cs="宋体" w:eastAsia="宋体" w:hint="default"/>
          <w:spacing w:val="-2"/>
        </w:rPr>
        <w:t>2014</w:t>
      </w:r>
      <w:r>
        <w:rPr>
          <w:spacing w:val="-2"/>
        </w:rPr>
        <w:t>年度利润分配方案，公司以总股本</w:t>
      </w:r>
      <w:r>
        <w:rPr>
          <w:rFonts w:ascii="宋体" w:hAnsi="宋体" w:cs="宋体" w:eastAsia="宋体" w:hint="default"/>
          <w:spacing w:val="-2"/>
        </w:rPr>
        <w:t>114,300,000</w:t>
      </w:r>
      <w:r>
        <w:rPr>
          <w:spacing w:val="-2"/>
        </w:rPr>
        <w:t>股为基</w:t>
      </w:r>
      <w:r>
        <w:rPr/>
        <w:t> </w:t>
      </w:r>
      <w:r>
        <w:rPr>
          <w:spacing w:val="-2"/>
        </w:rPr>
        <w:t>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0.5</w:t>
      </w:r>
      <w:r>
        <w:rPr>
          <w:spacing w:val="-2"/>
        </w:rPr>
        <w:t>元人民币（含税）。同时，以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114,300,000</w:t>
      </w:r>
      <w:r>
        <w:rPr>
          <w:spacing w:val="-2"/>
        </w:rPr>
        <w:t>为基数，由资</w:t>
      </w:r>
      <w:r>
        <w:rPr>
          <w:spacing w:val="-57"/>
        </w:rPr>
        <w:t> </w:t>
      </w:r>
      <w:r>
        <w:rPr>
          <w:spacing w:val="-57"/>
        </w:rPr>
      </w:r>
      <w:r>
        <w:rPr/>
        <w:t>本公积金向全体股东每</w:t>
      </w:r>
      <w:r>
        <w:rPr>
          <w:rFonts w:ascii="宋体" w:hAnsi="宋体" w:cs="宋体" w:eastAsia="宋体" w:hint="default"/>
        </w:rPr>
        <w:t>10</w:t>
      </w:r>
      <w:r>
        <w:rPr/>
        <w:t>股转增</w:t>
      </w:r>
      <w:r>
        <w:rPr>
          <w:rFonts w:ascii="宋体" w:hAnsi="宋体" w:cs="宋体" w:eastAsia="宋体" w:hint="default"/>
        </w:rPr>
        <w:t>10</w:t>
      </w:r>
      <w:r>
        <w:rPr/>
        <w:t>股，合计转增股本</w:t>
      </w:r>
      <w:r>
        <w:rPr>
          <w:rFonts w:ascii="宋体" w:hAnsi="宋体" w:cs="宋体" w:eastAsia="宋体" w:hint="default"/>
        </w:rPr>
        <w:t>114,300,000</w:t>
      </w:r>
      <w:r>
        <w:rPr/>
        <w:t>股，转增股本完成后，公司总股本为</w:t>
      </w:r>
      <w:r>
        <w:rPr>
          <w:rFonts w:ascii="宋体" w:hAnsi="宋体" w:cs="宋体" w:eastAsia="宋体" w:hint="default"/>
        </w:rPr>
        <w:t>228,600,000</w:t>
      </w:r>
      <w:r>
        <w:rPr/>
        <w:t>股。</w:t>
      </w:r>
    </w:p>
    <w:p>
      <w:pPr>
        <w:pStyle w:val="BodyText"/>
        <w:spacing w:line="477" w:lineRule="auto" w:before="54"/>
        <w:ind w:right="187" w:firstLine="360"/>
        <w:jc w:val="both"/>
      </w:pPr>
      <w:r>
        <w:rPr>
          <w:rFonts w:ascii="宋体" w:hAnsi="宋体" w:cs="宋体" w:eastAsia="宋体" w:hint="default"/>
          <w:spacing w:val="-2"/>
        </w:rPr>
        <w:t>3.2016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日公司召开第三届董事会第二十六次会议审议通过了</w:t>
      </w:r>
      <w:r>
        <w:rPr>
          <w:rFonts w:ascii="宋体" w:hAnsi="宋体" w:cs="宋体" w:eastAsia="宋体" w:hint="default"/>
          <w:spacing w:val="-2"/>
        </w:rPr>
        <w:t>2015</w:t>
      </w:r>
      <w:r>
        <w:rPr>
          <w:spacing w:val="-2"/>
        </w:rPr>
        <w:t>年度利润分配预案：公司以总股本</w:t>
      </w:r>
      <w:r>
        <w:rPr>
          <w:rFonts w:ascii="宋体" w:hAnsi="宋体" w:cs="宋体" w:eastAsia="宋体" w:hint="default"/>
          <w:spacing w:val="-2"/>
        </w:rPr>
        <w:t>231,021,360</w:t>
      </w:r>
      <w:r>
        <w:rPr>
          <w:rFonts w:ascii="宋体" w:hAnsi="宋体" w:cs="宋体" w:eastAsia="宋体" w:hint="default"/>
          <w:spacing w:val="1"/>
        </w:rPr>
        <w:t> </w:t>
      </w:r>
      <w:r>
        <w:rPr/>
        <w:t>股为基数，向全体股东每</w:t>
      </w:r>
      <w:r>
        <w:rPr>
          <w:rFonts w:ascii="宋体" w:hAnsi="宋体" w:cs="宋体" w:eastAsia="宋体" w:hint="default"/>
        </w:rPr>
        <w:t>10</w:t>
      </w:r>
      <w:r>
        <w:rPr/>
        <w:t>股派发现金股利</w:t>
      </w:r>
      <w:r>
        <w:rPr>
          <w:rFonts w:ascii="宋体" w:hAnsi="宋体" w:cs="宋体" w:eastAsia="宋体" w:hint="default"/>
        </w:rPr>
        <w:t>0.5</w:t>
      </w:r>
      <w:r>
        <w:rPr/>
        <w:t>元人民币（含税）。本次利润分配预案尚需提交公司</w:t>
      </w:r>
      <w:r>
        <w:rPr>
          <w:rFonts w:ascii="宋体" w:hAnsi="宋体" w:cs="宋体" w:eastAsia="宋体" w:hint="default"/>
        </w:rPr>
        <w:t>2015</w:t>
      </w:r>
      <w:r>
        <w:rPr/>
        <w:t>年年度股东大会审 议。</w:t>
      </w:r>
    </w:p>
    <w:p>
      <w:pPr>
        <w:pStyle w:val="BodyText"/>
        <w:spacing w:line="240" w:lineRule="auto" w:before="54"/>
        <w:ind w:left="512" w:right="94"/>
        <w:jc w:val="left"/>
      </w:pPr>
      <w:r>
        <w:rPr/>
        <w:t>公司近三年（包括本报告期）普通股现金分红情况表</w:t>
      </w:r>
    </w:p>
    <w:p>
      <w:pPr>
        <w:spacing w:line="240" w:lineRule="auto" w:before="11"/>
        <w:rPr>
          <w:rFonts w:ascii="宋体" w:hAnsi="宋体" w:cs="宋体" w:eastAsia="宋体" w:hint="default"/>
          <w:sz w:val="14"/>
          <w:szCs w:val="14"/>
        </w:rPr>
      </w:pPr>
    </w:p>
    <w:p>
      <w:pPr>
        <w:pStyle w:val="BodyText"/>
        <w:spacing w:line="240" w:lineRule="auto"/>
        <w:ind w:left="0" w:right="19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98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71"/>
              <w:jc w:val="both"/>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72"/>
              <w:jc w:val="both"/>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3"/>
        <w:gridCol w:w="1604"/>
        <w:gridCol w:w="1594"/>
        <w:gridCol w:w="1596"/>
        <w:gridCol w:w="1594"/>
        <w:gridCol w:w="1594"/>
      </w:tblGrid>
      <w:tr>
        <w:trPr>
          <w:trHeight w:val="362"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11,551,068.00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85,495,853.97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5,715,000.00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79,581,385.94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54,940,058.49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81"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深圳市新国 都技术股份 有限公司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316"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召开了公司 第三届董事 会第六次会 议，会议审议 通过了关于 终止重大资 产重组的相 关议案，披露 了《关于终止 重大资产重 组事项并撤 回申请暨股 票复牌的公 </w:t>
            </w:r>
            <w:r>
              <w:rPr>
                <w:rFonts w:ascii="宋体" w:hAnsi="宋体" w:cs="宋体" w:eastAsia="宋体" w:hint="default"/>
                <w:spacing w:val="-16"/>
                <w:sz w:val="18"/>
                <w:szCs w:val="18"/>
              </w:rPr>
              <w:t>告》，同时公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司承诺自公 告发布之日 起三个月内 不再筹划重 大资产重组 事项。</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公司未发生 违反上述承 </w:t>
            </w:r>
            <w:r>
              <w:rPr>
                <w:rFonts w:ascii="宋体" w:hAnsi="宋体" w:cs="宋体" w:eastAsia="宋体" w:hint="default"/>
                <w:spacing w:val="-5"/>
                <w:sz w:val="18"/>
                <w:szCs w:val="18"/>
              </w:rPr>
              <w:t>诺的情形，承</w:t>
            </w:r>
            <w:r>
              <w:rPr>
                <w:rFonts w:ascii="宋体" w:hAnsi="宋体" w:cs="宋体" w:eastAsia="宋体" w:hint="default"/>
                <w:sz w:val="18"/>
                <w:szCs w:val="18"/>
              </w:rPr>
              <w:t> 诺履行完毕。</w:t>
            </w:r>
          </w:p>
        </w:tc>
      </w:tr>
      <w:tr>
        <w:trPr>
          <w:trHeight w:val="394"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281"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73"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深圳市新国 都技术股份 有限公司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2"/>
                <w:sz w:val="18"/>
                <w:szCs w:val="18"/>
              </w:rPr>
              <w:t>日，经公司第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二届董事会 第十七次会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公司未发生 违反上述承 </w:t>
            </w:r>
            <w:r>
              <w:rPr>
                <w:rFonts w:ascii="宋体" w:hAnsi="宋体" w:cs="宋体" w:eastAsia="宋体" w:hint="default"/>
                <w:spacing w:val="-5"/>
                <w:sz w:val="18"/>
                <w:szCs w:val="18"/>
              </w:rPr>
              <w:t>诺的情形，承</w:t>
            </w:r>
            <w:r>
              <w:rPr>
                <w:rFonts w:ascii="宋体" w:hAnsi="宋体" w:cs="宋体" w:eastAsia="宋体" w:hint="default"/>
                <w:sz w:val="18"/>
                <w:szCs w:val="18"/>
              </w:rPr>
              <w:t> 诺履行完毕。</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73"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40002pt;margin-top:277.799988pt;width:79.95pt;height:225.25pt;mso-position-horizontal-relative:page;mso-position-vertical-relative:page;z-index:-1074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t>刘祥、</w:t>
                  </w:r>
                </w:p>
              </w:txbxContent>
            </v:textbox>
            <w10:wrap type="none"/>
          </v:shape>
        </w:pict>
      </w:r>
      <w:r>
        <w:rPr/>
        <w:pict>
          <v:group style="position:absolute;margin-left:367.559998pt;margin-top:277.799988pt;width:55.8pt;height:225.25pt;mso-position-horizontal-relative:page;mso-position-vertical-relative:page;z-index:-1073992" coordorigin="7351,5556" coordsize="1116,4505">
            <v:shape style="position:absolute;left:7351;top:5556;width:1116;height:4505" coordorigin="7351,5556" coordsize="1116,4505" path="m7351,10061l8467,10061,8467,5556,7351,5556,7351,1006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议审议通过，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公司以超募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元补充流动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资金，同时承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诺：公司承诺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在使用超募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资金永久性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补充流动资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内不进行证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券投资等高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风险投资。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为避免同业</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竞争损害公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东的利益，公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人刘祥及持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股东刘亚、江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汉共同出具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了《关于避免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出了以下承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97" w:lineRule="auto"/>
              <w:ind w:left="23" w:right="86"/>
              <w:jc w:val="left"/>
              <w:rPr>
                <w:rFonts w:ascii="宋体" w:hAnsi="宋体" w:cs="宋体" w:eastAsia="宋体"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9"/>
              <w:jc w:val="left"/>
              <w:rPr>
                <w:rFonts w:ascii="宋体" w:hAnsi="宋体" w:cs="宋体" w:eastAsia="宋体" w:hint="default"/>
                <w:sz w:val="18"/>
                <w:szCs w:val="18"/>
              </w:rPr>
            </w:pPr>
            <w:r>
              <w:rPr>
                <w:rFonts w:ascii="宋体" w:hAnsi="宋体" w:cs="宋体" w:eastAsia="宋体" w:hint="default"/>
                <w:spacing w:val="-29"/>
                <w:sz w:val="18"/>
                <w:szCs w:val="18"/>
              </w:rPr>
              <w:t>诺：（</w:t>
            </w:r>
            <w:r>
              <w:rPr>
                <w:rFonts w:ascii="Times New Roman" w:hAnsi="Times New Roman" w:cs="Times New Roman" w:eastAsia="Times New Roman" w:hint="default"/>
                <w:spacing w:val="-29"/>
                <w:sz w:val="18"/>
                <w:szCs w:val="18"/>
              </w:rPr>
              <w:t>1</w:t>
            </w:r>
            <w:r>
              <w:rPr>
                <w:rFonts w:ascii="宋体" w:hAnsi="宋体" w:cs="宋体" w:eastAsia="宋体" w:hint="default"/>
                <w:spacing w:val="-29"/>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刘亚及江汉 </w:t>
            </w:r>
            <w:r>
              <w:rPr>
                <w:rFonts w:ascii="宋体" w:hAnsi="宋体" w:cs="宋体" w:eastAsia="宋体" w:hint="default"/>
                <w:spacing w:val="-2"/>
                <w:sz w:val="18"/>
                <w:szCs w:val="18"/>
              </w:rPr>
              <w:t>共同保证，不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以自营或以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8"/>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w:t>
            </w:r>
          </w:p>
          <w:p>
            <w:pPr>
              <w:pStyle w:val="TableParagraph"/>
              <w:spacing w:line="240"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地履行承诺。</w:t>
            </w:r>
          </w:p>
        </w:tc>
      </w:tr>
      <w:tr>
        <w:trPr>
          <w:trHeight w:val="245"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合资、合作等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方式经营任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何与发行人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现从事的业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务有竞争的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业务，刘祥、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刘亚及江汉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现有的或将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来成立的全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资子公司、控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股子公司以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及其他受刘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祥、刘亚及江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汉控制的企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629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业亦不会经 营与发行人 现从事的业 务有竞争的 </w:t>
            </w:r>
            <w:r>
              <w:rPr>
                <w:rFonts w:ascii="宋体" w:hAnsi="宋体" w:cs="宋体" w:eastAsia="宋体" w:hint="default"/>
                <w:spacing w:val="-15"/>
                <w:sz w:val="18"/>
                <w:szCs w:val="18"/>
              </w:rPr>
              <w:t>业务。（</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）如</w:t>
            </w:r>
            <w:r>
              <w:rPr>
                <w:rFonts w:ascii="宋体" w:hAnsi="宋体" w:cs="宋体" w:eastAsia="宋体" w:hint="default"/>
                <w:spacing w:val="-5"/>
                <w:sz w:val="18"/>
                <w:szCs w:val="18"/>
              </w:rPr>
              <w:t> </w:t>
            </w:r>
            <w:r>
              <w:rPr>
                <w:rFonts w:ascii="宋体" w:hAnsi="宋体" w:cs="宋体" w:eastAsia="宋体" w:hint="default"/>
                <w:sz w:val="18"/>
                <w:szCs w:val="18"/>
              </w:rPr>
              <w:t>违反上述承</w:t>
            </w:r>
            <w:r>
              <w:rPr>
                <w:rFonts w:ascii="宋体" w:hAnsi="宋体" w:cs="宋体" w:eastAsia="宋体" w:hint="default"/>
                <w:sz w:val="18"/>
                <w:szCs w:val="18"/>
              </w:rPr>
              <w:t> </w:t>
            </w:r>
            <w:r>
              <w:rPr>
                <w:rFonts w:ascii="宋体" w:hAnsi="宋体" w:cs="宋体" w:eastAsia="宋体" w:hint="default"/>
                <w:spacing w:val="-2"/>
                <w:sz w:val="18"/>
                <w:szCs w:val="18"/>
              </w:rPr>
              <w:t>诺，刘祥、刘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亚及江汉同 意承担给发 行人造成的 全部损失。</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 函自出具之 </w:t>
            </w:r>
            <w:r>
              <w:rPr>
                <w:rFonts w:ascii="宋体" w:hAnsi="宋体" w:cs="宋体" w:eastAsia="宋体" w:hint="default"/>
                <w:spacing w:val="-2"/>
                <w:sz w:val="18"/>
                <w:szCs w:val="18"/>
              </w:rPr>
              <w:t>日起生效，并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在刘祥、刘亚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及江汉作为 发行人股东 或关联方的 整个期间持 续有效。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86"/>
              <w:jc w:val="left"/>
              <w:rPr>
                <w:rFonts w:ascii="宋体" w:hAnsi="宋体" w:cs="宋体" w:eastAsia="宋体"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sz w:val="18"/>
                <w:szCs w:val="18"/>
              </w:rPr>
              <w:t>同承诺：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如公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含下属子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因任何 违反税收征 管的法律、法 规而遭受税 务主管机关 追讨欠税并 处罚的情况， 本人同意全 额承担相关 的责任。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254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8"/>
              <w:ind w:left="23" w:right="86"/>
              <w:jc w:val="left"/>
              <w:rPr>
                <w:rFonts w:ascii="宋体" w:hAnsi="宋体" w:cs="宋体" w:eastAsia="宋体"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公司实际控 制人及持股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刘祥、刘亚、 江汉出具承 </w:t>
            </w:r>
            <w:r>
              <w:rPr>
                <w:rFonts w:ascii="宋体" w:hAnsi="宋体" w:cs="宋体" w:eastAsia="宋体" w:hint="default"/>
                <w:spacing w:val="-13"/>
                <w:sz w:val="18"/>
                <w:szCs w:val="18"/>
              </w:rPr>
              <w:t>诺函：</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如今后</w:t>
            </w:r>
            <w:r>
              <w:rPr>
                <w:rFonts w:ascii="宋体" w:hAnsi="宋体" w:cs="宋体" w:eastAsia="宋体" w:hint="default"/>
                <w:sz w:val="18"/>
                <w:szCs w:val="18"/>
              </w:rPr>
              <w:t> 贵司因上市 前执行住房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79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公积金政策 事宜被要求 补缴住房公 </w:t>
            </w:r>
            <w:r>
              <w:rPr>
                <w:rFonts w:ascii="宋体" w:hAnsi="宋体" w:cs="宋体" w:eastAsia="宋体" w:hint="default"/>
                <w:spacing w:val="-2"/>
                <w:sz w:val="18"/>
                <w:szCs w:val="18"/>
              </w:rPr>
              <w:t>积金、缴纳罚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款或因此而 遭受任何损 </w:t>
            </w:r>
            <w:r>
              <w:rPr>
                <w:rFonts w:ascii="宋体" w:hAnsi="宋体" w:cs="宋体" w:eastAsia="宋体" w:hint="default"/>
                <w:spacing w:val="-2"/>
                <w:sz w:val="18"/>
                <w:szCs w:val="18"/>
              </w:rPr>
              <w:t>失时，我们将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及时、无条 </w:t>
            </w:r>
            <w:r>
              <w:rPr>
                <w:rFonts w:ascii="宋体" w:hAnsi="宋体" w:cs="宋体" w:eastAsia="宋体" w:hint="default"/>
                <w:spacing w:val="-2"/>
                <w:sz w:val="18"/>
                <w:szCs w:val="18"/>
              </w:rPr>
              <w:t>件、全额补偿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贵司由此遭 受的一切损 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8825"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0" w:lineRule="auto"/>
              <w:ind w:left="23" w:right="86"/>
              <w:jc w:val="left"/>
              <w:rPr>
                <w:rFonts w:ascii="宋体" w:hAnsi="宋体" w:cs="宋体" w:eastAsia="宋体"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sz w:val="18"/>
                <w:szCs w:val="18"/>
              </w:rPr>
              <w:t>同承诺：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在中</w:t>
            </w:r>
            <w:r>
              <w:rPr>
                <w:rFonts w:ascii="宋体" w:hAnsi="宋体" w:cs="宋体" w:eastAsia="宋体" w:hint="default"/>
                <w:sz w:val="18"/>
                <w:szCs w:val="18"/>
              </w:rPr>
              <w:t> 国证监会核 准发行人本 次发行股票 并上市，且发</w:t>
            </w:r>
            <w:r>
              <w:rPr>
                <w:rFonts w:ascii="宋体" w:hAnsi="宋体" w:cs="宋体" w:eastAsia="宋体" w:hint="default"/>
                <w:sz w:val="18"/>
                <w:szCs w:val="18"/>
              </w:rPr>
              <w:t>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蔡 艳红</w:t>
            </w:r>
            <w:r>
              <w:rPr>
                <w:rFonts w:ascii="Times New Roman" w:hAnsi="Times New Roman" w:cs="Times New Roman" w:eastAsia="Times New Roman" w:hint="default"/>
                <w:sz w:val="18"/>
                <w:szCs w:val="18"/>
              </w:rPr>
              <w:t>;</w:t>
            </w:r>
            <w:r>
              <w:rPr>
                <w:rFonts w:ascii="宋体" w:hAnsi="宋体" w:cs="宋体" w:eastAsia="宋体" w:hint="default"/>
                <w:sz w:val="18"/>
                <w:szCs w:val="18"/>
              </w:rPr>
              <w:t>陈京琳</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pacing w:val="-2"/>
                <w:sz w:val="18"/>
                <w:szCs w:val="18"/>
              </w:rPr>
              <w:t>诚信经营，努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力提升企业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17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86"/>
              <w:jc w:val="both"/>
              <w:rPr>
                <w:rFonts w:ascii="宋体" w:hAnsi="宋体" w:cs="宋体" w:eastAsia="宋体" w:hint="default"/>
                <w:sz w:val="18"/>
                <w:szCs w:val="18"/>
              </w:rPr>
            </w:pPr>
            <w:r>
              <w:rPr>
                <w:rFonts w:ascii="宋体" w:hAnsi="宋体" w:cs="宋体" w:eastAsia="宋体" w:hint="default"/>
                <w:sz w:val="18"/>
                <w:szCs w:val="18"/>
              </w:rPr>
              <w:t>何佳</w:t>
            </w:r>
            <w:r>
              <w:rPr>
                <w:rFonts w:ascii="Times New Roman" w:hAnsi="Times New Roman" w:cs="Times New Roman" w:eastAsia="Times New Roman" w:hint="default"/>
                <w:sz w:val="18"/>
                <w:szCs w:val="18"/>
              </w:rPr>
              <w:t>;</w:t>
            </w:r>
            <w:r>
              <w:rPr>
                <w:rFonts w:ascii="宋体" w:hAnsi="宋体" w:cs="宋体" w:eastAsia="宋体" w:hint="default"/>
                <w:sz w:val="18"/>
                <w:szCs w:val="18"/>
              </w:rPr>
              <w:t>贾巍</w:t>
            </w:r>
            <w:r>
              <w:rPr>
                <w:rFonts w:ascii="Times New Roman" w:hAnsi="Times New Roman" w:cs="Times New Roman" w:eastAsia="Times New Roman" w:hint="default"/>
                <w:sz w:val="18"/>
                <w:szCs w:val="18"/>
              </w:rPr>
              <w:t>;</w:t>
            </w:r>
            <w:r>
              <w:rPr>
                <w:rFonts w:ascii="宋体" w:hAnsi="宋体" w:cs="宋体" w:eastAsia="宋体" w:hint="default"/>
                <w:sz w:val="18"/>
                <w:szCs w:val="18"/>
              </w:rPr>
              <w:t>李 林杰</w:t>
            </w:r>
            <w:r>
              <w:rPr>
                <w:rFonts w:ascii="Times New Roman" w:hAnsi="Times New Roman" w:cs="Times New Roman" w:eastAsia="Times New Roman" w:hint="default"/>
                <w:sz w:val="18"/>
                <w:szCs w:val="18"/>
              </w:rPr>
              <w:t>;</w:t>
            </w:r>
            <w:r>
              <w:rPr>
                <w:rFonts w:ascii="宋体" w:hAnsi="宋体" w:cs="宋体" w:eastAsia="宋体" w:hint="default"/>
                <w:sz w:val="18"/>
                <w:szCs w:val="18"/>
              </w:rPr>
              <w:t>李艳芳</w:t>
            </w:r>
            <w:r>
              <w:rPr>
                <w:rFonts w:ascii="Times New Roman" w:hAnsi="Times New Roman" w:cs="Times New Roman" w:eastAsia="Times New Roman" w:hint="default"/>
                <w:sz w:val="18"/>
                <w:szCs w:val="18"/>
              </w:rPr>
              <w:t>; </w:t>
            </w:r>
            <w:r>
              <w:rPr>
                <w:rFonts w:ascii="宋体" w:hAnsi="宋体" w:cs="宋体" w:eastAsia="宋体" w:hint="default"/>
                <w:sz w:val="18"/>
                <w:szCs w:val="18"/>
              </w:rPr>
              <w:t>栾承岚</w:t>
            </w:r>
            <w:r>
              <w:rPr>
                <w:rFonts w:ascii="Times New Roman" w:hAnsi="Times New Roman" w:cs="Times New Roman" w:eastAsia="Times New Roman" w:hint="default"/>
                <w:sz w:val="18"/>
                <w:szCs w:val="18"/>
              </w:rPr>
              <w:t>;</w:t>
            </w:r>
            <w:r>
              <w:rPr>
                <w:rFonts w:ascii="宋体" w:hAnsi="宋体" w:cs="宋体" w:eastAsia="宋体" w:hint="default"/>
                <w:sz w:val="18"/>
                <w:szCs w:val="18"/>
              </w:rPr>
              <w:t>童卫 东</w:t>
            </w:r>
            <w:r>
              <w:rPr>
                <w:rFonts w:ascii="Times New Roman" w:hAnsi="Times New Roman" w:cs="Times New Roman" w:eastAsia="Times New Roman" w:hint="default"/>
                <w:sz w:val="18"/>
                <w:szCs w:val="18"/>
              </w:rPr>
              <w:t>;</w:t>
            </w:r>
            <w:r>
              <w:rPr>
                <w:rFonts w:ascii="宋体" w:hAnsi="宋体" w:cs="宋体" w:eastAsia="宋体" w:hint="default"/>
                <w:sz w:val="18"/>
                <w:szCs w:val="18"/>
              </w:rPr>
              <w:t>汪洋</w:t>
            </w:r>
            <w:r>
              <w:rPr>
                <w:rFonts w:ascii="Times New Roman" w:hAnsi="Times New Roman" w:cs="Times New Roman" w:eastAsia="Times New Roman" w:hint="default"/>
                <w:sz w:val="18"/>
                <w:szCs w:val="18"/>
              </w:rPr>
              <w:t>;</w:t>
            </w:r>
            <w:r>
              <w:rPr>
                <w:rFonts w:ascii="宋体" w:hAnsi="宋体" w:cs="宋体" w:eastAsia="宋体" w:hint="default"/>
                <w:sz w:val="18"/>
                <w:szCs w:val="18"/>
              </w:rPr>
              <w:t>韦余 红</w:t>
            </w:r>
            <w:r>
              <w:rPr>
                <w:rFonts w:ascii="Times New Roman" w:hAnsi="Times New Roman" w:cs="Times New Roman" w:eastAsia="Times New Roman" w:hint="default"/>
                <w:sz w:val="18"/>
                <w:szCs w:val="18"/>
              </w:rPr>
              <w:t>;</w:t>
            </w:r>
            <w:r>
              <w:rPr>
                <w:rFonts w:ascii="宋体" w:hAnsi="宋体" w:cs="宋体" w:eastAsia="宋体" w:hint="default"/>
                <w:sz w:val="18"/>
                <w:szCs w:val="18"/>
              </w:rPr>
              <w:t>杨星</w:t>
            </w:r>
            <w:r>
              <w:rPr>
                <w:rFonts w:ascii="Times New Roman" w:hAnsi="Times New Roman" w:cs="Times New Roman" w:eastAsia="Times New Roman" w:hint="default"/>
                <w:sz w:val="18"/>
                <w:szCs w:val="18"/>
              </w:rPr>
              <w:t>;</w:t>
            </w:r>
            <w:r>
              <w:rPr>
                <w:rFonts w:ascii="宋体" w:hAnsi="宋体" w:cs="宋体" w:eastAsia="宋体" w:hint="default"/>
                <w:sz w:val="18"/>
                <w:szCs w:val="18"/>
              </w:rPr>
              <w:t>赵辉</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核心竞争力； 坚持规范运 作，加强企业 内部管理，努 力提升公司 内在价值和 盈利水平，用 实实在在的 业绩来回报 广大投资者。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人正常持续 地履行承诺。</w:t>
            </w:r>
          </w:p>
        </w:tc>
      </w:tr>
      <w:tr>
        <w:trPr>
          <w:trHeight w:val="4145"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控股股东、实 际控制人刘 祥先生就本 次增持承诺： 本次增持或 有收益将全 部归上市公 司所有。在增 持期间及增 持完成后六 个月内不转 让本次增持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660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86"/>
              <w:jc w:val="both"/>
              <w:rPr>
                <w:rFonts w:ascii="宋体" w:hAnsi="宋体" w:cs="宋体" w:eastAsia="宋体" w:hint="default"/>
                <w:sz w:val="18"/>
                <w:szCs w:val="18"/>
              </w:rPr>
            </w:pP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韦 余红</w:t>
            </w:r>
            <w:r>
              <w:rPr>
                <w:rFonts w:ascii="Times New Roman" w:hAnsi="Times New Roman" w:cs="Times New Roman" w:eastAsia="Times New Roman" w:hint="default"/>
                <w:sz w:val="18"/>
                <w:szCs w:val="18"/>
              </w:rPr>
              <w:t>;</w:t>
            </w:r>
            <w:r>
              <w:rPr>
                <w:rFonts w:ascii="宋体" w:hAnsi="宋体" w:cs="宋体" w:eastAsia="宋体" w:hint="default"/>
                <w:sz w:val="18"/>
                <w:szCs w:val="18"/>
              </w:rPr>
              <w:t>汪洋</w:t>
            </w:r>
            <w:r>
              <w:rPr>
                <w:rFonts w:ascii="Times New Roman" w:hAnsi="Times New Roman" w:cs="Times New Roman" w:eastAsia="Times New Roman" w:hint="default"/>
                <w:sz w:val="18"/>
                <w:szCs w:val="18"/>
              </w:rPr>
              <w:t>;</w:t>
            </w:r>
            <w:r>
              <w:rPr>
                <w:rFonts w:ascii="宋体" w:hAnsi="宋体" w:cs="宋体" w:eastAsia="宋体" w:hint="default"/>
                <w:sz w:val="18"/>
                <w:szCs w:val="18"/>
              </w:rPr>
              <w:t>赵 辉</w:t>
            </w:r>
            <w:r>
              <w:rPr>
                <w:rFonts w:ascii="Times New Roman" w:hAnsi="Times New Roman" w:cs="Times New Roman" w:eastAsia="Times New Roman" w:hint="default"/>
                <w:sz w:val="18"/>
                <w:szCs w:val="18"/>
              </w:rPr>
              <w:t>;</w:t>
            </w:r>
            <w:r>
              <w:rPr>
                <w:rFonts w:ascii="宋体" w:hAnsi="宋体" w:cs="宋体" w:eastAsia="宋体" w:hint="default"/>
                <w:sz w:val="18"/>
                <w:szCs w:val="18"/>
              </w:rPr>
              <w:t>李艳芳</w:t>
            </w:r>
            <w:r>
              <w:rPr>
                <w:rFonts w:ascii="Times New Roman" w:hAnsi="Times New Roman" w:cs="Times New Roman" w:eastAsia="Times New Roman" w:hint="default"/>
                <w:sz w:val="18"/>
                <w:szCs w:val="18"/>
              </w:rPr>
              <w:t>;</w:t>
            </w:r>
            <w:r>
              <w:rPr>
                <w:rFonts w:ascii="宋体" w:hAnsi="宋体" w:cs="宋体" w:eastAsia="宋体" w:hint="default"/>
                <w:sz w:val="18"/>
                <w:szCs w:val="18"/>
              </w:rPr>
              <w:t>童 卫东</w:t>
            </w:r>
            <w:r>
              <w:rPr>
                <w:rFonts w:ascii="Times New Roman" w:hAnsi="Times New Roman" w:cs="Times New Roman" w:eastAsia="Times New Roman" w:hint="default"/>
                <w:sz w:val="18"/>
                <w:szCs w:val="18"/>
              </w:rPr>
              <w:t>;</w:t>
            </w:r>
            <w:r>
              <w:rPr>
                <w:rFonts w:ascii="宋体" w:hAnsi="宋体" w:cs="宋体" w:eastAsia="宋体" w:hint="default"/>
                <w:sz w:val="18"/>
                <w:szCs w:val="18"/>
              </w:rPr>
              <w:t>李林杰</w:t>
            </w:r>
            <w:r>
              <w:rPr>
                <w:rFonts w:ascii="Times New Roman" w:hAnsi="Times New Roman" w:cs="Times New Roman" w:eastAsia="Times New Roman" w:hint="default"/>
                <w:sz w:val="18"/>
                <w:szCs w:val="18"/>
              </w:rPr>
              <w:t>; </w:t>
            </w:r>
            <w:r>
              <w:rPr>
                <w:rFonts w:ascii="宋体" w:hAnsi="宋体" w:cs="宋体" w:eastAsia="宋体" w:hint="default"/>
                <w:sz w:val="18"/>
                <w:szCs w:val="18"/>
              </w:rPr>
              <w:t>栾承岚</w:t>
            </w:r>
            <w:r>
              <w:rPr>
                <w:rFonts w:ascii="Times New Roman" w:hAnsi="Times New Roman" w:cs="Times New Roman" w:eastAsia="Times New Roman" w:hint="default"/>
                <w:sz w:val="18"/>
                <w:szCs w:val="18"/>
              </w:rPr>
              <w:t>;</w:t>
            </w:r>
            <w:r>
              <w:rPr>
                <w:rFonts w:ascii="宋体" w:hAnsi="宋体" w:cs="宋体" w:eastAsia="宋体" w:hint="default"/>
                <w:sz w:val="18"/>
                <w:szCs w:val="18"/>
              </w:rPr>
              <w:t>杨星</w:t>
            </w:r>
            <w:r>
              <w:rPr>
                <w:rFonts w:ascii="Times New Roman" w:hAnsi="Times New Roman" w:cs="Times New Roman" w:eastAsia="Times New Roman" w:hint="default"/>
                <w:sz w:val="18"/>
                <w:szCs w:val="18"/>
              </w:rPr>
              <w:t>; </w:t>
            </w:r>
            <w:r>
              <w:rPr>
                <w:rFonts w:ascii="宋体" w:hAnsi="宋体" w:cs="宋体" w:eastAsia="宋体" w:hint="default"/>
                <w:sz w:val="18"/>
                <w:szCs w:val="18"/>
              </w:rPr>
              <w:t>乔胜</w:t>
            </w:r>
            <w:r>
              <w:rPr>
                <w:rFonts w:ascii="Times New Roman" w:hAnsi="Times New Roman" w:cs="Times New Roman" w:eastAsia="Times New Roman" w:hint="default"/>
                <w:sz w:val="18"/>
                <w:szCs w:val="18"/>
              </w:rPr>
              <w:t>;</w:t>
            </w:r>
            <w:r>
              <w:rPr>
                <w:rFonts w:ascii="宋体" w:hAnsi="宋体" w:cs="宋体" w:eastAsia="宋体" w:hint="default"/>
                <w:sz w:val="18"/>
                <w:szCs w:val="18"/>
              </w:rPr>
              <w:t>姚骏</w:t>
            </w:r>
            <w:r>
              <w:rPr>
                <w:rFonts w:ascii="Times New Roman" w:hAnsi="Times New Roman" w:cs="Times New Roman" w:eastAsia="Times New Roman" w:hint="default"/>
                <w:sz w:val="18"/>
                <w:szCs w:val="18"/>
              </w:rPr>
              <w:t>;</w:t>
            </w:r>
            <w:r>
              <w:rPr>
                <w:rFonts w:ascii="宋体" w:hAnsi="宋体" w:cs="宋体" w:eastAsia="宋体" w:hint="default"/>
                <w:sz w:val="18"/>
                <w:szCs w:val="18"/>
              </w:rPr>
              <w:t>朱 文罡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1"/>
              <w:jc w:val="both"/>
              <w:rPr>
                <w:rFonts w:ascii="宋体" w:hAnsi="宋体" w:cs="宋体" w:eastAsia="宋体" w:hint="default"/>
                <w:sz w:val="18"/>
                <w:szCs w:val="18"/>
              </w:rPr>
            </w:pPr>
            <w:r>
              <w:rPr>
                <w:rFonts w:ascii="宋体" w:hAnsi="宋体" w:cs="宋体" w:eastAsia="宋体" w:hint="default"/>
                <w:sz w:val="18"/>
                <w:szCs w:val="18"/>
              </w:rPr>
              <w:t>基于对公司 未来发展前 景的信心以 及促进资本 市场平稳健 康发展的社 会责任，自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日起六个 月内择机增 持公司股票， 增持金额不 超过人民币 </w:t>
            </w:r>
            <w:r>
              <w:rPr>
                <w:rFonts w:ascii="Times New Roman" w:hAnsi="Times New Roman" w:cs="Times New Roman" w:eastAsia="Times New Roman" w:hint="default"/>
                <w:sz w:val="18"/>
                <w:szCs w:val="18"/>
              </w:rPr>
              <w:t>2,960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控股股东、实 际控制人刘 祥先生及公 司管理层人 员就本次增 持承诺：在增 持期间及增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持完成后六 个月内不转 让本次增持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8"/>
        <w:gridCol w:w="1181"/>
        <w:gridCol w:w="1183"/>
        <w:gridCol w:w="1176"/>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6" w:right="47"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20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91"/>
              <w:jc w:val="left"/>
              <w:rPr>
                <w:rFonts w:ascii="宋体" w:hAnsi="宋体" w:cs="宋体" w:eastAsia="宋体" w:hint="default"/>
                <w:sz w:val="18"/>
                <w:szCs w:val="18"/>
              </w:rPr>
            </w:pPr>
            <w:r>
              <w:rPr>
                <w:rFonts w:ascii="宋体" w:hAnsi="宋体" w:cs="宋体" w:eastAsia="宋体" w:hint="default"/>
                <w:sz w:val="18"/>
                <w:szCs w:val="18"/>
              </w:rPr>
              <w:t>浙江中正智能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1,800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2,057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6"/>
              <w:ind w:left="23" w:right="60"/>
              <w:jc w:val="left"/>
              <w:rPr>
                <w:rFonts w:ascii="宋体" w:hAnsi="宋体" w:cs="宋体" w:eastAsia="宋体" w:hint="default"/>
                <w:sz w:val="18"/>
                <w:szCs w:val="18"/>
              </w:rPr>
            </w:pPr>
            <w:r>
              <w:rPr>
                <w:rFonts w:ascii="宋体" w:hAnsi="宋体" w:cs="宋体" w:eastAsia="宋体" w:hint="default"/>
                <w:sz w:val="18"/>
                <w:szCs w:val="18"/>
              </w:rPr>
              <w:t>《深圳市新国 都技术股份有 限公司关于收 购浙江中正智 能科技有限公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的公告</w:t>
            </w:r>
            <w:r>
              <w:rPr>
                <w:rFonts w:ascii="宋体" w:hAnsi="宋体" w:cs="宋体" w:eastAsia="宋体" w:hint="default"/>
                <w:spacing w:val="1"/>
                <w:sz w:val="18"/>
                <w:szCs w:val="18"/>
              </w:rPr>
              <w:t> </w:t>
            </w:r>
            <w:r>
              <w:rPr>
                <w:rFonts w:ascii="宋体" w:hAnsi="宋体" w:cs="宋体" w:eastAsia="宋体" w:hint="default"/>
                <w:spacing w:val="-31"/>
                <w:sz w:val="18"/>
                <w:szCs w:val="18"/>
              </w:rPr>
              <w:t>》（公</w:t>
            </w:r>
            <w:r>
              <w:rPr>
                <w:rFonts w:ascii="宋体" w:hAnsi="宋体" w:cs="宋体" w:eastAsia="宋体" w:hint="default"/>
                <w:sz w:val="18"/>
                <w:szCs w:val="18"/>
              </w:rPr>
              <w:t> 告编号</w:t>
            </w:r>
          </w:p>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2015-060</w:t>
            </w:r>
            <w:r>
              <w:rPr>
                <w:rFonts w:ascii="宋体" w:hAnsi="宋体" w:cs="宋体" w:eastAsia="宋体" w:hint="default"/>
                <w:sz w:val="18"/>
                <w:szCs w:val="18"/>
              </w:rPr>
              <w:t>）</w:t>
            </w:r>
          </w:p>
        </w:tc>
      </w:tr>
    </w:tbl>
    <w:p>
      <w:pPr>
        <w:pStyle w:val="BodyText"/>
        <w:spacing w:line="240" w:lineRule="auto" w:before="49"/>
        <w:ind w:right="0"/>
        <w:jc w:val="left"/>
      </w:pPr>
      <w:r>
        <w:rPr/>
        <w:t>公司股东、交易对手方对公司或相关资产年度经营业绩作出的承诺情况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8" w:lineRule="auto"/>
        <w:ind w:right="15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日公司与浙江中正及其全体股东签署了《股权转让协议》，原浙江中正全体股东承诺，浙江中正在利润补 偿期间内各年度净利润数如下：</w:t>
      </w:r>
      <w:r>
        <w:rPr>
          <w:rFonts w:ascii="Times New Roman" w:hAnsi="Times New Roman" w:cs="Times New Roman" w:eastAsia="Times New Roman" w:hint="default"/>
        </w:rPr>
        <w:t>2015</w:t>
      </w:r>
      <w:r>
        <w:rPr/>
        <w:t>年度不低于</w:t>
      </w:r>
      <w:r>
        <w:rPr>
          <w:rFonts w:ascii="Times New Roman" w:hAnsi="Times New Roman" w:cs="Times New Roman" w:eastAsia="Times New Roman" w:hint="default"/>
        </w:rPr>
        <w:t>1,800 </w:t>
      </w:r>
      <w:r>
        <w:rPr/>
        <w:t>万元，</w:t>
      </w:r>
      <w:r>
        <w:rPr>
          <w:rFonts w:ascii="Times New Roman" w:hAnsi="Times New Roman" w:cs="Times New Roman" w:eastAsia="Times New Roman" w:hint="default"/>
        </w:rPr>
        <w:t>2016</w:t>
      </w:r>
      <w:r>
        <w:rPr/>
        <w:t>年度不低于</w:t>
      </w:r>
      <w:r>
        <w:rPr>
          <w:rFonts w:ascii="Times New Roman" w:hAnsi="Times New Roman" w:cs="Times New Roman" w:eastAsia="Times New Roman" w:hint="default"/>
        </w:rPr>
        <w:t>2,340 </w:t>
      </w:r>
      <w:r>
        <w:rPr/>
        <w:t>万元，</w:t>
      </w:r>
      <w:r>
        <w:rPr>
          <w:rFonts w:ascii="Times New Roman" w:hAnsi="Times New Roman" w:cs="Times New Roman" w:eastAsia="Times New Roman" w:hint="default"/>
        </w:rPr>
        <w:t>2017</w:t>
      </w:r>
      <w:r>
        <w:rPr/>
        <w:t>年度不低于</w:t>
      </w:r>
      <w:r>
        <w:rPr>
          <w:rFonts w:ascii="Times New Roman" w:hAnsi="Times New Roman" w:cs="Times New Roman" w:eastAsia="Times New Roman" w:hint="default"/>
        </w:rPr>
        <w:t>3,042</w:t>
      </w:r>
      <w:r>
        <w:rPr>
          <w:rFonts w:ascii="Times New Roman" w:hAnsi="Times New Roman" w:cs="Times New Roman" w:eastAsia="Times New Roman" w:hint="default"/>
          <w:spacing w:val="22"/>
        </w:rPr>
        <w:t> </w:t>
      </w:r>
      <w:r>
        <w:rPr>
          <w:spacing w:val="-4"/>
        </w:rPr>
        <w:t>万元。若浙</w:t>
      </w:r>
      <w:r>
        <w:rPr/>
        <w:t> </w:t>
      </w:r>
      <w:r>
        <w:rPr>
          <w:spacing w:val="-2"/>
        </w:rPr>
        <w:t>江中正在业绩承诺补偿期间实际实现的净利润数小于同期承诺净利润数的，原浙江中正全体股东应内部按照交割日前各自持</w:t>
      </w:r>
      <w:r>
        <w:rPr>
          <w:spacing w:val="-64"/>
        </w:rPr>
        <w:t> </w:t>
      </w:r>
      <w:r>
        <w:rPr>
          <w:spacing w:val="-64"/>
        </w:rPr>
      </w:r>
      <w:r>
        <w:rPr/>
        <w:t>有浙江中正出资额占其合计持有的浙江中正出资总额的比例分担补偿责任。具体以《股权转让协议》为准。</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451" w:lineRule="auto"/>
        <w:ind w:left="153" w:right="150" w:firstLine="359"/>
        <w:jc w:val="both"/>
      </w:pPr>
      <w:r>
        <w:rPr>
          <w:rFonts w:ascii="Times New Roman" w:hAnsi="Times New Roman" w:cs="Times New Roman" w:eastAsia="Times New Roman" w:hint="default"/>
          <w:spacing w:val="-1"/>
        </w:rPr>
        <w:t>1</w:t>
      </w: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日与浙江中正智能科技有限公司及其全体股东签署了《股权转让协议》，本公司以</w:t>
      </w:r>
      <w:r>
        <w:rPr>
          <w:rFonts w:ascii="Times New Roman" w:hAnsi="Times New Roman" w:cs="Times New Roman" w:eastAsia="Times New Roman" w:hint="default"/>
          <w:spacing w:val="-1"/>
        </w:rPr>
        <w:t>25,200</w:t>
      </w:r>
      <w:r>
        <w:rPr>
          <w:spacing w:val="-1"/>
        </w:rPr>
        <w:t>万元</w:t>
      </w:r>
      <w:r>
        <w:rPr/>
        <w:t> </w:t>
      </w:r>
      <w:r>
        <w:rPr>
          <w:spacing w:val="-1"/>
        </w:rPr>
        <w:t>的价格收购浙江中正</w:t>
      </w:r>
      <w:r>
        <w:rPr>
          <w:rFonts w:ascii="Times New Roman" w:hAnsi="Times New Roman" w:cs="Times New Roman" w:eastAsia="Times New Roman" w:hint="default"/>
          <w:spacing w:val="-1"/>
        </w:rPr>
        <w:t>100%</w:t>
      </w:r>
      <w:r>
        <w:rPr>
          <w:spacing w:val="-1"/>
        </w:rPr>
        <w:t>的股权，浙江中正于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日完成工商变更，本次收购完成后，浙江中正成为本公司的全资</w:t>
      </w:r>
      <w:r>
        <w:rPr/>
        <w:t> 子公司。</w:t>
      </w:r>
    </w:p>
    <w:p>
      <w:pPr>
        <w:pStyle w:val="BodyText"/>
        <w:spacing w:line="451" w:lineRule="auto" w:before="74"/>
        <w:ind w:left="153" w:right="149" w:firstLine="359"/>
        <w:jc w:val="both"/>
      </w:pPr>
      <w:r>
        <w:rPr>
          <w:rFonts w:ascii="Times New Roman" w:hAnsi="Times New Roman" w:cs="Times New Roman" w:eastAsia="Times New Roman" w:hint="default"/>
          <w:spacing w:val="-2"/>
        </w:rPr>
        <w:t>2</w:t>
      </w:r>
      <w:r>
        <w:rPr>
          <w:spacing w:val="-2"/>
        </w:rPr>
        <w:t>、深圳市新国都支付技术有限公司成立于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日，注册资本</w:t>
      </w:r>
      <w:r>
        <w:rPr>
          <w:rFonts w:ascii="Times New Roman" w:hAnsi="Times New Roman" w:cs="Times New Roman" w:eastAsia="Times New Roman" w:hint="default"/>
          <w:spacing w:val="-2"/>
        </w:rPr>
        <w:t>20,000</w:t>
      </w:r>
      <w:r>
        <w:rPr>
          <w:spacing w:val="-2"/>
        </w:rPr>
        <w:t>万元，实收资本</w:t>
      </w:r>
      <w:r>
        <w:rPr>
          <w:rFonts w:ascii="Times New Roman" w:hAnsi="Times New Roman" w:cs="Times New Roman" w:eastAsia="Times New Roman" w:hint="default"/>
          <w:spacing w:val="-2"/>
        </w:rPr>
        <w:t>1,000</w:t>
      </w:r>
      <w:r>
        <w:rPr>
          <w:spacing w:val="-2"/>
        </w:rPr>
        <w:t>万元，系由本公司出资</w:t>
      </w:r>
      <w:r>
        <w:rPr/>
        <w:t> 设立，持股比例</w:t>
      </w:r>
      <w:r>
        <w:rPr>
          <w:rFonts w:ascii="Times New Roman" w:hAnsi="Times New Roman" w:cs="Times New Roman" w:eastAsia="Times New Roman" w:hint="default"/>
        </w:rPr>
        <w:t>100%</w:t>
      </w:r>
      <w:r>
        <w:rPr/>
        <w:t>。</w:t>
      </w:r>
    </w:p>
    <w:p>
      <w:pPr>
        <w:pStyle w:val="BodyText"/>
        <w:spacing w:line="451" w:lineRule="auto" w:before="43"/>
        <w:ind w:left="153" w:right="157" w:firstLine="360"/>
        <w:jc w:val="both"/>
      </w:pPr>
      <w:r>
        <w:rPr>
          <w:rFonts w:ascii="Times New Roman" w:hAnsi="Times New Roman" w:cs="Times New Roman" w:eastAsia="Times New Roman" w:hint="default"/>
        </w:rPr>
        <w:t>3</w:t>
      </w:r>
      <w:r>
        <w:rPr/>
        <w:t>、深圳市信联征信有限公司成立于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6,000</w:t>
      </w:r>
      <w:r>
        <w:rPr/>
        <w:t>万元，实收资本</w:t>
      </w:r>
      <w:r>
        <w:rPr>
          <w:rFonts w:ascii="Times New Roman" w:hAnsi="Times New Roman" w:cs="Times New Roman" w:eastAsia="Times New Roman" w:hint="default"/>
        </w:rPr>
        <w:t>6,000</w:t>
      </w:r>
      <w:r>
        <w:rPr/>
        <w:t>万元，系由本公司出资设立， 持股比例</w:t>
      </w:r>
      <w:r>
        <w:rPr>
          <w:rFonts w:ascii="Times New Roman" w:hAnsi="Times New Roman" w:cs="Times New Roman" w:eastAsia="Times New Roman" w:hint="default"/>
        </w:rPr>
        <w:t>100%</w:t>
      </w:r>
      <w:r>
        <w:rPr/>
        <w:t>。</w:t>
      </w:r>
    </w:p>
    <w:p>
      <w:pPr>
        <w:pStyle w:val="BodyText"/>
        <w:spacing w:line="451" w:lineRule="auto" w:before="43"/>
        <w:ind w:left="153" w:right="150" w:firstLine="360"/>
        <w:jc w:val="both"/>
      </w:pP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日与</w:t>
      </w:r>
      <w:r>
        <w:rPr>
          <w:spacing w:val="-32"/>
        </w:rPr>
        <w:t> </w:t>
      </w:r>
      <w:r>
        <w:rPr>
          <w:rFonts w:ascii="Times New Roman" w:hAnsi="Times New Roman" w:cs="Times New Roman" w:eastAsia="Times New Roman" w:hint="default"/>
        </w:rPr>
        <w:t>Xinguodu</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Exadigm,</w:t>
      </w:r>
      <w:r>
        <w:rPr>
          <w:rFonts w:ascii="Times New Roman" w:hAnsi="Times New Roman" w:cs="Times New Roman" w:eastAsia="Times New Roman" w:hint="default"/>
          <w:spacing w:val="-15"/>
        </w:rPr>
        <w:t> </w:t>
      </w:r>
      <w:r>
        <w:rPr>
          <w:rFonts w:ascii="Times New Roman" w:hAnsi="Times New Roman" w:cs="Times New Roman" w:eastAsia="Times New Roman" w:hint="default"/>
        </w:rPr>
        <w:t>Inc.</w:t>
      </w:r>
      <w:r>
        <w:rPr/>
        <w:t>及</w:t>
      </w:r>
      <w:r>
        <w:rPr>
          <w:spacing w:val="-30"/>
        </w:rPr>
        <w:t> </w:t>
      </w:r>
      <w:r>
        <w:rPr>
          <w:rFonts w:ascii="Times New Roman" w:hAnsi="Times New Roman" w:cs="Times New Roman" w:eastAsia="Times New Roman" w:hint="default"/>
        </w:rPr>
        <w:t>Exadigm,</w:t>
      </w:r>
      <w:r>
        <w:rPr>
          <w:rFonts w:ascii="Times New Roman" w:hAnsi="Times New Roman" w:cs="Times New Roman" w:eastAsia="Times New Roman" w:hint="default"/>
          <w:spacing w:val="-15"/>
        </w:rPr>
        <w:t> </w:t>
      </w:r>
      <w:r>
        <w:rPr>
          <w:rFonts w:ascii="Times New Roman" w:hAnsi="Times New Roman" w:cs="Times New Roman" w:eastAsia="Times New Roman" w:hint="default"/>
        </w:rPr>
        <w:t>Inc.</w:t>
      </w:r>
      <w:r>
        <w:rPr/>
        <w:t>的股东代表四方签署了《并购协议》，本公 </w:t>
      </w:r>
      <w:r>
        <w:rPr>
          <w:spacing w:val="-1"/>
        </w:rPr>
        <w:t>司以</w:t>
      </w:r>
      <w:r>
        <w:rPr>
          <w:rFonts w:ascii="Times New Roman" w:hAnsi="Times New Roman" w:cs="Times New Roman" w:eastAsia="Times New Roman" w:hint="default"/>
          <w:spacing w:val="-1"/>
        </w:rPr>
        <w:t>470</w:t>
      </w:r>
      <w:r>
        <w:rPr>
          <w:spacing w:val="-1"/>
        </w:rPr>
        <w:t>万美元的价格收购</w:t>
      </w:r>
      <w:r>
        <w:rPr>
          <w:rFonts w:ascii="Times New Roman" w:hAnsi="Times New Roman" w:cs="Times New Roman" w:eastAsia="Times New Roman" w:hint="default"/>
          <w:spacing w:val="-1"/>
        </w:rPr>
        <w:t>ExaDigm,Inc.</w:t>
      </w:r>
      <w:r>
        <w:rPr>
          <w:spacing w:val="-1"/>
        </w:rPr>
        <w:t>的股权，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日上述股权收购事宜已完成并取得美国特拉华州出具的收购完</w:t>
      </w:r>
      <w:r>
        <w:rPr>
          <w:spacing w:val="-47"/>
        </w:rPr>
        <w:t> </w:t>
      </w:r>
      <w:r>
        <w:rPr/>
        <w:t>成确认函，收购完成后本公司持有</w:t>
      </w:r>
      <w:r>
        <w:rPr>
          <w:rFonts w:ascii="Times New Roman" w:hAnsi="Times New Roman" w:cs="Times New Roman" w:eastAsia="Times New Roman" w:hint="default"/>
        </w:rPr>
        <w:t>ExaDigm,Inc.</w:t>
      </w:r>
      <w:r>
        <w:rPr/>
        <w:t>的</w:t>
      </w:r>
      <w:r>
        <w:rPr>
          <w:rFonts w:ascii="Times New Roman" w:hAnsi="Times New Roman" w:cs="Times New Roman" w:eastAsia="Times New Roman" w:hint="default"/>
        </w:rPr>
        <w:t>100%</w:t>
      </w:r>
      <w:r>
        <w:rPr/>
        <w:t>股权。</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六年</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谭荣、张晓义</w:t>
            </w:r>
          </w:p>
        </w:tc>
      </w:tr>
    </w:tbl>
    <w:p>
      <w:pPr>
        <w:pStyle w:val="BodyText"/>
        <w:spacing w:line="240" w:lineRule="auto" w:before="49"/>
        <w:ind w:right="0"/>
        <w:jc w:val="left"/>
      </w:pPr>
      <w:r>
        <w:rPr/>
        <w:t>是否改聘会计师事务所</w:t>
      </w:r>
    </w:p>
    <w:p>
      <w:pPr>
        <w:pStyle w:val="BodyText"/>
        <w:spacing w:line="340" w:lineRule="auto" w:before="115"/>
        <w:ind w:right="5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footerReference w:type="default" r:id="rId22"/>
          <w:pgSz w:w="11910" w:h="16840"/>
          <w:pgMar w:footer="982" w:header="745" w:top="1060" w:bottom="1180" w:left="980" w:right="980"/>
          <w:pgNumType w:start="54"/>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415" w:lineRule="auto"/>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报告期内，公司及公司控股股东、实际控制人刘祥先生无违法违规记录，不存在未履行法院生效判决或所负数额较大的</w:t>
      </w:r>
    </w:p>
    <w:p>
      <w:pPr>
        <w:pStyle w:val="BodyText"/>
        <w:spacing w:line="240" w:lineRule="auto" w:before="101"/>
        <w:ind w:right="0"/>
        <w:jc w:val="left"/>
      </w:pPr>
      <w:r>
        <w:rPr/>
        <w:t>债务到期未清偿等情况，不存在被交易所通报批评、公开谴责或者认定为不适当人选等情况。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415" w:lineRule="auto"/>
        <w:ind w:left="512"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截止报告期末，公司公布股权激励计划共两期，分别为</w:t>
      </w:r>
      <w:r>
        <w:rPr>
          <w:rFonts w:ascii="Times New Roman" w:hAnsi="Times New Roman" w:cs="Times New Roman" w:eastAsia="Times New Roman" w:hint="default"/>
          <w:spacing w:val="-2"/>
        </w:rPr>
        <w:t>2014</w:t>
      </w:r>
      <w:r>
        <w:rPr>
          <w:spacing w:val="-2"/>
        </w:rPr>
        <w:t>年股票期权激励计划和</w:t>
      </w:r>
      <w:r>
        <w:rPr>
          <w:rFonts w:ascii="Times New Roman" w:hAnsi="Times New Roman" w:cs="Times New Roman" w:eastAsia="Times New Roman" w:hint="default"/>
          <w:spacing w:val="-2"/>
        </w:rPr>
        <w:t>2015</w:t>
      </w:r>
      <w:r>
        <w:rPr>
          <w:spacing w:val="-2"/>
        </w:rPr>
        <w:t>年股票期权激励计划。实施情况</w:t>
      </w:r>
    </w:p>
    <w:p>
      <w:pPr>
        <w:pStyle w:val="BodyText"/>
        <w:spacing w:line="240" w:lineRule="auto" w:before="73"/>
        <w:ind w:right="0"/>
        <w:jc w:val="left"/>
      </w:pPr>
      <w:r>
        <w:rPr/>
        <w:t>如下：</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年股票期权激励计划：</w:t>
      </w:r>
    </w:p>
    <w:p>
      <w:pPr>
        <w:spacing w:line="240" w:lineRule="auto" w:before="9"/>
        <w:rPr>
          <w:rFonts w:ascii="宋体" w:hAnsi="宋体" w:cs="宋体" w:eastAsia="宋体" w:hint="default"/>
          <w:sz w:val="16"/>
          <w:szCs w:val="16"/>
        </w:rPr>
      </w:pPr>
    </w:p>
    <w:p>
      <w:pPr>
        <w:pStyle w:val="BodyText"/>
        <w:spacing w:line="451" w:lineRule="auto"/>
        <w:ind w:right="13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日公司召开第二届董事会第十八次会议及第二届监事会第十六次会议审议通过了《关于</w:t>
      </w:r>
      <w:r>
        <w:rPr>
          <w:rFonts w:ascii="Times New Roman" w:hAnsi="Times New Roman" w:cs="Times New Roman" w:eastAsia="Times New Roman" w:hint="default"/>
        </w:rPr>
        <w:t>&lt;</w:t>
      </w:r>
      <w:r>
        <w:rPr/>
        <w:t>深圳市新国都技 术股份有限公司</w:t>
      </w:r>
      <w:r>
        <w:rPr>
          <w:rFonts w:ascii="Times New Roman" w:hAnsi="Times New Roman" w:cs="Times New Roman" w:eastAsia="Times New Roman" w:hint="default"/>
        </w:rPr>
        <w:t>2014</w:t>
      </w:r>
      <w:r>
        <w:rPr/>
        <w:t>年股票期权激励计划（草案）及摘要</w:t>
      </w:r>
      <w:r>
        <w:rPr>
          <w:rFonts w:ascii="Times New Roman" w:hAnsi="Times New Roman" w:cs="Times New Roman" w:eastAsia="Times New Roman" w:hint="default"/>
        </w:rPr>
        <w:t>&gt;</w:t>
      </w:r>
      <w:r>
        <w:rPr/>
        <w:t>的议案》，公司独立董事对股票期权激励计划发表了明确同意的 独立意见。</w:t>
      </w:r>
    </w:p>
    <w:p>
      <w:pPr>
        <w:pStyle w:val="BodyText"/>
        <w:spacing w:line="451" w:lineRule="auto" w:before="74"/>
        <w:ind w:right="0" w:firstLine="36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21</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）公告了《深圳市新国都技术股份有限公司</w:t>
      </w:r>
      <w:r>
        <w:rPr>
          <w:rFonts w:ascii="Times New Roman" w:hAnsi="Times New Roman" w:cs="Times New Roman" w:eastAsia="Times New Roman" w:hint="default"/>
          <w:spacing w:val="-1"/>
        </w:rPr>
        <w:t>2014</w:t>
      </w:r>
      <w:r>
        <w:rPr>
          <w:spacing w:val="-1"/>
        </w:rPr>
        <w:t>年股票期权激</w:t>
      </w:r>
      <w:r>
        <w:rPr/>
        <w:t> 励计划（草案）》；</w:t>
      </w:r>
    </w:p>
    <w:p>
      <w:pPr>
        <w:pStyle w:val="BodyText"/>
        <w:spacing w:line="451" w:lineRule="auto" w:before="74"/>
        <w:ind w:right="15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日公司召开第二届董事会第十九次会议及第二届监事会第十七次会议审议通过了《关于</w:t>
      </w:r>
      <w:r>
        <w:rPr>
          <w:rFonts w:ascii="Times New Roman" w:hAnsi="Times New Roman" w:cs="Times New Roman" w:eastAsia="Times New Roman" w:hint="default"/>
        </w:rPr>
        <w:t>&lt;</w:t>
      </w:r>
      <w:r>
        <w:rPr/>
        <w:t>深圳市新国都技术 股份有限公司</w:t>
      </w:r>
      <w:r>
        <w:rPr>
          <w:rFonts w:ascii="Times New Roman" w:hAnsi="Times New Roman" w:cs="Times New Roman" w:eastAsia="Times New Roman" w:hint="default"/>
        </w:rPr>
        <w:t>2014</w:t>
      </w:r>
      <w:r>
        <w:rPr/>
        <w:t>年股票期权激励计划（草案修订稿）及摘要</w:t>
      </w:r>
      <w:r>
        <w:rPr>
          <w:rFonts w:ascii="Times New Roman" w:hAnsi="Times New Roman" w:cs="Times New Roman" w:eastAsia="Times New Roman" w:hint="default"/>
        </w:rPr>
        <w:t>&gt;</w:t>
      </w:r>
      <w:r>
        <w:rPr/>
        <w:t>的议案》，公司独立董事对此发表了明确同意的独立意见。 该激励计划经中国证监会备案无异议。</w:t>
      </w:r>
    </w:p>
    <w:p>
      <w:pPr>
        <w:pStyle w:val="BodyText"/>
        <w:spacing w:line="240" w:lineRule="auto" w:before="74"/>
        <w:ind w:left="51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日，公司在巨潮资讯网（</w:t>
      </w:r>
      <w:hyperlink r:id="rId13">
        <w:r>
          <w:rPr>
            <w:rFonts w:ascii="Times New Roman" w:hAnsi="Times New Roman" w:cs="Times New Roman" w:eastAsia="Times New Roman" w:hint="default"/>
          </w:rPr>
          <w:t>www.cninfo.com.cn</w:t>
        </w:r>
      </w:hyperlink>
      <w:r>
        <w:rPr/>
        <w:t>）公告了《</w:t>
      </w:r>
      <w:r>
        <w:rPr>
          <w:rFonts w:ascii="Times New Roman" w:hAnsi="Times New Roman" w:cs="Times New Roman" w:eastAsia="Times New Roman" w:hint="default"/>
        </w:rPr>
        <w:t>2014</w:t>
      </w:r>
      <w:r>
        <w:rPr/>
        <w:t>年股票期权激励计划（草案修订稿）》；</w:t>
      </w:r>
    </w:p>
    <w:p>
      <w:pPr>
        <w:spacing w:line="240" w:lineRule="auto" w:before="9"/>
        <w:rPr>
          <w:rFonts w:ascii="宋体" w:hAnsi="宋体" w:cs="宋体" w:eastAsia="宋体" w:hint="default"/>
          <w:sz w:val="16"/>
          <w:szCs w:val="16"/>
        </w:rPr>
      </w:pPr>
    </w:p>
    <w:p>
      <w:pPr>
        <w:pStyle w:val="BodyText"/>
        <w:spacing w:line="451" w:lineRule="auto"/>
        <w:ind w:right="13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2014</w:t>
      </w:r>
      <w:r>
        <w:rPr/>
        <w:t>年第二次临时股东大会审议通过了《关于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年股票期 权激励计划（草案修订稿）及摘要</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深圳市新国都技术股份有限公司股票期权激励计划实施考核办法的 议案》、《关于</w:t>
      </w:r>
      <w:r>
        <w:rPr>
          <w:rFonts w:ascii="Times New Roman" w:hAnsi="Times New Roman" w:cs="Times New Roman" w:eastAsia="Times New Roman" w:hint="default"/>
        </w:rPr>
        <w:t>&lt;</w:t>
      </w:r>
      <w:r>
        <w:rPr/>
        <w:t>深圳市新国都技术股份有限公司股票期权激励计划管理办法的议案》以及《关于提请股东大会授权董事会 </w:t>
      </w:r>
      <w:r>
        <w:rPr>
          <w:spacing w:val="-2"/>
        </w:rPr>
        <w:t>办理公司股票期权激励计划相关事宜的议案》，董事会被授权确认激励对象参与股权激励计划的资格和条件，确定激励对象</w:t>
      </w:r>
    </w:p>
    <w:p>
      <w:pPr>
        <w:spacing w:after="0" w:line="451"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2"/>
        </w:rPr>
        <w:t>名单及其授予数量，确定标的股权的授予价格；在激励对象符合条件时向激励对象授予股票并办理授予股票和解锁股票所必</w:t>
      </w:r>
      <w:r>
        <w:rPr>
          <w:spacing w:val="-64"/>
        </w:rPr>
        <w:t> </w:t>
      </w:r>
      <w:r>
        <w:rPr>
          <w:spacing w:val="-64"/>
        </w:rPr>
      </w:r>
      <w:r>
        <w:rPr/>
        <w:t>需的全部事宜。</w:t>
      </w:r>
    </w:p>
    <w:p>
      <w:pPr>
        <w:pStyle w:val="BodyText"/>
        <w:spacing w:line="468" w:lineRule="auto" w:before="54"/>
        <w:ind w:right="190" w:firstLine="359"/>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日公司召开第三届董事会第二次会议审议通过了《关于调整股票期权激励计划激励对象名单及授予数量的议</w:t>
      </w:r>
      <w:r>
        <w:rPr/>
        <w:t> </w:t>
      </w:r>
      <w:r>
        <w:rPr>
          <w:spacing w:val="-2"/>
        </w:rPr>
        <w:t>案》和《关于向激励对象授予股票期权的议案》，并于当日召开第三届监事会第二次会议，审议通过了《关于核实公司股票</w:t>
      </w:r>
      <w:r>
        <w:rPr>
          <w:spacing w:val="-67"/>
        </w:rPr>
        <w:t> </w:t>
      </w:r>
      <w:r>
        <w:rPr>
          <w:spacing w:val="-67"/>
        </w:rPr>
      </w:r>
      <w:r>
        <w:rPr>
          <w:spacing w:val="-2"/>
        </w:rPr>
        <w:t>期权激励计划激励对象名单的议案》。公司独立董事对此发表了独立意见，认为激励对象主体资格确认办法合法有效，确定</w:t>
      </w:r>
      <w:r>
        <w:rPr>
          <w:spacing w:val="-64"/>
        </w:rPr>
        <w:t> </w:t>
      </w:r>
      <w:r>
        <w:rPr>
          <w:spacing w:val="-64"/>
        </w:rPr>
      </w:r>
      <w:r>
        <w:rPr/>
        <w:t>的授权日符合相关规定。</w:t>
      </w:r>
    </w:p>
    <w:p>
      <w:pPr>
        <w:pStyle w:val="BodyText"/>
        <w:spacing w:line="451" w:lineRule="auto" w:before="61"/>
        <w:ind w:right="94" w:firstLine="36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）公告了《调整股票期权激励计划激励对象名单及授予数量的</w:t>
      </w:r>
      <w:r>
        <w:rPr/>
        <w:t> 公告》。公司本次激励对象人数由 </w:t>
      </w:r>
      <w:r>
        <w:rPr>
          <w:rFonts w:ascii="Times New Roman" w:hAnsi="Times New Roman" w:cs="Times New Roman" w:eastAsia="Times New Roman" w:hint="default"/>
        </w:rPr>
        <w:t>159 </w:t>
      </w:r>
      <w:r>
        <w:rPr/>
        <w:t>人调整为 </w:t>
      </w:r>
      <w:r>
        <w:rPr>
          <w:rFonts w:ascii="Times New Roman" w:hAnsi="Times New Roman" w:cs="Times New Roman" w:eastAsia="Times New Roman" w:hint="default"/>
        </w:rPr>
        <w:t>152 </w:t>
      </w:r>
      <w:r>
        <w:rPr/>
        <w:t>人，本次激励计划授予激励对象的权益总数由 </w:t>
      </w:r>
      <w:r>
        <w:rPr>
          <w:rFonts w:ascii="Times New Roman" w:hAnsi="Times New Roman" w:cs="Times New Roman" w:eastAsia="Times New Roman" w:hint="default"/>
        </w:rPr>
        <w:t>646.34</w:t>
      </w:r>
      <w:r>
        <w:rPr>
          <w:rFonts w:ascii="Times New Roman" w:hAnsi="Times New Roman" w:cs="Times New Roman" w:eastAsia="Times New Roman" w:hint="default"/>
          <w:spacing w:val="23"/>
        </w:rPr>
        <w:t> </w:t>
      </w:r>
      <w:r>
        <w:rPr/>
        <w:t>万份调整为</w:t>
      </w:r>
    </w:p>
    <w:p>
      <w:pPr>
        <w:pStyle w:val="BodyText"/>
        <w:spacing w:line="240" w:lineRule="auto" w:before="43"/>
        <w:ind w:left="153" w:right="94"/>
        <w:jc w:val="left"/>
      </w:pPr>
      <w:r>
        <w:rPr>
          <w:rFonts w:ascii="Times New Roman" w:hAnsi="Times New Roman" w:cs="Times New Roman" w:eastAsia="Times New Roman" w:hint="default"/>
        </w:rPr>
        <w:t>622.84  </w:t>
      </w:r>
      <w:r>
        <w:rPr/>
        <w:t>万份，预留股票期权数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万份不变。</w:t>
      </w:r>
    </w:p>
    <w:p>
      <w:pPr>
        <w:spacing w:line="240" w:lineRule="auto" w:before="9"/>
        <w:rPr>
          <w:rFonts w:ascii="宋体" w:hAnsi="宋体" w:cs="宋体" w:eastAsia="宋体" w:hint="default"/>
          <w:sz w:val="16"/>
          <w:szCs w:val="16"/>
        </w:rPr>
      </w:pPr>
    </w:p>
    <w:p>
      <w:pPr>
        <w:pStyle w:val="BodyText"/>
        <w:spacing w:line="458" w:lineRule="auto"/>
        <w:ind w:left="153" w:right="94" w:firstLine="359"/>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）公告了《关于股票期权激励计划首次授予完成登记的公告》。</w:t>
      </w:r>
      <w:r>
        <w:rPr/>
        <w:t> </w:t>
      </w:r>
      <w:r>
        <w:rPr>
          <w:spacing w:val="-2"/>
        </w:rPr>
        <w:t>鉴于激励计划中确定的激励对象欧阳伟权由于个人原因离职，其已不具备激励对象资格，公司对本次股票期权激励计划对象</w:t>
      </w:r>
      <w:r>
        <w:rPr>
          <w:spacing w:val="-64"/>
        </w:rPr>
        <w:t> </w:t>
      </w:r>
      <w:r>
        <w:rPr>
          <w:spacing w:val="-64"/>
        </w:rPr>
      </w:r>
      <w:r>
        <w:rPr>
          <w:spacing w:val="-2"/>
        </w:rPr>
        <w:t>名单及授予登记的权益数量进行了相应调整，激励对象人数由</w:t>
      </w:r>
      <w:r>
        <w:rPr>
          <w:rFonts w:ascii="Times New Roman" w:hAnsi="Times New Roman" w:cs="Times New Roman" w:eastAsia="Times New Roman" w:hint="default"/>
          <w:spacing w:val="-2"/>
        </w:rPr>
        <w:t>152</w:t>
      </w:r>
      <w:r>
        <w:rPr>
          <w:spacing w:val="-2"/>
        </w:rPr>
        <w:t>人调整为</w:t>
      </w:r>
      <w:r>
        <w:rPr>
          <w:rFonts w:ascii="Times New Roman" w:hAnsi="Times New Roman" w:cs="Times New Roman" w:eastAsia="Times New Roman" w:hint="default"/>
          <w:spacing w:val="-2"/>
        </w:rPr>
        <w:t>151</w:t>
      </w:r>
      <w:r>
        <w:rPr>
          <w:spacing w:val="-2"/>
        </w:rPr>
        <w:t>人。经深圳证券交易所、中国证券登记结算有</w:t>
      </w:r>
      <w:r>
        <w:rPr>
          <w:spacing w:val="-60"/>
        </w:rPr>
        <w:t> </w:t>
      </w:r>
      <w:r>
        <w:rPr>
          <w:spacing w:val="-60"/>
        </w:rPr>
      </w:r>
      <w:r>
        <w:rPr/>
        <w:t>限责任公司深圳分公司审核确认，公告完成了首次授予涉及的</w:t>
      </w:r>
      <w:r>
        <w:rPr>
          <w:rFonts w:ascii="Times New Roman" w:hAnsi="Times New Roman" w:cs="Times New Roman" w:eastAsia="Times New Roman" w:hint="default"/>
        </w:rPr>
        <w:t>151</w:t>
      </w:r>
      <w:r>
        <w:rPr/>
        <w:t>名激励对象获授的</w:t>
      </w:r>
      <w:r>
        <w:rPr>
          <w:rFonts w:ascii="Times New Roman" w:hAnsi="Times New Roman" w:cs="Times New Roman" w:eastAsia="Times New Roman" w:hint="default"/>
        </w:rPr>
        <w:t>621.64</w:t>
      </w:r>
      <w:r>
        <w:rPr/>
        <w:t>万份股票期权登记工作，期权简 称：新国</w:t>
      </w:r>
      <w:r>
        <w:rPr>
          <w:spacing w:val="-18"/>
        </w:rPr>
        <w:t> </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036143</w:t>
      </w:r>
      <w:r>
        <w:rPr/>
        <w:t>。</w:t>
      </w:r>
    </w:p>
    <w:p>
      <w:pPr>
        <w:pStyle w:val="BodyText"/>
        <w:spacing w:line="458" w:lineRule="auto" w:before="37"/>
        <w:ind w:left="153"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日公司召开第三届董事会第七次会议及第三届监事会第七次会议审议通过了《关于注销部分已获授但尚未 </w:t>
      </w:r>
      <w:r>
        <w:rPr>
          <w:spacing w:val="-2"/>
        </w:rPr>
        <w:t>行权的股票期权的议案》，公司独立董事对此发表了独立意见，认为公司本次注销部分已不符合激励条件的激励对象已获授</w:t>
      </w:r>
      <w:r>
        <w:rPr>
          <w:spacing w:val="-66"/>
        </w:rPr>
        <w:t> </w:t>
      </w:r>
      <w:r>
        <w:rPr>
          <w:spacing w:val="-66"/>
        </w:rPr>
      </w:r>
      <w:r>
        <w:rPr/>
        <w:t>但尚未行权股票期权，符合《上市公司股权激励管理办法》、《股权激励备忘录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号》及公司《股票期权与限制性股票 激励计划》等的相关规定，程序合法合规，不会对公司的财务状况和经营成果产生实质性影响。</w:t>
      </w:r>
    </w:p>
    <w:p>
      <w:pPr>
        <w:pStyle w:val="BodyText"/>
        <w:spacing w:line="451" w:lineRule="auto" w:before="68"/>
        <w:ind w:left="153" w:right="94" w:firstLine="360"/>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27</w:t>
      </w:r>
      <w:r>
        <w:rPr>
          <w:spacing w:val="-5"/>
        </w:rPr>
        <w:t>日，公司在巨潮资讯网（</w:t>
      </w:r>
      <w:hyperlink r:id="rId13">
        <w:r>
          <w:rPr>
            <w:rFonts w:ascii="Times New Roman" w:hAnsi="Times New Roman" w:cs="Times New Roman" w:eastAsia="Times New Roman" w:hint="default"/>
            <w:spacing w:val="-5"/>
          </w:rPr>
          <w:t>www.cninfo.com.cn</w:t>
        </w:r>
      </w:hyperlink>
      <w:r>
        <w:rPr>
          <w:spacing w:val="-5"/>
        </w:rPr>
        <w:t>）公告了《关于注销部分股权激励对象已授予股票期权的公告》。</w:t>
      </w:r>
      <w:r>
        <w:rPr/>
        <w:t> 本次注销完成后，已获授权的股票期权数量为</w:t>
      </w:r>
      <w:r>
        <w:rPr>
          <w:rFonts w:ascii="Times New Roman" w:hAnsi="Times New Roman" w:cs="Times New Roman" w:eastAsia="Times New Roman" w:hint="default"/>
        </w:rPr>
        <w:t>6,077,400</w:t>
      </w:r>
      <w:r>
        <w:rPr>
          <w:rFonts w:ascii="Times New Roman" w:hAnsi="Times New Roman" w:cs="Times New Roman" w:eastAsia="Times New Roman" w:hint="default"/>
          <w:spacing w:val="26"/>
        </w:rPr>
        <w:t> </w:t>
      </w:r>
      <w:r>
        <w:rPr/>
        <w:t>股。</w:t>
      </w:r>
    </w:p>
    <w:p>
      <w:pPr>
        <w:pStyle w:val="BodyText"/>
        <w:spacing w:line="451" w:lineRule="auto" w:before="43"/>
        <w:ind w:left="153" w:right="249" w:firstLine="35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日，公司在巨潮资讯网（</w:t>
      </w:r>
      <w:hyperlink r:id="rId13">
        <w:r>
          <w:rPr>
            <w:rFonts w:ascii="Times New Roman" w:hAnsi="Times New Roman" w:cs="Times New Roman" w:eastAsia="Times New Roman" w:hint="default"/>
          </w:rPr>
          <w:t>www.cninfo.com.cn</w:t>
        </w:r>
      </w:hyperlink>
      <w:r>
        <w:rPr/>
        <w:t>）公告了《关于部分已授予股票期权注销完成的公告》经中国 证券登记结算有限责任公司深圳分公司审核确认，部分离职人员的股票期权注销事宜办理完毕。</w:t>
      </w:r>
    </w:p>
    <w:p>
      <w:pPr>
        <w:pStyle w:val="BodyText"/>
        <w:spacing w:line="451" w:lineRule="auto" w:before="74"/>
        <w:ind w:left="153"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日公司召开第三届董事会第八次会议、第三届监事会第八次会议审议通过了《审议公司对股票期权行权价 格进行调整的议案》，对首次授予股票期权及预留部分期权的行权价格进行调整。</w:t>
      </w:r>
    </w:p>
    <w:p>
      <w:pPr>
        <w:pStyle w:val="BodyText"/>
        <w:spacing w:line="240" w:lineRule="auto" w:before="74"/>
        <w:ind w:left="513" w:right="9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日，公司在巨潮资讯网（</w:t>
      </w:r>
      <w:hyperlink r:id="rId13">
        <w:r>
          <w:rPr>
            <w:rFonts w:ascii="Times New Roman" w:hAnsi="Times New Roman" w:cs="Times New Roman" w:eastAsia="Times New Roman" w:hint="default"/>
          </w:rPr>
          <w:t>www.cninfo.com.cn</w:t>
        </w:r>
      </w:hyperlink>
      <w:r>
        <w:rPr/>
        <w:t>）公告了《关于公司对股票期权行权价格进行调整的公告》。</w:t>
      </w:r>
    </w:p>
    <w:p>
      <w:pPr>
        <w:spacing w:line="240" w:lineRule="auto" w:before="9"/>
        <w:rPr>
          <w:rFonts w:ascii="宋体" w:hAnsi="宋体" w:cs="宋体" w:eastAsia="宋体" w:hint="default"/>
          <w:sz w:val="16"/>
          <w:szCs w:val="16"/>
        </w:rPr>
      </w:pPr>
    </w:p>
    <w:p>
      <w:pPr>
        <w:pStyle w:val="BodyText"/>
        <w:spacing w:line="451" w:lineRule="auto"/>
        <w:ind w:left="153" w:right="249" w:firstLine="35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日，公司在巨潮资讯网（</w:t>
      </w:r>
      <w:hyperlink r:id="rId13">
        <w:r>
          <w:rPr>
            <w:rFonts w:ascii="Times New Roman" w:hAnsi="Times New Roman" w:cs="Times New Roman" w:eastAsia="Times New Roman" w:hint="default"/>
          </w:rPr>
          <w:t>www.cninfo.com.cn</w:t>
        </w:r>
      </w:hyperlink>
      <w:r>
        <w:rPr/>
        <w:t>）公告了《关于调整公司股票期权激励计划行权价格事项完成 的公告》。</w:t>
      </w:r>
    </w:p>
    <w:p>
      <w:pPr>
        <w:pStyle w:val="BodyText"/>
        <w:spacing w:line="451" w:lineRule="auto" w:before="74"/>
        <w:ind w:left="153"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日公司召开第三届董事会第十一次会议及第三届监事会第十一次会议审议通过了《关于公司股票期权激励 计划第一个行权期可行权的议案》和《关于公司股票期权激励计划股票期权第一个行权期选择自主行权模式的议案》。</w:t>
      </w:r>
    </w:p>
    <w:p>
      <w:pPr>
        <w:pStyle w:val="BodyText"/>
        <w:spacing w:line="240" w:lineRule="auto" w:before="74"/>
        <w:ind w:left="513" w:right="9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日，公司在巨潮资讯网（</w:t>
      </w:r>
      <w:hyperlink r:id="rId13">
        <w:r>
          <w:rPr>
            <w:rFonts w:ascii="Times New Roman" w:hAnsi="Times New Roman" w:cs="Times New Roman" w:eastAsia="Times New Roman" w:hint="default"/>
          </w:rPr>
          <w:t>www.cninfo.com.cn</w:t>
        </w:r>
      </w:hyperlink>
      <w:r>
        <w:rPr/>
        <w:t>）公告了《关于股票期权激励计划第一期股票期权可行权的公</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94"/>
        <w:jc w:val="left"/>
      </w:pPr>
      <w:r>
        <w:rPr/>
        <w:t>告》。</w:t>
      </w:r>
    </w:p>
    <w:p>
      <w:pPr>
        <w:spacing w:line="240" w:lineRule="auto" w:before="10"/>
        <w:rPr>
          <w:rFonts w:ascii="宋体" w:hAnsi="宋体" w:cs="宋体" w:eastAsia="宋体" w:hint="default"/>
          <w:sz w:val="17"/>
          <w:szCs w:val="17"/>
        </w:rPr>
      </w:pPr>
    </w:p>
    <w:p>
      <w:pPr>
        <w:pStyle w:val="BodyText"/>
        <w:spacing w:line="456" w:lineRule="auto"/>
        <w:ind w:right="191"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）公告了《关于注销部分已获准行权但尚未行权的股票期权及</w:t>
      </w:r>
      <w:r>
        <w:rPr/>
        <w:t> 调整股票期权数量和行权价格的公告》，公司于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日召开公司第三届董事会第十三次（临时）会议、第三届监事 </w:t>
      </w:r>
      <w:r>
        <w:rPr>
          <w:spacing w:val="-2"/>
        </w:rPr>
        <w:t>会第十三次会议审议通过了《关于注销部分已获准行权但尚未行权的股票期权的议案》及《关于公司对股票期权数量和行权</w:t>
      </w:r>
      <w:r>
        <w:rPr>
          <w:spacing w:val="-63"/>
        </w:rPr>
        <w:t> </w:t>
      </w:r>
      <w:r>
        <w:rPr>
          <w:spacing w:val="-63"/>
        </w:rPr>
      </w:r>
      <w:r>
        <w:rPr>
          <w:spacing w:val="-2"/>
        </w:rPr>
        <w:t>价格进行调整的议案》，注销部分离职人员已获准行权但尚未行权的股票期权，同时公司股票期权数量由原</w:t>
      </w:r>
      <w:r>
        <w:rPr>
          <w:rFonts w:ascii="Times New Roman" w:hAnsi="Times New Roman" w:cs="Times New Roman" w:eastAsia="Times New Roman" w:hint="default"/>
          <w:spacing w:val="-2"/>
        </w:rPr>
        <w:t>6,053,400</w:t>
      </w:r>
      <w:r>
        <w:rPr>
          <w:spacing w:val="-2"/>
        </w:rPr>
        <w:t>份调整</w:t>
      </w:r>
      <w:r>
        <w:rPr>
          <w:spacing w:val="-60"/>
        </w:rPr>
        <w:t> </w:t>
      </w:r>
      <w:r>
        <w:rPr>
          <w:spacing w:val="-60"/>
        </w:rPr>
      </w:r>
      <w:r>
        <w:rPr/>
        <w:t>为</w:t>
      </w:r>
      <w:r>
        <w:rPr>
          <w:rFonts w:ascii="Times New Roman" w:hAnsi="Times New Roman" w:cs="Times New Roman" w:eastAsia="Times New Roman" w:hint="default"/>
        </w:rPr>
        <w:t>12,106,800</w:t>
      </w:r>
      <w:r>
        <w:rPr/>
        <w:t>份，其中首次授予股票期权数量调整为</w:t>
      </w:r>
      <w:r>
        <w:rPr>
          <w:rFonts w:ascii="Times New Roman" w:hAnsi="Times New Roman" w:cs="Times New Roman" w:eastAsia="Times New Roman" w:hint="default"/>
        </w:rPr>
        <w:t>12,106,800</w:t>
      </w:r>
      <w:r>
        <w:rPr/>
        <w:t>份，预留股票期权数量调整为</w:t>
      </w:r>
      <w:r>
        <w:rPr>
          <w:rFonts w:ascii="Times New Roman" w:hAnsi="Times New Roman" w:cs="Times New Roman" w:eastAsia="Times New Roman" w:hint="default"/>
        </w:rPr>
        <w:t>400,000</w:t>
      </w:r>
      <w:r>
        <w:rPr/>
        <w:t>份。公司首次授予股票 期权行权价格由</w:t>
      </w:r>
      <w:r>
        <w:rPr>
          <w:rFonts w:ascii="Times New Roman" w:hAnsi="Times New Roman" w:cs="Times New Roman" w:eastAsia="Times New Roman" w:hint="default"/>
        </w:rPr>
        <w:t>15.22</w:t>
      </w:r>
      <w:r>
        <w:rPr/>
        <w:t>元调整为</w:t>
      </w:r>
      <w:r>
        <w:rPr>
          <w:rFonts w:ascii="Times New Roman" w:hAnsi="Times New Roman" w:cs="Times New Roman" w:eastAsia="Times New Roman" w:hint="default"/>
        </w:rPr>
        <w:t>7.585</w:t>
      </w:r>
      <w:r>
        <w:rPr/>
        <w:t>元。</w:t>
      </w:r>
    </w:p>
    <w:p>
      <w:pPr>
        <w:pStyle w:val="BodyText"/>
        <w:spacing w:line="451" w:lineRule="auto" w:before="39"/>
        <w:ind w:right="97" w:firstLine="35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日，公司在巨潮资讯网（</w:t>
      </w:r>
      <w:hyperlink r:id="rId13">
        <w:r>
          <w:rPr>
            <w:rFonts w:ascii="Times New Roman" w:hAnsi="Times New Roman" w:cs="Times New Roman" w:eastAsia="Times New Roman" w:hint="default"/>
          </w:rPr>
          <w:t>www.cninfo.com.cn</w:t>
        </w:r>
      </w:hyperlink>
      <w:r>
        <w:rPr/>
        <w:t>）公告了《关于股票期权激励计划第一个行权期采用自主行权 </w:t>
      </w:r>
      <w:r>
        <w:rPr>
          <w:spacing w:val="-3"/>
        </w:rPr>
        <w:t>模式的公告》，公告公司股权激励计划第一期行权公司拟采用自主行权方式，可行权期限从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6</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日止，</w:t>
      </w:r>
      <w:r>
        <w:rPr>
          <w:spacing w:val="-87"/>
        </w:rPr>
        <w:t> </w:t>
      </w:r>
      <w:r>
        <w:rPr>
          <w:spacing w:val="-87"/>
        </w:rPr>
      </w:r>
      <w:r>
        <w:rPr/>
        <w:t>第一个可行权期可行权的激励对象</w:t>
      </w:r>
      <w:r>
        <w:rPr>
          <w:rFonts w:ascii="Times New Roman" w:hAnsi="Times New Roman" w:cs="Times New Roman" w:eastAsia="Times New Roman" w:hint="default"/>
        </w:rPr>
        <w:t>145</w:t>
      </w:r>
      <w:r>
        <w:rPr/>
        <w:t>人，可行权数量</w:t>
      </w:r>
      <w:r>
        <w:rPr>
          <w:rFonts w:ascii="Times New Roman" w:hAnsi="Times New Roman" w:cs="Times New Roman" w:eastAsia="Times New Roman" w:hint="default"/>
        </w:rPr>
        <w:t>2,421,360</w:t>
      </w:r>
      <w:r>
        <w:rPr/>
        <w:t>份，行权价格</w:t>
      </w:r>
      <w:r>
        <w:rPr>
          <w:rFonts w:ascii="Times New Roman" w:hAnsi="Times New Roman" w:cs="Times New Roman" w:eastAsia="Times New Roman" w:hint="default"/>
        </w:rPr>
        <w:t>7.585</w:t>
      </w:r>
      <w:r>
        <w:rPr/>
        <w:t>元。</w:t>
      </w:r>
    </w:p>
    <w:p>
      <w:pPr>
        <w:pStyle w:val="BodyText"/>
        <w:spacing w:line="451" w:lineRule="auto" w:before="43"/>
        <w:ind w:left="153" w:right="19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日，公司召开第三届董事会第二十一次（临时）会议及第三届监事会第二十次会议审议通过了《关于注销</w:t>
      </w:r>
      <w:r>
        <w:rPr/>
        <w:t> 部分已获授股票期权的议案</w:t>
      </w:r>
      <w:r>
        <w:rPr>
          <w:rFonts w:ascii="Times New Roman" w:hAnsi="Times New Roman" w:cs="Times New Roman" w:eastAsia="Times New Roman" w:hint="default"/>
        </w:rPr>
        <w:t>.</w:t>
      </w:r>
      <w:r>
        <w:rPr/>
        <w:t>》，注销部分离职人员已获授予的股票期权。</w:t>
      </w:r>
    </w:p>
    <w:p>
      <w:pPr>
        <w:pStyle w:val="BodyText"/>
        <w:spacing w:line="451" w:lineRule="auto" w:before="43"/>
        <w:ind w:left="153" w:right="26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日，公司在巨潮资讯网（</w:t>
      </w:r>
      <w:hyperlink r:id="rId13">
        <w:r>
          <w:rPr>
            <w:rFonts w:ascii="Times New Roman" w:hAnsi="Times New Roman" w:cs="Times New Roman" w:eastAsia="Times New Roman" w:hint="default"/>
          </w:rPr>
          <w:t>www.cninfo.com.cn</w:t>
        </w:r>
      </w:hyperlink>
      <w:r>
        <w:rPr/>
        <w:t>）公告了《关于注销部分已获授股票期权的公告》。本次调 整后公司已获授尚未行权股票期权数量为</w:t>
      </w:r>
      <w:r>
        <w:rPr>
          <w:rFonts w:ascii="Times New Roman" w:hAnsi="Times New Roman" w:cs="Times New Roman" w:eastAsia="Times New Roman" w:hint="default"/>
        </w:rPr>
        <w:t>9,618,240</w:t>
      </w:r>
      <w:r>
        <w:rPr/>
        <w:t>股。</w:t>
      </w:r>
    </w:p>
    <w:p>
      <w:pPr>
        <w:pStyle w:val="BodyText"/>
        <w:spacing w:line="451" w:lineRule="auto" w:before="43"/>
        <w:ind w:left="153" w:right="192"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日，公司召开第三届董事会第二十六次会议及第三届监事会第二十五次会议审议通过了《关于公司</w:t>
      </w:r>
      <w:r>
        <w:rPr>
          <w:rFonts w:ascii="Times New Roman" w:hAnsi="Times New Roman" w:cs="Times New Roman" w:eastAsia="Times New Roman" w:hint="default"/>
        </w:rPr>
        <w:t>2014</w:t>
      </w:r>
      <w:r>
        <w:rPr/>
        <w:t>年 </w:t>
      </w:r>
      <w:r>
        <w:rPr>
          <w:spacing w:val="-2"/>
        </w:rPr>
        <w:t>股票期权激励计划第二个行权期可行权的议案》及《关于公司</w:t>
      </w:r>
      <w:r>
        <w:rPr>
          <w:rFonts w:ascii="Times New Roman" w:hAnsi="Times New Roman" w:cs="Times New Roman" w:eastAsia="Times New Roman" w:hint="default"/>
          <w:spacing w:val="-2"/>
        </w:rPr>
        <w:t>2014</w:t>
      </w:r>
      <w:r>
        <w:rPr>
          <w:spacing w:val="-2"/>
        </w:rPr>
        <w:t>年股票期权激励计划第二个行权期选择自主行权模式的议</w:t>
      </w:r>
      <w:r>
        <w:rPr>
          <w:spacing w:val="-62"/>
        </w:rPr>
        <w:t> </w:t>
      </w:r>
      <w:r>
        <w:rPr>
          <w:spacing w:val="-62"/>
        </w:rPr>
      </w:r>
      <w:r>
        <w:rPr/>
        <w:t>案》。</w:t>
      </w:r>
    </w:p>
    <w:p>
      <w:pPr>
        <w:pStyle w:val="BodyText"/>
        <w:spacing w:line="451" w:lineRule="auto" w:before="74"/>
        <w:ind w:left="153" w:right="191"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）公告了《关于</w:t>
      </w:r>
      <w:r>
        <w:rPr>
          <w:rFonts w:ascii="Times New Roman" w:hAnsi="Times New Roman" w:cs="Times New Roman" w:eastAsia="Times New Roman" w:hint="default"/>
          <w:spacing w:val="-1"/>
        </w:rPr>
        <w:t>2014</w:t>
      </w:r>
      <w:r>
        <w:rPr>
          <w:spacing w:val="-1"/>
        </w:rPr>
        <w:t>年股票期权激励计划第二期股票期权可行</w:t>
      </w:r>
      <w:r>
        <w:rPr/>
        <w:t> </w:t>
      </w:r>
      <w:r>
        <w:rPr>
          <w:spacing w:val="-2"/>
        </w:rPr>
        <w:t>权的公告》，公司</w:t>
      </w:r>
      <w:r>
        <w:rPr>
          <w:rFonts w:ascii="Times New Roman" w:hAnsi="Times New Roman" w:cs="Times New Roman" w:eastAsia="Times New Roman" w:hint="default"/>
          <w:spacing w:val="-2"/>
        </w:rPr>
        <w:t>2014</w:t>
      </w:r>
      <w:r>
        <w:rPr>
          <w:spacing w:val="-2"/>
        </w:rPr>
        <w:t>年股票期权激励计划第二期行权公司拟采用自主行权方式，可行权期限从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1"/>
        </w:rPr>
        <w:t> </w:t>
      </w:r>
      <w:r>
        <w:rPr/>
        <w:t>日止，</w:t>
      </w:r>
      <w:r>
        <w:rPr>
          <w:spacing w:val="-27"/>
        </w:rPr>
        <w:t> </w:t>
      </w:r>
      <w:r>
        <w:rPr/>
        <w:t>第二个可行权期可行权的激励对象</w:t>
      </w:r>
      <w:r>
        <w:rPr>
          <w:rFonts w:ascii="Times New Roman" w:hAnsi="Times New Roman" w:cs="Times New Roman" w:eastAsia="Times New Roman" w:hint="default"/>
        </w:rPr>
        <w:t>141</w:t>
      </w:r>
      <w:r>
        <w:rPr/>
        <w:t>人，可行权数量</w:t>
      </w:r>
      <w:r>
        <w:rPr>
          <w:rFonts w:ascii="Times New Roman" w:hAnsi="Times New Roman" w:cs="Times New Roman" w:eastAsia="Times New Roman" w:hint="default"/>
        </w:rPr>
        <w:t>4,809,120</w:t>
      </w:r>
      <w:r>
        <w:rPr/>
        <w:t>份，行权价格</w:t>
      </w:r>
      <w:r>
        <w:rPr>
          <w:rFonts w:ascii="Times New Roman" w:hAnsi="Times New Roman" w:cs="Times New Roman" w:eastAsia="Times New Roman" w:hint="default"/>
        </w:rPr>
        <w:t>7.585</w:t>
      </w:r>
      <w:r>
        <w:rPr/>
        <w:t>元。</w:t>
      </w:r>
    </w:p>
    <w:p>
      <w:pPr>
        <w:pStyle w:val="BodyText"/>
        <w:spacing w:line="240" w:lineRule="auto" w:before="43"/>
        <w:ind w:left="513" w:right="94"/>
        <w:jc w:val="left"/>
      </w:pPr>
      <w:r>
        <w:rPr>
          <w:rFonts w:ascii="Times New Roman" w:hAnsi="Times New Roman" w:cs="Times New Roman" w:eastAsia="Times New Roman" w:hint="default"/>
        </w:rPr>
        <w:t>2014</w:t>
      </w:r>
      <w:r>
        <w:rPr/>
        <w:t>年股票期权激励计划披露索引如下：</w:t>
      </w:r>
    </w:p>
    <w:p>
      <w:pPr>
        <w:spacing w:line="240" w:lineRule="auto" w:before="1"/>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6754"/>
        <w:gridCol w:w="1150"/>
        <w:gridCol w:w="1754"/>
      </w:tblGrid>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10"/>
              <w:jc w:val="left"/>
              <w:rPr>
                <w:rFonts w:ascii="宋体" w:hAnsi="宋体" w:cs="宋体" w:eastAsia="宋体" w:hint="default"/>
                <w:sz w:val="18"/>
                <w:szCs w:val="18"/>
              </w:rPr>
            </w:pPr>
            <w:r>
              <w:rPr>
                <w:rFonts w:ascii="宋体" w:hAnsi="宋体" w:cs="宋体" w:eastAsia="宋体" w:hint="default"/>
                <w:sz w:val="18"/>
                <w:szCs w:val="18"/>
              </w:rPr>
              <w:t>临时公告 披露日期</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2014-016</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第二届监事会第十六次会议决议公告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2014-017</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年股票期权激励计划（草案）</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年股票期权激励计划（草案）摘要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北京市盈科（深圳）律师事务所关于公司股票期权激励计划的法律意见书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年度股票期权激励计划（草案）》的独立意见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股票期权激励计划管理办法</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6754"/>
        <w:gridCol w:w="1150"/>
        <w:gridCol w:w="1754"/>
      </w:tblGrid>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关于本次股票期权激励计划激励对象合理性的说明</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监事会关于本次股票期权激励计划对象名单和核实意见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2014/2/21</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关于股票期权激励计划获得中国证监会备案无异议的公告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2014/4/8</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2014-035</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2014-037</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2014-038</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年股票期权激励计划（草案修订稿）</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年股票期权激励计划（草案修订稿）摘要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北京市盈科（深圳）律师事务所关于公司股票期权激励计划（草案修订稿）的法律意</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年股票期权激励计划（草案修订稿）》的独立意见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股票期权激励计划（草案修订稿）修订前后对照说明</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股票期权激励计划激励对象名单（调整后）</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监事会关于本次股票期权激励计划对象名单（调整后）的核实意见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2014/4/10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2014-069</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2014-072</w:t>
            </w: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北京市盈科（深圳）律师事务所关于公司股票期权激励计划授予股票期权的法律意见</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调整股票期权激励计划激励对象名单及授予数量的公告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2014-071</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股票期权激励计划激励对象名单（调整后）</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2014-070</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独立董事对本次股票期权授予事项的独立意见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2014/5/12</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关于股票期权激励计划首次授予完成登记的公告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2014/7/3</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2014-085</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独立董事关于公司第三届董事会第七次会议相关事项的独立意见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2015-010</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第三届监事会第七次会议决议公告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2015-011</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独立董事关于公司第三届董事会第七次会议相关事项的独立意见</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股票期权激励计划激励对象名单（调整后）</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关于注销部分股权激励对象已授予股票期权的公告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2015-009</w:t>
            </w: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北京市中银（深圳）律师事务所关于公司注销部分股权激励对象已授予股票期权的法</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2015/1/27</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2015/2/2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2015-016</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2015/3/27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2015-033</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第三届监事会第八次会议决议公告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2015/3/27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2015-034</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关于公司对股票期权行权价格进行调整的公告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2015/3/31</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2015-026</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关于调整公司股票期权激励计划行权价格事项完成的公告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2015/4/2</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2015-037</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第三届董事会第十一次（临时）会议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2015/5/14</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2015-056</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第三届监事会第十一次会议</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2015/5/14</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2015-057</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关于股票期权激励计划第一期股票期权可行权的公告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2015/5/14</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2015-059</w:t>
            </w: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北京市中银（深圳）律师事务所关于公司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年股票期权激励计划第一个行权期行权</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相关事项的法律意见书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2015/5/14</w:t>
            </w:r>
          </w:p>
        </w:tc>
        <w:tc>
          <w:tcPr>
            <w:tcW w:w="17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6754"/>
        <w:gridCol w:w="1150"/>
        <w:gridCol w:w="1754"/>
      </w:tblGrid>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z w:val="18"/>
                <w:szCs w:val="18"/>
              </w:rPr>
              <w:t>北京市中银（深圳）律师事务所关于公司注销部分已获准行权但尚未行权的股票期权</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及调整股票期权数量和行权价格的法律意见书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2015/6/19</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关于注销部分已获准行权但尚未行权的股票期权及调整股票期权数量和行权价格的公</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2015/6/19</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2015-071</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关于股票期权激励计划第一个行权期采用自主行权模式的公告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2015/7/8</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2015-077</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第三届董事会第二十一次（临时）会议决议公告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2015/12/30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2015-143</w:t>
            </w: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第三届监事会第二十次会议决议公告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2015/12/30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2015-147</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关于注销部分已获授股票期权的公告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2015/12/30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2015-146</w:t>
            </w: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4"/>
              <w:jc w:val="left"/>
              <w:rPr>
                <w:rFonts w:ascii="宋体" w:hAnsi="宋体" w:cs="宋体" w:eastAsia="宋体" w:hint="default"/>
                <w:sz w:val="18"/>
                <w:szCs w:val="18"/>
              </w:rPr>
            </w:pPr>
            <w:r>
              <w:rPr>
                <w:rFonts w:ascii="宋体" w:hAnsi="宋体" w:cs="宋体" w:eastAsia="宋体" w:hint="default"/>
                <w:sz w:val="18"/>
                <w:szCs w:val="18"/>
              </w:rPr>
              <w:t>北京市中银（深圳）律师事务所关于深圳市新国都技术股份有限公司注销部分已获授 但尚未行权股票期权的法律意见书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2015/12/30</w:t>
            </w: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第三届董事会第二十六次会议决议公告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2016/4/20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2016-033</w:t>
            </w:r>
          </w:p>
        </w:tc>
      </w:tr>
      <w:tr>
        <w:trPr>
          <w:trHeight w:val="346"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年股票期权激励计划第二期股票期权可行权的公告</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2016/4/20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2016-034</w:t>
            </w:r>
          </w:p>
        </w:tc>
      </w:tr>
      <w:tr>
        <w:trPr>
          <w:trHeight w:val="660" w:hRule="exact"/>
        </w:trPr>
        <w:tc>
          <w:tcPr>
            <w:tcW w:w="67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北京市中伦（深圳）律师事务所关于深圳市新国都技术股份有限公司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年股票期权</w:t>
            </w:r>
            <w:r>
              <w:rPr>
                <w:rFonts w:ascii="宋体" w:hAnsi="宋体" w:cs="宋体" w:eastAsia="宋体" w:hint="default"/>
                <w:spacing w:val="-28"/>
                <w:sz w:val="18"/>
                <w:szCs w:val="18"/>
              </w:rPr>
              <w:t> </w:t>
            </w:r>
            <w:r>
              <w:rPr>
                <w:rFonts w:ascii="宋体" w:hAnsi="宋体" w:cs="宋体" w:eastAsia="宋体" w:hint="default"/>
                <w:sz w:val="18"/>
                <w:szCs w:val="18"/>
              </w:rPr>
              <w:t>激励计划第二个行权期行权相关事项的法律意见书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2016/4/20</w:t>
            </w:r>
          </w:p>
        </w:tc>
        <w:tc>
          <w:tcPr>
            <w:tcW w:w="175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7"/>
        <w:ind w:left="51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年股票期权激励计划：</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日，公司召开第三届董事会第二十次会议及第三届监事会第十九次会议审议通过了《审议</w:t>
      </w:r>
      <w:r>
        <w:rPr>
          <w:rFonts w:ascii="Times New Roman" w:hAnsi="Times New Roman" w:cs="Times New Roman" w:eastAsia="Times New Roman" w:hint="default"/>
        </w:rPr>
        <w:t>&lt;</w:t>
      </w:r>
      <w:r>
        <w:rPr/>
        <w:t>关于深圳市新 国都技术股份有限公司</w:t>
      </w:r>
      <w:r>
        <w:rPr>
          <w:rFonts w:ascii="Times New Roman" w:hAnsi="Times New Roman" w:cs="Times New Roman" w:eastAsia="Times New Roman" w:hint="default"/>
        </w:rPr>
        <w:t>2015</w:t>
      </w:r>
      <w:r>
        <w:rPr/>
        <w:t>年股票期权激励计划（草案）及摘要</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关于深圳市新国都技术股份有限公司 </w:t>
      </w:r>
      <w:r>
        <w:rPr>
          <w:rFonts w:ascii="Times New Roman" w:hAnsi="Times New Roman" w:cs="Times New Roman" w:eastAsia="Times New Roman" w:hint="default"/>
        </w:rPr>
        <w:t>2015</w:t>
      </w:r>
      <w:r>
        <w:rPr/>
        <w:t>年股票期权激励计划管理办法</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关于深圳市新国都技术股份有限公司</w:t>
      </w:r>
      <w:r>
        <w:rPr>
          <w:rFonts w:ascii="Times New Roman" w:hAnsi="Times New Roman" w:cs="Times New Roman" w:eastAsia="Times New Roman" w:hint="default"/>
        </w:rPr>
        <w:t>2015</w:t>
      </w:r>
      <w:r>
        <w:rPr/>
        <w:t>年股票期权激励计划实施 </w:t>
      </w:r>
      <w:r>
        <w:rPr>
          <w:spacing w:val="-1"/>
        </w:rPr>
        <w:t>考核办法</w:t>
      </w:r>
      <w:r>
        <w:rPr>
          <w:rFonts w:ascii="Times New Roman" w:hAnsi="Times New Roman" w:cs="Times New Roman" w:eastAsia="Times New Roman" w:hint="default"/>
          <w:spacing w:val="-1"/>
        </w:rPr>
        <w:t>&gt;</w:t>
      </w:r>
      <w:r>
        <w:rPr>
          <w:spacing w:val="-1"/>
        </w:rPr>
        <w:t>的议案》、《关于提请股东大会授权董事会办理公司</w:t>
      </w:r>
      <w:r>
        <w:rPr>
          <w:rFonts w:ascii="Times New Roman" w:hAnsi="Times New Roman" w:cs="Times New Roman" w:eastAsia="Times New Roman" w:hint="default"/>
          <w:spacing w:val="-1"/>
        </w:rPr>
        <w:t>2015</w:t>
      </w:r>
      <w:r>
        <w:rPr>
          <w:spacing w:val="-1"/>
        </w:rPr>
        <w:t>年股票期权激励计划相关事宜的议案》，公司独立董事</w:t>
      </w:r>
      <w:r>
        <w:rPr>
          <w:spacing w:val="-43"/>
        </w:rPr>
        <w:t> </w:t>
      </w:r>
      <w:r>
        <w:rPr>
          <w:spacing w:val="-43"/>
        </w:rPr>
      </w:r>
      <w:r>
        <w:rPr/>
        <w:t>对股票期权激励计划发表了明确同意的独立意见。</w:t>
      </w:r>
    </w:p>
    <w:p>
      <w:pPr>
        <w:pStyle w:val="BodyText"/>
        <w:spacing w:line="456" w:lineRule="auto" w:before="74"/>
        <w:ind w:right="13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w:t>
      </w:r>
      <w:r>
        <w:rPr>
          <w:rFonts w:ascii="Times New Roman" w:hAnsi="Times New Roman" w:cs="Times New Roman" w:eastAsia="Times New Roman" w:hint="default"/>
        </w:rPr>
        <w:t>2015</w:t>
      </w:r>
      <w:r>
        <w:rPr/>
        <w:t>年第六次临时股东大会，审议通过了《审议</w:t>
      </w:r>
      <w:r>
        <w:rPr>
          <w:rFonts w:ascii="Times New Roman" w:hAnsi="Times New Roman" w:cs="Times New Roman" w:eastAsia="Times New Roman" w:hint="default"/>
        </w:rPr>
        <w:t>&lt;</w:t>
      </w:r>
      <w:r>
        <w:rPr/>
        <w:t>关于深圳市新国都技术股份有限公司</w:t>
      </w:r>
      <w:r>
        <w:rPr>
          <w:rFonts w:ascii="Times New Roman" w:hAnsi="Times New Roman" w:cs="Times New Roman" w:eastAsia="Times New Roman" w:hint="default"/>
        </w:rPr>
        <w:t>2015 </w:t>
      </w:r>
      <w:r>
        <w:rPr/>
        <w:t>年股票期权激励计划（草案）及摘要</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关于深圳市新国都技术股份有限公司</w:t>
      </w:r>
      <w:r>
        <w:rPr>
          <w:rFonts w:ascii="Times New Roman" w:hAnsi="Times New Roman" w:cs="Times New Roman" w:eastAsia="Times New Roman" w:hint="default"/>
        </w:rPr>
        <w:t>2015</w:t>
      </w:r>
      <w:r>
        <w:rPr/>
        <w:t>年股票期权激励计划管 </w:t>
      </w:r>
      <w:r>
        <w:rPr>
          <w:spacing w:val="-1"/>
        </w:rPr>
        <w:t>理办法</w:t>
      </w:r>
      <w:r>
        <w:rPr>
          <w:rFonts w:ascii="Times New Roman" w:hAnsi="Times New Roman" w:cs="Times New Roman" w:eastAsia="Times New Roman" w:hint="default"/>
          <w:spacing w:val="-1"/>
        </w:rPr>
        <w:t>&gt;</w:t>
      </w:r>
      <w:r>
        <w:rPr>
          <w:spacing w:val="-1"/>
        </w:rPr>
        <w:t>的议案》、《审议</w:t>
      </w:r>
      <w:r>
        <w:rPr>
          <w:rFonts w:ascii="Times New Roman" w:hAnsi="Times New Roman" w:cs="Times New Roman" w:eastAsia="Times New Roman" w:hint="default"/>
          <w:spacing w:val="-1"/>
        </w:rPr>
        <w:t>&lt;</w:t>
      </w:r>
      <w:r>
        <w:rPr>
          <w:spacing w:val="-1"/>
        </w:rPr>
        <w:t>关于深圳市新国都技术股份有限公司</w:t>
      </w:r>
      <w:r>
        <w:rPr>
          <w:rFonts w:ascii="Times New Roman" w:hAnsi="Times New Roman" w:cs="Times New Roman" w:eastAsia="Times New Roman" w:hint="default"/>
          <w:spacing w:val="-1"/>
        </w:rPr>
        <w:t>2015</w:t>
      </w:r>
      <w:r>
        <w:rPr>
          <w:spacing w:val="-1"/>
        </w:rPr>
        <w:t>年股票期权激励计划实施考核办法</w:t>
      </w:r>
      <w:r>
        <w:rPr>
          <w:rFonts w:ascii="Times New Roman" w:hAnsi="Times New Roman" w:cs="Times New Roman" w:eastAsia="Times New Roman" w:hint="default"/>
          <w:spacing w:val="-1"/>
        </w:rPr>
        <w:t>&gt;</w:t>
      </w:r>
      <w:r>
        <w:rPr>
          <w:spacing w:val="-1"/>
        </w:rPr>
        <w:t>的议案》、《关于</w:t>
      </w:r>
      <w:r>
        <w:rPr>
          <w:spacing w:val="-64"/>
        </w:rPr>
        <w:t> </w:t>
      </w:r>
      <w:r>
        <w:rPr>
          <w:spacing w:val="-64"/>
        </w:rPr>
      </w:r>
      <w:r>
        <w:rPr>
          <w:spacing w:val="-2"/>
        </w:rPr>
        <w:t>提请股东大会授权董事会办理公司</w:t>
      </w:r>
      <w:r>
        <w:rPr>
          <w:rFonts w:ascii="Times New Roman" w:hAnsi="Times New Roman" w:cs="Times New Roman" w:eastAsia="Times New Roman" w:hint="default"/>
          <w:spacing w:val="-2"/>
        </w:rPr>
        <w:t>2015</w:t>
      </w:r>
      <w:r>
        <w:rPr>
          <w:spacing w:val="-2"/>
        </w:rPr>
        <w:t>年股票期权激励计划相关事宜的议案》，董事会被授权确认激励对象参与股权激励计</w:t>
      </w:r>
      <w:r>
        <w:rPr>
          <w:spacing w:val="-62"/>
        </w:rPr>
        <w:t> </w:t>
      </w:r>
      <w:r>
        <w:rPr>
          <w:spacing w:val="-62"/>
        </w:rPr>
      </w:r>
      <w:r>
        <w:rPr>
          <w:spacing w:val="-2"/>
        </w:rPr>
        <w:t>划的资格和条件，确定激励对象名单及其授予数量，确定标的股权的授予价格；在激励对象符合条件时向激励对象授予股票</w:t>
      </w:r>
      <w:r>
        <w:rPr>
          <w:spacing w:val="-63"/>
        </w:rPr>
        <w:t> </w:t>
      </w:r>
      <w:r>
        <w:rPr>
          <w:spacing w:val="-63"/>
        </w:rPr>
      </w:r>
      <w:r>
        <w:rPr/>
        <w:t>并办理授予股票和解锁股票所必需的全部事宜。</w:t>
      </w:r>
    </w:p>
    <w:p>
      <w:pPr>
        <w:pStyle w:val="BodyText"/>
        <w:spacing w:line="463" w:lineRule="auto" w:before="70"/>
        <w:ind w:right="150" w:firstLine="359"/>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日，公司召开第三届董事会第二十二次（临时）会议及第三届监事会第二十一次会议审议通过了《关于向激</w:t>
      </w:r>
      <w:r>
        <w:rPr/>
        <w:t> </w:t>
      </w:r>
      <w:r>
        <w:rPr>
          <w:spacing w:val="-2"/>
        </w:rPr>
        <w:t>励对象授予股票期权的议案》。公司独立董事对此发表了独立意见，认为激励对象主体资格确认办法合法有效，确定的授权</w:t>
      </w:r>
      <w:r>
        <w:rPr>
          <w:spacing w:val="-65"/>
        </w:rPr>
        <w:t> </w:t>
      </w:r>
      <w:r>
        <w:rPr>
          <w:spacing w:val="-65"/>
        </w:rPr>
      </w:r>
      <w:r>
        <w:rPr/>
        <w:t>日符合相关规定。</w:t>
      </w:r>
    </w:p>
    <w:p>
      <w:pPr>
        <w:pStyle w:val="BodyText"/>
        <w:spacing w:line="451" w:lineRule="auto" w:before="65"/>
        <w:ind w:right="0" w:firstLine="36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日，公司在巨潮资讯网（</w:t>
      </w:r>
      <w:hyperlink r:id="rId13">
        <w:r>
          <w:rPr>
            <w:rFonts w:ascii="Times New Roman" w:hAnsi="Times New Roman" w:cs="Times New Roman" w:eastAsia="Times New Roman" w:hint="default"/>
            <w:spacing w:val="-1"/>
          </w:rPr>
          <w:t>www.cninfo.com.cn</w:t>
        </w:r>
      </w:hyperlink>
      <w:r>
        <w:rPr>
          <w:spacing w:val="-1"/>
        </w:rPr>
        <w:t>）公告了《关于</w:t>
      </w:r>
      <w:r>
        <w:rPr>
          <w:rFonts w:ascii="Times New Roman" w:hAnsi="Times New Roman" w:cs="Times New Roman" w:eastAsia="Times New Roman" w:hint="default"/>
          <w:spacing w:val="-1"/>
        </w:rPr>
        <w:t>2015</w:t>
      </w:r>
      <w:r>
        <w:rPr>
          <w:spacing w:val="-1"/>
        </w:rPr>
        <w:t>年股票期权激励计划首次授予完成登记的</w:t>
      </w:r>
      <w:r>
        <w:rPr/>
        <w:t> 公告》。</w:t>
      </w:r>
    </w:p>
    <w:p>
      <w:pPr>
        <w:pStyle w:val="BodyText"/>
        <w:spacing w:line="240" w:lineRule="auto" w:before="74"/>
        <w:ind w:left="512" w:right="0"/>
        <w:jc w:val="left"/>
      </w:pPr>
      <w:r>
        <w:rPr>
          <w:rFonts w:ascii="Times New Roman" w:hAnsi="Times New Roman" w:cs="Times New Roman" w:eastAsia="Times New Roman" w:hint="default"/>
        </w:rPr>
        <w:t>2015</w:t>
      </w:r>
      <w:r>
        <w:rPr/>
        <w:t>年股票期权激励计划披露索引如下：</w:t>
      </w:r>
    </w:p>
    <w:p>
      <w:pPr>
        <w:spacing w:line="240" w:lineRule="auto" w:before="1"/>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7073"/>
        <w:gridCol w:w="1308"/>
        <w:gridCol w:w="1277"/>
      </w:tblGrid>
      <w:tr>
        <w:trPr>
          <w:trHeight w:val="660"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6"/>
              <w:jc w:val="left"/>
              <w:rPr>
                <w:rFonts w:ascii="宋体" w:hAnsi="宋体" w:cs="宋体" w:eastAsia="宋体" w:hint="default"/>
                <w:sz w:val="18"/>
                <w:szCs w:val="18"/>
              </w:rPr>
            </w:pPr>
            <w:r>
              <w:rPr>
                <w:rFonts w:ascii="宋体" w:hAnsi="宋体" w:cs="宋体" w:eastAsia="宋体" w:hint="default"/>
                <w:spacing w:val="4"/>
                <w:sz w:val="18"/>
                <w:szCs w:val="18"/>
              </w:rPr>
              <w:t>临时公告披露日 </w:t>
            </w:r>
            <w:r>
              <w:rPr>
                <w:rFonts w:ascii="宋体" w:hAnsi="宋体" w:cs="宋体" w:eastAsia="宋体" w:hint="default"/>
                <w:sz w:val="18"/>
                <w:szCs w:val="18"/>
              </w:rPr>
              <w:t>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9"/>
              <w:jc w:val="left"/>
              <w:rPr>
                <w:rFonts w:ascii="宋体" w:hAnsi="宋体" w:cs="宋体" w:eastAsia="宋体" w:hint="default"/>
                <w:sz w:val="18"/>
                <w:szCs w:val="18"/>
              </w:rPr>
            </w:pPr>
            <w:r>
              <w:rPr>
                <w:rFonts w:ascii="宋体" w:hAnsi="宋体" w:cs="宋体" w:eastAsia="宋体" w:hint="default"/>
                <w:spacing w:val="30"/>
                <w:sz w:val="18"/>
                <w:szCs w:val="18"/>
              </w:rPr>
              <w:t>临时公告披露</w:t>
            </w:r>
            <w:r>
              <w:rPr>
                <w:rFonts w:ascii="宋体" w:hAnsi="宋体" w:cs="宋体" w:eastAsia="宋体" w:hint="default"/>
                <w:spacing w:val="-54"/>
                <w:sz w:val="18"/>
                <w:szCs w:val="18"/>
              </w:rPr>
              <w:t> </w:t>
            </w:r>
            <w:r>
              <w:rPr>
                <w:rFonts w:ascii="宋体" w:hAnsi="宋体" w:cs="宋体" w:eastAsia="宋体" w:hint="default"/>
                <w:sz w:val="18"/>
                <w:szCs w:val="18"/>
              </w:rPr>
              <w:t>索引</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7073"/>
        <w:gridCol w:w="1308"/>
        <w:gridCol w:w="1277"/>
      </w:tblGrid>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第三届董事会第二十次会议决议公告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2015-135</w:t>
            </w: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第三届监事会第十九次会议决议公告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2015-141</w:t>
            </w: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年股票期权激励计划的提示性公告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2015-134</w:t>
            </w: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关于独立董事就股权激励计划公开征集投票权的公告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2015-140</w:t>
            </w: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年股票期权激励计划（草案）</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年股票期权激励计划（草案）摘要</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left"/>
              <w:rPr>
                <w:rFonts w:ascii="宋体" w:hAnsi="宋体" w:cs="宋体" w:eastAsia="宋体" w:hint="default"/>
                <w:sz w:val="18"/>
                <w:szCs w:val="18"/>
              </w:rPr>
            </w:pPr>
            <w:r>
              <w:rPr>
                <w:rFonts w:ascii="宋体" w:hAnsi="宋体" w:cs="宋体" w:eastAsia="宋体" w:hint="default"/>
                <w:sz w:val="18"/>
                <w:szCs w:val="18"/>
              </w:rPr>
              <w:t>北京市君泽君（深圳）律师事务所关于深圳市新国都技术股份有限公司股票期权激励计划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的法律意见书</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年度股票期权激励计划（草案）》的独立意见</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年股票期权激励计划管理办法</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年股票期权激励计划（草案）激励对象名单</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年股票期权激励计划实施考核办法</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监事会关于本次股票期权激励计划对象名单和核实意见</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年第六次临时股东大会会议决议</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2015-142</w:t>
            </w:r>
          </w:p>
        </w:tc>
      </w:tr>
      <w:tr>
        <w:trPr>
          <w:trHeight w:val="660"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北京市中伦（深圳）律师事务所关于深圳市新国都技术股份有限公司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年第六次临时股</w:t>
            </w:r>
            <w:r>
              <w:rPr>
                <w:rFonts w:ascii="宋体" w:hAnsi="宋体" w:cs="宋体" w:eastAsia="宋体" w:hint="default"/>
                <w:spacing w:val="-65"/>
                <w:sz w:val="18"/>
                <w:szCs w:val="18"/>
              </w:rPr>
              <w:t> </w:t>
            </w:r>
            <w:r>
              <w:rPr>
                <w:rFonts w:ascii="宋体" w:hAnsi="宋体" w:cs="宋体" w:eastAsia="宋体" w:hint="default"/>
                <w:sz w:val="18"/>
                <w:szCs w:val="18"/>
              </w:rPr>
              <w:t>东大会的法律意见书</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2015/12/17</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left"/>
              <w:rPr>
                <w:rFonts w:ascii="宋体" w:hAnsi="宋体" w:cs="宋体" w:eastAsia="宋体" w:hint="default"/>
                <w:sz w:val="18"/>
                <w:szCs w:val="18"/>
              </w:rPr>
            </w:pPr>
            <w:r>
              <w:rPr>
                <w:rFonts w:ascii="宋体" w:hAnsi="宋体" w:cs="宋体" w:eastAsia="宋体" w:hint="default"/>
                <w:sz w:val="18"/>
                <w:szCs w:val="18"/>
              </w:rPr>
              <w:t>北京市中伦（深圳）律师事务所关于深圳市新国都技术股份有限公司独立董事公开征集投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票权的法律意见书</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2015/12/17</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第三届董事会第二十二次（临时）会议决议公告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2016/1/6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2016-001</w:t>
            </w: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新国都关于向激励对象授予股票期权的公告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2016-002</w:t>
            </w:r>
          </w:p>
        </w:tc>
      </w:tr>
      <w:tr>
        <w:trPr>
          <w:trHeight w:val="348"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第三届监事会第二十一次会议决议公告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2016/1/6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2016-003</w:t>
            </w:r>
          </w:p>
        </w:tc>
      </w:tr>
      <w:tr>
        <w:trPr>
          <w:trHeight w:val="660"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left"/>
              <w:rPr>
                <w:rFonts w:ascii="宋体" w:hAnsi="宋体" w:cs="宋体" w:eastAsia="宋体" w:hint="default"/>
                <w:sz w:val="18"/>
                <w:szCs w:val="18"/>
              </w:rPr>
            </w:pPr>
            <w:r>
              <w:rPr>
                <w:rFonts w:ascii="宋体" w:hAnsi="宋体" w:cs="宋体" w:eastAsia="宋体" w:hint="default"/>
                <w:sz w:val="18"/>
                <w:szCs w:val="18"/>
              </w:rPr>
              <w:t>北京市君泽君（深圳）律师事务所关于深圳市新国都技术股份有限公司股票期权激励计划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授予股票期权的法律意见书</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2016/1/6</w:t>
            </w: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7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年股票期权激励计划首次授予完成登记的公告</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2016/1/22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2016-008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公司报告期未发生共同对外投资的关联交易。</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8" w:lineRule="auto"/>
        <w:ind w:right="152"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日公司召开第三届董事会第二十一次（临时）会议，审议通过《关于实际控制人、大股东拟为公司发行债</w:t>
      </w:r>
      <w:r>
        <w:rPr/>
        <w:t> </w:t>
      </w:r>
      <w:r>
        <w:rPr>
          <w:spacing w:val="-2"/>
        </w:rPr>
        <w:t>券提供保证反担保暨关联交易的议案》，公司拟向合格投资者公开发行不超过人民币</w:t>
      </w:r>
      <w:r>
        <w:rPr>
          <w:rFonts w:ascii="Times New Roman" w:hAnsi="Times New Roman" w:cs="Times New Roman" w:eastAsia="Times New Roman" w:hint="default"/>
          <w:spacing w:val="-2"/>
        </w:rPr>
        <w:t>4</w:t>
      </w:r>
      <w:r>
        <w:rPr>
          <w:spacing w:val="-2"/>
        </w:rPr>
        <w:t>亿元（含</w:t>
      </w:r>
      <w:r>
        <w:rPr>
          <w:rFonts w:ascii="Times New Roman" w:hAnsi="Times New Roman" w:cs="Times New Roman" w:eastAsia="Times New Roman" w:hint="default"/>
          <w:spacing w:val="-2"/>
        </w:rPr>
        <w:t>4</w:t>
      </w:r>
      <w:r>
        <w:rPr>
          <w:spacing w:val="-2"/>
        </w:rPr>
        <w:t>亿元）公司债券，公司实际</w:t>
      </w:r>
      <w:r>
        <w:rPr>
          <w:spacing w:val="-63"/>
        </w:rPr>
        <w:t> </w:t>
      </w:r>
      <w:r>
        <w:rPr>
          <w:spacing w:val="-63"/>
        </w:rPr>
      </w:r>
      <w:r>
        <w:rPr>
          <w:spacing w:val="-2"/>
        </w:rPr>
        <w:t>控制人刘祥先生、大股东刘亚先生、江汉先生与担保机构签订《保证反担保合同》，以其拥有合法处分权的财产为公司向担</w:t>
      </w:r>
      <w:r>
        <w:rPr>
          <w:spacing w:val="-65"/>
        </w:rPr>
        <w:t> </w:t>
      </w:r>
      <w:r>
        <w:rPr>
          <w:spacing w:val="-65"/>
        </w:rPr>
      </w:r>
      <w:r>
        <w:rPr/>
        <w:t>保机构提供保证反担保。独立董事对以上关联交易出具事前认可意见，并于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2016</w:t>
      </w:r>
      <w:r>
        <w:rPr/>
        <w:t>年第一次临时股东大 会审议通过。</w:t>
      </w:r>
    </w:p>
    <w:p>
      <w:pPr>
        <w:pStyle w:val="BodyText"/>
        <w:spacing w:line="240" w:lineRule="auto" w:before="68"/>
        <w:ind w:left="512" w:right="0"/>
        <w:jc w:val="left"/>
      </w:pPr>
      <w:r>
        <w:rPr/>
        <w:t>重大关联交易临时报告披露网站相关查询</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458"/>
        <w:gridCol w:w="2650"/>
        <w:gridCol w:w="3461"/>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2015-144</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关于公司实际控制人、大股东拟为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公司发行债券提供保证反担保暨关联交易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7"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2016-030</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关于公司实际控制人、大股东拟为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公司发行债券提供保证反担保暨关联交易 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托管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7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463" w:lineRule="auto" w:before="122"/>
        <w:ind w:right="15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日，公司召开第三届董事会第八次会议，审议通过《关于公司及全资子公司房屋租赁暨关联交易事项的议 </w:t>
      </w:r>
      <w:r>
        <w:rPr>
          <w:spacing w:val="-2"/>
        </w:rPr>
        <w:t>案》，公司与深圳市泰德信实业有限公司签订《房屋租赁合同》，公司拟继续租赁深圳市福田区泰然大道东路泰然劲松大厦</w:t>
      </w:r>
      <w:r>
        <w:rPr>
          <w:spacing w:val="-67"/>
        </w:rPr>
        <w:t> </w:t>
      </w:r>
      <w:r>
        <w:rPr>
          <w:spacing w:val="-67"/>
        </w:rPr>
      </w:r>
      <w:r>
        <w:rPr>
          <w:rFonts w:ascii="Times New Roman" w:hAnsi="Times New Roman" w:cs="Times New Roman" w:eastAsia="Times New Roman" w:hint="default"/>
        </w:rPr>
        <w:t>17A</w:t>
      </w:r>
      <w:r>
        <w:rPr/>
        <w:t>、</w:t>
      </w:r>
      <w:r>
        <w:rPr>
          <w:rFonts w:ascii="Times New Roman" w:hAnsi="Times New Roman" w:cs="Times New Roman" w:eastAsia="Times New Roman" w:hint="default"/>
        </w:rPr>
        <w:t>17C</w:t>
      </w:r>
      <w:r>
        <w:rPr/>
        <w:t>、</w:t>
      </w:r>
      <w:r>
        <w:rPr>
          <w:rFonts w:ascii="Times New Roman" w:hAnsi="Times New Roman" w:cs="Times New Roman" w:eastAsia="Times New Roman" w:hint="default"/>
        </w:rPr>
        <w:t>17D</w:t>
      </w:r>
      <w:r>
        <w:rPr/>
        <w:t>物业。单位租金为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月，租赁期限为三年，自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日，月总租金为</w:t>
      </w:r>
    </w:p>
    <w:p>
      <w:pPr>
        <w:pStyle w:val="BodyText"/>
        <w:spacing w:line="240" w:lineRule="auto" w:before="33"/>
        <w:ind w:left="153" w:right="0"/>
        <w:jc w:val="left"/>
      </w:pPr>
      <w:r>
        <w:rPr>
          <w:rFonts w:ascii="Times New Roman" w:hAnsi="Times New Roman" w:cs="Times New Roman" w:eastAsia="Times New Roman" w:hint="default"/>
        </w:rPr>
        <w:t>63,271</w:t>
      </w:r>
      <w:r>
        <w:rPr/>
        <w:t>元。深圳市新国都支付技术有限公司作为公司的全资子公司，拟租赁深圳市福田区泰然大道东路泰然劲松大厦</w:t>
      </w:r>
      <w:r>
        <w:rPr>
          <w:rFonts w:ascii="Times New Roman" w:hAnsi="Times New Roman" w:cs="Times New Roman" w:eastAsia="Times New Roman" w:hint="default"/>
        </w:rPr>
        <w:t>17B</w:t>
      </w:r>
      <w:r>
        <w:rPr/>
        <w:t>物</w:t>
      </w:r>
    </w:p>
    <w:p>
      <w:pPr>
        <w:spacing w:line="240" w:lineRule="auto" w:before="9"/>
        <w:rPr>
          <w:rFonts w:ascii="宋体" w:hAnsi="宋体" w:cs="宋体" w:eastAsia="宋体" w:hint="default"/>
          <w:sz w:val="16"/>
          <w:szCs w:val="16"/>
        </w:rPr>
      </w:pPr>
    </w:p>
    <w:p>
      <w:pPr>
        <w:pStyle w:val="BodyText"/>
        <w:spacing w:line="412" w:lineRule="auto"/>
        <w:ind w:left="153" w:right="809" w:hanging="1"/>
        <w:jc w:val="left"/>
      </w:pPr>
      <w:r>
        <w:rPr/>
        <w:t>业，单位租金为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月，租赁期限为三年，自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日，月总租金为</w:t>
      </w:r>
      <w:r>
        <w:rPr>
          <w:rFonts w:ascii="Times New Roman" w:hAnsi="Times New Roman" w:cs="Times New Roman" w:eastAsia="Times New Roman" w:hint="default"/>
        </w:rPr>
        <w:t>25,389</w:t>
      </w:r>
      <w:r>
        <w:rPr/>
        <w:t>元。 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07" w:lineRule="exact"/>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53"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委托理财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833"/>
        <w:gridCol w:w="838"/>
        <w:gridCol w:w="876"/>
        <w:gridCol w:w="804"/>
        <w:gridCol w:w="804"/>
        <w:gridCol w:w="802"/>
        <w:gridCol w:w="804"/>
        <w:gridCol w:w="804"/>
        <w:gridCol w:w="804"/>
        <w:gridCol w:w="804"/>
        <w:gridCol w:w="598"/>
      </w:tblGrid>
      <w:tr>
        <w:trPr>
          <w:trHeight w:val="1338"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4" w:right="31" w:hanging="269"/>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0" w:right="5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1" w:right="7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6"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中国银行 股份有限 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本金金额</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w:t>
            </w:r>
          </w:p>
          <w:p>
            <w:pPr>
              <w:pStyle w:val="TableParagraph"/>
              <w:spacing w:line="316" w:lineRule="auto" w:before="63"/>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产品存续 天数</w:t>
            </w:r>
            <w:r>
              <w:rPr>
                <w:rFonts w:ascii="Times New Roman" w:hAnsi="Times New Roman" w:cs="Times New Roman" w:eastAsia="Times New Roman" w:hint="default"/>
                <w:sz w:val="18"/>
                <w:szCs w:val="18"/>
              </w:rPr>
              <w:t>/365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1.6832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w:t>
            </w:r>
          </w:p>
        </w:tc>
      </w:tr>
      <w:tr>
        <w:trPr>
          <w:trHeight w:val="227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平安银行 股份有限 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投资本金</w:t>
            </w:r>
          </w:p>
          <w:p>
            <w:pPr>
              <w:pStyle w:val="TableParagraph"/>
              <w:spacing w:line="309" w:lineRule="auto" w:before="74"/>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当期实 际年化收 益率</w:t>
            </w:r>
          </w:p>
          <w:p>
            <w:pPr>
              <w:pStyle w:val="TableParagraph"/>
              <w:spacing w:line="309" w:lineRule="auto" w:before="24"/>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宋体" w:hAnsi="宋体" w:cs="宋体" w:eastAsia="宋体" w:hint="default"/>
                <w:sz w:val="18"/>
                <w:szCs w:val="18"/>
              </w:rPr>
              <w:t>当 期存续天 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3.4904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8"/>
        <w:gridCol w:w="7099"/>
      </w:tblGrid>
      <w:tr>
        <w:trPr>
          <w:trHeight w:val="401"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、新设子公司</w:t>
      </w:r>
    </w:p>
    <w:p>
      <w:pPr>
        <w:spacing w:line="240" w:lineRule="auto" w:before="9"/>
        <w:rPr>
          <w:rFonts w:ascii="宋体" w:hAnsi="宋体" w:cs="宋体" w:eastAsia="宋体" w:hint="default"/>
          <w:sz w:val="16"/>
          <w:szCs w:val="16"/>
        </w:rPr>
      </w:pPr>
    </w:p>
    <w:p>
      <w:pPr>
        <w:pStyle w:val="BodyText"/>
        <w:spacing w:line="240" w:lineRule="auto"/>
        <w:ind w:right="0"/>
        <w:jc w:val="left"/>
      </w:pPr>
      <w:r>
        <w:rPr/>
        <w:t>①设立深圳市新国都支付技术有限公司：</w:t>
      </w:r>
    </w:p>
    <w:p>
      <w:pPr>
        <w:spacing w:line="240" w:lineRule="auto" w:before="10"/>
        <w:rPr>
          <w:rFonts w:ascii="宋体" w:hAnsi="宋体" w:cs="宋体" w:eastAsia="宋体" w:hint="default"/>
          <w:sz w:val="17"/>
          <w:szCs w:val="17"/>
        </w:rPr>
      </w:pPr>
    </w:p>
    <w:p>
      <w:pPr>
        <w:pStyle w:val="BodyText"/>
        <w:spacing w:line="451" w:lineRule="auto"/>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日公司召开第三届董事会第六次会议及第三届监事会第六次会议审议通过《关于投资设立全资子公司的议</w:t>
      </w:r>
      <w:r>
        <w:rPr/>
        <w:t> 案》；</w:t>
      </w:r>
    </w:p>
    <w:p>
      <w:pPr>
        <w:pStyle w:val="BodyText"/>
        <w:spacing w:line="240" w:lineRule="auto" w:before="74"/>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日公司于巨潮资讯网发布《关于全资子公司完成工商注册登记的公告》（公告编号</w:t>
      </w:r>
      <w:r>
        <w:rPr>
          <w:rFonts w:ascii="Times New Roman" w:hAnsi="Times New Roman" w:cs="Times New Roman" w:eastAsia="Times New Roman" w:hint="default"/>
        </w:rPr>
        <w:t>2015-020</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t>②设立深圳市信联征信有限公司：</w:t>
      </w:r>
    </w:p>
    <w:p>
      <w:pPr>
        <w:spacing w:line="240" w:lineRule="auto" w:before="10"/>
        <w:rPr>
          <w:rFonts w:ascii="宋体" w:hAnsi="宋体" w:cs="宋体" w:eastAsia="宋体" w:hint="default"/>
          <w:sz w:val="17"/>
          <w:szCs w:val="17"/>
        </w:rPr>
      </w:pPr>
    </w:p>
    <w:p>
      <w:pPr>
        <w:pStyle w:val="BodyText"/>
        <w:spacing w:line="451" w:lineRule="auto"/>
        <w:ind w:right="14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日公司召开第三届董事会第七次会议及第三届监事会第七次会议审议通过《关于投资设立全资子公司的议 案》；</w:t>
      </w:r>
    </w:p>
    <w:p>
      <w:pPr>
        <w:pStyle w:val="BodyText"/>
        <w:spacing w:line="240" w:lineRule="auto" w:before="74"/>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日公司于巨潮资讯网发布《关于全资子公司完成工商注册登记的公告》（公告编号</w:t>
      </w:r>
      <w:r>
        <w:rPr>
          <w:rFonts w:ascii="Times New Roman" w:hAnsi="Times New Roman" w:cs="Times New Roman" w:eastAsia="Times New Roman" w:hint="default"/>
        </w:rPr>
        <w:t>2015-053</w:t>
      </w:r>
      <w:r>
        <w:rPr/>
        <w:t>）；</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日公司于巨潮资讯网发布《关于全资子公司信联征信完成企业征信机构备案的提示性公告》（公告编号</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2015-115</w:t>
      </w:r>
      <w:r>
        <w:rPr/>
        <w:t>）。公司全资子公司深圳市信联征信有限公司完成企业征信机构备案。</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、非公开发行股票</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t>年</w:t>
      </w:r>
      <w:r>
        <w:rPr>
          <w:rFonts w:ascii="Times New Roman" w:hAnsi="Times New Roman" w:cs="Times New Roman" w:eastAsia="Times New Roman" w:hint="default"/>
          <w:spacing w:val="1"/>
        </w:rPr>
        <w:t>4</w:t>
      </w:r>
      <w:r>
        <w:rPr>
          <w:spacing w:val="-3"/>
        </w:rPr>
        <w:t>月</w:t>
      </w:r>
      <w:r>
        <w:rPr>
          <w:rFonts w:ascii="Times New Roman" w:hAnsi="Times New Roman" w:cs="Times New Roman" w:eastAsia="Times New Roman" w:hint="default"/>
          <w:spacing w:val="1"/>
        </w:rPr>
        <w:t>9</w:t>
      </w:r>
      <w:r>
        <w:rPr/>
        <w:t>日公司召开第三</w:t>
      </w:r>
      <w:r>
        <w:rPr>
          <w:spacing w:val="-3"/>
        </w:rPr>
        <w:t>届</w:t>
      </w:r>
      <w:r>
        <w:rPr/>
        <w:t>董事会第九次会议及第三届监事会第九次会议审议通</w:t>
      </w:r>
      <w:r>
        <w:rPr>
          <w:spacing w:val="-82"/>
        </w:rPr>
        <w:t>过</w:t>
      </w:r>
      <w:r>
        <w:rPr/>
        <w:t>《关于公司符合非公开发行股票条</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63" w:lineRule="auto"/>
        <w:ind w:right="153"/>
        <w:jc w:val="both"/>
      </w:pPr>
      <w:r>
        <w:rPr>
          <w:spacing w:val="-2"/>
        </w:rPr>
        <w:t>件的议案》、《关于公司向特定对象非公开发行股票方案的议案》、《关于公司非公开发行股票预案的议案》，公司拟向特</w:t>
      </w:r>
      <w:r>
        <w:rPr>
          <w:spacing w:val="-68"/>
        </w:rPr>
        <w:t> </w:t>
      </w:r>
      <w:r>
        <w:rPr>
          <w:spacing w:val="-68"/>
        </w:rPr>
      </w:r>
      <w:r>
        <w:rPr/>
        <w:t>定对象非公开发行不超过</w:t>
      </w:r>
      <w:r>
        <w:rPr>
          <w:rFonts w:ascii="Times New Roman" w:hAnsi="Times New Roman" w:cs="Times New Roman" w:eastAsia="Times New Roman" w:hint="default"/>
        </w:rPr>
        <w:t>1,200</w:t>
      </w:r>
      <w:r>
        <w:rPr/>
        <w:t>万股（含</w:t>
      </w:r>
      <w:r>
        <w:rPr>
          <w:rFonts w:ascii="Times New Roman" w:hAnsi="Times New Roman" w:cs="Times New Roman" w:eastAsia="Times New Roman" w:hint="default"/>
        </w:rPr>
        <w:t>1,200</w:t>
      </w:r>
      <w:r>
        <w:rPr/>
        <w:t>万股）股票，独立董事对该事项发表独立意见，并对非公开发行股票方案的论 证分析报告出具专项意见。该事项于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日经公司</w:t>
      </w:r>
      <w:r>
        <w:rPr>
          <w:rFonts w:ascii="Times New Roman" w:hAnsi="Times New Roman" w:cs="Times New Roman" w:eastAsia="Times New Roman" w:hint="default"/>
        </w:rPr>
        <w:t>2014</w:t>
      </w:r>
      <w:r>
        <w:rPr/>
        <w:t>年年度股东大会审议通过；</w:t>
      </w:r>
    </w:p>
    <w:p>
      <w:pPr>
        <w:pStyle w:val="BodyText"/>
        <w:spacing w:line="240" w:lineRule="auto" w:before="33"/>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日公司于巨潮资讯网发布《关于公司非公开发行股票申请获得中国证监会受理的公告》（公告编号：</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2015-070</w:t>
      </w:r>
      <w:r>
        <w:rPr/>
        <w:t>）；</w:t>
      </w:r>
    </w:p>
    <w:p>
      <w:pPr>
        <w:spacing w:line="240" w:lineRule="auto" w:before="9"/>
        <w:rPr>
          <w:rFonts w:ascii="宋体" w:hAnsi="宋体" w:cs="宋体" w:eastAsia="宋体" w:hint="default"/>
          <w:sz w:val="16"/>
          <w:szCs w:val="16"/>
        </w:rPr>
      </w:pPr>
    </w:p>
    <w:p>
      <w:pPr>
        <w:pStyle w:val="BodyText"/>
        <w:spacing w:line="451" w:lineRule="auto"/>
        <w:ind w:right="16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日公司于巨潮资讯网发布《关于实施</w:t>
      </w:r>
      <w:r>
        <w:rPr>
          <w:rFonts w:ascii="Times New Roman" w:hAnsi="Times New Roman" w:cs="Times New Roman" w:eastAsia="Times New Roman" w:hint="default"/>
        </w:rPr>
        <w:t>2014</w:t>
      </w:r>
      <w:r>
        <w:rPr/>
        <w:t>年度权益分派方案后调整非公开发行股票发行价格和发行数量的 公告》（公告编号：</w:t>
      </w:r>
      <w:r>
        <w:rPr>
          <w:rFonts w:ascii="Times New Roman" w:hAnsi="Times New Roman" w:cs="Times New Roman" w:eastAsia="Times New Roman" w:hint="default"/>
        </w:rPr>
        <w:t>2015-073</w:t>
      </w:r>
      <w:r>
        <w:rPr/>
        <w:t>），调整后非公开发行股票发行价格由</w:t>
      </w:r>
      <w:r>
        <w:rPr>
          <w:rFonts w:ascii="Times New Roman" w:hAnsi="Times New Roman" w:cs="Times New Roman" w:eastAsia="Times New Roman" w:hint="default"/>
        </w:rPr>
        <w:t>50.46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25.21</w:t>
      </w:r>
      <w:r>
        <w:rPr/>
        <w:t>元</w:t>
      </w:r>
      <w:r>
        <w:rPr>
          <w:rFonts w:ascii="Times New Roman" w:hAnsi="Times New Roman" w:cs="Times New Roman" w:eastAsia="Times New Roman" w:hint="default"/>
        </w:rPr>
        <w:t>/</w:t>
      </w:r>
      <w:r>
        <w:rPr/>
        <w:t>股，数量由不超过</w:t>
      </w:r>
      <w:r>
        <w:rPr>
          <w:rFonts w:ascii="Times New Roman" w:hAnsi="Times New Roman" w:cs="Times New Roman" w:eastAsia="Times New Roman" w:hint="default"/>
        </w:rPr>
        <w:t>12,000,000 </w:t>
      </w:r>
      <w:r>
        <w:rPr/>
        <w:t>股调整为不超过</w:t>
      </w:r>
      <w:r>
        <w:rPr>
          <w:rFonts w:ascii="Times New Roman" w:hAnsi="Times New Roman" w:cs="Times New Roman" w:eastAsia="Times New Roman" w:hint="default"/>
        </w:rPr>
        <w:t>24,019,038</w:t>
      </w:r>
      <w:r>
        <w:rPr/>
        <w:t>股；</w:t>
      </w:r>
    </w:p>
    <w:p>
      <w:pPr>
        <w:pStyle w:val="BodyText"/>
        <w:spacing w:line="468" w:lineRule="auto" w:before="43"/>
        <w:ind w:right="15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日公司召开第三届董事会第十七次（临时）会议及第三届监事会第十六次会议，审议通过《关于撤回非公</w:t>
      </w:r>
      <w:r>
        <w:rPr/>
        <w:t> </w:t>
      </w:r>
      <w:r>
        <w:rPr>
          <w:spacing w:val="-2"/>
        </w:rPr>
        <w:t>开发行股票申请文件的议案》，鉴于自公司首次公告非公开发行股票预案以来，我国资本市场环境发生了诸多变化，公司综</w:t>
      </w:r>
      <w:r>
        <w:rPr>
          <w:spacing w:val="-65"/>
        </w:rPr>
        <w:t> </w:t>
      </w:r>
      <w:r>
        <w:rPr>
          <w:spacing w:val="-65"/>
        </w:rPr>
      </w:r>
      <w:r>
        <w:rPr>
          <w:spacing w:val="-2"/>
        </w:rPr>
        <w:t>合考虑融资环境等各种因素，为了维护广大投资者的利益，经审慎决策，决定向中国证监会申请撤回非公开发行股票申请文</w:t>
      </w:r>
      <w:r>
        <w:rPr>
          <w:spacing w:val="-63"/>
        </w:rPr>
        <w:t> </w:t>
      </w:r>
      <w:r>
        <w:rPr>
          <w:spacing w:val="-63"/>
        </w:rPr>
      </w:r>
      <w:r>
        <w:rPr/>
        <w:t>件。以上议案于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日经公司第五次临时股东大会审议通过；</w:t>
      </w:r>
    </w:p>
    <w:p>
      <w:pPr>
        <w:pStyle w:val="BodyText"/>
        <w:spacing w:line="240" w:lineRule="auto" w:before="29"/>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日公司于巨潮资讯网发布《关于撤回非公开发行股票申请文件的公告》（公告编号：</w:t>
      </w:r>
      <w:r>
        <w:rPr>
          <w:rFonts w:ascii="Times New Roman" w:hAnsi="Times New Roman" w:cs="Times New Roman" w:eastAsia="Times New Roman" w:hint="default"/>
        </w:rPr>
        <w:t>2015-121</w:t>
      </w:r>
      <w:r>
        <w:rPr/>
        <w:t>）；</w:t>
      </w:r>
    </w:p>
    <w:p>
      <w:pPr>
        <w:spacing w:line="240" w:lineRule="auto" w:before="9"/>
        <w:rPr>
          <w:rFonts w:ascii="宋体" w:hAnsi="宋体" w:cs="宋体" w:eastAsia="宋体" w:hint="default"/>
          <w:sz w:val="16"/>
          <w:szCs w:val="16"/>
        </w:rPr>
      </w:pPr>
    </w:p>
    <w:p>
      <w:pPr>
        <w:pStyle w:val="BodyText"/>
        <w:spacing w:line="451" w:lineRule="auto"/>
        <w:ind w:right="22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日公司收到中国证监会下发的《中国证监会行政许可申请终止审查通知书》</w:t>
      </w:r>
      <w:r>
        <w:rPr>
          <w:rFonts w:ascii="Times New Roman" w:hAnsi="Times New Roman" w:cs="Times New Roman" w:eastAsia="Times New Roman" w:hint="default"/>
        </w:rPr>
        <w:t>[2015]180</w:t>
      </w:r>
      <w:r>
        <w:rPr/>
        <w:t>号，并于当日在巨 潮资讯网发布《关于收到《中国证监会行政许可申请终止审查通知书》的公告》（公告编号：</w:t>
      </w:r>
      <w:r>
        <w:rPr>
          <w:rFonts w:ascii="Times New Roman" w:hAnsi="Times New Roman" w:cs="Times New Roman" w:eastAsia="Times New Roman" w:hint="default"/>
        </w:rPr>
        <w:t>2015-130</w:t>
      </w:r>
      <w:r>
        <w:rPr/>
        <w:t>）。</w:t>
      </w:r>
    </w:p>
    <w:p>
      <w:pPr>
        <w:pStyle w:val="BodyText"/>
        <w:spacing w:line="240" w:lineRule="auto" w:before="43"/>
        <w:ind w:right="0"/>
        <w:jc w:val="both"/>
      </w:pPr>
      <w:r>
        <w:rPr>
          <w:rFonts w:ascii="Times New Roman" w:hAnsi="Times New Roman" w:cs="Times New Roman" w:eastAsia="Times New Roman" w:hint="default"/>
        </w:rPr>
        <w:t>3</w:t>
      </w:r>
      <w:r>
        <w:rPr/>
        <w:t>、股权投资</w:t>
      </w:r>
    </w:p>
    <w:p>
      <w:pPr>
        <w:spacing w:line="240" w:lineRule="auto" w:before="9"/>
        <w:rPr>
          <w:rFonts w:ascii="宋体" w:hAnsi="宋体" w:cs="宋体" w:eastAsia="宋体" w:hint="default"/>
          <w:sz w:val="16"/>
          <w:szCs w:val="16"/>
        </w:rPr>
      </w:pPr>
    </w:p>
    <w:p>
      <w:pPr>
        <w:pStyle w:val="BodyText"/>
        <w:spacing w:line="240" w:lineRule="auto"/>
        <w:ind w:right="0"/>
        <w:jc w:val="both"/>
      </w:pPr>
      <w:r>
        <w:rPr/>
        <w:t>①增资大拿科技</w:t>
      </w:r>
    </w:p>
    <w:p>
      <w:pPr>
        <w:spacing w:line="240" w:lineRule="auto" w:before="10"/>
        <w:rPr>
          <w:rFonts w:ascii="宋体" w:hAnsi="宋体" w:cs="宋体" w:eastAsia="宋体" w:hint="default"/>
          <w:sz w:val="17"/>
          <w:szCs w:val="17"/>
        </w:rPr>
      </w:pPr>
    </w:p>
    <w:p>
      <w:pPr>
        <w:pStyle w:val="BodyText"/>
        <w:spacing w:line="451" w:lineRule="auto"/>
        <w:ind w:right="150" w:firstLine="35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日公司召开第三届董事会第九次会议审议通过《关于公司对深圳市大拿科技有限公司增资的议案》，公司拟</w:t>
      </w:r>
      <w:r>
        <w:rPr/>
        <w:t> 使用自有资金人民币</w:t>
      </w:r>
      <w:r>
        <w:rPr>
          <w:rFonts w:ascii="Times New Roman" w:hAnsi="Times New Roman" w:cs="Times New Roman" w:eastAsia="Times New Roman" w:hint="default"/>
        </w:rPr>
        <w:t>5,000</w:t>
      </w:r>
      <w:r>
        <w:rPr/>
        <w:t>万元认购深圳市大拿科技有限公司增发的股权，认购完成后，公司持有大拿科技</w:t>
      </w:r>
      <w:r>
        <w:rPr>
          <w:rFonts w:ascii="Times New Roman" w:hAnsi="Times New Roman" w:cs="Times New Roman" w:eastAsia="Times New Roman" w:hint="default"/>
        </w:rPr>
        <w:t>30%</w:t>
      </w:r>
      <w:r>
        <w:rPr/>
        <w:t>的股权。详 见公司于巨潮资讯网发布的《对外投资公告》（公告编号：</w:t>
      </w:r>
      <w:r>
        <w:rPr>
          <w:rFonts w:ascii="Times New Roman" w:hAnsi="Times New Roman" w:cs="Times New Roman" w:eastAsia="Times New Roman" w:hint="default"/>
        </w:rPr>
        <w:t>2015-046</w:t>
      </w:r>
      <w:r>
        <w:rPr/>
        <w:t>）。</w:t>
      </w:r>
    </w:p>
    <w:p>
      <w:pPr>
        <w:pStyle w:val="BodyText"/>
        <w:spacing w:line="240" w:lineRule="auto" w:before="43"/>
        <w:ind w:right="0"/>
        <w:jc w:val="both"/>
      </w:pPr>
      <w:r>
        <w:rPr/>
        <w:t>②收购浙江中正</w:t>
      </w:r>
    </w:p>
    <w:p>
      <w:pPr>
        <w:spacing w:line="240" w:lineRule="auto" w:before="10"/>
        <w:rPr>
          <w:rFonts w:ascii="宋体" w:hAnsi="宋体" w:cs="宋体" w:eastAsia="宋体" w:hint="default"/>
          <w:sz w:val="17"/>
          <w:szCs w:val="17"/>
        </w:rPr>
      </w:pPr>
    </w:p>
    <w:p>
      <w:pPr>
        <w:pStyle w:val="BodyText"/>
        <w:spacing w:line="451" w:lineRule="auto"/>
        <w:ind w:right="18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日公司于巨潮资讯网发布《关于签署投资意向书的公告》（公告编号：</w:t>
      </w:r>
      <w:r>
        <w:rPr>
          <w:rFonts w:ascii="Times New Roman" w:hAnsi="Times New Roman" w:cs="Times New Roman" w:eastAsia="Times New Roman" w:hint="default"/>
        </w:rPr>
        <w:t>2015-047</w:t>
      </w:r>
      <w:r>
        <w:rPr/>
        <w:t>），公司拟受让浙江中正 智能科技有限公司</w:t>
      </w:r>
      <w:r>
        <w:rPr>
          <w:rFonts w:ascii="Times New Roman" w:hAnsi="Times New Roman" w:cs="Times New Roman" w:eastAsia="Times New Roman" w:hint="default"/>
        </w:rPr>
        <w:t>100%</w:t>
      </w:r>
      <w:r>
        <w:rPr/>
        <w:t>股权；</w:t>
      </w:r>
    </w:p>
    <w:p>
      <w:pPr>
        <w:pStyle w:val="BodyText"/>
        <w:spacing w:line="451" w:lineRule="auto" w:before="43"/>
        <w:ind w:left="153" w:right="15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日公司召开第三届董事会第十一次（临时）会议及第三届监事会第十一次会议审议通过《关于收购浙江中 </w:t>
      </w:r>
      <w:r>
        <w:rPr>
          <w:spacing w:val="-3"/>
        </w:rPr>
        <w:t>正智能科技有限公司</w:t>
      </w:r>
      <w:r>
        <w:rPr>
          <w:rFonts w:ascii="Times New Roman" w:hAnsi="Times New Roman" w:cs="Times New Roman" w:eastAsia="Times New Roman" w:hint="default"/>
          <w:spacing w:val="-3"/>
        </w:rPr>
        <w:t>100%</w:t>
      </w:r>
      <w:r>
        <w:rPr>
          <w:spacing w:val="-3"/>
        </w:rPr>
        <w:t>股权的议案》，独立董事对该事项发表了明确同意的独立意见。详见公司于巨潮资讯网发布的《关</w:t>
      </w:r>
      <w:r>
        <w:rPr>
          <w:spacing w:val="-66"/>
        </w:rPr>
        <w:t> </w:t>
      </w:r>
      <w:r>
        <w:rPr>
          <w:spacing w:val="-66"/>
        </w:rPr>
      </w:r>
      <w:r>
        <w:rPr>
          <w:spacing w:val="-1"/>
        </w:rPr>
        <w:t>于收购浙江中正智能科技有限公司</w:t>
      </w:r>
      <w:r>
        <w:rPr>
          <w:rFonts w:ascii="Times New Roman" w:hAnsi="Times New Roman" w:cs="Times New Roman" w:eastAsia="Times New Roman" w:hint="default"/>
          <w:spacing w:val="-1"/>
        </w:rPr>
        <w:t>100%</w:t>
      </w:r>
      <w:r>
        <w:rPr>
          <w:spacing w:val="-1"/>
        </w:rPr>
        <w:t>股权的公告》（公告编号：</w:t>
      </w:r>
      <w:r>
        <w:rPr>
          <w:rFonts w:ascii="Times New Roman" w:hAnsi="Times New Roman" w:cs="Times New Roman" w:eastAsia="Times New Roman" w:hint="default"/>
          <w:spacing w:val="-1"/>
        </w:rPr>
        <w:t>2015-060</w:t>
      </w:r>
      <w:r>
        <w:rPr>
          <w:spacing w:val="-1"/>
        </w:rPr>
        <w:t>）。该事项于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29</w:t>
      </w:r>
      <w:r>
        <w:rPr>
          <w:spacing w:val="-1"/>
        </w:rPr>
        <w:t>日经公司</w:t>
      </w:r>
      <w:r>
        <w:rPr>
          <w:rFonts w:ascii="Times New Roman" w:hAnsi="Times New Roman" w:cs="Times New Roman" w:eastAsia="Times New Roman" w:hint="default"/>
          <w:spacing w:val="-1"/>
        </w:rPr>
        <w:t>2015</w:t>
      </w:r>
      <w:r>
        <w:rPr>
          <w:spacing w:val="-1"/>
        </w:rPr>
        <w:t>年第三</w:t>
      </w:r>
      <w:r>
        <w:rPr>
          <w:spacing w:val="-61"/>
        </w:rPr>
        <w:t> </w:t>
      </w:r>
      <w:r>
        <w:rPr>
          <w:spacing w:val="-61"/>
        </w:rPr>
      </w:r>
      <w:r>
        <w:rPr/>
        <w:t>次临时股东大会审议通过；</w:t>
      </w:r>
    </w:p>
    <w:p>
      <w:pPr>
        <w:pStyle w:val="BodyText"/>
        <w:spacing w:line="451" w:lineRule="auto" w:before="74"/>
        <w:ind w:left="153" w:right="18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日公司于巨潮资讯网发布《关于全资子公司工商变更完成的公告》（公告编号：</w:t>
      </w:r>
      <w:r>
        <w:rPr>
          <w:rFonts w:ascii="Times New Roman" w:hAnsi="Times New Roman" w:cs="Times New Roman" w:eastAsia="Times New Roman" w:hint="default"/>
        </w:rPr>
        <w:t>2015-075</w:t>
      </w:r>
      <w:r>
        <w:rPr/>
        <w:t>），浙江中正完 成收购后工商信息变更；</w:t>
      </w:r>
    </w:p>
    <w:p>
      <w:pPr>
        <w:pStyle w:val="BodyText"/>
        <w:spacing w:line="240" w:lineRule="auto" w:before="74"/>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t>日公司召开第</w:t>
      </w:r>
      <w:r>
        <w:rPr>
          <w:spacing w:val="-3"/>
        </w:rPr>
        <w:t>三</w:t>
      </w:r>
      <w:r>
        <w:rPr/>
        <w:t>届董事会第十九次会议及第三届监事会第十八次会议审议通</w:t>
      </w:r>
      <w:r>
        <w:rPr>
          <w:spacing w:val="-82"/>
        </w:rPr>
        <w:t>过</w:t>
      </w:r>
      <w:r>
        <w:rPr/>
        <w:t>《关于向全资子公司浙江中</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60"/>
        <w:jc w:val="left"/>
      </w:pPr>
      <w:r>
        <w:rPr/>
        <w:t>正智能科技有限公司增资的议案》，公司向全资子公司浙江中正以自有资金的方式增资</w:t>
      </w:r>
      <w:r>
        <w:rPr>
          <w:rFonts w:ascii="Times New Roman" w:hAnsi="Times New Roman" w:cs="Times New Roman" w:eastAsia="Times New Roman" w:hint="default"/>
        </w:rPr>
        <w:t>2,866.74</w:t>
      </w:r>
      <w:r>
        <w:rPr/>
        <w:t>万元，增资完成后，浙江中 正注册资本由</w:t>
      </w:r>
      <w:r>
        <w:rPr>
          <w:rFonts w:ascii="Times New Roman" w:hAnsi="Times New Roman" w:cs="Times New Roman" w:eastAsia="Times New Roman" w:hint="default"/>
        </w:rPr>
        <w:t>3,133.26</w:t>
      </w:r>
      <w:r>
        <w:rPr/>
        <w:t>万元变更为</w:t>
      </w:r>
      <w:r>
        <w:rPr>
          <w:rFonts w:ascii="Times New Roman" w:hAnsi="Times New Roman" w:cs="Times New Roman" w:eastAsia="Times New Roman" w:hint="default"/>
        </w:rPr>
        <w:t>6,000</w:t>
      </w:r>
      <w:r>
        <w:rPr/>
        <w:t>万元。</w:t>
      </w:r>
      <w:r>
        <w:rPr>
          <w:spacing w:val="-21"/>
        </w:rPr>
        <w:t> </w:t>
      </w:r>
      <w:r>
        <w:rPr/>
        <w:t>详见公司于巨潮资讯网发布的《关于向全资子公司浙江中正智能科技有限公</w:t>
      </w:r>
      <w:r>
        <w:rPr/>
        <w:t> 司增资的公告》（公告编号：</w:t>
      </w:r>
      <w:r>
        <w:rPr>
          <w:rFonts w:ascii="Times New Roman" w:hAnsi="Times New Roman" w:cs="Times New Roman" w:eastAsia="Times New Roman" w:hint="default"/>
        </w:rPr>
        <w:t>2015-132</w:t>
      </w:r>
      <w:r>
        <w:rPr/>
        <w:t>）。</w:t>
      </w:r>
    </w:p>
    <w:p>
      <w:pPr>
        <w:pStyle w:val="BodyText"/>
        <w:spacing w:line="240" w:lineRule="auto" w:before="43"/>
        <w:ind w:right="0"/>
        <w:jc w:val="both"/>
        <w:rPr>
          <w:rFonts w:ascii="Times New Roman" w:hAnsi="Times New Roman" w:cs="Times New Roman" w:eastAsia="Times New Roman" w:hint="default"/>
        </w:rPr>
      </w:pPr>
      <w:r>
        <w:rPr/>
        <w:t>③收购美国</w:t>
      </w:r>
      <w:r>
        <w:rPr>
          <w:rFonts w:ascii="Times New Roman" w:hAnsi="Times New Roman" w:cs="Times New Roman" w:eastAsia="Times New Roman" w:hint="default"/>
        </w:rPr>
        <w:t>ExaDigm,Inc.</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2"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日公司召开第三届董事会第十四次会议审议通过《关于拟发起收购美国</w:t>
      </w:r>
      <w:r>
        <w:rPr>
          <w:rFonts w:ascii="Times New Roman" w:hAnsi="Times New Roman" w:cs="Times New Roman" w:eastAsia="Times New Roman" w:hint="default"/>
        </w:rPr>
        <w:t>ExaDigm,</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的议案》；</w:t>
      </w:r>
    </w:p>
    <w:p>
      <w:pPr>
        <w:spacing w:line="240" w:lineRule="auto" w:before="9"/>
        <w:rPr>
          <w:rFonts w:ascii="宋体" w:hAnsi="宋体" w:cs="宋体" w:eastAsia="宋体" w:hint="default"/>
          <w:sz w:val="16"/>
          <w:szCs w:val="16"/>
        </w:rPr>
      </w:pPr>
    </w:p>
    <w:p>
      <w:pPr>
        <w:pStyle w:val="BodyText"/>
        <w:spacing w:line="451" w:lineRule="auto"/>
        <w:ind w:right="14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日公司召开第三届董事会第十六次（临时）会议及第三届监事会第十五次会议审议通过《关于审议收购美 </w:t>
      </w:r>
      <w:r>
        <w:rPr>
          <w:spacing w:val="-1"/>
        </w:rPr>
        <w:t>国</w:t>
      </w:r>
      <w:r>
        <w:rPr>
          <w:rFonts w:ascii="Times New Roman" w:hAnsi="Times New Roman" w:cs="Times New Roman" w:eastAsia="Times New Roman" w:hint="default"/>
          <w:spacing w:val="-1"/>
        </w:rPr>
        <w:t>ExaDigm,Inc.</w:t>
      </w:r>
      <w:r>
        <w:rPr>
          <w:spacing w:val="-1"/>
        </w:rPr>
        <w:t>的议案》，公司使用自有资金</w:t>
      </w:r>
      <w:r>
        <w:rPr>
          <w:rFonts w:ascii="Times New Roman" w:hAnsi="Times New Roman" w:cs="Times New Roman" w:eastAsia="Times New Roman" w:hint="default"/>
          <w:spacing w:val="-1"/>
        </w:rPr>
        <w:t>470</w:t>
      </w:r>
      <w:r>
        <w:rPr>
          <w:spacing w:val="-1"/>
        </w:rPr>
        <w:t>万美元收购美国</w:t>
      </w:r>
      <w:r>
        <w:rPr>
          <w:rFonts w:ascii="Times New Roman" w:hAnsi="Times New Roman" w:cs="Times New Roman" w:eastAsia="Times New Roman" w:hint="default"/>
          <w:spacing w:val="-1"/>
        </w:rPr>
        <w:t>ExaDigm,Inc.</w:t>
      </w:r>
      <w:r>
        <w:rPr>
          <w:spacing w:val="-1"/>
        </w:rPr>
        <w:t>，收购完成后，公司累计持有</w:t>
      </w:r>
      <w:r>
        <w:rPr>
          <w:rFonts w:ascii="Times New Roman" w:hAnsi="Times New Roman" w:cs="Times New Roman" w:eastAsia="Times New Roman" w:hint="default"/>
          <w:spacing w:val="-1"/>
        </w:rPr>
        <w:t>ExaDigm</w:t>
      </w:r>
      <w:r>
        <w:rPr>
          <w:spacing w:val="-1"/>
        </w:rPr>
        <w:t>的</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1"/>
        </w:rPr>
        <w:t> </w:t>
      </w:r>
      <w:r>
        <w:rPr/>
        <w:t>股权。详见公司于巨潮资讯网发布的《关于收购美国</w:t>
      </w:r>
      <w:r>
        <w:rPr>
          <w:rFonts w:ascii="Times New Roman" w:hAnsi="Times New Roman" w:cs="Times New Roman" w:eastAsia="Times New Roman" w:hint="default"/>
        </w:rPr>
        <w:t>ExaDigm,Inc.</w:t>
      </w:r>
      <w:r>
        <w:rPr/>
        <w:t>的公告》（公告编号：</w:t>
      </w:r>
      <w:r>
        <w:rPr>
          <w:rFonts w:ascii="Times New Roman" w:hAnsi="Times New Roman" w:cs="Times New Roman" w:eastAsia="Times New Roman" w:hint="default"/>
        </w:rPr>
        <w:t>2015-104</w:t>
      </w:r>
      <w:r>
        <w:rPr/>
        <w:t>）；</w:t>
      </w:r>
    </w:p>
    <w:p>
      <w:pPr>
        <w:pStyle w:val="BodyText"/>
        <w:spacing w:line="240" w:lineRule="auto" w:before="43"/>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日公司于巨潮资讯网发布《关于收购美国</w:t>
      </w:r>
      <w:r>
        <w:rPr>
          <w:rFonts w:ascii="Times New Roman" w:hAnsi="Times New Roman" w:cs="Times New Roman" w:eastAsia="Times New Roman" w:hint="default"/>
        </w:rPr>
        <w:t>ExaDigm,Inc.</w:t>
      </w:r>
      <w:r>
        <w:rPr/>
        <w:t>股权完成的公告》，此次收购正式完成。</w:t>
      </w:r>
    </w:p>
    <w:p>
      <w:pPr>
        <w:spacing w:line="240" w:lineRule="auto" w:before="9"/>
        <w:rPr>
          <w:rFonts w:ascii="宋体" w:hAnsi="宋体" w:cs="宋体" w:eastAsia="宋体" w:hint="default"/>
          <w:sz w:val="16"/>
          <w:szCs w:val="16"/>
        </w:rPr>
      </w:pPr>
    </w:p>
    <w:p>
      <w:pPr>
        <w:pStyle w:val="BodyText"/>
        <w:spacing w:line="240" w:lineRule="auto"/>
        <w:ind w:left="153" w:right="0"/>
        <w:jc w:val="both"/>
      </w:pPr>
      <w:r>
        <w:rPr>
          <w:rFonts w:ascii="Times New Roman" w:hAnsi="Times New Roman" w:cs="Times New Roman" w:eastAsia="Times New Roman" w:hint="default"/>
        </w:rPr>
        <w:t>4</w:t>
      </w:r>
      <w:r>
        <w:rPr/>
        <w:t>、发起设立相互保险</w:t>
      </w:r>
    </w:p>
    <w:p>
      <w:pPr>
        <w:spacing w:line="240" w:lineRule="auto" w:before="9"/>
        <w:rPr>
          <w:rFonts w:ascii="宋体" w:hAnsi="宋体" w:cs="宋体" w:eastAsia="宋体" w:hint="default"/>
          <w:sz w:val="16"/>
          <w:szCs w:val="16"/>
        </w:rPr>
      </w:pPr>
    </w:p>
    <w:p>
      <w:pPr>
        <w:pStyle w:val="BodyText"/>
        <w:spacing w:line="451" w:lineRule="auto"/>
        <w:ind w:left="153" w:right="15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日公司召开第三届董事会第十二次（临时）会议及第三届监事会第十二次会议审议通过《审议参与发起设 立相互人寿保险公司（或组织）的议案》，公司出借自有资金</w:t>
      </w:r>
      <w:r>
        <w:rPr>
          <w:rFonts w:ascii="Times New Roman" w:hAnsi="Times New Roman" w:cs="Times New Roman" w:eastAsia="Times New Roman" w:hint="default"/>
        </w:rPr>
        <w:t>5,000</w:t>
      </w:r>
      <w:r>
        <w:rPr/>
        <w:t>万元，参与发起设立相互人寿保险公司（或组织），出 借资金后公司拟占相互人寿保险公司（或组织）初始运营资金的</w:t>
      </w:r>
      <w:r>
        <w:rPr>
          <w:rFonts w:ascii="Times New Roman" w:hAnsi="Times New Roman" w:cs="Times New Roman" w:eastAsia="Times New Roman" w:hint="default"/>
        </w:rPr>
        <w:t>5%</w:t>
      </w:r>
      <w:r>
        <w:rPr/>
        <w:t>。详见公司于巨潮资讯网发布的《关于参与发起设立相 互人寿保险公司（或组织）的公告》（公告编号：</w:t>
      </w:r>
      <w:r>
        <w:rPr>
          <w:rFonts w:ascii="Times New Roman" w:hAnsi="Times New Roman" w:cs="Times New Roman" w:eastAsia="Times New Roman" w:hint="default"/>
        </w:rPr>
        <w:t>2015-068</w:t>
      </w:r>
      <w:r>
        <w:rPr/>
        <w:t>）。</w:t>
      </w:r>
    </w:p>
    <w:p>
      <w:pPr>
        <w:spacing w:line="240" w:lineRule="auto" w:before="9"/>
        <w:rPr>
          <w:rFonts w:ascii="宋体" w:hAnsi="宋体" w:cs="宋体" w:eastAsia="宋体" w:hint="default"/>
          <w:sz w:val="16"/>
          <w:szCs w:val="16"/>
        </w:rPr>
      </w:pPr>
    </w:p>
    <w:p>
      <w:pPr>
        <w:pStyle w:val="Heading2"/>
        <w:spacing w:line="240" w:lineRule="auto"/>
        <w:ind w:right="0"/>
        <w:jc w:val="both"/>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52"/>
        <w:jc w:val="both"/>
      </w:pPr>
      <w:r>
        <w:rPr>
          <w:spacing w:val="-2"/>
        </w:rPr>
        <w:t>①设立深圳市新国都支付技术有限公司：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日，公司召开第三届董事会第六次会议及第三届监事会第六次会议审</w:t>
      </w:r>
      <w:r>
        <w:rPr>
          <w:spacing w:val="-60"/>
        </w:rPr>
        <w:t> </w:t>
      </w:r>
      <w:r>
        <w:rPr>
          <w:spacing w:val="-60"/>
        </w:rPr>
      </w:r>
      <w:r>
        <w:rPr/>
        <w:t>议通过《关于投资设立全资子公司的议案》，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日公司于巨潮资讯网发布《关于全资子公司完成工商注册登记的 公告》（公告编号</w:t>
      </w:r>
      <w:r>
        <w:rPr>
          <w:rFonts w:ascii="Times New Roman" w:hAnsi="Times New Roman" w:cs="Times New Roman" w:eastAsia="Times New Roman" w:hint="default"/>
        </w:rPr>
        <w:t>2015-020</w:t>
      </w:r>
      <w:r>
        <w:rPr/>
        <w:t>）。</w:t>
      </w:r>
    </w:p>
    <w:p>
      <w:pPr>
        <w:pStyle w:val="BodyText"/>
        <w:spacing w:line="240" w:lineRule="auto" w:before="43"/>
        <w:ind w:right="0"/>
        <w:jc w:val="both"/>
      </w:pPr>
      <w:r>
        <w:rPr/>
        <w:t>②设立深圳市信联征信有限公司：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日，公司召开第三届董事会第七次会议及第三届监事会第七次会议审议通过</w:t>
      </w:r>
    </w:p>
    <w:p>
      <w:pPr>
        <w:spacing w:line="240" w:lineRule="auto" w:before="9"/>
        <w:rPr>
          <w:rFonts w:ascii="宋体" w:hAnsi="宋体" w:cs="宋体" w:eastAsia="宋体" w:hint="default"/>
          <w:sz w:val="16"/>
          <w:szCs w:val="16"/>
        </w:rPr>
      </w:pPr>
    </w:p>
    <w:p>
      <w:pPr>
        <w:pStyle w:val="BodyText"/>
        <w:spacing w:line="240" w:lineRule="auto"/>
        <w:ind w:right="0"/>
        <w:jc w:val="both"/>
      </w:pPr>
      <w:r>
        <w:rPr/>
        <w:t>《关于投资设立全资子公司的议案》，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日公司于巨潮资讯网发布《关于全资子公司完成工商注册登记的公告》</w:t>
      </w:r>
    </w:p>
    <w:p>
      <w:pPr>
        <w:spacing w:line="240" w:lineRule="auto" w:before="9"/>
        <w:rPr>
          <w:rFonts w:ascii="宋体" w:hAnsi="宋体" w:cs="宋体" w:eastAsia="宋体" w:hint="default"/>
          <w:sz w:val="16"/>
          <w:szCs w:val="16"/>
        </w:rPr>
      </w:pPr>
    </w:p>
    <w:p>
      <w:pPr>
        <w:pStyle w:val="BodyText"/>
        <w:spacing w:line="451" w:lineRule="auto"/>
        <w:ind w:right="188"/>
        <w:jc w:val="left"/>
      </w:pPr>
      <w:r>
        <w:rPr/>
        <w:t>（公告编号</w:t>
      </w:r>
      <w:r>
        <w:rPr>
          <w:rFonts w:ascii="Times New Roman" w:hAnsi="Times New Roman" w:cs="Times New Roman" w:eastAsia="Times New Roman" w:hint="default"/>
        </w:rPr>
        <w:t>2015-053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日公司于巨潮资讯网发布《关于全资子公司信联征信完成企业征信机构备案的提示性 公告》（公告编号</w:t>
      </w:r>
      <w:r>
        <w:rPr>
          <w:rFonts w:ascii="Times New Roman" w:hAnsi="Times New Roman" w:cs="Times New Roman" w:eastAsia="Times New Roman" w:hint="default"/>
        </w:rPr>
        <w:t>2015-115</w:t>
      </w:r>
      <w:r>
        <w:rPr/>
        <w:t>）。公司全资子公司深圳市信联征信有限公司完成企业征信机构备案。</w:t>
      </w:r>
    </w:p>
    <w:p>
      <w:pPr>
        <w:pStyle w:val="BodyText"/>
        <w:spacing w:line="460" w:lineRule="auto" w:before="43"/>
        <w:ind w:right="150"/>
        <w:jc w:val="both"/>
      </w:pPr>
      <w:r>
        <w:rPr>
          <w:spacing w:val="-5"/>
        </w:rPr>
        <w:t>③苏州新国都电子技术有限公司对公司发行公司债提供反担保承诺，</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29</w:t>
      </w:r>
      <w:r>
        <w:rPr>
          <w:spacing w:val="-5"/>
        </w:rPr>
        <w:t>日，公司召开第三届董事会第二十一次（临</w:t>
      </w:r>
      <w:r>
        <w:rPr>
          <w:spacing w:val="-63"/>
        </w:rPr>
        <w:t> </w:t>
      </w:r>
      <w:r>
        <w:rPr>
          <w:spacing w:val="-63"/>
        </w:rPr>
      </w:r>
      <w:r>
        <w:rPr>
          <w:spacing w:val="-2"/>
        </w:rPr>
        <w:t>时）会议，审议通过了《关于控股子公司拟为公司发行债券提供反担保的议案》。根据公司实际发展需要，公司拟向合格投</w:t>
      </w:r>
      <w:r>
        <w:rPr>
          <w:spacing w:val="-68"/>
        </w:rPr>
        <w:t> </w:t>
      </w:r>
      <w:r>
        <w:rPr>
          <w:spacing w:val="-68"/>
        </w:rPr>
      </w:r>
      <w:r>
        <w:rPr>
          <w:spacing w:val="-2"/>
        </w:rPr>
        <w:t>资者公开发行不超过人民币</w:t>
      </w:r>
      <w:r>
        <w:rPr>
          <w:rFonts w:ascii="Times New Roman" w:hAnsi="Times New Roman" w:cs="Times New Roman" w:eastAsia="Times New Roman" w:hint="default"/>
          <w:spacing w:val="-2"/>
        </w:rPr>
        <w:t>4</w:t>
      </w:r>
      <w:r>
        <w:rPr>
          <w:spacing w:val="-2"/>
        </w:rPr>
        <w:t>亿元（含</w:t>
      </w:r>
      <w:r>
        <w:rPr>
          <w:rFonts w:ascii="Times New Roman" w:hAnsi="Times New Roman" w:cs="Times New Roman" w:eastAsia="Times New Roman" w:hint="default"/>
          <w:spacing w:val="-2"/>
        </w:rPr>
        <w:t>4</w:t>
      </w:r>
      <w:r>
        <w:rPr>
          <w:spacing w:val="-2"/>
        </w:rPr>
        <w:t>亿元）公司债券，募集资金用于偿还借款及补充流动资金。本次债券由深圳市中小企</w:t>
      </w:r>
      <w:r>
        <w:rPr>
          <w:spacing w:val="-62"/>
        </w:rPr>
        <w:t> </w:t>
      </w:r>
      <w:r>
        <w:rPr>
          <w:spacing w:val="-62"/>
        </w:rPr>
      </w:r>
      <w:r>
        <w:rPr>
          <w:spacing w:val="-1"/>
        </w:rPr>
        <w:t>业信用融资担保集团有限公司出具《关于为深圳市新国都技术股份有限公司</w:t>
      </w:r>
      <w:r>
        <w:rPr>
          <w:rFonts w:ascii="Times New Roman" w:hAnsi="Times New Roman" w:cs="Times New Roman" w:eastAsia="Times New Roman" w:hint="default"/>
          <w:spacing w:val="-1"/>
        </w:rPr>
        <w:t>2015</w:t>
      </w:r>
      <w:r>
        <w:rPr>
          <w:spacing w:val="-1"/>
        </w:rPr>
        <w:t>年公开发行公司债券</w:t>
      </w:r>
      <w:r>
        <w:rPr>
          <w:rFonts w:ascii="Times New Roman" w:hAnsi="Times New Roman" w:cs="Times New Roman" w:eastAsia="Times New Roman" w:hint="default"/>
          <w:spacing w:val="-1"/>
        </w:rPr>
        <w:t>(</w:t>
      </w:r>
      <w:r>
        <w:rPr>
          <w:spacing w:val="-1"/>
        </w:rPr>
        <w:t>面向合格投资者</w:t>
      </w:r>
      <w:r>
        <w:rPr>
          <w:rFonts w:ascii="Times New Roman" w:hAnsi="Times New Roman" w:cs="Times New Roman" w:eastAsia="Times New Roman" w:hint="default"/>
          <w:spacing w:val="-1"/>
        </w:rPr>
        <w:t>)</w:t>
      </w:r>
      <w:r>
        <w:rPr>
          <w:spacing w:val="-1"/>
        </w:rPr>
        <w:t>提供</w:t>
      </w:r>
      <w:r>
        <w:rPr>
          <w:spacing w:val="-57"/>
        </w:rPr>
        <w:t> </w:t>
      </w:r>
      <w:r>
        <w:rPr>
          <w:spacing w:val="-2"/>
        </w:rPr>
        <w:t>保证的担保函》，对债券存续年度内应支付的债券本金及利息、违约金、损害赔偿金和实现债权的费用提供无条件不可撤销</w:t>
      </w:r>
      <w:r>
        <w:rPr>
          <w:spacing w:val="-66"/>
        </w:rPr>
        <w:t> </w:t>
      </w:r>
      <w:r>
        <w:rPr>
          <w:spacing w:val="-66"/>
        </w:rPr>
      </w:r>
      <w:r>
        <w:rPr>
          <w:spacing w:val="-2"/>
        </w:rPr>
        <w:t>的连带责任保证担保。同时公司及公司控股子公司苏州新国都电子技术有限公司向担保机构出具《承诺函》，以苏州新国都</w:t>
      </w:r>
    </w:p>
    <w:p>
      <w:pPr>
        <w:spacing w:after="0" w:line="460" w:lineRule="auto"/>
        <w:jc w:val="both"/>
        <w:sectPr>
          <w:footerReference w:type="default" r:id="rId23"/>
          <w:pgSz w:w="11910" w:h="16840"/>
          <w:pgMar w:footer="982" w:header="745" w:top="1060" w:bottom="1180" w:left="980" w:right="980"/>
          <w:pgNumType w:start="65"/>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93"/>
        <w:jc w:val="left"/>
      </w:pPr>
      <w:r>
        <w:rPr>
          <w:spacing w:val="-2"/>
        </w:rPr>
        <w:t>拥有合法处分权的土地以及其上建筑物为公司向担保机构提供抵押反担保。详情请见公司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日于巨潮资讯网发布</w:t>
      </w:r>
      <w:r>
        <w:rPr>
          <w:spacing w:val="-60"/>
        </w:rPr>
        <w:t> </w:t>
      </w:r>
      <w:r>
        <w:rPr>
          <w:spacing w:val="-60"/>
        </w:rPr>
      </w:r>
      <w:r>
        <w:rPr/>
        <w:t>的《关于控股子公司拟为公司发行债券提供抵押反担保承诺的公告》（公告编号：</w:t>
      </w:r>
      <w:r>
        <w:rPr>
          <w:rFonts w:ascii="Times New Roman" w:hAnsi="Times New Roman" w:cs="Times New Roman" w:eastAsia="Times New Roman" w:hint="default"/>
        </w:rPr>
        <w:t>2015-145</w:t>
      </w:r>
      <w:r>
        <w:rPr/>
        <w:t>）。</w:t>
      </w:r>
    </w:p>
    <w:p>
      <w:pPr>
        <w:pStyle w:val="BodyText"/>
        <w:spacing w:line="453" w:lineRule="auto" w:before="43"/>
        <w:ind w:right="111"/>
        <w:jc w:val="left"/>
      </w:pPr>
      <w:r>
        <w:rPr/>
        <w:t>④</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日，公司于巨潮资讯网发布《关于签署投资意向书的公告》（公告编号：</w:t>
      </w:r>
      <w:r>
        <w:rPr>
          <w:rFonts w:ascii="Times New Roman" w:hAnsi="Times New Roman" w:cs="Times New Roman" w:eastAsia="Times New Roman" w:hint="default"/>
        </w:rPr>
        <w:t>2015-047</w:t>
      </w:r>
      <w:r>
        <w:rPr/>
        <w:t>），公司拟受让浙江中正 智能科技有限公司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日，公司召开第三届董事会第十一次（临时）会议及第三届监事会第十一次会议 审议通过《关于收购浙江中正智能科技有限公司</w:t>
      </w:r>
      <w:r>
        <w:rPr>
          <w:rFonts w:ascii="Times New Roman" w:hAnsi="Times New Roman" w:cs="Times New Roman" w:eastAsia="Times New Roman" w:hint="default"/>
        </w:rPr>
        <w:t>100%</w:t>
      </w:r>
      <w:r>
        <w:rPr/>
        <w:t>股权的议案》，该事项于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年第三次临时股东 </w:t>
      </w:r>
      <w:r>
        <w:rPr>
          <w:spacing w:val="-2"/>
        </w:rPr>
        <w:t>大会审议通过。</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日，公司于巨潮资讯网发布《关于全资子公司工商变更完成的公告》（公告编号：</w:t>
      </w:r>
      <w:r>
        <w:rPr>
          <w:rFonts w:ascii="Times New Roman" w:hAnsi="Times New Roman" w:cs="Times New Roman" w:eastAsia="Times New Roman" w:hint="default"/>
          <w:spacing w:val="-2"/>
        </w:rPr>
        <w:t>2015-075</w:t>
      </w:r>
      <w:r>
        <w:rPr>
          <w:spacing w:val="-2"/>
        </w:rPr>
        <w:t>），</w:t>
      </w:r>
      <w:r>
        <w:rPr>
          <w:spacing w:val="-39"/>
        </w:rPr>
        <w:t> </w:t>
      </w:r>
      <w:r>
        <w:rPr>
          <w:spacing w:val="-2"/>
        </w:rPr>
        <w:t>浙江中正完成收购后工商信息变更。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日，公司召开第三届董事会第十九次会议及第三届监事会第十八次会议审</w:t>
      </w:r>
      <w:r>
        <w:rPr>
          <w:spacing w:val="-60"/>
        </w:rPr>
        <w:t> </w:t>
      </w:r>
      <w:r>
        <w:rPr>
          <w:spacing w:val="-60"/>
        </w:rPr>
      </w:r>
      <w:r>
        <w:rPr/>
        <w:t>议通过《关于向全资子公司浙江中正智能科技有限公司增资的议案》，公司向全资子公司浙江中正以自有资金的方式增资 </w:t>
      </w:r>
      <w:r>
        <w:rPr>
          <w:rFonts w:ascii="Times New Roman" w:hAnsi="Times New Roman" w:cs="Times New Roman" w:eastAsia="Times New Roman" w:hint="default"/>
        </w:rPr>
        <w:t>2,866.74</w:t>
      </w:r>
      <w:r>
        <w:rPr/>
        <w:t>万元，增资完成后，浙江中正注册资本由</w:t>
      </w:r>
      <w:r>
        <w:rPr>
          <w:rFonts w:ascii="Times New Roman" w:hAnsi="Times New Roman" w:cs="Times New Roman" w:eastAsia="Times New Roman" w:hint="default"/>
        </w:rPr>
        <w:t>3,133.26</w:t>
      </w:r>
      <w:r>
        <w:rPr/>
        <w:t>万元变更为</w:t>
      </w:r>
      <w:r>
        <w:rPr>
          <w:rFonts w:ascii="Times New Roman" w:hAnsi="Times New Roman" w:cs="Times New Roman" w:eastAsia="Times New Roman" w:hint="default"/>
        </w:rPr>
        <w:t>6,000</w:t>
      </w:r>
      <w:r>
        <w:rPr/>
        <w:t>万元。</w:t>
      </w:r>
      <w:r>
        <w:rPr>
          <w:spacing w:val="-33"/>
        </w:rPr>
        <w:t> </w:t>
      </w:r>
      <w:r>
        <w:rPr/>
        <w:t>详见公司于巨潮资讯网发布的《关于向全</w:t>
      </w:r>
      <w:r>
        <w:rPr/>
        <w:t> 资子公司浙江中正智能科技有限公司增资的公告》（公告编号：</w:t>
      </w:r>
      <w:r>
        <w:rPr>
          <w:rFonts w:ascii="Times New Roman" w:hAnsi="Times New Roman" w:cs="Times New Roman" w:eastAsia="Times New Roman" w:hint="default"/>
        </w:rPr>
        <w:t>2015-132</w:t>
      </w:r>
      <w:r>
        <w:rPr/>
        <w:t>）。</w:t>
      </w:r>
    </w:p>
    <w:p>
      <w:pPr>
        <w:spacing w:line="240" w:lineRule="auto" w:before="7"/>
        <w:rPr>
          <w:rFonts w:ascii="宋体" w:hAnsi="宋体" w:cs="宋体" w:eastAsia="宋体" w:hint="default"/>
          <w:sz w:val="16"/>
          <w:szCs w:val="16"/>
        </w:rPr>
      </w:pPr>
    </w:p>
    <w:p>
      <w:pPr>
        <w:pStyle w:val="Heading2"/>
        <w:spacing w:line="240" w:lineRule="auto"/>
        <w:ind w:right="94"/>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7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453,795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35.43%</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453,795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35.43%</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453,795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35.43%</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73,698,75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64.47%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2,220,360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-453,795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64.56%</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73,698,75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64.47%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2,220,360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-453,795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64.56%</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114,300,0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2,421,360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114,300,0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116,721,3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4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日，公司召开第三届董事会第八次会议及第三届监事会第八次会议审议通过了《关于</w:t>
      </w:r>
      <w:r>
        <w:rPr>
          <w:rFonts w:ascii="Times New Roman" w:hAnsi="Times New Roman" w:cs="Times New Roman" w:eastAsia="Times New Roman" w:hint="default"/>
        </w:rPr>
        <w:t>2014</w:t>
      </w:r>
      <w:r>
        <w:rPr/>
        <w:t>年度利润分配及 资本公积转增股本的议案》，同意</w:t>
      </w:r>
      <w:r>
        <w:rPr>
          <w:rFonts w:ascii="Times New Roman" w:hAnsi="Times New Roman" w:cs="Times New Roman" w:eastAsia="Times New Roman" w:hint="default"/>
        </w:rPr>
        <w:t>“</w:t>
      </w:r>
      <w:r>
        <w:rPr/>
        <w:t>以公司总股本</w:t>
      </w:r>
      <w:r>
        <w:rPr>
          <w:rFonts w:ascii="Times New Roman" w:hAnsi="Times New Roman" w:cs="Times New Roman" w:eastAsia="Times New Roman" w:hint="default"/>
        </w:rPr>
        <w:t>114,300,000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0.50</w:t>
      </w:r>
      <w:r>
        <w:rPr/>
        <w:t>元（含</w:t>
      </w:r>
    </w:p>
    <w:p>
      <w:pPr>
        <w:spacing w:after="0" w:line="451"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88"/>
        <w:jc w:val="both"/>
      </w:pPr>
      <w:r>
        <w:rPr>
          <w:spacing w:val="-2"/>
        </w:rPr>
        <w:t>税）</w:t>
      </w:r>
      <w:r>
        <w:rPr>
          <w:rFonts w:ascii="Times New Roman" w:hAnsi="Times New Roman" w:cs="Times New Roman" w:eastAsia="Times New Roman" w:hint="default"/>
          <w:spacing w:val="-2"/>
        </w:rPr>
        <w:t>,</w:t>
      </w:r>
      <w:r>
        <w:rPr>
          <w:spacing w:val="-2"/>
        </w:rPr>
        <w:t>共分配人民币</w:t>
      </w:r>
      <w:r>
        <w:rPr>
          <w:rFonts w:ascii="Times New Roman" w:hAnsi="Times New Roman" w:cs="Times New Roman" w:eastAsia="Times New Roman" w:hint="default"/>
          <w:spacing w:val="-2"/>
        </w:rPr>
        <w:t>571.50</w:t>
      </w:r>
      <w:r>
        <w:rPr>
          <w:spacing w:val="-2"/>
        </w:rPr>
        <w:t>万元。同时，以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114,300,000</w:t>
      </w:r>
      <w:r>
        <w:rPr>
          <w:spacing w:val="-2"/>
        </w:rPr>
        <w:t>为基数，由资本公积金向全体股东每</w:t>
      </w:r>
      <w:r>
        <w:rPr>
          <w:rFonts w:ascii="Times New Roman" w:hAnsi="Times New Roman" w:cs="Times New Roman" w:eastAsia="Times New Roman" w:hint="default"/>
          <w:spacing w:val="-2"/>
        </w:rPr>
        <w:t>10</w:t>
      </w:r>
      <w:r>
        <w:rPr>
          <w:spacing w:val="-2"/>
        </w:rPr>
        <w:t>股转</w:t>
      </w:r>
      <w:r>
        <w:rPr>
          <w:spacing w:val="-45"/>
        </w:rPr>
        <w:t> </w:t>
      </w:r>
      <w:r>
        <w:rPr>
          <w:spacing w:val="-2"/>
        </w:rPr>
        <w:t>增</w:t>
      </w:r>
      <w:r>
        <w:rPr>
          <w:rFonts w:ascii="Times New Roman" w:hAnsi="Times New Roman" w:cs="Times New Roman" w:eastAsia="Times New Roman" w:hint="default"/>
          <w:spacing w:val="-2"/>
        </w:rPr>
        <w:t>10</w:t>
      </w:r>
      <w:r>
        <w:rPr>
          <w:spacing w:val="-2"/>
        </w:rPr>
        <w:t>股，合计转增股本</w:t>
      </w:r>
      <w:r>
        <w:rPr>
          <w:rFonts w:ascii="Times New Roman" w:hAnsi="Times New Roman" w:cs="Times New Roman" w:eastAsia="Times New Roman" w:hint="default"/>
          <w:spacing w:val="-2"/>
        </w:rPr>
        <w:t>114,300,000</w:t>
      </w:r>
      <w:r>
        <w:rPr>
          <w:spacing w:val="-2"/>
        </w:rPr>
        <w:t>股，转增股本完成后，公司总股本变更为</w:t>
      </w:r>
      <w:r>
        <w:rPr>
          <w:rFonts w:ascii="Times New Roman" w:hAnsi="Times New Roman" w:cs="Times New Roman" w:eastAsia="Times New Roman" w:hint="default"/>
          <w:spacing w:val="-2"/>
        </w:rPr>
        <w:t>228,600,000</w:t>
      </w:r>
      <w:r>
        <w:rPr>
          <w:spacing w:val="-2"/>
        </w:rPr>
        <w:t>股。</w:t>
      </w:r>
      <w:r>
        <w:rPr>
          <w:rFonts w:ascii="Times New Roman" w:hAnsi="Times New Roman" w:cs="Times New Roman" w:eastAsia="Times New Roman" w:hint="default"/>
          <w:spacing w:val="-2"/>
        </w:rPr>
        <w:t>”</w:t>
      </w:r>
      <w:r>
        <w:rPr>
          <w:spacing w:val="-2"/>
        </w:rPr>
        <w:t>该利润分配议案于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15"/>
        </w:rPr>
        <w:t> </w:t>
      </w:r>
      <w:r>
        <w:rPr/>
        <w:t>日经公司</w:t>
      </w:r>
      <w:r>
        <w:rPr>
          <w:rFonts w:ascii="Times New Roman" w:hAnsi="Times New Roman" w:cs="Times New Roman" w:eastAsia="Times New Roman" w:hint="default"/>
        </w:rPr>
        <w:t>2014</w:t>
      </w:r>
      <w:r>
        <w:rPr/>
        <w:t>年年度股东大会审议通过。</w:t>
      </w:r>
    </w:p>
    <w:p>
      <w:pPr>
        <w:pStyle w:val="BodyText"/>
        <w:spacing w:line="451" w:lineRule="auto" w:before="43"/>
        <w:ind w:right="197" w:firstLine="35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2014</w:t>
      </w:r>
      <w:r>
        <w:rPr/>
        <w:t>年年度权益分派方案实施完毕，并发布相关公告，详见公司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日发布于巨潮资讯网 的《</w:t>
      </w:r>
      <w:r>
        <w:rPr>
          <w:rFonts w:ascii="Times New Roman" w:hAnsi="Times New Roman" w:cs="Times New Roman" w:eastAsia="Times New Roman" w:hint="default"/>
        </w:rPr>
        <w:t>2014</w:t>
      </w:r>
      <w:r>
        <w:rPr/>
        <w:t>年年度权益分配实施的公告》（公告编号：</w:t>
      </w:r>
      <w:r>
        <w:rPr>
          <w:rFonts w:ascii="Times New Roman" w:hAnsi="Times New Roman" w:cs="Times New Roman" w:eastAsia="Times New Roman" w:hint="default"/>
        </w:rPr>
        <w:t>2015-066</w:t>
      </w:r>
      <w:r>
        <w:rPr/>
        <w:t>）。</w:t>
      </w:r>
    </w:p>
    <w:p>
      <w:pPr>
        <w:pStyle w:val="BodyText"/>
        <w:spacing w:line="240" w:lineRule="auto" w:before="43"/>
        <w:ind w:left="512"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日，公司董事贾巍女士因操作失误买入公司股票</w:t>
      </w:r>
      <w:r>
        <w:rPr>
          <w:rFonts w:ascii="Times New Roman" w:hAnsi="Times New Roman" w:cs="Times New Roman" w:eastAsia="Times New Roman" w:hint="default"/>
        </w:rPr>
        <w:t>500</w:t>
      </w:r>
      <w:r>
        <w:rPr/>
        <w:t>股。次日，贾巍女士发表声明承诺：自本次买入股票起</w:t>
      </w:r>
      <w:r>
        <w:rPr>
          <w:rFonts w:ascii="Times New Roman" w:hAnsi="Times New Roman" w:cs="Times New Roman" w:eastAsia="Times New Roman" w:hint="default"/>
        </w:rPr>
        <w:t>6</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3" w:right="0"/>
        <w:jc w:val="both"/>
      </w:pPr>
      <w:r>
        <w:rPr/>
        <w:t>个月内不再买卖新国都股票，若有违反，所得收益归上市公司所有。</w:t>
      </w:r>
    </w:p>
    <w:p>
      <w:pPr>
        <w:spacing w:line="240" w:lineRule="auto" w:before="10"/>
        <w:rPr>
          <w:rFonts w:ascii="宋体" w:hAnsi="宋体" w:cs="宋体" w:eastAsia="宋体" w:hint="default"/>
          <w:sz w:val="17"/>
          <w:szCs w:val="17"/>
        </w:rPr>
      </w:pPr>
    </w:p>
    <w:p>
      <w:pPr>
        <w:pStyle w:val="BodyText"/>
        <w:spacing w:line="463" w:lineRule="auto"/>
        <w:ind w:left="153"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日，公司召开第三届董事会第十一次（临时）会议及第三届监事会第十一次会议审议通过《关于公司股票 期权激励计划第一个行权期可行权的议案》及《关于公司股票期权激励计划股票期权第一个行权期选择自主行权模式的议 案》，公司</w:t>
      </w:r>
      <w:r>
        <w:rPr>
          <w:rFonts w:ascii="Times New Roman" w:hAnsi="Times New Roman" w:cs="Times New Roman" w:eastAsia="Times New Roman" w:hint="default"/>
        </w:rPr>
        <w:t>2014</w:t>
      </w:r>
      <w:r>
        <w:rPr/>
        <w:t>年股票期权激励计划第一期股票期权的行权条件已满足。</w:t>
      </w:r>
    </w:p>
    <w:p>
      <w:pPr>
        <w:pStyle w:val="BodyText"/>
        <w:spacing w:line="240" w:lineRule="auto" w:before="33"/>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日，公司于巨潮资讯网发布《关于股票期权激励计划第一个行权期采用自主行权模式的公告》（公告编号：</w:t>
      </w:r>
    </w:p>
    <w:p>
      <w:pPr>
        <w:spacing w:line="240" w:lineRule="auto" w:before="9"/>
        <w:rPr>
          <w:rFonts w:ascii="宋体" w:hAnsi="宋体" w:cs="宋体" w:eastAsia="宋体" w:hint="default"/>
          <w:sz w:val="16"/>
          <w:szCs w:val="16"/>
        </w:rPr>
      </w:pPr>
    </w:p>
    <w:p>
      <w:pPr>
        <w:pStyle w:val="BodyText"/>
        <w:spacing w:line="451" w:lineRule="auto"/>
        <w:ind w:left="153" w:right="228"/>
        <w:jc w:val="both"/>
      </w:pPr>
      <w:r>
        <w:rPr>
          <w:rFonts w:ascii="Times New Roman" w:hAnsi="Times New Roman" w:cs="Times New Roman" w:eastAsia="Times New Roman" w:hint="default"/>
        </w:rPr>
        <w:t>2015-077</w:t>
      </w:r>
      <w:r>
        <w:rPr/>
        <w:t>），</w:t>
      </w:r>
      <w:r>
        <w:rPr>
          <w:rFonts w:ascii="Times New Roman" w:hAnsi="Times New Roman" w:cs="Times New Roman" w:eastAsia="Times New Roman" w:hint="default"/>
        </w:rPr>
        <w:t>2014</w:t>
      </w:r>
      <w:r>
        <w:rPr/>
        <w:t>年股票期权激励计划第一期股票期权开始行权，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日行权完成。</w:t>
      </w:r>
      <w:r>
        <w:rPr>
          <w:rFonts w:ascii="Times New Roman" w:hAnsi="Times New Roman" w:cs="Times New Roman" w:eastAsia="Times New Roman" w:hint="default"/>
        </w:rPr>
        <w:t>2014</w:t>
      </w:r>
      <w:r>
        <w:rPr/>
        <w:t>年股票期权激励计划第一 期行权共行权股份</w:t>
      </w:r>
      <w:r>
        <w:rPr>
          <w:rFonts w:ascii="Times New Roman" w:hAnsi="Times New Roman" w:cs="Times New Roman" w:eastAsia="Times New Roman" w:hint="default"/>
        </w:rPr>
        <w:t>2,421,360</w:t>
      </w:r>
      <w:r>
        <w:rPr/>
        <w:t>股。</w:t>
      </w:r>
    </w:p>
    <w:p>
      <w:pPr>
        <w:pStyle w:val="BodyText"/>
        <w:spacing w:line="451" w:lineRule="auto" w:before="43"/>
        <w:ind w:left="153" w:right="19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日，公司于巨潮资讯网发布《关于公司管理层增持公司股份计划的公告》（公告编号：</w:t>
      </w:r>
      <w:r>
        <w:rPr>
          <w:rFonts w:ascii="Times New Roman" w:hAnsi="Times New Roman" w:cs="Times New Roman" w:eastAsia="Times New Roman" w:hint="default"/>
        </w:rPr>
        <w:t>2015-076</w:t>
      </w:r>
      <w:r>
        <w:rPr/>
        <w:t>），公司 高级管理人员基于对公司未来发展前景的信心，及维护公司股价稳定的目的，计划自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日起六个月内累计增持公 司股份</w:t>
      </w:r>
      <w:r>
        <w:rPr>
          <w:rFonts w:ascii="Times New Roman" w:hAnsi="Times New Roman" w:cs="Times New Roman" w:eastAsia="Times New Roman" w:hint="default"/>
        </w:rPr>
        <w:t>8</w:t>
      </w:r>
      <w:r>
        <w:rPr/>
        <w:t>万</w:t>
      </w:r>
      <w:r>
        <w:rPr>
          <w:rFonts w:ascii="Times New Roman" w:hAnsi="Times New Roman" w:cs="Times New Roman" w:eastAsia="Times New Roman" w:hint="default"/>
        </w:rPr>
        <w:t>-16</w:t>
      </w:r>
      <w:r>
        <w:rPr/>
        <w:t>万股，增持所需资金由其自筹取得。</w:t>
      </w:r>
    </w:p>
    <w:p>
      <w:pPr>
        <w:pStyle w:val="BodyText"/>
        <w:spacing w:line="451" w:lineRule="auto" w:before="43"/>
        <w:ind w:left="153" w:right="192" w:firstLine="36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10</w:t>
      </w:r>
      <w:r>
        <w:rPr>
          <w:spacing w:val="-4"/>
        </w:rPr>
        <w:t>日，公司于巨潮资讯网发布《关于公司控股股东、实际控制人及公司管理层增持公司股份计划的公告》（公</w:t>
      </w:r>
      <w:r>
        <w:rPr/>
        <w:t> 告编号：</w:t>
      </w:r>
      <w:r>
        <w:rPr>
          <w:rFonts w:ascii="Times New Roman" w:hAnsi="Times New Roman" w:cs="Times New Roman" w:eastAsia="Times New Roman" w:hint="default"/>
        </w:rPr>
        <w:t>2015-084</w:t>
      </w:r>
      <w:r>
        <w:rPr/>
        <w:t>），公司控股股东、实际控制人刘祥先生及公司管理层人员拟通过二级市场自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日起六个月内 择机增持公司股票，增持金额不超过人民币</w:t>
      </w:r>
      <w:r>
        <w:rPr>
          <w:rFonts w:ascii="Times New Roman" w:hAnsi="Times New Roman" w:cs="Times New Roman" w:eastAsia="Times New Roman" w:hint="default"/>
        </w:rPr>
        <w:t>2,960</w:t>
      </w:r>
      <w:r>
        <w:rPr/>
        <w:t>万元。截止到增持计划实施完毕，公司实际控制人、控股股东及公司管理 层人员共增持公司股份</w:t>
      </w:r>
      <w:r>
        <w:rPr>
          <w:rFonts w:ascii="Times New Roman" w:hAnsi="Times New Roman" w:cs="Times New Roman" w:eastAsia="Times New Roman" w:hint="default"/>
        </w:rPr>
        <w:t>632,560</w:t>
      </w:r>
      <w:r>
        <w:rPr/>
        <w:t>股。</w:t>
      </w:r>
    </w:p>
    <w:p>
      <w:pPr>
        <w:pStyle w:val="BodyText"/>
        <w:spacing w:line="240" w:lineRule="auto" w:before="43"/>
        <w:ind w:left="153" w:right="0"/>
        <w:jc w:val="both"/>
      </w:pPr>
      <w:r>
        <w:rPr/>
        <w:t>股份变动的批准情况</w:t>
      </w:r>
    </w:p>
    <w:p>
      <w:pPr>
        <w:spacing w:line="240" w:lineRule="auto" w:before="11"/>
        <w:rPr>
          <w:rFonts w:ascii="宋体" w:hAnsi="宋体" w:cs="宋体" w:eastAsia="宋体" w:hint="default"/>
          <w:sz w:val="14"/>
          <w:szCs w:val="14"/>
        </w:rPr>
      </w:pPr>
    </w:p>
    <w:p>
      <w:pPr>
        <w:pStyle w:val="BodyText"/>
        <w:spacing w:line="240" w:lineRule="auto"/>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left="153" w:right="199" w:firstLine="360"/>
        <w:jc w:val="both"/>
      </w:pPr>
      <w:r>
        <w:rPr/>
        <w:t>①</w:t>
      </w:r>
      <w:r>
        <w:rPr>
          <w:rFonts w:ascii="Times New Roman" w:hAnsi="Times New Roman" w:cs="Times New Roman" w:eastAsia="Times New Roman" w:hint="default"/>
        </w:rPr>
        <w:t>2014</w:t>
      </w:r>
      <w:r>
        <w:rPr/>
        <w:t>年年度利润分配及资本公积金转增股本已于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日经公司第三届董事会第八次会议及第三届监事会第八 次会议审议通过，并于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w:t>
      </w:r>
      <w:r>
        <w:rPr>
          <w:rFonts w:ascii="Times New Roman" w:hAnsi="Times New Roman" w:cs="Times New Roman" w:eastAsia="Times New Roman" w:hint="default"/>
        </w:rPr>
        <w:t>2014</w:t>
      </w:r>
      <w:r>
        <w:rPr/>
        <w:t>年年度股东大会审核通过。</w:t>
      </w:r>
    </w:p>
    <w:p>
      <w:pPr>
        <w:pStyle w:val="BodyText"/>
        <w:spacing w:line="240" w:lineRule="auto" w:before="43"/>
        <w:ind w:left="513" w:right="0"/>
        <w:jc w:val="left"/>
      </w:pPr>
      <w:r>
        <w:rPr/>
        <w:t>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日公司收到中国证券监督管理委员会下发的《关于深圳市新国都技术股份有限公司股权激励计划的意见》</w:t>
      </w:r>
    </w:p>
    <w:p>
      <w:pPr>
        <w:spacing w:line="240" w:lineRule="auto" w:before="9"/>
        <w:rPr>
          <w:rFonts w:ascii="宋体" w:hAnsi="宋体" w:cs="宋体" w:eastAsia="宋体" w:hint="default"/>
          <w:sz w:val="16"/>
          <w:szCs w:val="16"/>
        </w:rPr>
      </w:pPr>
    </w:p>
    <w:p>
      <w:pPr>
        <w:pStyle w:val="BodyText"/>
        <w:spacing w:line="451" w:lineRule="auto"/>
        <w:ind w:left="153" w:right="189" w:hanging="1"/>
        <w:jc w:val="both"/>
      </w:pPr>
      <w:r>
        <w:rPr>
          <w:spacing w:val="-2"/>
        </w:rPr>
        <w:t>（上市二部函【</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106</w:t>
      </w:r>
      <w:r>
        <w:rPr>
          <w:spacing w:val="-2"/>
        </w:rPr>
        <w:t>号），完成</w:t>
      </w:r>
      <w:r>
        <w:rPr>
          <w:rFonts w:ascii="Times New Roman" w:hAnsi="Times New Roman" w:cs="Times New Roman" w:eastAsia="Times New Roman" w:hint="default"/>
          <w:spacing w:val="-2"/>
        </w:rPr>
        <w:t>2014</w:t>
      </w:r>
      <w:r>
        <w:rPr>
          <w:spacing w:val="-2"/>
        </w:rPr>
        <w:t>年股票期权激励计划备案程序。</w:t>
      </w:r>
      <w:r>
        <w:rPr>
          <w:rFonts w:ascii="Times New Roman" w:hAnsi="Times New Roman" w:cs="Times New Roman" w:eastAsia="Times New Roman" w:hint="default"/>
          <w:spacing w:val="-2"/>
        </w:rPr>
        <w:t>2014</w:t>
      </w:r>
      <w:r>
        <w:rPr>
          <w:spacing w:val="-2"/>
        </w:rPr>
        <w:t>年第一期股票期权行权于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日经公</w:t>
      </w:r>
      <w:r>
        <w:rPr>
          <w:spacing w:val="-57"/>
        </w:rPr>
        <w:t> </w:t>
      </w:r>
      <w:r>
        <w:rPr>
          <w:spacing w:val="-57"/>
        </w:rPr>
      </w:r>
      <w:r>
        <w:rPr>
          <w:spacing w:val="-2"/>
        </w:rPr>
        <w:t>司第三届董事会第十一次（临时）会议及第三届监事会第十一次会议审议通过，行权申请于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日获深圳证券交易所</w:t>
      </w:r>
      <w:r>
        <w:rPr>
          <w:spacing w:val="-61"/>
        </w:rPr>
        <w:t> </w:t>
      </w:r>
      <w:r>
        <w:rPr>
          <w:spacing w:val="-61"/>
        </w:rPr>
      </w:r>
      <w:r>
        <w:rPr/>
        <w:t>审核通过。</w:t>
      </w:r>
    </w:p>
    <w:p>
      <w:pPr>
        <w:pStyle w:val="BodyText"/>
        <w:spacing w:line="451" w:lineRule="auto" w:before="74"/>
        <w:ind w:left="153" w:right="189" w:firstLine="360"/>
        <w:jc w:val="both"/>
      </w:pPr>
      <w:r>
        <w:rPr/>
        <w:t>③自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日起，公司积极响应中国证券监督管理委员会【</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51</w:t>
      </w:r>
      <w:r>
        <w:rPr/>
        <w:t>号文精神，针对资本市场的非理性波动，为 </w:t>
      </w:r>
      <w:r>
        <w:rPr>
          <w:spacing w:val="-2"/>
        </w:rPr>
        <w:t>保护全体投资者利益，公司控股股东、实际控制人及公司管理层通过二级市场增持公司股票，该事项不需要经过董事会、监</w:t>
      </w:r>
    </w:p>
    <w:p>
      <w:pPr>
        <w:spacing w:after="0" w:line="451"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7794"/>
        <w:jc w:val="left"/>
      </w:pPr>
      <w:r>
        <w:rPr/>
        <w:t>事会及股东大会的审批。 股份变动的过户情况</w:t>
      </w:r>
    </w:p>
    <w:p>
      <w:pPr>
        <w:pStyle w:val="BodyText"/>
        <w:spacing w:line="412" w:lineRule="auto" w:before="16"/>
        <w:ind w:right="4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415" w:lineRule="auto" w:before="64"/>
        <w:ind w:left="513" w:right="22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根据股份变动批准方案相应</w:t>
      </w:r>
      <w:r>
        <w:rPr>
          <w:rFonts w:ascii="Times New Roman" w:hAnsi="Times New Roman" w:cs="Times New Roman" w:eastAsia="Times New Roman" w:hint="default"/>
        </w:rPr>
        <w:t>2014</w:t>
      </w:r>
      <w:r>
        <w:rPr/>
        <w:t>年度基本每股收益和稀释每股收益由</w:t>
      </w:r>
      <w:r>
        <w:rPr>
          <w:rFonts w:ascii="Times New Roman" w:hAnsi="Times New Roman" w:cs="Times New Roman" w:eastAsia="Times New Roman" w:hint="default"/>
        </w:rPr>
        <w:t>0.70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0.35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2014</w:t>
      </w:r>
      <w:r>
        <w:rPr/>
        <w:t>年度归属于公司</w:t>
      </w:r>
    </w:p>
    <w:p>
      <w:pPr>
        <w:pStyle w:val="BodyText"/>
        <w:spacing w:line="451" w:lineRule="auto" w:before="73"/>
        <w:ind w:left="153" w:right="5624" w:hanging="1"/>
        <w:jc w:val="left"/>
      </w:pPr>
      <w:r>
        <w:rPr/>
        <w:t>普通股东的每股净资产由</w:t>
      </w:r>
      <w:r>
        <w:rPr>
          <w:rFonts w:ascii="Times New Roman" w:hAnsi="Times New Roman" w:cs="Times New Roman" w:eastAsia="Times New Roman" w:hint="default"/>
        </w:rPr>
        <w:t>9.89</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4.96</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35"/>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28,552,500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28,927,500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57,480,000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9,517,500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9,536,820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19,054,320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819,675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1,629,675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506,250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513,750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451,725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856,725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40,601,250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41,256,045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81,857,295</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94" w:firstLine="360"/>
        <w:jc w:val="left"/>
      </w:pPr>
      <w:r>
        <w:rPr>
          <w:rFonts w:ascii="Times New Roman" w:hAnsi="Times New Roman" w:cs="Times New Roman" w:eastAsia="Times New Roman" w:hint="default"/>
        </w:rPr>
        <w:t>1.</w:t>
      </w:r>
      <w:r>
        <w:rPr/>
        <w:t>报告期内，公司实施</w:t>
      </w:r>
      <w:r>
        <w:rPr>
          <w:rFonts w:ascii="Times New Roman" w:hAnsi="Times New Roman" w:cs="Times New Roman" w:eastAsia="Times New Roman" w:hint="default"/>
        </w:rPr>
        <w:t>2014</w:t>
      </w:r>
      <w:r>
        <w:rPr/>
        <w:t>年年度权益分配，以公司总股本</w:t>
      </w:r>
      <w:r>
        <w:rPr>
          <w:rFonts w:ascii="Times New Roman" w:hAnsi="Times New Roman" w:cs="Times New Roman" w:eastAsia="Times New Roman" w:hint="default"/>
        </w:rPr>
        <w:t>114,300,000</w:t>
      </w:r>
      <w:r>
        <w:rPr/>
        <w:t>股为基数，向全体股东每</w:t>
      </w:r>
      <w:r>
        <w:rPr>
          <w:rFonts w:ascii="Times New Roman" w:hAnsi="Times New Roman" w:cs="Times New Roman" w:eastAsia="Times New Roman" w:hint="default"/>
        </w:rPr>
        <w:t>10</w:t>
      </w:r>
      <w:r>
        <w:rPr/>
        <w:t>股派发现金股利人民 币</w:t>
      </w:r>
      <w:r>
        <w:rPr>
          <w:rFonts w:ascii="Times New Roman" w:hAnsi="Times New Roman" w:cs="Times New Roman" w:eastAsia="Times New Roman" w:hint="default"/>
        </w:rPr>
        <w:t>0.50</w:t>
      </w:r>
      <w:r>
        <w:rPr/>
        <w:t>元（含税）</w:t>
      </w:r>
      <w:r>
        <w:rPr>
          <w:rFonts w:ascii="Times New Roman" w:hAnsi="Times New Roman" w:cs="Times New Roman" w:eastAsia="Times New Roman" w:hint="default"/>
        </w:rPr>
        <w:t>,</w:t>
      </w:r>
      <w:r>
        <w:rPr/>
        <w:t>共分配人民币</w:t>
      </w:r>
      <w:r>
        <w:rPr>
          <w:rFonts w:ascii="Times New Roman" w:hAnsi="Times New Roman" w:cs="Times New Roman" w:eastAsia="Times New Roman" w:hint="default"/>
        </w:rPr>
        <w:t>571.50</w:t>
      </w:r>
      <w:r>
        <w:rPr/>
        <w:t>万元。同时，以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114,300,000</w:t>
      </w:r>
      <w:r>
        <w:rPr/>
        <w:t>为基数，由资本公积金向全体 </w:t>
      </w:r>
      <w:r>
        <w:rPr>
          <w:spacing w:val="-1"/>
        </w:rPr>
        <w:t>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股，合计转增股本</w:t>
      </w:r>
      <w:r>
        <w:rPr>
          <w:rFonts w:ascii="Times New Roman" w:hAnsi="Times New Roman" w:cs="Times New Roman" w:eastAsia="Times New Roman" w:hint="default"/>
          <w:spacing w:val="-1"/>
        </w:rPr>
        <w:t>114,300,000</w:t>
      </w:r>
      <w:r>
        <w:rPr>
          <w:spacing w:val="-1"/>
        </w:rPr>
        <w:t>股，转增股本完成后，公司为总股本由</w:t>
      </w:r>
      <w:r>
        <w:rPr>
          <w:rFonts w:ascii="Times New Roman" w:hAnsi="Times New Roman" w:cs="Times New Roman" w:eastAsia="Times New Roman" w:hint="default"/>
          <w:spacing w:val="-1"/>
        </w:rPr>
        <w:t>114,300,000</w:t>
      </w:r>
      <w:r>
        <w:rPr>
          <w:spacing w:val="-1"/>
        </w:rPr>
        <w:t>股变更为</w:t>
      </w:r>
      <w:r>
        <w:rPr>
          <w:rFonts w:ascii="Times New Roman" w:hAnsi="Times New Roman" w:cs="Times New Roman" w:eastAsia="Times New Roman" w:hint="default"/>
          <w:spacing w:val="-1"/>
        </w:rPr>
        <w:t>228,600,000</w:t>
      </w:r>
      <w:r>
        <w:rPr>
          <w:spacing w:val="-1"/>
        </w:rPr>
        <w:t>股。</w:t>
      </w:r>
      <w:r>
        <w:rPr>
          <w:spacing w:val="-34"/>
        </w:rPr>
        <w:t> </w:t>
      </w:r>
      <w:r>
        <w:rPr/>
        <w:t>资本公积金转增股本未引起公司资产和负债结构变动，仅在股东权益内部变动，股本增加，资本公积减少。</w:t>
      </w:r>
    </w:p>
    <w:p>
      <w:pPr>
        <w:pStyle w:val="BodyText"/>
        <w:spacing w:line="451" w:lineRule="auto" w:before="74"/>
        <w:ind w:right="94" w:firstLine="360"/>
        <w:jc w:val="left"/>
      </w:pPr>
      <w:r>
        <w:rPr>
          <w:rFonts w:ascii="Times New Roman" w:hAnsi="Times New Roman" w:cs="Times New Roman" w:eastAsia="Times New Roman" w:hint="default"/>
          <w:spacing w:val="-1"/>
        </w:rPr>
        <w:t>2.</w:t>
      </w:r>
      <w:r>
        <w:rPr>
          <w:spacing w:val="-1"/>
        </w:rPr>
        <w:t>报告期内，公司完成</w:t>
      </w:r>
      <w:r>
        <w:rPr>
          <w:rFonts w:ascii="Times New Roman" w:hAnsi="Times New Roman" w:cs="Times New Roman" w:eastAsia="Times New Roman" w:hint="default"/>
          <w:spacing w:val="-1"/>
        </w:rPr>
        <w:t>2014</w:t>
      </w:r>
      <w:r>
        <w:rPr>
          <w:spacing w:val="-1"/>
        </w:rPr>
        <w:t>年股票期权激励计划第一期行权，共行权股份</w:t>
      </w:r>
      <w:r>
        <w:rPr>
          <w:rFonts w:ascii="Times New Roman" w:hAnsi="Times New Roman" w:cs="Times New Roman" w:eastAsia="Times New Roman" w:hint="default"/>
          <w:spacing w:val="-1"/>
        </w:rPr>
        <w:t>2,421,360</w:t>
      </w:r>
      <w:r>
        <w:rPr>
          <w:spacing w:val="-1"/>
        </w:rPr>
        <w:t>股。本次行权股票来源为向激励人员</w:t>
      </w:r>
      <w:r>
        <w:rPr/>
        <w:t> 定向增发股份，增加公司资产中货币资金项目，增加股东权益中股本及资本公积项目。</w:t>
      </w:r>
    </w:p>
    <w:p>
      <w:pPr>
        <w:spacing w:line="240" w:lineRule="auto" w:before="12"/>
        <w:rPr>
          <w:rFonts w:ascii="宋体" w:hAnsi="宋体" w:cs="宋体" w:eastAsia="宋体" w:hint="default"/>
          <w:sz w:val="20"/>
          <w:szCs w:val="20"/>
        </w:rPr>
      </w:pPr>
    </w:p>
    <w:p>
      <w:pPr>
        <w:pStyle w:val="Heading3"/>
        <w:spacing w:line="240" w:lineRule="auto"/>
        <w:ind w:right="94"/>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pict>
          <v:shape style="position:absolute;margin-left:449.157013pt;margin-top:68.471718pt;width:85.7pt;height:31.2pt;mso-position-horizontal-relative:page;mso-position-vertical-relative:paragraph;z-index:-107396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399994pt;margin-top:68.471718pt;width:52.45pt;height:31.2pt;mso-position-horizontal-relative:page;mso-position-vertical-relative:paragraph;z-index:-1073944" coordorigin="9648,1369" coordsize="1049,624">
            <v:shape style="position:absolute;left:9648;top:1369;width:1049;height:624" coordorigin="9648,1369" coordsize="1049,624" path="m9648,1993l10697,1993,10697,1369,9648,1369,9648,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0"/>
        <w:gridCol w:w="346"/>
        <w:gridCol w:w="444"/>
        <w:gridCol w:w="823"/>
        <w:gridCol w:w="802"/>
        <w:gridCol w:w="322"/>
        <w:gridCol w:w="1027"/>
        <w:gridCol w:w="280"/>
        <w:gridCol w:w="512"/>
        <w:gridCol w:w="557"/>
      </w:tblGrid>
      <w:tr>
        <w:trPr>
          <w:trHeight w:val="163"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17,469</w:t>
            </w:r>
          </w:p>
        </w:tc>
        <w:tc>
          <w:tcPr>
            <w:tcW w:w="1481" w:type="dxa"/>
            <w:gridSpan w:val="2"/>
            <w:vMerge w:val="restart"/>
            <w:tcBorders>
              <w:top w:val="single" w:sz="4" w:space="0" w:color="000000"/>
              <w:left w:val="single" w:sz="4" w:space="0" w:color="000000"/>
              <w:right w:val="single" w:sz="4" w:space="0" w:color="000000"/>
            </w:tcBorders>
            <w:shd w:val="clear" w:color="auto" w:fill="D4D4D4"/>
          </w:tcPr>
          <w:p>
            <w:pPr/>
          </w:p>
        </w:tc>
        <w:tc>
          <w:tcPr>
            <w:tcW w:w="1176"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20,151</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24"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81" w:type="dxa"/>
            <w:gridSpan w:val="2"/>
            <w:vMerge/>
            <w:tcBorders>
              <w:left w:val="single" w:sz="4" w:space="0" w:color="000000"/>
              <w:bottom w:val="single" w:sz="4" w:space="0" w:color="000000"/>
              <w:right w:val="single" w:sz="4" w:space="0" w:color="000000"/>
            </w:tcBorders>
            <w:shd w:val="clear" w:color="auto" w:fill="D4D4D4"/>
          </w:tcPr>
          <w:p>
            <w:pPr/>
          </w:p>
        </w:tc>
        <w:tc>
          <w:tcPr>
            <w:tcW w:w="1176"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44" w:type="dxa"/>
            <w:vMerge w:val="restart"/>
            <w:tcBorders>
              <w:top w:val="single" w:sz="4" w:space="0" w:color="000000"/>
              <w:left w:val="single" w:sz="4" w:space="0" w:color="000000"/>
              <w:right w:val="single" w:sz="4" w:space="0" w:color="FFFFFF"/>
            </w:tcBorders>
            <w:shd w:val="clear" w:color="auto" w:fill="D4D4D4"/>
          </w:tcPr>
          <w:p>
            <w:pPr/>
          </w:p>
        </w:tc>
        <w:tc>
          <w:tcPr>
            <w:tcW w:w="830" w:type="dxa"/>
            <w:tcBorders>
              <w:top w:val="single" w:sz="4" w:space="0" w:color="000000"/>
              <w:left w:val="single" w:sz="4" w:space="0" w:color="FFFFFF"/>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FFFFFF"/>
            </w:tcBorders>
            <w:shd w:val="clear" w:color="auto" w:fill="D4D4D4"/>
          </w:tcPr>
          <w:p>
            <w:pPr/>
          </w:p>
        </w:tc>
        <w:tc>
          <w:tcPr>
            <w:tcW w:w="830" w:type="dxa"/>
            <w:vMerge w:val="restart"/>
            <w:tcBorders>
              <w:top w:val="nil" w:sz="6" w:space="0" w:color="auto"/>
              <w:left w:val="single" w:sz="4" w:space="0" w:color="FFFFFF"/>
              <w:right w:val="single" w:sz="4" w:space="0" w:color="000000"/>
            </w:tcBorders>
            <w:shd w:val="clear" w:color="auto" w:fill="D4D4D4"/>
          </w:tcPr>
          <w:p>
            <w:pPr>
              <w:pStyle w:val="TableParagraph"/>
              <w:spacing w:line="314"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right w:val="single" w:sz="4" w:space="0" w:color="000000"/>
            </w:tcBorders>
            <w:shd w:val="clear" w:color="auto" w:fill="D4D4D4"/>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4D4D4"/>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FFFFFF"/>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FFFFFF"/>
            </w:tcBorders>
            <w:shd w:val="clear" w:color="auto" w:fill="D4D4D4"/>
          </w:tcPr>
          <w:p>
            <w:pPr/>
          </w:p>
        </w:tc>
        <w:tc>
          <w:tcPr>
            <w:tcW w:w="830" w:type="dxa"/>
            <w:vMerge/>
            <w:tcBorders>
              <w:left w:val="single" w:sz="4" w:space="0" w:color="FFFFFF"/>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44" w:type="dxa"/>
            <w:vMerge w:val="restart"/>
            <w:tcBorders>
              <w:top w:val="nil" w:sz="6" w:space="0" w:color="auto"/>
              <w:left w:val="single" w:sz="4" w:space="0" w:color="000000"/>
              <w:right w:val="single" w:sz="4" w:space="0" w:color="FFFFFF"/>
            </w:tcBorders>
            <w:shd w:val="clear" w:color="auto" w:fill="D4D4D4"/>
          </w:tcPr>
          <w:p>
            <w:pPr/>
          </w:p>
        </w:tc>
        <w:tc>
          <w:tcPr>
            <w:tcW w:w="830" w:type="dxa"/>
            <w:vMerge/>
            <w:tcBorders>
              <w:left w:val="single" w:sz="4" w:space="0" w:color="FFFFFF"/>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44" w:type="dxa"/>
            <w:vMerge/>
            <w:tcBorders>
              <w:left w:val="single" w:sz="4" w:space="0" w:color="000000"/>
              <w:bottom w:val="single" w:sz="4" w:space="0" w:color="000000"/>
              <w:right w:val="single" w:sz="4" w:space="0" w:color="FFFFFF"/>
            </w:tcBorders>
            <w:shd w:val="clear" w:color="auto" w:fill="D4D4D4"/>
          </w:tcPr>
          <w:p>
            <w:pPr/>
          </w:p>
        </w:tc>
        <w:tc>
          <w:tcPr>
            <w:tcW w:w="830" w:type="dxa"/>
            <w:tcBorders>
              <w:top w:val="nil" w:sz="6" w:space="0" w:color="auto"/>
              <w:left w:val="single" w:sz="4" w:space="0" w:color="FFFFFF"/>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33.17%</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57,480,00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4D4D4"/>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7,000,000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11.00%</w:t>
            </w:r>
            <w:r>
              <w:rPr>
                <w:rFonts w:ascii="Times New Roman"/>
                <w:sz w:val="18"/>
              </w:rPr>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25,405,76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6"/>
              <w:jc w:val="right"/>
              <w:rPr>
                <w:rFonts w:ascii="Times New Roman" w:hAnsi="Times New Roman" w:cs="Times New Roman" w:eastAsia="Times New Roman" w:hint="default"/>
                <w:sz w:val="18"/>
                <w:szCs w:val="18"/>
              </w:rPr>
            </w:pPr>
            <w:r>
              <w:rPr>
                <w:rFonts w:ascii="Times New Roman"/>
                <w:spacing w:val="-1"/>
                <w:sz w:val="18"/>
              </w:rPr>
              <w:t>19,054,32</w:t>
            </w:r>
          </w:p>
          <w:p>
            <w:pPr>
              <w:pStyle w:val="TableParagraph"/>
              <w:spacing w:line="240" w:lineRule="auto" w:before="102"/>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6,351,440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20,000,000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4.93%</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w w:val="95"/>
                <w:sz w:val="18"/>
              </w:rPr>
              <w:t>11,400,00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4,800,000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z w:val="18"/>
              </w:rPr>
              <w:t>4.01%</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9,260,000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9,260,000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广发聚丰混合型 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3.16%</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7,293,370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7,293,370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z w:val="18"/>
              </w:rPr>
              <w:t>2.44%</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5,626,200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5,626,200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87"/>
        <w:gridCol w:w="787"/>
        <w:gridCol w:w="790"/>
        <w:gridCol w:w="785"/>
        <w:gridCol w:w="840"/>
        <w:gridCol w:w="134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杨志军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4,720,000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4,720,000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招商银行股份有 限公司－富国低 碳环保混合型证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4,433,375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4,433,375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2,172,900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1,629,675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543,225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国新兴产业股票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1,931,839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1,931,839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6686" w:type="dxa"/>
            <w:gridSpan w:val="7"/>
            <w:vMerge w:val="restart"/>
            <w:tcBorders>
              <w:top w:val="single" w:sz="4" w:space="0" w:color="000000"/>
              <w:left w:val="single" w:sz="9" w:space="0" w:color="D4D4D4"/>
              <w:right w:val="single" w:sz="4" w:space="0" w:color="000000"/>
            </w:tcBorders>
          </w:tcPr>
          <w:p>
            <w:pPr>
              <w:pStyle w:val="TableParagraph"/>
              <w:spacing w:line="316" w:lineRule="auto" w:before="49"/>
              <w:ind w:left="18" w:right="19"/>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之配偶，杨志军先生为杨艳女士之哥哥，杨艳女士与刘亚先生为一致行动人；除此之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外，未发现公司股东之间存在关联关系或属于《上市公司股东持股变动信息披露管理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办法》规定的一致行动人。</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9" w:space="0" w:color="D4D4D4"/>
              <w:right w:val="single" w:sz="4" w:space="0" w:color="000000"/>
            </w:tcBorders>
          </w:tcPr>
          <w:p>
            <w:pPr/>
          </w:p>
        </w:tc>
      </w:tr>
      <w:tr>
        <w:trPr>
          <w:trHeight w:val="318"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6686" w:type="dxa"/>
            <w:gridSpan w:val="7"/>
            <w:vMerge/>
            <w:tcBorders>
              <w:left w:val="single" w:sz="9" w:space="0" w:color="D4D4D4"/>
              <w:bottom w:val="single" w:sz="4" w:space="0" w:color="000000"/>
              <w:right w:val="single" w:sz="4" w:space="0" w:color="000000"/>
            </w:tcBorders>
          </w:tcPr>
          <w:p>
            <w:pPr/>
          </w:p>
        </w:tc>
      </w:tr>
      <w:tr>
        <w:trPr>
          <w:trHeight w:val="402"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4D4D4"/>
          </w:tcPr>
          <w:p>
            <w:pPr/>
          </w:p>
        </w:tc>
        <w:tc>
          <w:tcPr>
            <w:tcW w:w="3989" w:type="dxa"/>
            <w:gridSpan w:val="5"/>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19,160,000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11,400,000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11,400,000</w:t>
            </w:r>
            <w:r>
              <w:rPr>
                <w:rFonts w:ascii="Times New Roman"/>
                <w:sz w:val="18"/>
              </w:rPr>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9,260,000</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 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7,293,370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7,293,370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6,351,440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6,351,440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5,626,200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5,626,200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4,720,000</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 环保混合型证券投资基金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4,433,375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4,433,375</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新兴产业股票型证券投资基金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1,931,839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1,931,839</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 大数据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1,756,325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1,756,325</w:t>
            </w:r>
          </w:p>
        </w:tc>
      </w:tr>
      <w:tr>
        <w:trPr>
          <w:trHeight w:val="133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之配偶，杨志军先生为杨艳女士之哥哥，杨艳女士与刘亚先生为一致行动人；除此之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外，未发现公司股东之间存在关联关系或属于《上市公司股东持股变动信息披露管理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办法》规定的一致行动人。</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2"/>
          <w:szCs w:val="22"/>
        </w:rPr>
      </w:pPr>
    </w:p>
    <w:p>
      <w:pPr>
        <w:spacing w:line="2910" w:lineRule="exact"/>
        <w:ind w:left="1482"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436260" cy="18478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4" cstate="print"/>
                    <a:stretch>
                      <a:fillRect/>
                    </a:stretch>
                  </pic:blipFill>
                  <pic:spPr>
                    <a:xfrm>
                      <a:off x="0" y="0"/>
                      <a:ext cx="4436260" cy="1847850"/>
                    </a:xfrm>
                    <a:prstGeom prst="rect">
                      <a:avLst/>
                    </a:prstGeom>
                  </pic:spPr>
                </pic:pic>
              </a:graphicData>
            </a:graphic>
          </wp:inline>
        </w:drawing>
      </w:r>
      <w:r>
        <w:rPr>
          <w:rFonts w:ascii="宋体" w:hAnsi="宋体" w:cs="宋体" w:eastAsia="宋体" w:hint="default"/>
          <w:position w:val="-57"/>
          <w:sz w:val="20"/>
          <w:szCs w:val="20"/>
        </w:rPr>
      </w:r>
    </w:p>
    <w:p>
      <w:pPr>
        <w:spacing w:after="0" w:line="2910"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总经理，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38,070,00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38,070,00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76,640,00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25,405,76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总工程 师，董事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1,360,000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2,172,900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1,142,300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56,100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109,143,0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二、公司董事、监事、高级管理人员变动情况" w:id="118"/>
      <w:bookmarkEnd w:id="118"/>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bookmarkStart w:name="三、任职情况" w:id="119"/>
      <w:bookmarkEnd w:id="119"/>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pStyle w:val="BodyText"/>
        <w:spacing w:line="458" w:lineRule="auto"/>
        <w:ind w:right="0" w:firstLine="72"/>
        <w:jc w:val="left"/>
      </w:pPr>
      <w:r>
        <w:rPr>
          <w:rFonts w:ascii="Times New Roman" w:hAnsi="Times New Roman" w:cs="Times New Roman" w:eastAsia="Times New Roman" w:hint="default"/>
        </w:rPr>
        <w:t>1</w:t>
      </w:r>
      <w:r>
        <w:rPr/>
        <w:t>、董事会成员简介 </w:t>
      </w:r>
      <w:r>
        <w:rPr>
          <w:spacing w:val="-2"/>
        </w:rPr>
        <w:t>刘祥，男，</w:t>
      </w:r>
      <w:r>
        <w:rPr>
          <w:rFonts w:ascii="Times New Roman" w:hAnsi="Times New Roman" w:cs="Times New Roman" w:eastAsia="Times New Roman" w:hint="default"/>
          <w:spacing w:val="-2"/>
        </w:rPr>
        <w:t>49</w:t>
      </w:r>
      <w:r>
        <w:rPr>
          <w:spacing w:val="-2"/>
        </w:rPr>
        <w:t>岁，中国国籍，无境外居留权，毕业于东南大学，本科学历，现任本公司董事长兼总经理。</w:t>
      </w:r>
      <w:r>
        <w:rPr>
          <w:rFonts w:ascii="Times New Roman" w:hAnsi="Times New Roman" w:cs="Times New Roman" w:eastAsia="Times New Roman" w:hint="default"/>
          <w:spacing w:val="-2"/>
        </w:rPr>
        <w:t>2001</w:t>
      </w:r>
      <w:r>
        <w:rPr>
          <w:spacing w:val="-2"/>
        </w:rPr>
        <w:t>年创建深圳市</w:t>
      </w:r>
      <w:r>
        <w:rPr>
          <w:spacing w:val="-62"/>
        </w:rPr>
        <w:t> </w:t>
      </w:r>
      <w:r>
        <w:rPr>
          <w:spacing w:val="-62"/>
        </w:rPr>
      </w:r>
      <w:r>
        <w:rPr/>
        <w:t>新国都技术有限公司，现兼任山南格立创业投资有限公司执行董事，深圳市泰德信实业有限公司董事。 江汉，男，</w:t>
      </w:r>
      <w:r>
        <w:rPr>
          <w:rFonts w:ascii="Times New Roman" w:hAnsi="Times New Roman" w:cs="Times New Roman" w:eastAsia="Times New Roman" w:hint="default"/>
        </w:rPr>
        <w:t>45</w:t>
      </w:r>
      <w:r>
        <w:rPr/>
        <w:t>岁，中国国籍，无境外居留权，工商管理硕士（</w:t>
      </w:r>
      <w:r>
        <w:rPr>
          <w:rFonts w:ascii="Times New Roman" w:hAnsi="Times New Roman" w:cs="Times New Roman" w:eastAsia="Times New Roman" w:hint="default"/>
        </w:rPr>
        <w:t>MBA</w:t>
      </w:r>
      <w:r>
        <w:rPr/>
        <w:t>），现任本公司董事兼副总经理，负责主持市场工作。 现任深圳市泰德信实业有限公司董事（法定代表人）。 </w:t>
      </w:r>
      <w:r>
        <w:rPr>
          <w:spacing w:val="-2"/>
        </w:rPr>
        <w:t>汪洋，男，</w:t>
      </w:r>
      <w:r>
        <w:rPr>
          <w:rFonts w:ascii="Times New Roman" w:hAnsi="Times New Roman" w:cs="Times New Roman" w:eastAsia="Times New Roman" w:hint="default"/>
          <w:spacing w:val="-2"/>
        </w:rPr>
        <w:t>53</w:t>
      </w:r>
      <w:r>
        <w:rPr>
          <w:spacing w:val="-2"/>
        </w:rPr>
        <w:t>岁，中国国籍，无境外居留权，本科学历，现任本公司董事兼副总经理，负责主持营销工作。现任深圳市新国</w:t>
      </w:r>
      <w:r>
        <w:rPr>
          <w:spacing w:val="-64"/>
        </w:rPr>
        <w:t> </w:t>
      </w:r>
      <w:r>
        <w:rPr>
          <w:spacing w:val="-64"/>
        </w:rPr>
      </w:r>
      <w:r>
        <w:rPr/>
        <w:t>都支付技术有限公司法定代表人。 韦余红，男，</w:t>
      </w:r>
      <w:r>
        <w:rPr>
          <w:rFonts w:ascii="Times New Roman" w:hAnsi="Times New Roman" w:cs="Times New Roman" w:eastAsia="Times New Roman" w:hint="default"/>
        </w:rPr>
        <w:t>47</w:t>
      </w:r>
      <w:r>
        <w:rPr/>
        <w:t>岁，中国国籍，无境外居留权，研究生学历，现任本公司董事兼总工程师，负责主持研发工作。 </w:t>
      </w:r>
      <w:r>
        <w:rPr>
          <w:spacing w:val="-2"/>
        </w:rPr>
        <w:t>贾巍，女，</w:t>
      </w:r>
      <w:r>
        <w:rPr>
          <w:rFonts w:ascii="Times New Roman" w:hAnsi="Times New Roman" w:cs="Times New Roman" w:eastAsia="Times New Roman" w:hint="default"/>
          <w:spacing w:val="-2"/>
        </w:rPr>
        <w:t>43</w:t>
      </w:r>
      <w:r>
        <w:rPr>
          <w:spacing w:val="-2"/>
        </w:rPr>
        <w:t>岁，中国国籍，无境外居留权，硕士学历，中国注册会计师协会非执业会员，现任本公司董事兼审计委员会委</w:t>
      </w:r>
      <w:r>
        <w:rPr>
          <w:spacing w:val="-68"/>
        </w:rPr>
        <w:t> </w:t>
      </w:r>
      <w:r>
        <w:rPr>
          <w:spacing w:val="-68"/>
        </w:rPr>
      </w:r>
      <w:r>
        <w:rPr/>
        <w:t>员。</w:t>
      </w:r>
      <w:r>
        <w:rPr>
          <w:rFonts w:ascii="Times New Roman" w:hAnsi="Times New Roman" w:cs="Times New Roman" w:eastAsia="Times New Roman" w:hint="default"/>
        </w:rPr>
        <w:t>2007</w:t>
      </w:r>
      <w:r>
        <w:rPr/>
        <w:t>年迄今，就职于深圳市创新投资集团有限公司，现任国际部总经理，兼任深圳市信维通信股份有限公司的董事。 </w:t>
      </w:r>
      <w:r>
        <w:rPr>
          <w:spacing w:val="-2"/>
        </w:rPr>
        <w:t>何佳，男，</w:t>
      </w:r>
      <w:r>
        <w:rPr>
          <w:rFonts w:ascii="Times New Roman" w:hAnsi="Times New Roman" w:cs="Times New Roman" w:eastAsia="Times New Roman" w:hint="default"/>
          <w:spacing w:val="-2"/>
        </w:rPr>
        <w:t>62</w:t>
      </w:r>
      <w:r>
        <w:rPr>
          <w:spacing w:val="-2"/>
        </w:rPr>
        <w:t>岁，香港居民，博士学历，毕业于美国宾夕凡尼亚大学沃顿商学院，现任本公司独立董事，任职于南方科技大</w:t>
      </w:r>
    </w:p>
    <w:p>
      <w:pPr>
        <w:spacing w:after="0" w:line="45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63" w:lineRule="auto"/>
        <w:ind w:right="94"/>
        <w:jc w:val="left"/>
      </w:pPr>
      <w:r>
        <w:rPr/>
        <w:t>学，担任财政学教授职务。 </w:t>
      </w:r>
      <w:r>
        <w:rPr>
          <w:spacing w:val="-2"/>
        </w:rPr>
        <w:t>陈京琳，男，</w:t>
      </w:r>
      <w:r>
        <w:rPr>
          <w:rFonts w:ascii="Times New Roman" w:hAnsi="Times New Roman" w:cs="Times New Roman" w:eastAsia="Times New Roman" w:hint="default"/>
          <w:spacing w:val="-2"/>
        </w:rPr>
        <w:t>44</w:t>
      </w:r>
      <w:r>
        <w:rPr>
          <w:spacing w:val="-2"/>
        </w:rPr>
        <w:t>岁，中国国籍，无境外居留权，硕士研究生学历，毕业于中欧工商管理学院，现任本公司独立董事，任职于</w:t>
      </w:r>
      <w:r>
        <w:rPr>
          <w:spacing w:val="-64"/>
        </w:rPr>
        <w:t> </w:t>
      </w:r>
      <w:r>
        <w:rPr>
          <w:spacing w:val="-64"/>
        </w:rPr>
      </w:r>
      <w:r>
        <w:rPr/>
        <w:t>广东华商律师事务所，担任高级合伙人职务。 </w:t>
      </w:r>
      <w:r>
        <w:rPr>
          <w:spacing w:val="-2"/>
        </w:rPr>
        <w:t>蔡艳红，女，</w:t>
      </w:r>
      <w:r>
        <w:rPr>
          <w:rFonts w:ascii="Times New Roman" w:hAnsi="Times New Roman" w:cs="Times New Roman" w:eastAsia="Times New Roman" w:hint="default"/>
          <w:spacing w:val="-2"/>
        </w:rPr>
        <w:t>42</w:t>
      </w:r>
      <w:r>
        <w:rPr>
          <w:spacing w:val="-2"/>
        </w:rPr>
        <w:t>岁，中国国籍，无境外居留权，本科学历。现任本公司独立董事。</w:t>
      </w:r>
      <w:r>
        <w:rPr>
          <w:rFonts w:ascii="Times New Roman" w:hAnsi="Times New Roman" w:cs="Times New Roman" w:eastAsia="Times New Roman" w:hint="default"/>
          <w:spacing w:val="-2"/>
        </w:rPr>
        <w:t>2007</w:t>
      </w:r>
      <w:r>
        <w:rPr>
          <w:spacing w:val="-2"/>
        </w:rPr>
        <w:t>年起就职于深圳科士达科技股份有限</w:t>
      </w:r>
      <w:r>
        <w:rPr>
          <w:spacing w:val="-68"/>
        </w:rPr>
        <w:t> </w:t>
      </w:r>
      <w:r>
        <w:rPr>
          <w:spacing w:val="-68"/>
        </w:rPr>
      </w:r>
      <w:r>
        <w:rPr/>
        <w:t>公司，</w:t>
      </w:r>
      <w:r>
        <w:rPr>
          <w:rFonts w:ascii="Times New Roman" w:hAnsi="Times New Roman" w:cs="Times New Roman" w:eastAsia="Times New Roman" w:hint="default"/>
        </w:rPr>
        <w:t>2011</w:t>
      </w:r>
      <w:r>
        <w:rPr/>
        <w:t>年至今担任深圳科士达科技股份有限公司的副总经理、财务总监、董事会秘书。</w:t>
      </w:r>
    </w:p>
    <w:p>
      <w:pPr>
        <w:pStyle w:val="BodyText"/>
        <w:spacing w:line="451" w:lineRule="auto" w:before="33"/>
        <w:ind w:right="94" w:firstLine="72"/>
        <w:jc w:val="left"/>
      </w:pPr>
      <w:r>
        <w:rPr>
          <w:rFonts w:ascii="Times New Roman" w:hAnsi="Times New Roman" w:cs="Times New Roman" w:eastAsia="Times New Roman" w:hint="default"/>
        </w:rPr>
        <w:t>2</w:t>
      </w:r>
      <w:r>
        <w:rPr/>
        <w:t>、监事会成员简介 李林杰，男，</w:t>
      </w:r>
      <w:r>
        <w:rPr>
          <w:rFonts w:ascii="Times New Roman" w:hAnsi="Times New Roman" w:cs="Times New Roman" w:eastAsia="Times New Roman" w:hint="default"/>
        </w:rPr>
        <w:t>58</w:t>
      </w:r>
      <w:r>
        <w:rPr/>
        <w:t>岁，中国国籍，无境外居留权，本科学历，现任本公司监事会主席兼行政中心总监，兼任南京新国都监事。 栾承岚，女，</w:t>
      </w:r>
      <w:r>
        <w:rPr>
          <w:rFonts w:ascii="Times New Roman" w:hAnsi="Times New Roman" w:cs="Times New Roman" w:eastAsia="Times New Roman" w:hint="default"/>
        </w:rPr>
        <w:t>40</w:t>
      </w:r>
      <w:r>
        <w:rPr/>
        <w:t>岁，中国国籍，无境外居留权，专科学历，现任本公司监事兼任计划财务中心副经理。</w:t>
      </w:r>
    </w:p>
    <w:p>
      <w:pPr>
        <w:pStyle w:val="BodyText"/>
        <w:spacing w:line="240" w:lineRule="auto" w:before="43"/>
        <w:ind w:right="94"/>
        <w:jc w:val="left"/>
      </w:pPr>
      <w:r>
        <w:rPr/>
        <w:t>杨星</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男，</w:t>
      </w:r>
      <w:r>
        <w:rPr>
          <w:rFonts w:ascii="Times New Roman" w:hAnsi="Times New Roman" w:cs="Times New Roman" w:eastAsia="Times New Roman" w:hint="default"/>
        </w:rPr>
        <w:t>40</w:t>
      </w:r>
      <w:r>
        <w:rPr/>
        <w:t>岁，中国国籍，无境外居留权，本科学历，现任本公司职工监事兼研发中心副总经理。</w:t>
      </w:r>
    </w:p>
    <w:p>
      <w:pPr>
        <w:spacing w:line="240" w:lineRule="auto" w:before="9"/>
        <w:rPr>
          <w:rFonts w:ascii="宋体" w:hAnsi="宋体" w:cs="宋体" w:eastAsia="宋体" w:hint="default"/>
          <w:sz w:val="16"/>
          <w:szCs w:val="16"/>
        </w:rPr>
      </w:pPr>
    </w:p>
    <w:p>
      <w:pPr>
        <w:pStyle w:val="BodyText"/>
        <w:spacing w:line="470" w:lineRule="auto"/>
        <w:ind w:right="5854" w:firstLine="72"/>
        <w:jc w:val="left"/>
      </w:pPr>
      <w:r>
        <w:rPr>
          <w:rFonts w:ascii="Times New Roman" w:hAnsi="Times New Roman" w:cs="Times New Roman" w:eastAsia="Times New Roman" w:hint="default"/>
        </w:rPr>
        <w:t>3</w:t>
      </w:r>
      <w:r>
        <w:rPr/>
        <w:t>、高级管理人员简介 刘祥，总经理，简介及工作经历见董事介绍。 江汉，副总经理，简介及工作经历见董事介绍。 汪洋，副总经理，简介及工作经历见董事介绍。 韦余红，副总经理，简介及工作经历见董事介绍。</w:t>
      </w:r>
    </w:p>
    <w:p>
      <w:pPr>
        <w:pStyle w:val="BodyText"/>
        <w:spacing w:line="458" w:lineRule="auto" w:before="59"/>
        <w:ind w:right="94"/>
        <w:jc w:val="left"/>
      </w:pPr>
      <w:r>
        <w:rPr>
          <w:spacing w:val="-4"/>
        </w:rPr>
        <w:t>童卫东，男，</w:t>
      </w:r>
      <w:r>
        <w:rPr>
          <w:rFonts w:ascii="Times New Roman" w:hAnsi="Times New Roman" w:cs="Times New Roman" w:eastAsia="Times New Roman" w:hint="default"/>
          <w:spacing w:val="-4"/>
        </w:rPr>
        <w:t>49</w:t>
      </w:r>
      <w:r>
        <w:rPr>
          <w:spacing w:val="-4"/>
        </w:rPr>
        <w:t>岁，硕士学历，工程师，现任公司副总经理，公司全资子公司南京市新国都技术有限公司执行董事兼总经理，</w:t>
      </w:r>
      <w:r>
        <w:rPr>
          <w:spacing w:val="-41"/>
        </w:rPr>
        <w:t> </w:t>
      </w:r>
      <w:r>
        <w:rPr>
          <w:spacing w:val="-41"/>
        </w:rPr>
      </w:r>
      <w:r>
        <w:rPr/>
        <w:t>控股子公司苏州市新国都电子技术有限公司总经理。 赵辉，男，</w:t>
      </w:r>
      <w:r>
        <w:rPr>
          <w:rFonts w:ascii="Times New Roman" w:hAnsi="Times New Roman" w:cs="Times New Roman" w:eastAsia="Times New Roman" w:hint="default"/>
        </w:rPr>
        <w:t>47</w:t>
      </w:r>
      <w:r>
        <w:rPr/>
        <w:t>岁，中国国籍，无境外居留权，本科学历，现任本公司财务总监，负责财务工作。 </w:t>
      </w:r>
      <w:r>
        <w:rPr>
          <w:spacing w:val="-2"/>
        </w:rPr>
        <w:t>李艳芳，女，</w:t>
      </w:r>
      <w:r>
        <w:rPr>
          <w:rFonts w:ascii="Times New Roman" w:hAnsi="Times New Roman" w:cs="Times New Roman" w:eastAsia="Times New Roman" w:hint="default"/>
          <w:spacing w:val="-2"/>
        </w:rPr>
        <w:t>34</w:t>
      </w:r>
      <w:r>
        <w:rPr>
          <w:spacing w:val="-2"/>
        </w:rPr>
        <w:t>岁，中国国籍，无境外居留权，硕士研究生学历，现任公司董事会秘书。</w:t>
      </w:r>
      <w:r>
        <w:rPr>
          <w:rFonts w:ascii="Times New Roman" w:hAnsi="Times New Roman" w:cs="Times New Roman" w:eastAsia="Times New Roman" w:hint="default"/>
          <w:spacing w:val="-2"/>
        </w:rPr>
        <w:t>2007</w:t>
      </w:r>
      <w:r>
        <w:rPr>
          <w:spacing w:val="-2"/>
        </w:rPr>
        <w:t>年至今，就职于深圳市新国都</w:t>
      </w:r>
      <w:r>
        <w:rPr>
          <w:spacing w:val="-65"/>
        </w:rPr>
        <w:t> </w:t>
      </w:r>
      <w:r>
        <w:rPr>
          <w:spacing w:val="-65"/>
        </w:rPr>
      </w:r>
      <w:r>
        <w:rPr/>
        <w:t>技术股份有限公司，曾任公司证券事务代表。</w:t>
      </w:r>
    </w:p>
    <w:p>
      <w:pPr>
        <w:pStyle w:val="BodyText"/>
        <w:spacing w:line="240" w:lineRule="auto" w:before="68"/>
        <w:ind w:right="94"/>
        <w:jc w:val="left"/>
      </w:pPr>
      <w:r>
        <w:rPr/>
        <w:t>在股东单位任职情况</w:t>
      </w:r>
    </w:p>
    <w:p>
      <w:pPr>
        <w:spacing w:line="240" w:lineRule="auto" w:before="10"/>
        <w:rPr>
          <w:rFonts w:ascii="宋体" w:hAnsi="宋体" w:cs="宋体" w:eastAsia="宋体" w:hint="default"/>
          <w:sz w:val="17"/>
          <w:szCs w:val="17"/>
        </w:rPr>
      </w:pPr>
    </w:p>
    <w:p>
      <w:pPr>
        <w:pStyle w:val="BodyText"/>
        <w:spacing w:line="451" w:lineRule="auto"/>
        <w:ind w:left="153" w:right="819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74"/>
        <w:ind w:left="153"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943"/>
        <w:gridCol w:w="1934"/>
        <w:gridCol w:w="2254"/>
        <w:gridCol w:w="1301"/>
        <w:gridCol w:w="1301"/>
        <w:gridCol w:w="1934"/>
      </w:tblGrid>
      <w:tr>
        <w:trPr>
          <w:trHeight w:val="713" w:hRule="exact"/>
        </w:trPr>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1" w:right="60" w:hanging="629"/>
              <w:jc w:val="left"/>
              <w:rPr>
                <w:rFonts w:ascii="宋体" w:hAnsi="宋体" w:cs="宋体" w:eastAsia="宋体" w:hint="default"/>
                <w:sz w:val="18"/>
                <w:szCs w:val="18"/>
              </w:rPr>
            </w:pPr>
            <w:r>
              <w:rPr>
                <w:rFonts w:ascii="宋体" w:hAnsi="宋体" w:cs="宋体" w:eastAsia="宋体" w:hint="default"/>
                <w:sz w:val="18"/>
                <w:szCs w:val="18"/>
              </w:rPr>
              <w:t>在其他单位是否领取报 酬津贴</w:t>
            </w:r>
          </w:p>
        </w:tc>
      </w:tr>
      <w:tr>
        <w:trPr>
          <w:trHeight w:val="71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深圳市创新投资集团有 限公司</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国际部总经理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946"/>
        <w:gridCol w:w="1934"/>
        <w:gridCol w:w="2254"/>
        <w:gridCol w:w="1301"/>
        <w:gridCol w:w="1301"/>
        <w:gridCol w:w="1934"/>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深圳科士达科技股份有 限公司</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董事会秘书、财务总监、副 总经理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0"/>
        <w:gridCol w:w="5309"/>
      </w:tblGrid>
      <w:tr>
        <w:trPr>
          <w:trHeight w:val="1057"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67"/>
              <w:jc w:val="both"/>
              <w:rPr>
                <w:rFonts w:ascii="宋体" w:hAnsi="宋体" w:cs="宋体" w:eastAsia="宋体" w:hint="default"/>
                <w:sz w:val="18"/>
                <w:szCs w:val="18"/>
              </w:rPr>
            </w:pPr>
            <w:r>
              <w:rPr>
                <w:rFonts w:ascii="宋体" w:hAnsi="宋体" w:cs="宋体" w:eastAsia="宋体" w:hint="default"/>
                <w:sz w:val="18"/>
                <w:szCs w:val="18"/>
              </w:rPr>
              <w:t>公司董事、监事、高级管理人员的薪酬需提请公司股东大会予以审 议，董事、监事、高级管理人员报酬由公司支付；独立董事津贴需 经股东大会审议决策。</w:t>
            </w:r>
          </w:p>
        </w:tc>
      </w:tr>
      <w:tr>
        <w:trPr>
          <w:trHeight w:val="1050"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4" w:right="67"/>
              <w:jc w:val="both"/>
              <w:rPr>
                <w:rFonts w:ascii="宋体" w:hAnsi="宋体" w:cs="宋体" w:eastAsia="宋体" w:hint="default"/>
                <w:sz w:val="18"/>
                <w:szCs w:val="18"/>
              </w:rPr>
            </w:pPr>
            <w:r>
              <w:rPr>
                <w:rFonts w:ascii="宋体" w:hAnsi="宋体" w:cs="宋体" w:eastAsia="宋体" w:hint="default"/>
                <w:sz w:val="18"/>
                <w:szCs w:val="18"/>
              </w:rPr>
              <w:t>公司董事、监事和高级管理人员的报酬按照公司董事会《薪酬与考 核委员会工作细则》的规定，结合其经营绩效、工作能力、岗位职 级等为依据考核确定并发放。</w:t>
            </w:r>
          </w:p>
        </w:tc>
      </w:tr>
      <w:tr>
        <w:trPr>
          <w:trHeight w:val="734"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公司董事、监事、高级管理人员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年度在公司领取的报酬总额为</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400.6</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总工程师，董事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400.6</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980"/>
        </w:sectPr>
      </w:pPr>
    </w:p>
    <w:p>
      <w:pPr>
        <w:pStyle w:val="BodyText"/>
        <w:spacing w:line="240" w:lineRule="auto" w:before="44"/>
        <w:ind w:right="-20"/>
        <w:jc w:val="left"/>
      </w:pPr>
      <w:r>
        <w:rPr/>
        <w:t>公司董事、监事、高级管理人员报告期内被授予的股权激励情况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56.400002pt;margin-top:16.985703pt;width:478.7pt;height:250.95pt;mso-position-horizontal-relative:page;mso-position-vertical-relative:paragraph;z-index:-1073920" coordorigin="1128,340" coordsize="9574,5019">
            <v:group style="position:absolute;left:1140;top:354;width:855;height:468" coordorigin="1140,354" coordsize="855,468">
              <v:shape style="position:absolute;left:1140;top:354;width:855;height:468" coordorigin="1140,354" coordsize="855,468" path="m1140,822l1994,822,1994,354,1140,354,1140,822xe" filled="true" fillcolor="#d4d4d4" stroked="false">
                <v:path arrowok="t"/>
                <v:fill type="solid"/>
              </v:shape>
            </v:group>
            <v:group style="position:absolute;left:1151;top:822;width:2;height:392" coordorigin="1151,822" coordsize="2,392">
              <v:shape style="position:absolute;left:1151;top:822;width:2;height:392" coordorigin="1151,822" coordsize="0,392" path="m1151,822l1151,1213e" filled="false" stroked="true" strokeweight="1.08pt" strokecolor="#d4d4d4">
                <v:path arrowok="t"/>
              </v:shape>
            </v:group>
            <v:group style="position:absolute;left:1982;top:822;width:2;height:392" coordorigin="1982,822" coordsize="2,392">
              <v:shape style="position:absolute;left:1982;top:822;width:2;height:392" coordorigin="1982,822" coordsize="0,392" path="m1982,822l1982,1213e" filled="false" stroked="true" strokeweight="1.2pt" strokecolor="#d4d4d4">
                <v:path arrowok="t"/>
              </v:shape>
            </v:group>
            <v:group style="position:absolute;left:1140;top:1213;width:855;height:468" coordorigin="1140,1213" coordsize="855,468">
              <v:shape style="position:absolute;left:1140;top:1213;width:855;height:468" coordorigin="1140,1213" coordsize="855,468" path="m1140,1681l1994,1681,1994,1213,1140,1213,1140,1681xe" filled="true" fillcolor="#d4d4d4" stroked="false">
                <v:path arrowok="t"/>
                <v:fill type="solid"/>
              </v:shape>
            </v:group>
            <v:group style="position:absolute;left:1162;top:822;width:809;height:392" coordorigin="1162,822" coordsize="809,392">
              <v:shape style="position:absolute;left:1162;top:822;width:809;height:392" coordorigin="1162,822" coordsize="809,392" path="m1162,1213l1970,1213,1970,822,1162,822,1162,1213xe" filled="true" fillcolor="#d4d4d4" stroked="false">
                <v:path arrowok="t"/>
                <v:fill type="solid"/>
              </v:shape>
            </v:group>
            <v:group style="position:absolute;left:2004;top:354;width:860;height:468" coordorigin="2004,354" coordsize="860,468">
              <v:shape style="position:absolute;left:2004;top:354;width:860;height:468" coordorigin="2004,354" coordsize="860,468" path="m2004,822l2863,822,2863,354,2004,354,2004,822xe" filled="true" fillcolor="#d4d4d4" stroked="false">
                <v:path arrowok="t"/>
                <v:fill type="solid"/>
              </v:shape>
            </v:group>
            <v:group style="position:absolute;left:2016;top:822;width:2;height:392" coordorigin="2016,822" coordsize="2,392">
              <v:shape style="position:absolute;left:2016;top:822;width:2;height:392" coordorigin="2016,822" coordsize="0,392" path="m2016,822l2016,1213e" filled="false" stroked="true" strokeweight="1.2pt" strokecolor="#d4d4d4">
                <v:path arrowok="t"/>
              </v:shape>
            </v:group>
            <v:group style="position:absolute;left:2851;top:822;width:2;height:392" coordorigin="2851,822" coordsize="2,392">
              <v:shape style="position:absolute;left:2851;top:822;width:2;height:392" coordorigin="2851,822" coordsize="0,392" path="m2851,822l2851,1213e" filled="false" stroked="true" strokeweight="1.2pt" strokecolor="#d4d4d4">
                <v:path arrowok="t"/>
              </v:shape>
            </v:group>
            <v:group style="position:absolute;left:2004;top:1213;width:860;height:468" coordorigin="2004,1213" coordsize="860,468">
              <v:shape style="position:absolute;left:2004;top:1213;width:860;height:468" coordorigin="2004,1213" coordsize="860,468" path="m2004,1681l2863,1681,2863,1213,2004,1213,2004,1681xe" filled="true" fillcolor="#d4d4d4" stroked="false">
                <v:path arrowok="t"/>
                <v:fill type="solid"/>
              </v:shape>
            </v:group>
            <v:group style="position:absolute;left:2028;top:822;width:812;height:392" coordorigin="2028,822" coordsize="812,392">
              <v:shape style="position:absolute;left:2028;top:822;width:812;height:392" coordorigin="2028,822" coordsize="812,392" path="m2028,1213l2839,1213,2839,822,2028,822,2028,1213xe" filled="true" fillcolor="#d4d4d4" stroked="false">
                <v:path arrowok="t"/>
                <v:fill type="solid"/>
              </v:shape>
            </v:group>
            <v:group style="position:absolute;left:2873;top:354;width:860;height:156" coordorigin="2873,354" coordsize="860,156">
              <v:shape style="position:absolute;left:2873;top:354;width:860;height:156" coordorigin="2873,354" coordsize="860,156" path="m2873,510l3732,510,3732,354,2873,354,2873,510xe" filled="true" fillcolor="#d4d4d4" stroked="false">
                <v:path arrowok="t"/>
                <v:fill type="solid"/>
              </v:shape>
            </v:group>
            <v:group style="position:absolute;left:2885;top:510;width:2;height:1016" coordorigin="2885,510" coordsize="2,1016">
              <v:shape style="position:absolute;left:2885;top:510;width:2;height:1016" coordorigin="2885,510" coordsize="0,1016" path="m2885,510l2885,1525e" filled="false" stroked="true" strokeweight="1.2pt" strokecolor="#d4d4d4">
                <v:path arrowok="t"/>
              </v:shape>
            </v:group>
            <v:group style="position:absolute;left:3721;top:510;width:2;height:1016" coordorigin="3721,510" coordsize="2,1016">
              <v:shape style="position:absolute;left:3721;top:510;width:2;height:1016" coordorigin="3721,510" coordsize="0,1016" path="m3721,510l3721,1525e" filled="false" stroked="true" strokeweight="1.08pt" strokecolor="#d4d4d4">
                <v:path arrowok="t"/>
              </v:shape>
            </v:group>
            <v:group style="position:absolute;left:2873;top:1525;width:860;height:156" coordorigin="2873,1525" coordsize="860,156">
              <v:shape style="position:absolute;left:2873;top:1525;width:860;height:156" coordorigin="2873,1525" coordsize="860,156" path="m2873,1681l3732,1681,3732,1525,2873,1525,2873,1681xe" filled="true" fillcolor="#d4d4d4" stroked="false">
                <v:path arrowok="t"/>
                <v:fill type="solid"/>
              </v:shape>
            </v:group>
            <v:group style="position:absolute;left:2897;top:510;width:814;height:353" coordorigin="2897,510" coordsize="814,353">
              <v:shape style="position:absolute;left:2897;top:510;width:814;height:353" coordorigin="2897,510" coordsize="814,353" path="m2897,863l3710,863,3710,510,2897,510,2897,863xe" filled="true" fillcolor="#d4d4d4" stroked="false">
                <v:path arrowok="t"/>
                <v:fill type="solid"/>
              </v:shape>
            </v:group>
            <v:group style="position:absolute;left:2897;top:863;width:814;height:312" coordorigin="2897,863" coordsize="814,312">
              <v:shape style="position:absolute;left:2897;top:863;width:814;height:312" coordorigin="2897,863" coordsize="814,312" path="m2897,1175l3710,1175,3710,863,2897,863,2897,1175xe" filled="true" fillcolor="#d4d4d4" stroked="false">
                <v:path arrowok="t"/>
                <v:fill type="solid"/>
              </v:shape>
            </v:group>
            <v:group style="position:absolute;left:2897;top:1175;width:814;height:351" coordorigin="2897,1175" coordsize="814,351">
              <v:shape style="position:absolute;left:2897;top:1175;width:814;height:351" coordorigin="2897,1175" coordsize="814,351" path="m2897,1525l3710,1525,3710,1175,2897,1175,2897,1525xe" filled="true" fillcolor="#d4d4d4" stroked="false">
                <v:path arrowok="t"/>
                <v:fill type="solid"/>
              </v:shape>
            </v:group>
            <v:group style="position:absolute;left:3744;top:354;width:860;height:156" coordorigin="3744,354" coordsize="860,156">
              <v:shape style="position:absolute;left:3744;top:354;width:860;height:156" coordorigin="3744,354" coordsize="860,156" path="m3744,510l4603,510,4603,354,3744,354,3744,510xe" filled="true" fillcolor="#d4d4d4" stroked="false">
                <v:path arrowok="t"/>
                <v:fill type="solid"/>
              </v:shape>
            </v:group>
            <v:group style="position:absolute;left:3755;top:510;width:2;height:1016" coordorigin="3755,510" coordsize="2,1016">
              <v:shape style="position:absolute;left:3755;top:510;width:2;height:1016" coordorigin="3755,510" coordsize="0,1016" path="m3755,510l3755,1525e" filled="false" stroked="true" strokeweight="1.08pt" strokecolor="#d4d4d4">
                <v:path arrowok="t"/>
              </v:shape>
            </v:group>
            <v:group style="position:absolute;left:4591;top:510;width:2;height:1016" coordorigin="4591,510" coordsize="2,1016">
              <v:shape style="position:absolute;left:4591;top:510;width:2;height:1016" coordorigin="4591,510" coordsize="0,1016" path="m4591,510l4591,1525e" filled="false" stroked="true" strokeweight="1.2pt" strokecolor="#d4d4d4">
                <v:path arrowok="t"/>
              </v:shape>
            </v:group>
            <v:group style="position:absolute;left:3744;top:1525;width:860;height:156" coordorigin="3744,1525" coordsize="860,156">
              <v:shape style="position:absolute;left:3744;top:1525;width:860;height:156" coordorigin="3744,1525" coordsize="860,156" path="m3744,1681l4603,1681,4603,1525,3744,1525,3744,1681xe" filled="true" fillcolor="#d4d4d4" stroked="false">
                <v:path arrowok="t"/>
                <v:fill type="solid"/>
              </v:shape>
            </v:group>
            <v:group style="position:absolute;left:3766;top:510;width:814;height:353" coordorigin="3766,510" coordsize="814,353">
              <v:shape style="position:absolute;left:3766;top:510;width:814;height:353" coordorigin="3766,510" coordsize="814,353" path="m3766,863l4579,863,4579,510,3766,510,3766,863xe" filled="true" fillcolor="#d4d4d4" stroked="false">
                <v:path arrowok="t"/>
                <v:fill type="solid"/>
              </v:shape>
            </v:group>
            <v:group style="position:absolute;left:3766;top:863;width:814;height:312" coordorigin="3766,863" coordsize="814,312">
              <v:shape style="position:absolute;left:3766;top:863;width:814;height:312" coordorigin="3766,863" coordsize="814,312" path="m3766,1175l4579,1175,4579,863,3766,863,3766,1175xe" filled="true" fillcolor="#d4d4d4" stroked="false">
                <v:path arrowok="t"/>
                <v:fill type="solid"/>
              </v:shape>
            </v:group>
            <v:group style="position:absolute;left:3766;top:1175;width:814;height:351" coordorigin="3766,1175" coordsize="814,351">
              <v:shape style="position:absolute;left:3766;top:1175;width:814;height:351" coordorigin="3766,1175" coordsize="814,351" path="m3766,1525l4579,1525,4579,1175,3766,1175,3766,1525xe" filled="true" fillcolor="#d4d4d4" stroked="false">
                <v:path arrowok="t"/>
                <v:fill type="solid"/>
              </v:shape>
            </v:group>
            <v:group style="position:absolute;left:4625;top:354;width:2;height:1328" coordorigin="4625,354" coordsize="2,1328">
              <v:shape style="position:absolute;left:4625;top:354;width:2;height:1328" coordorigin="4625,354" coordsize="0,1328" path="m4625,354l4625,1681e" filled="false" stroked="true" strokeweight="1.2pt" strokecolor="#d4d4d4">
                <v:path arrowok="t"/>
              </v:shape>
            </v:group>
            <v:group style="position:absolute;left:5461;top:354;width:2;height:1328" coordorigin="5461,354" coordsize="2,1328">
              <v:shape style="position:absolute;left:5461;top:354;width:2;height:1328" coordorigin="5461,354" coordsize="0,1328" path="m5461,354l5461,1681e" filled="false" stroked="true" strokeweight="1.08pt" strokecolor="#d4d4d4">
                <v:path arrowok="t"/>
              </v:shape>
            </v:group>
            <v:group style="position:absolute;left:4637;top:354;width:814;height:353" coordorigin="4637,354" coordsize="814,353">
              <v:shape style="position:absolute;left:4637;top:354;width:814;height:353" coordorigin="4637,354" coordsize="814,353" path="m4637,707l5450,707,5450,354,4637,354,4637,707xe" filled="true" fillcolor="#d4d4d4" stroked="false">
                <v:path arrowok="t"/>
                <v:fill type="solid"/>
              </v:shape>
            </v:group>
            <v:group style="position:absolute;left:4637;top:707;width:814;height:312" coordorigin="4637,707" coordsize="814,312">
              <v:shape style="position:absolute;left:4637;top:707;width:814;height:312" coordorigin="4637,707" coordsize="814,312" path="m4637,1019l5450,1019,5450,707,4637,707,4637,1019xe" filled="true" fillcolor="#d4d4d4" stroked="false">
                <v:path arrowok="t"/>
                <v:fill type="solid"/>
              </v:shape>
            </v:group>
            <v:group style="position:absolute;left:4637;top:1019;width:814;height:312" coordorigin="4637,1019" coordsize="814,312">
              <v:shape style="position:absolute;left:4637;top:1019;width:814;height:312" coordorigin="4637,1019" coordsize="814,312" path="m4637,1331l5450,1331,5450,1019,4637,1019,4637,1331xe" filled="true" fillcolor="#d4d4d4" stroked="false">
                <v:path arrowok="t"/>
                <v:fill type="solid"/>
              </v:shape>
            </v:group>
            <v:group style="position:absolute;left:4637;top:1331;width:814;height:351" coordorigin="4637,1331" coordsize="814,351">
              <v:shape style="position:absolute;left:4637;top:1331;width:814;height:351" coordorigin="4637,1331" coordsize="814,351" path="m4637,1681l5450,1681,5450,1331,4637,1331,4637,1681xe" filled="true" fillcolor="#d4d4d4" stroked="false">
                <v:path arrowok="t"/>
                <v:fill type="solid"/>
              </v:shape>
            </v:group>
            <v:group style="position:absolute;left:5484;top:354;width:857;height:156" coordorigin="5484,354" coordsize="857,156">
              <v:shape style="position:absolute;left:5484;top:354;width:857;height:156" coordorigin="5484,354" coordsize="857,156" path="m5484,510l6341,510,6341,354,5484,354,5484,510xe" filled="true" fillcolor="#d4d4d4" stroked="false">
                <v:path arrowok="t"/>
                <v:fill type="solid"/>
              </v:shape>
            </v:group>
            <v:group style="position:absolute;left:5495;top:510;width:2;height:1016" coordorigin="5495,510" coordsize="2,1016">
              <v:shape style="position:absolute;left:5495;top:510;width:2;height:1016" coordorigin="5495,510" coordsize="0,1016" path="m5495,510l5495,1525e" filled="false" stroked="true" strokeweight="1.08pt" strokecolor="#d4d4d4">
                <v:path arrowok="t"/>
              </v:shape>
            </v:group>
            <v:group style="position:absolute;left:6330;top:510;width:2;height:1016" coordorigin="6330,510" coordsize="2,1016">
              <v:shape style="position:absolute;left:6330;top:510;width:2;height:1016" coordorigin="6330,510" coordsize="0,1016" path="m6330,510l6330,1525e" filled="false" stroked="true" strokeweight="1.08pt" strokecolor="#d4d4d4">
                <v:path arrowok="t"/>
              </v:shape>
            </v:group>
            <v:group style="position:absolute;left:5484;top:1525;width:857;height:156" coordorigin="5484,1525" coordsize="857,156">
              <v:shape style="position:absolute;left:5484;top:1525;width:857;height:156" coordorigin="5484,1525" coordsize="857,156" path="m5484,1681l6341,1681,6341,1525,5484,1525,5484,1681xe" filled="true" fillcolor="#d4d4d4" stroked="false">
                <v:path arrowok="t"/>
                <v:fill type="solid"/>
              </v:shape>
            </v:group>
            <v:group style="position:absolute;left:5506;top:510;width:814;height:353" coordorigin="5506,510" coordsize="814,353">
              <v:shape style="position:absolute;left:5506;top:510;width:814;height:353" coordorigin="5506,510" coordsize="814,353" path="m5506,863l6319,863,6319,510,5506,510,5506,863xe" filled="true" fillcolor="#d4d4d4" stroked="false">
                <v:path arrowok="t"/>
                <v:fill type="solid"/>
              </v:shape>
            </v:group>
            <v:group style="position:absolute;left:5506;top:863;width:814;height:312" coordorigin="5506,863" coordsize="814,312">
              <v:shape style="position:absolute;left:5506;top:863;width:814;height:312" coordorigin="5506,863" coordsize="814,312" path="m5506,1175l6319,1175,6319,863,5506,863,5506,1175xe" filled="true" fillcolor="#d4d4d4" stroked="false">
                <v:path arrowok="t"/>
                <v:fill type="solid"/>
              </v:shape>
            </v:group>
            <v:group style="position:absolute;left:5506;top:1175;width:814;height:351" coordorigin="5506,1175" coordsize="814,351">
              <v:shape style="position:absolute;left:5506;top:1175;width:814;height:351" coordorigin="5506,1175" coordsize="814,351" path="m5506,1525l6319,1525,6319,1175,5506,1175,5506,1525xe" filled="true" fillcolor="#d4d4d4" stroked="false">
                <v:path arrowok="t"/>
                <v:fill type="solid"/>
              </v:shape>
            </v:group>
            <v:group style="position:absolute;left:6353;top:354;width:860;height:156" coordorigin="6353,354" coordsize="860,156">
              <v:shape style="position:absolute;left:6353;top:354;width:860;height:156" coordorigin="6353,354" coordsize="860,156" path="m6353,510l7212,510,7212,354,6353,354,6353,510xe" filled="true" fillcolor="#d4d4d4" stroked="false">
                <v:path arrowok="t"/>
                <v:fill type="solid"/>
              </v:shape>
            </v:group>
            <v:group style="position:absolute;left:6364;top:510;width:2;height:1016" coordorigin="6364,510" coordsize="2,1016">
              <v:shape style="position:absolute;left:6364;top:510;width:2;height:1016" coordorigin="6364,510" coordsize="0,1016" path="m6364,510l6364,1525e" filled="false" stroked="true" strokeweight="1.08pt" strokecolor="#d4d4d4">
                <v:path arrowok="t"/>
              </v:shape>
            </v:group>
            <v:group style="position:absolute;left:7200;top:510;width:2;height:1016" coordorigin="7200,510" coordsize="2,1016">
              <v:shape style="position:absolute;left:7200;top:510;width:2;height:1016" coordorigin="7200,510" coordsize="0,1016" path="m7200,510l7200,1525e" filled="false" stroked="true" strokeweight="1.2pt" strokecolor="#d4d4d4">
                <v:path arrowok="t"/>
              </v:shape>
            </v:group>
            <v:group style="position:absolute;left:6353;top:1525;width:860;height:156" coordorigin="6353,1525" coordsize="860,156">
              <v:shape style="position:absolute;left:6353;top:1525;width:860;height:156" coordorigin="6353,1525" coordsize="860,156" path="m6353,1681l7212,1681,7212,1525,6353,1525,6353,1681xe" filled="true" fillcolor="#d4d4d4" stroked="false">
                <v:path arrowok="t"/>
                <v:fill type="solid"/>
              </v:shape>
            </v:group>
            <v:group style="position:absolute;left:6374;top:510;width:814;height:353" coordorigin="6374,510" coordsize="814,353">
              <v:shape style="position:absolute;left:6374;top:510;width:814;height:353" coordorigin="6374,510" coordsize="814,353" path="m6374,863l7188,863,7188,510,6374,510,6374,863xe" filled="true" fillcolor="#d4d4d4" stroked="false">
                <v:path arrowok="t"/>
                <v:fill type="solid"/>
              </v:shape>
            </v:group>
            <v:group style="position:absolute;left:6374;top:863;width:814;height:312" coordorigin="6374,863" coordsize="814,312">
              <v:shape style="position:absolute;left:6374;top:863;width:814;height:312" coordorigin="6374,863" coordsize="814,312" path="m6374,1175l7188,1175,7188,863,6374,863,6374,1175xe" filled="true" fillcolor="#d4d4d4" stroked="false">
                <v:path arrowok="t"/>
                <v:fill type="solid"/>
              </v:shape>
            </v:group>
            <v:group style="position:absolute;left:6374;top:1175;width:814;height:351" coordorigin="6374,1175" coordsize="814,351">
              <v:shape style="position:absolute;left:6374;top:1175;width:814;height:351" coordorigin="6374,1175" coordsize="814,351" path="m6374,1525l7188,1525,7188,1175,6374,1175,6374,1525xe" filled="true" fillcolor="#d4d4d4" stroked="false">
                <v:path arrowok="t"/>
                <v:fill type="solid"/>
              </v:shape>
            </v:group>
            <v:group style="position:absolute;left:7222;top:354;width:860;height:156" coordorigin="7222,354" coordsize="860,156">
              <v:shape style="position:absolute;left:7222;top:354;width:860;height:156" coordorigin="7222,354" coordsize="860,156" path="m7222,510l8081,510,8081,354,7222,354,7222,510xe" filled="true" fillcolor="#d4d4d4" stroked="false">
                <v:path arrowok="t"/>
                <v:fill type="solid"/>
              </v:shape>
            </v:group>
            <v:group style="position:absolute;left:7234;top:510;width:2;height:1016" coordorigin="7234,510" coordsize="2,1016">
              <v:shape style="position:absolute;left:7234;top:510;width:2;height:1016" coordorigin="7234,510" coordsize="0,1016" path="m7234,510l7234,1525e" filled="false" stroked="true" strokeweight="1.2pt" strokecolor="#d4d4d4">
                <v:path arrowok="t"/>
              </v:shape>
            </v:group>
            <v:group style="position:absolute;left:8070;top:510;width:2;height:1016" coordorigin="8070,510" coordsize="2,1016">
              <v:shape style="position:absolute;left:8070;top:510;width:2;height:1016" coordorigin="8070,510" coordsize="0,1016" path="m8070,510l8070,1525e" filled="false" stroked="true" strokeweight="1.08pt" strokecolor="#d4d4d4">
                <v:path arrowok="t"/>
              </v:shape>
            </v:group>
            <v:group style="position:absolute;left:7222;top:1525;width:860;height:156" coordorigin="7222,1525" coordsize="860,156">
              <v:shape style="position:absolute;left:7222;top:1525;width:860;height:156" coordorigin="7222,1525" coordsize="860,156" path="m7222,1681l8081,1681,8081,1525,7222,1525,7222,1681xe" filled="true" fillcolor="#d4d4d4" stroked="false">
                <v:path arrowok="t"/>
                <v:fill type="solid"/>
              </v:shape>
            </v:group>
            <v:group style="position:absolute;left:7246;top:510;width:814;height:353" coordorigin="7246,510" coordsize="814,353">
              <v:shape style="position:absolute;left:7246;top:510;width:814;height:353" coordorigin="7246,510" coordsize="814,353" path="m7246,863l8059,863,8059,510,7246,510,7246,863xe" filled="true" fillcolor="#d4d4d4" stroked="false">
                <v:path arrowok="t"/>
                <v:fill type="solid"/>
              </v:shape>
            </v:group>
            <v:group style="position:absolute;left:7246;top:863;width:814;height:312" coordorigin="7246,863" coordsize="814,312">
              <v:shape style="position:absolute;left:7246;top:863;width:814;height:312" coordorigin="7246,863" coordsize="814,312" path="m7246,1175l8059,1175,8059,863,7246,863,7246,1175xe" filled="true" fillcolor="#d4d4d4" stroked="false">
                <v:path arrowok="t"/>
                <v:fill type="solid"/>
              </v:shape>
            </v:group>
            <v:group style="position:absolute;left:7246;top:1175;width:814;height:351" coordorigin="7246,1175" coordsize="814,351">
              <v:shape style="position:absolute;left:7246;top:1175;width:814;height:351" coordorigin="7246,1175" coordsize="814,351" path="m7246,1525l8059,1525,8059,1175,7246,1175,7246,1525xe" filled="true" fillcolor="#d4d4d4" stroked="false">
                <v:path arrowok="t"/>
                <v:fill type="solid"/>
              </v:shape>
            </v:group>
            <v:group style="position:absolute;left:8104;top:354;width:2;height:1328" coordorigin="8104,354" coordsize="2,1328">
              <v:shape style="position:absolute;left:8104;top:354;width:2;height:1328" coordorigin="8104,354" coordsize="0,1328" path="m8104,354l8104,1681e" filled="false" stroked="true" strokeweight="1.08pt" strokecolor="#d4d4d4">
                <v:path arrowok="t"/>
              </v:shape>
            </v:group>
            <v:group style="position:absolute;left:8940;top:354;width:2;height:1328" coordorigin="8940,354" coordsize="2,1328">
              <v:shape style="position:absolute;left:8940;top:354;width:2;height:1328" coordorigin="8940,354" coordsize="0,1328" path="m8940,354l8940,1681e" filled="false" stroked="true" strokeweight="1.2pt" strokecolor="#d4d4d4">
                <v:path arrowok="t"/>
              </v:shape>
            </v:group>
            <v:group style="position:absolute;left:8114;top:354;width:814;height:353" coordorigin="8114,354" coordsize="814,353">
              <v:shape style="position:absolute;left:8114;top:354;width:814;height:353" coordorigin="8114,354" coordsize="814,353" path="m8114,707l8928,707,8928,354,8114,354,8114,707xe" filled="true" fillcolor="#d4d4d4" stroked="false">
                <v:path arrowok="t"/>
                <v:fill type="solid"/>
              </v:shape>
            </v:group>
            <v:group style="position:absolute;left:8114;top:707;width:814;height:312" coordorigin="8114,707" coordsize="814,312">
              <v:shape style="position:absolute;left:8114;top:707;width:814;height:312" coordorigin="8114,707" coordsize="814,312" path="m8114,1019l8928,1019,8928,707,8114,707,8114,1019xe" filled="true" fillcolor="#d4d4d4" stroked="false">
                <v:path arrowok="t"/>
                <v:fill type="solid"/>
              </v:shape>
            </v:group>
            <v:group style="position:absolute;left:8114;top:1019;width:814;height:312" coordorigin="8114,1019" coordsize="814,312">
              <v:shape style="position:absolute;left:8114;top:1019;width:814;height:312" coordorigin="8114,1019" coordsize="814,312" path="m8114,1331l8928,1331,8928,1019,8114,1019,8114,1331xe" filled="true" fillcolor="#d4d4d4" stroked="false">
                <v:path arrowok="t"/>
                <v:fill type="solid"/>
              </v:shape>
            </v:group>
            <v:group style="position:absolute;left:8114;top:1331;width:814;height:351" coordorigin="8114,1331" coordsize="814,351">
              <v:shape style="position:absolute;left:8114;top:1331;width:814;height:351" coordorigin="8114,1331" coordsize="814,351" path="m8114,1681l8928,1681,8928,1331,8114,1331,8114,1681xe" filled="true" fillcolor="#d4d4d4" stroked="false">
                <v:path arrowok="t"/>
                <v:fill type="solid"/>
              </v:shape>
            </v:group>
            <v:group style="position:absolute;left:8974;top:354;width:2;height:1328" coordorigin="8974,354" coordsize="2,1328">
              <v:shape style="position:absolute;left:8974;top:354;width:2;height:1328" coordorigin="8974,354" coordsize="0,1328" path="m8974,354l8974,1681e" filled="false" stroked="true" strokeweight="1.2pt" strokecolor="#d4d4d4">
                <v:path arrowok="t"/>
              </v:shape>
            </v:group>
            <v:group style="position:absolute;left:9810;top:354;width:2;height:1328" coordorigin="9810,354" coordsize="2,1328">
              <v:shape style="position:absolute;left:9810;top:354;width:2;height:1328" coordorigin="9810,354" coordsize="0,1328" path="m9810,354l9810,1681e" filled="false" stroked="true" strokeweight="1.08pt" strokecolor="#d4d4d4">
                <v:path arrowok="t"/>
              </v:shape>
            </v:group>
            <v:group style="position:absolute;left:8986;top:354;width:814;height:353" coordorigin="8986,354" coordsize="814,353">
              <v:shape style="position:absolute;left:8986;top:354;width:814;height:353" coordorigin="8986,354" coordsize="814,353" path="m8986,707l9799,707,9799,354,8986,354,8986,707xe" filled="true" fillcolor="#d4d4d4" stroked="false">
                <v:path arrowok="t"/>
                <v:fill type="solid"/>
              </v:shape>
            </v:group>
            <v:group style="position:absolute;left:8986;top:707;width:814;height:312" coordorigin="8986,707" coordsize="814,312">
              <v:shape style="position:absolute;left:8986;top:707;width:814;height:312" coordorigin="8986,707" coordsize="814,312" path="m8986,1019l9799,1019,9799,707,8986,707,8986,1019xe" filled="true" fillcolor="#d4d4d4" stroked="false">
                <v:path arrowok="t"/>
                <v:fill type="solid"/>
              </v:shape>
            </v:group>
            <v:group style="position:absolute;left:8986;top:1019;width:814;height:312" coordorigin="8986,1019" coordsize="814,312">
              <v:shape style="position:absolute;left:8986;top:1019;width:814;height:312" coordorigin="8986,1019" coordsize="814,312" path="m8986,1331l9799,1331,9799,1019,8986,1019,8986,1331xe" filled="true" fillcolor="#d4d4d4" stroked="false">
                <v:path arrowok="t"/>
                <v:fill type="solid"/>
              </v:shape>
            </v:group>
            <v:group style="position:absolute;left:8986;top:1331;width:814;height:351" coordorigin="8986,1331" coordsize="814,351">
              <v:shape style="position:absolute;left:8986;top:1331;width:814;height:351" coordorigin="8986,1331" coordsize="814,351" path="m8986,1681l9799,1681,9799,1331,8986,1331,8986,1681xe" filled="true" fillcolor="#d4d4d4" stroked="false">
                <v:path arrowok="t"/>
                <v:fill type="solid"/>
              </v:shape>
            </v:group>
            <v:group style="position:absolute;left:9833;top:354;width:860;height:156" coordorigin="9833,354" coordsize="860,156">
              <v:shape style="position:absolute;left:9833;top:354;width:860;height:156" coordorigin="9833,354" coordsize="860,156" path="m9833,510l10692,510,10692,354,9833,354,9833,510xe" filled="true" fillcolor="#d4d4d4" stroked="false">
                <v:path arrowok="t"/>
                <v:fill type="solid"/>
              </v:shape>
            </v:group>
            <v:group style="position:absolute;left:9844;top:510;width:2;height:1016" coordorigin="9844,510" coordsize="2,1016">
              <v:shape style="position:absolute;left:9844;top:510;width:2;height:1016" coordorigin="9844,510" coordsize="0,1016" path="m9844,510l9844,1525e" filled="false" stroked="true" strokeweight="1.08pt" strokecolor="#d4d4d4">
                <v:path arrowok="t"/>
              </v:shape>
            </v:group>
            <v:group style="position:absolute;left:10680;top:510;width:2;height:1016" coordorigin="10680,510" coordsize="2,1016">
              <v:shape style="position:absolute;left:10680;top:510;width:2;height:1016" coordorigin="10680,510" coordsize="0,1016" path="m10680,510l10680,1525e" filled="false" stroked="true" strokeweight="1.2pt" strokecolor="#d4d4d4">
                <v:path arrowok="t"/>
              </v:shape>
            </v:group>
            <v:group style="position:absolute;left:9833;top:1525;width:860;height:156" coordorigin="9833,1525" coordsize="860,156">
              <v:shape style="position:absolute;left:9833;top:1525;width:860;height:156" coordorigin="9833,1525" coordsize="860,156" path="m9833,1681l10692,1681,10692,1525,9833,1525,9833,1681xe" filled="true" fillcolor="#d4d4d4" stroked="false">
                <v:path arrowok="t"/>
                <v:fill type="solid"/>
              </v:shape>
            </v:group>
            <v:group style="position:absolute;left:9854;top:510;width:814;height:353" coordorigin="9854,510" coordsize="814,353">
              <v:shape style="position:absolute;left:9854;top:510;width:814;height:353" coordorigin="9854,510" coordsize="814,353" path="m9854,863l10668,863,10668,510,9854,510,9854,863xe" filled="true" fillcolor="#d4d4d4" stroked="false">
                <v:path arrowok="t"/>
                <v:fill type="solid"/>
              </v:shape>
            </v:group>
            <v:group style="position:absolute;left:9854;top:863;width:814;height:312" coordorigin="9854,863" coordsize="814,312">
              <v:shape style="position:absolute;left:9854;top:863;width:814;height:312" coordorigin="9854,863" coordsize="814,312" path="m9854,1175l10668,1175,10668,863,9854,863,9854,1175xe" filled="true" fillcolor="#d4d4d4" stroked="false">
                <v:path arrowok="t"/>
                <v:fill type="solid"/>
              </v:shape>
            </v:group>
            <v:group style="position:absolute;left:9854;top:1175;width:814;height:351" coordorigin="9854,1175" coordsize="814,351">
              <v:shape style="position:absolute;left:9854;top:1175;width:814;height:351" coordorigin="9854,1175" coordsize="814,351" path="m9854,1525l10668,1525,10668,1175,9854,1175,9854,1525xe" filled="true" fillcolor="#d4d4d4" stroked="false">
                <v:path arrowok="t"/>
                <v:fill type="solid"/>
              </v:shape>
            </v:group>
            <v:group style="position:absolute;left:1138;top:349;width:855;height:2" coordorigin="1138,349" coordsize="855,2">
              <v:shape style="position:absolute;left:1138;top:349;width:855;height:2" coordorigin="1138,349" coordsize="855,0" path="m1138,349l1992,349e" filled="false" stroked="true" strokeweight=".48pt" strokecolor="#000000">
                <v:path arrowok="t"/>
              </v:shape>
            </v:group>
            <v:group style="position:absolute;left:2002;top:349;width:862;height:2" coordorigin="2002,349" coordsize="862,2">
              <v:shape style="position:absolute;left:2002;top:349;width:862;height:2" coordorigin="2002,349" coordsize="862,0" path="m2002,349l2863,349e" filled="false" stroked="true" strokeweight=".48pt" strokecolor="#000000">
                <v:path arrowok="t"/>
              </v:shape>
            </v:group>
            <v:group style="position:absolute;left:2873;top:349;width:860;height:2" coordorigin="2873,349" coordsize="860,2">
              <v:shape style="position:absolute;left:2873;top:349;width:860;height:2" coordorigin="2873,349" coordsize="860,0" path="m2873,349l3732,349e" filled="false" stroked="true" strokeweight=".48pt" strokecolor="#000000">
                <v:path arrowok="t"/>
              </v:shape>
            </v:group>
            <v:group style="position:absolute;left:3742;top:349;width:862;height:2" coordorigin="3742,349" coordsize="862,2">
              <v:shape style="position:absolute;left:3742;top:349;width:862;height:2" coordorigin="3742,349" coordsize="862,0" path="m3742,349l4603,349e" filled="false" stroked="true" strokeweight=".48pt" strokecolor="#000000">
                <v:path arrowok="t"/>
              </v:shape>
            </v:group>
            <v:group style="position:absolute;left:4613;top:349;width:860;height:2" coordorigin="4613,349" coordsize="860,2">
              <v:shape style="position:absolute;left:4613;top:349;width:860;height:2" coordorigin="4613,349" coordsize="860,0" path="m4613,349l5472,349e" filled="false" stroked="true" strokeweight=".48pt" strokecolor="#000000">
                <v:path arrowok="t"/>
              </v:shape>
            </v:group>
            <v:group style="position:absolute;left:5482;top:349;width:860;height:2" coordorigin="5482,349" coordsize="860,2">
              <v:shape style="position:absolute;left:5482;top:349;width:860;height:2" coordorigin="5482,349" coordsize="860,0" path="m5482,349l6341,349e" filled="false" stroked="true" strokeweight=".48pt" strokecolor="#000000">
                <v:path arrowok="t"/>
              </v:shape>
            </v:group>
            <v:group style="position:absolute;left:6350;top:349;width:862;height:2" coordorigin="6350,349" coordsize="862,2">
              <v:shape style="position:absolute;left:6350;top:349;width:862;height:2" coordorigin="6350,349" coordsize="862,0" path="m6350,349l7212,349e" filled="false" stroked="true" strokeweight=".48pt" strokecolor="#000000">
                <v:path arrowok="t"/>
              </v:shape>
            </v:group>
            <v:group style="position:absolute;left:7222;top:349;width:860;height:2" coordorigin="7222,349" coordsize="860,2">
              <v:shape style="position:absolute;left:7222;top:349;width:860;height:2" coordorigin="7222,349" coordsize="860,0" path="m7222,349l8081,349e" filled="false" stroked="true" strokeweight=".48pt" strokecolor="#000000">
                <v:path arrowok="t"/>
              </v:shape>
            </v:group>
            <v:group style="position:absolute;left:8090;top:349;width:862;height:2" coordorigin="8090,349" coordsize="862,2">
              <v:shape style="position:absolute;left:8090;top:349;width:862;height:2" coordorigin="8090,349" coordsize="862,0" path="m8090,349l8952,349e" filled="false" stroked="true" strokeweight=".48pt" strokecolor="#000000">
                <v:path arrowok="t"/>
              </v:shape>
            </v:group>
            <v:group style="position:absolute;left:8962;top:349;width:860;height:2" coordorigin="8962,349" coordsize="860,2">
              <v:shape style="position:absolute;left:8962;top:349;width:860;height:2" coordorigin="8962,349" coordsize="860,0" path="m8962,349l9821,349e" filled="false" stroked="true" strokeweight=".48pt" strokecolor="#000000">
                <v:path arrowok="t"/>
              </v:shape>
            </v:group>
            <v:group style="position:absolute;left:9830;top:349;width:862;height:2" coordorigin="9830,349" coordsize="862,2">
              <v:shape style="position:absolute;left:9830;top:349;width:862;height:2" coordorigin="9830,349" coordsize="862,0" path="m9830,349l10692,349e" filled="false" stroked="true" strokeweight=".48pt" strokecolor="#000000">
                <v:path arrowok="t"/>
              </v:shape>
            </v:group>
            <v:group style="position:absolute;left:2873;top:1693;width:860;height:156" coordorigin="2873,1693" coordsize="860,156">
              <v:shape style="position:absolute;left:2873;top:1693;width:860;height:156" coordorigin="2873,1693" coordsize="860,156" path="m2873,1849l3732,1849,3732,1693,2873,1693,2873,1849xe" filled="true" fillcolor="#ffffff" stroked="false">
                <v:path arrowok="t"/>
                <v:fill type="solid"/>
              </v:shape>
            </v:group>
            <v:group style="position:absolute;left:2885;top:1849;width:2;height:392" coordorigin="2885,1849" coordsize="2,392">
              <v:shape style="position:absolute;left:2885;top:1849;width:2;height:392" coordorigin="2885,1849" coordsize="0,392" path="m2885,1849l2885,2241e" filled="false" stroked="true" strokeweight="1.2pt" strokecolor="#ffffff">
                <v:path arrowok="t"/>
              </v:shape>
            </v:group>
            <v:group style="position:absolute;left:2897;top:1849;width:814;height:392" coordorigin="2897,1849" coordsize="814,392">
              <v:shape style="position:absolute;left:2897;top:1849;width:814;height:392" coordorigin="2897,1849" coordsize="814,392" path="m2897,2241l3710,2241,3710,1849,2897,1849,2897,2241xe" filled="true" fillcolor="#ffffff" stroked="false">
                <v:path arrowok="t"/>
                <v:fill type="solid"/>
              </v:shape>
            </v:group>
            <v:group style="position:absolute;left:1138;top:1686;width:855;height:2" coordorigin="1138,1686" coordsize="855,2">
              <v:shape style="position:absolute;left:1138;top:1686;width:855;height:2" coordorigin="1138,1686" coordsize="855,0" path="m1138,1686l1992,1686e" filled="false" stroked="true" strokeweight=".48pt" strokecolor="#000000">
                <v:path arrowok="t"/>
              </v:shape>
            </v:group>
            <v:group style="position:absolute;left:2002;top:1686;width:862;height:2" coordorigin="2002,1686" coordsize="862,2">
              <v:shape style="position:absolute;left:2002;top:1686;width:862;height:2" coordorigin="2002,1686" coordsize="862,0" path="m2002,1686l2863,1686e" filled="false" stroked="true" strokeweight=".48pt" strokecolor="#000000">
                <v:path arrowok="t"/>
              </v:shape>
            </v:group>
            <v:group style="position:absolute;left:2873;top:1686;width:860;height:2" coordorigin="2873,1686" coordsize="860,2">
              <v:shape style="position:absolute;left:2873;top:1686;width:860;height:2" coordorigin="2873,1686" coordsize="860,0" path="m2873,1686l3732,1686e" filled="false" stroked="true" strokeweight=".48pt" strokecolor="#000000">
                <v:path arrowok="t"/>
              </v:shape>
            </v:group>
            <v:group style="position:absolute;left:3742;top:1686;width:862;height:2" coordorigin="3742,1686" coordsize="862,2">
              <v:shape style="position:absolute;left:3742;top:1686;width:862;height:2" coordorigin="3742,1686" coordsize="862,0" path="m3742,1686l4603,1686e" filled="false" stroked="true" strokeweight=".48pt" strokecolor="#000000">
                <v:path arrowok="t"/>
              </v:shape>
            </v:group>
            <v:group style="position:absolute;left:4613;top:1686;width:860;height:2" coordorigin="4613,1686" coordsize="860,2">
              <v:shape style="position:absolute;left:4613;top:1686;width:860;height:2" coordorigin="4613,1686" coordsize="860,0" path="m4613,1686l5472,1686e" filled="false" stroked="true" strokeweight=".48pt" strokecolor="#000000">
                <v:path arrowok="t"/>
              </v:shape>
            </v:group>
            <v:group style="position:absolute;left:5482;top:1686;width:860;height:2" coordorigin="5482,1686" coordsize="860,2">
              <v:shape style="position:absolute;left:5482;top:1686;width:860;height:2" coordorigin="5482,1686" coordsize="860,0" path="m5482,1686l6341,1686e" filled="false" stroked="true" strokeweight=".48pt" strokecolor="#000000">
                <v:path arrowok="t"/>
              </v:shape>
            </v:group>
            <v:group style="position:absolute;left:6350;top:1686;width:862;height:2" coordorigin="6350,1686" coordsize="862,2">
              <v:shape style="position:absolute;left:6350;top:1686;width:862;height:2" coordorigin="6350,1686" coordsize="862,0" path="m6350,1686l7212,1686e" filled="false" stroked="true" strokeweight=".48pt" strokecolor="#000000">
                <v:path arrowok="t"/>
              </v:shape>
            </v:group>
            <v:group style="position:absolute;left:7222;top:1686;width:860;height:2" coordorigin="7222,1686" coordsize="860,2">
              <v:shape style="position:absolute;left:7222;top:1686;width:860;height:2" coordorigin="7222,1686" coordsize="860,0" path="m7222,1686l8081,1686e" filled="false" stroked="true" strokeweight=".48pt" strokecolor="#000000">
                <v:path arrowok="t"/>
              </v:shape>
            </v:group>
            <v:group style="position:absolute;left:8090;top:1686;width:862;height:2" coordorigin="8090,1686" coordsize="862,2">
              <v:shape style="position:absolute;left:8090;top:1686;width:862;height:2" coordorigin="8090,1686" coordsize="862,0" path="m8090,1686l8952,1686e" filled="false" stroked="true" strokeweight=".48pt" strokecolor="#000000">
                <v:path arrowok="t"/>
              </v:shape>
            </v:group>
            <v:group style="position:absolute;left:8962;top:1686;width:860;height:2" coordorigin="8962,1686" coordsize="860,2">
              <v:shape style="position:absolute;left:8962;top:1686;width:860;height:2" coordorigin="8962,1686" coordsize="860,0" path="m8962,1686l9821,1686e" filled="false" stroked="true" strokeweight=".48pt" strokecolor="#000000">
                <v:path arrowok="t"/>
              </v:shape>
            </v:group>
            <v:group style="position:absolute;left:9830;top:1686;width:862;height:2" coordorigin="9830,1686" coordsize="862,2">
              <v:shape style="position:absolute;left:9830;top:1686;width:862;height:2" coordorigin="9830,1686" coordsize="862,0" path="m9830,1686l10692,1686e" filled="false" stroked="true" strokeweight=".48pt" strokecolor="#000000">
                <v:path arrowok="t"/>
              </v:shape>
            </v:group>
            <v:group style="position:absolute;left:1151;top:4950;width:2;height:392" coordorigin="1151,4950" coordsize="2,392">
              <v:shape style="position:absolute;left:1151;top:4950;width:2;height:392" coordorigin="1151,4950" coordsize="0,392" path="m1151,4950l1151,5341e" filled="false" stroked="true" strokeweight="1.08pt" strokecolor="#d4d4d4">
                <v:path arrowok="t"/>
              </v:shape>
            </v:group>
            <v:group style="position:absolute;left:1982;top:4950;width:2;height:392" coordorigin="1982,4950" coordsize="2,392">
              <v:shape style="position:absolute;left:1982;top:4950;width:2;height:392" coordorigin="1982,4950" coordsize="0,392" path="m1982,4950l1982,5341e" filled="false" stroked="true" strokeweight="1.2pt" strokecolor="#d4d4d4">
                <v:path arrowok="t"/>
              </v:shape>
            </v:group>
            <v:group style="position:absolute;left:1162;top:4950;width:809;height:392" coordorigin="1162,4950" coordsize="809,392">
              <v:shape style="position:absolute;left:1162;top:4950;width:809;height:392" coordorigin="1162,4950" coordsize="809,392" path="m1162,5341l1970,5341,1970,4950,1162,4950,1162,5341xe" filled="true" fillcolor="#d4d4d4" stroked="false">
                <v:path arrowok="t"/>
                <v:fill type="solid"/>
              </v:shape>
            </v:group>
            <v:group style="position:absolute;left:2016;top:4950;width:2;height:392" coordorigin="2016,4950" coordsize="2,392">
              <v:shape style="position:absolute;left:2016;top:4950;width:2;height:392" coordorigin="2016,4950" coordsize="0,392" path="m2016,4950l2016,5341e" filled="false" stroked="true" strokeweight="1.2pt" strokecolor="#d4d4d4">
                <v:path arrowok="t"/>
              </v:shape>
            </v:group>
            <v:group style="position:absolute;left:2851;top:4950;width:2;height:392" coordorigin="2851,4950" coordsize="2,392">
              <v:shape style="position:absolute;left:2851;top:4950;width:2;height:392" coordorigin="2851,4950" coordsize="0,392" path="m2851,4950l2851,5341e" filled="false" stroked="true" strokeweight="1.2pt" strokecolor="#d4d4d4">
                <v:path arrowok="t"/>
              </v:shape>
            </v:group>
            <v:group style="position:absolute;left:2028;top:4950;width:812;height:392" coordorigin="2028,4950" coordsize="812,392">
              <v:shape style="position:absolute;left:2028;top:4950;width:812;height:392" coordorigin="2028,4950" coordsize="812,392" path="m2028,5341l2839,5341,2839,4950,2028,4950,2028,5341xe" filled="true" fillcolor="#d4d4d4" stroked="false">
                <v:path arrowok="t"/>
                <v:fill type="solid"/>
              </v:shape>
            </v:group>
            <v:group style="position:absolute;left:1138;top:4945;width:855;height:2" coordorigin="1138,4945" coordsize="855,2">
              <v:shape style="position:absolute;left:1138;top:4945;width:855;height:2" coordorigin="1138,4945" coordsize="855,0" path="m1138,4945l1992,4945e" filled="false" stroked="true" strokeweight=".481pt" strokecolor="#000000">
                <v:path arrowok="t"/>
              </v:shape>
            </v:group>
            <v:group style="position:absolute;left:2002;top:4945;width:862;height:2" coordorigin="2002,4945" coordsize="862,2">
              <v:shape style="position:absolute;left:2002;top:4945;width:862;height:2" coordorigin="2002,4945" coordsize="862,0" path="m2002,4945l2863,4945e" filled="false" stroked="true" strokeweight=".481pt" strokecolor="#000000">
                <v:path arrowok="t"/>
              </v:shape>
            </v:group>
            <v:group style="position:absolute;left:2873;top:4945;width:860;height:2" coordorigin="2873,4945" coordsize="860,2">
              <v:shape style="position:absolute;left:2873;top:4945;width:860;height:2" coordorigin="2873,4945" coordsize="860,0" path="m2873,4945l3732,4945e" filled="false" stroked="true" strokeweight=".481pt" strokecolor="#000000">
                <v:path arrowok="t"/>
              </v:shape>
            </v:group>
            <v:group style="position:absolute;left:3742;top:4945;width:862;height:2" coordorigin="3742,4945" coordsize="862,2">
              <v:shape style="position:absolute;left:3742;top:4945;width:862;height:2" coordorigin="3742,4945" coordsize="862,0" path="m3742,4945l4603,4945e" filled="false" stroked="true" strokeweight=".481pt" strokecolor="#000000">
                <v:path arrowok="t"/>
              </v:shape>
            </v:group>
            <v:group style="position:absolute;left:4613;top:4945;width:860;height:2" coordorigin="4613,4945" coordsize="860,2">
              <v:shape style="position:absolute;left:4613;top:4945;width:860;height:2" coordorigin="4613,4945" coordsize="860,0" path="m4613,4945l5472,4945e" filled="false" stroked="true" strokeweight=".481pt" strokecolor="#000000">
                <v:path arrowok="t"/>
              </v:shape>
            </v:group>
            <v:group style="position:absolute;left:5482;top:4945;width:860;height:2" coordorigin="5482,4945" coordsize="860,2">
              <v:shape style="position:absolute;left:5482;top:4945;width:860;height:2" coordorigin="5482,4945" coordsize="860,0" path="m5482,4945l6341,4945e" filled="false" stroked="true" strokeweight=".481pt" strokecolor="#000000">
                <v:path arrowok="t"/>
              </v:shape>
            </v:group>
            <v:group style="position:absolute;left:6350;top:4945;width:862;height:2" coordorigin="6350,4945" coordsize="862,2">
              <v:shape style="position:absolute;left:6350;top:4945;width:862;height:2" coordorigin="6350,4945" coordsize="862,0" path="m6350,4945l7212,4945e" filled="false" stroked="true" strokeweight=".481pt" strokecolor="#000000">
                <v:path arrowok="t"/>
              </v:shape>
            </v:group>
            <v:group style="position:absolute;left:7222;top:4945;width:860;height:2" coordorigin="7222,4945" coordsize="860,2">
              <v:shape style="position:absolute;left:7222;top:4945;width:860;height:2" coordorigin="7222,4945" coordsize="860,0" path="m7222,4945l8081,4945e" filled="false" stroked="true" strokeweight=".481pt" strokecolor="#000000">
                <v:path arrowok="t"/>
              </v:shape>
            </v:group>
            <v:group style="position:absolute;left:8090;top:4945;width:862;height:2" coordorigin="8090,4945" coordsize="862,2">
              <v:shape style="position:absolute;left:8090;top:4945;width:862;height:2" coordorigin="8090,4945" coordsize="862,0" path="m8090,4945l8952,4945e" filled="false" stroked="true" strokeweight=".481pt" strokecolor="#000000">
                <v:path arrowok="t"/>
              </v:shape>
            </v:group>
            <v:group style="position:absolute;left:8962;top:4945;width:860;height:2" coordorigin="8962,4945" coordsize="860,2">
              <v:shape style="position:absolute;left:8962;top:4945;width:860;height:2" coordorigin="8962,4945" coordsize="860,0" path="m8962,4945l9821,4945e" filled="false" stroked="true" strokeweight=".481pt" strokecolor="#000000">
                <v:path arrowok="t"/>
              </v:shape>
            </v:group>
            <v:group style="position:absolute;left:9830;top:4945;width:862;height:2" coordorigin="9830,4945" coordsize="862,2">
              <v:shape style="position:absolute;left:9830;top:4945;width:862;height:2" coordorigin="9830,4945" coordsize="862,0" path="m9830,4945l10692,4945e" filled="false" stroked="true" strokeweight=".481pt" strokecolor="#000000">
                <v:path arrowok="t"/>
              </v:shape>
            </v:group>
            <v:group style="position:absolute;left:1133;top:345;width:2;height:5009" coordorigin="1133,345" coordsize="2,5009">
              <v:shape style="position:absolute;left:1133;top:345;width:2;height:5009" coordorigin="1133,345" coordsize="0,5009" path="m1133,345l1133,5353e" filled="false" stroked="true" strokeweight=".48pt" strokecolor="#000000">
                <v:path arrowok="t"/>
              </v:shape>
            </v:group>
            <v:group style="position:absolute;left:1138;top:5349;width:855;height:2" coordorigin="1138,5349" coordsize="855,2">
              <v:shape style="position:absolute;left:1138;top:5349;width:855;height:2" coordorigin="1138,5349" coordsize="855,0" path="m1138,5349l1992,5349e" filled="false" stroked="true" strokeweight=".481pt" strokecolor="#000000">
                <v:path arrowok="t"/>
              </v:shape>
            </v:group>
            <v:group style="position:absolute;left:2002;top:5349;width:862;height:2" coordorigin="2002,5349" coordsize="862,2">
              <v:shape style="position:absolute;left:2002;top:5349;width:862;height:2" coordorigin="2002,5349" coordsize="862,0" path="m2002,5349l2863,5349e" filled="false" stroked="true" strokeweight=".481pt" strokecolor="#000000">
                <v:path arrowok="t"/>
              </v:shape>
            </v:group>
            <v:group style="position:absolute;left:2873;top:2406;width:860;height:156" coordorigin="2873,2406" coordsize="860,156">
              <v:shape style="position:absolute;left:2873;top:2406;width:860;height:156" coordorigin="2873,2406" coordsize="860,156" path="m2873,2562l3732,2562,3732,2406,2873,2406,2873,2562xe" filled="true" fillcolor="#ffffff" stroked="false">
                <v:path arrowok="t"/>
                <v:fill type="solid"/>
              </v:shape>
            </v:group>
            <v:group style="position:absolute;left:2885;top:2562;width:2;height:392" coordorigin="2885,2562" coordsize="2,392">
              <v:shape style="position:absolute;left:2885;top:2562;width:2;height:392" coordorigin="2885,2562" coordsize="0,392" path="m2885,2562l2885,2953e" filled="false" stroked="true" strokeweight="1.2pt" strokecolor="#ffffff">
                <v:path arrowok="t"/>
              </v:shape>
            </v:group>
            <v:group style="position:absolute;left:2897;top:2562;width:814;height:392" coordorigin="2897,2562" coordsize="814,392">
              <v:shape style="position:absolute;left:2897;top:2562;width:814;height:392" coordorigin="2897,2562" coordsize="814,392" path="m2897,2953l3710,2953,3710,2562,2897,2562,2897,2953xe" filled="true" fillcolor="#ffffff" stroked="false">
                <v:path arrowok="t"/>
                <v:fill type="solid"/>
              </v:shape>
            </v:group>
            <v:group style="position:absolute;left:2873;top:3121;width:860;height:156" coordorigin="2873,3121" coordsize="860,156">
              <v:shape style="position:absolute;left:2873;top:3121;width:860;height:156" coordorigin="2873,3121" coordsize="860,156" path="m2873,3277l3732,3277,3732,3121,2873,3121,2873,3277xe" filled="true" fillcolor="#ffffff" stroked="false">
                <v:path arrowok="t"/>
                <v:fill type="solid"/>
              </v:shape>
            </v:group>
            <v:group style="position:absolute;left:2885;top:3277;width:2;height:392" coordorigin="2885,3277" coordsize="2,392">
              <v:shape style="position:absolute;left:2885;top:3277;width:2;height:392" coordorigin="2885,3277" coordsize="0,392" path="m2885,3277l2885,3669e" filled="false" stroked="true" strokeweight="1.2pt" strokecolor="#ffffff">
                <v:path arrowok="t"/>
              </v:shape>
            </v:group>
            <v:group style="position:absolute;left:2897;top:3277;width:814;height:392" coordorigin="2897,3277" coordsize="814,392">
              <v:shape style="position:absolute;left:2897;top:3277;width:814;height:392" coordorigin="2897,3277" coordsize="814,392" path="m2897,3669l3710,3669,3710,3277,2897,3277,2897,3669xe" filled="true" fillcolor="#ffffff" stroked="false">
                <v:path arrowok="t"/>
                <v:fill type="solid"/>
              </v:shape>
            </v:group>
            <v:group style="position:absolute;left:2868;top:345;width:2;height:5009" coordorigin="2868,345" coordsize="2,5009">
              <v:shape style="position:absolute;left:2868;top:345;width:2;height:5009" coordorigin="2868,345" coordsize="0,5009" path="m2868,345l2868,5353e" filled="false" stroked="true" strokeweight=".48pt" strokecolor="#000000">
                <v:path arrowok="t"/>
              </v:shape>
            </v:group>
            <v:group style="position:absolute;left:2873;top:5349;width:860;height:2" coordorigin="2873,5349" coordsize="860,2">
              <v:shape style="position:absolute;left:2873;top:5349;width:860;height:2" coordorigin="2873,5349" coordsize="860,0" path="m2873,5349l3732,5349e" filled="false" stroked="true" strokeweight=".481pt" strokecolor="#000000">
                <v:path arrowok="t"/>
              </v:shape>
            </v:group>
            <v:group style="position:absolute;left:3742;top:5349;width:862;height:2" coordorigin="3742,5349" coordsize="862,2">
              <v:shape style="position:absolute;left:3742;top:5349;width:862;height:2" coordorigin="3742,5349" coordsize="862,0" path="m3742,5349l4603,5349e" filled="false" stroked="true" strokeweight=".481pt" strokecolor="#000000">
                <v:path arrowok="t"/>
              </v:shape>
            </v:group>
            <v:group style="position:absolute;left:4613;top:5349;width:860;height:2" coordorigin="4613,5349" coordsize="860,2">
              <v:shape style="position:absolute;left:4613;top:5349;width:860;height:2" coordorigin="4613,5349" coordsize="860,0" path="m4613,5349l5472,5349e" filled="false" stroked="true" strokeweight=".481pt" strokecolor="#000000">
                <v:path arrowok="t"/>
              </v:shape>
            </v:group>
            <v:group style="position:absolute;left:5482;top:5349;width:860;height:2" coordorigin="5482,5349" coordsize="860,2">
              <v:shape style="position:absolute;left:5482;top:5349;width:860;height:2" coordorigin="5482,5349" coordsize="860,0" path="m5482,5349l6341,5349e" filled="false" stroked="true" strokeweight=".481pt" strokecolor="#000000">
                <v:path arrowok="t"/>
              </v:shape>
            </v:group>
            <v:group style="position:absolute;left:6350;top:5349;width:862;height:2" coordorigin="6350,5349" coordsize="862,2">
              <v:shape style="position:absolute;left:6350;top:5349;width:862;height:2" coordorigin="6350,5349" coordsize="862,0" path="m6350,5349l7212,5349e" filled="false" stroked="true" strokeweight=".481pt" strokecolor="#000000">
                <v:path arrowok="t"/>
              </v:shape>
            </v:group>
            <v:group style="position:absolute;left:7222;top:5349;width:860;height:2" coordorigin="7222,5349" coordsize="860,2">
              <v:shape style="position:absolute;left:7222;top:5349;width:860;height:2" coordorigin="7222,5349" coordsize="860,0" path="m7222,5349l8081,5349e" filled="false" stroked="true" strokeweight=".481pt" strokecolor="#000000">
                <v:path arrowok="t"/>
              </v:shape>
            </v:group>
            <v:group style="position:absolute;left:8090;top:5349;width:862;height:2" coordorigin="8090,5349" coordsize="862,2">
              <v:shape style="position:absolute;left:8090;top:5349;width:862;height:2" coordorigin="8090,5349" coordsize="862,0" path="m8090,5349l8952,5349e" filled="false" stroked="true" strokeweight=".481pt" strokecolor="#000000">
                <v:path arrowok="t"/>
              </v:shape>
            </v:group>
            <v:group style="position:absolute;left:8962;top:5349;width:860;height:2" coordorigin="8962,5349" coordsize="860,2">
              <v:shape style="position:absolute;left:8962;top:5349;width:860;height:2" coordorigin="8962,5349" coordsize="860,0" path="m8962,5349l9821,5349e" filled="false" stroked="true" strokeweight=".481pt" strokecolor="#000000">
                <v:path arrowok="t"/>
              </v:shape>
            </v:group>
            <v:group style="position:absolute;left:9830;top:5349;width:862;height:2" coordorigin="9830,5349" coordsize="862,2">
              <v:shape style="position:absolute;left:9830;top:5349;width:862;height:2" coordorigin="9830,5349" coordsize="862,0" path="m9830,5349l10692,5349e" filled="false" stroked="true" strokeweight=".481pt" strokecolor="#000000">
                <v:path arrowok="t"/>
              </v:shape>
            </v:group>
            <v:group style="position:absolute;left:10697;top:345;width:2;height:5009" coordorigin="10697,345" coordsize="2,5009">
              <v:shape style="position:absolute;left:10697;top:345;width:2;height:5009" coordorigin="10697,345" coordsize="0,5009" path="m10697,345l10697,5353e" filled="false" stroked="true" strokeweight=".48pt" strokecolor="#000000">
                <v:path arrowok="t"/>
              </v:shape>
            </v:group>
            <w10:wrap type="none"/>
          </v:group>
        </w:pict>
      </w:r>
      <w:r>
        <w:rPr/>
        <w:t>单位：股</w:t>
      </w:r>
    </w:p>
    <w:p>
      <w:pPr>
        <w:spacing w:after="0" w:line="240" w:lineRule="auto"/>
        <w:jc w:val="left"/>
        <w:sectPr>
          <w:type w:val="continuous"/>
          <w:pgSz w:w="11910" w:h="16840"/>
          <w:pgMar w:top="1060" w:bottom="1180" w:left="980" w:right="980"/>
          <w:cols w:num="2" w:equalWidth="0">
            <w:col w:w="5193" w:space="3725"/>
            <w:col w:w="1032"/>
          </w:cols>
        </w:sectPr>
      </w:pPr>
    </w:p>
    <w:p>
      <w:pPr>
        <w:spacing w:line="240" w:lineRule="auto" w:before="9"/>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337" w:hRule="exact"/>
        </w:trPr>
        <w:tc>
          <w:tcPr>
            <w:tcW w:w="864"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4"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3"/>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3"/>
                <w:szCs w:val="13"/>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3"/>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2" w:lineRule="auto" w:before="53"/>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9" w:right="74"/>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740" w:type="dxa"/>
            <w:gridSpan w:val="2"/>
            <w:tcBorders>
              <w:top w:val="nil" w:sz="6" w:space="0" w:color="auto"/>
              <w:left w:val="single" w:sz="4" w:space="0" w:color="000000"/>
              <w:bottom w:val="single" w:sz="4" w:space="0" w:color="000000"/>
              <w:right w:val="single" w:sz="4" w:space="0" w:color="000000"/>
            </w:tcBorders>
          </w:tcPr>
          <w:p>
            <w:pPr>
              <w:pStyle w:val="TableParagraph"/>
              <w:spacing w:line="217" w:lineRule="exact" w:before="56"/>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141" w:lineRule="exact"/>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188" w:lineRule="exact"/>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7.585</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37.27</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142" w:lineRule="exact"/>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189" w:lineRule="exact"/>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before="51"/>
              <w:ind w:left="26" w:right="0"/>
              <w:jc w:val="left"/>
              <w:rPr>
                <w:rFonts w:ascii="宋体" w:hAnsi="宋体" w:cs="宋体" w:eastAsia="宋体" w:hint="default"/>
                <w:sz w:val="18"/>
                <w:szCs w:val="18"/>
              </w:rPr>
            </w:pPr>
            <w:r>
              <w:rPr>
                <w:rFonts w:ascii="宋体" w:hAnsi="宋体" w:cs="宋体" w:eastAsia="宋体" w:hint="default"/>
                <w:sz w:val="18"/>
                <w:szCs w:val="18"/>
              </w:rPr>
              <w:t>总工程师，</w:t>
            </w:r>
          </w:p>
          <w:p>
            <w:pPr>
              <w:pStyle w:val="TableParagraph"/>
              <w:spacing w:line="141" w:lineRule="exact"/>
              <w:ind w:right="1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188" w:lineRule="exact"/>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871" w:type="dxa"/>
            <w:tcBorders>
              <w:top w:val="single" w:sz="4" w:space="0" w:color="000000"/>
              <w:left w:val="single" w:sz="4" w:space="0" w:color="000000"/>
              <w:bottom w:val="nil" w:sz="6" w:space="0" w:color="auto"/>
              <w:right w:val="nil" w:sz="6" w:space="0" w:color="auto"/>
            </w:tcBorders>
          </w:tcPr>
          <w:p>
            <w:pPr>
              <w:pStyle w:val="TableParagraph"/>
              <w:spacing w:line="314" w:lineRule="auto" w:before="51"/>
              <w:ind w:left="26" w:right="119"/>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7.585</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37.27</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268,000</w:t>
            </w:r>
          </w:p>
        </w:tc>
        <w:tc>
          <w:tcPr>
            <w:tcW w:w="871" w:type="dxa"/>
            <w:tcBorders>
              <w:top w:val="nil" w:sz="6" w:space="0" w:color="auto"/>
              <w:left w:val="single" w:sz="4" w:space="0" w:color="000000"/>
              <w:bottom w:val="nil" w:sz="6" w:space="0" w:color="auto"/>
              <w:right w:val="single" w:sz="10" w:space="0" w:color="D4D4D4"/>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268,000</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nil" w:sz="6" w:space="0" w:color="auto"/>
              <w:left w:val="single" w:sz="12" w:space="0" w:color="D4D4D4"/>
              <w:bottom w:val="nil" w:sz="6" w:space="0" w:color="auto"/>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67,000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nil" w:sz="6" w:space="0" w:color="auto"/>
              <w:left w:val="single" w:sz="12" w:space="0" w:color="D4D4D4"/>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2"/>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1,673</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1,673</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1,673</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薪酬政策" w:id="123"/>
      <w:bookmarkEnd w:id="1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458" w:lineRule="auto"/>
        <w:ind w:right="0" w:firstLine="36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日根据公司发展现状及人力资源管理战略制定《薪酬管理制度》</w:t>
      </w:r>
      <w:r>
        <w:rPr>
          <w:rFonts w:ascii="Times New Roman" w:hAnsi="Times New Roman" w:cs="Times New Roman" w:eastAsia="Times New Roman" w:hint="default"/>
          <w:spacing w:val="-1"/>
        </w:rPr>
        <w:t>A0</w:t>
      </w:r>
      <w:r>
        <w:rPr>
          <w:spacing w:val="-1"/>
        </w:rPr>
        <w:t>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日公司对此制度进行修</w:t>
      </w:r>
      <w:r>
        <w:rPr/>
        <w:t> 订，增加</w:t>
      </w:r>
      <w:r>
        <w:rPr>
          <w:rFonts w:ascii="Times New Roman" w:hAnsi="Times New Roman" w:cs="Times New Roman" w:eastAsia="Times New Roman" w:hint="default"/>
        </w:rPr>
        <w:t>“</w:t>
      </w:r>
      <w:r>
        <w:rPr/>
        <w:t>办公地点变动调薪</w:t>
      </w:r>
      <w:r>
        <w:rPr>
          <w:rFonts w:ascii="Times New Roman" w:hAnsi="Times New Roman" w:cs="Times New Roman" w:eastAsia="Times New Roman" w:hint="default"/>
        </w:rPr>
        <w:t>”</w:t>
      </w:r>
      <w:r>
        <w:rPr/>
        <w:t>相关规定；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日发布薪酬管理制度</w:t>
      </w:r>
      <w:r>
        <w:rPr>
          <w:rFonts w:ascii="Times New Roman" w:hAnsi="Times New Roman" w:cs="Times New Roman" w:eastAsia="Times New Roman" w:hint="default"/>
        </w:rPr>
        <w:t>A1</w:t>
      </w:r>
      <w:r>
        <w:rPr/>
        <w:t>版，旨在更好的实施保障与激励相结合的薪酬 </w:t>
      </w:r>
      <w:r>
        <w:rPr>
          <w:spacing w:val="-2"/>
        </w:rPr>
        <w:t>分配制度，建立兼顾内部公平性及外部竞争力的薪酬体系，体现以岗定级、以绩定奖的薪酬理念，实现价值差异和宽带薪酬</w:t>
      </w:r>
      <w:r>
        <w:rPr>
          <w:spacing w:val="-65"/>
        </w:rPr>
        <w:t> </w:t>
      </w:r>
      <w:r>
        <w:rPr>
          <w:spacing w:val="-65"/>
        </w:rPr>
      </w:r>
      <w:r>
        <w:rPr/>
        <w:t>结构。从制度上来规范公司的薪酬管理工作，促进薪酬管理工作持续、稳定、健康的开展。</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32"/>
          <w:szCs w:val="32"/>
        </w:rPr>
      </w:pPr>
    </w:p>
    <w:p>
      <w:pPr>
        <w:pStyle w:val="BodyText"/>
        <w:spacing w:line="458" w:lineRule="auto"/>
        <w:ind w:right="153" w:firstLine="360"/>
        <w:jc w:val="both"/>
      </w:pPr>
      <w:r>
        <w:rPr>
          <w:spacing w:val="-2"/>
        </w:rPr>
        <w:t>培训计划分为公司级培训计划、部门内部培训计划、外派学习培训计划及各类型外聘内训培训计划，其中以部门内训为</w:t>
      </w:r>
      <w:r>
        <w:rPr/>
        <w:t> </w:t>
      </w:r>
      <w:r>
        <w:rPr>
          <w:spacing w:val="-2"/>
        </w:rPr>
        <w:t>主，其他类型培训为辅。部门内部培训方面，部门内部根据各自工作情况，制定部门内部培训计划，并组织实施。</w:t>
      </w:r>
      <w:r>
        <w:rPr>
          <w:rFonts w:ascii="Times New Roman" w:hAnsi="Times New Roman" w:cs="Times New Roman" w:eastAsia="Times New Roman" w:hint="default"/>
          <w:spacing w:val="-2"/>
        </w:rPr>
        <w:t>2016</w:t>
      </w:r>
      <w:r>
        <w:rPr>
          <w:spacing w:val="-2"/>
        </w:rPr>
        <w:t>年各</w:t>
      </w:r>
      <w:r>
        <w:rPr>
          <w:spacing w:val="-65"/>
        </w:rPr>
        <w:t> </w:t>
      </w:r>
      <w:r>
        <w:rPr/>
        <w:t>部门共计划开展内训</w:t>
      </w:r>
      <w:r>
        <w:rPr>
          <w:rFonts w:ascii="Times New Roman" w:hAnsi="Times New Roman" w:cs="Times New Roman" w:eastAsia="Times New Roman" w:hint="default"/>
        </w:rPr>
        <w:t>121</w:t>
      </w:r>
      <w:r>
        <w:rPr/>
        <w:t>场，将根据实际情况以及结合业务发展需要增减培训类型及场次。人力资源部根据各部门的培训计 划进行各部门培训学习的跟踪和监督，确保部门内部培训的落实。</w:t>
      </w:r>
    </w:p>
    <w:p>
      <w:pPr>
        <w:pStyle w:val="BodyText"/>
        <w:spacing w:line="240" w:lineRule="auto" w:before="68"/>
        <w:ind w:left="512" w:right="0"/>
        <w:jc w:val="left"/>
      </w:pPr>
      <w:r>
        <w:rPr>
          <w:rFonts w:ascii="Times New Roman" w:hAnsi="Times New Roman" w:cs="Times New Roman" w:eastAsia="Times New Roman" w:hint="default"/>
        </w:rPr>
        <w:t>2015</w:t>
      </w:r>
      <w:r>
        <w:rPr/>
        <w:t>年，公司共开展了</w:t>
      </w:r>
      <w:r>
        <w:rPr>
          <w:rFonts w:ascii="Times New Roman" w:hAnsi="Times New Roman" w:cs="Times New Roman" w:eastAsia="Times New Roman" w:hint="default"/>
        </w:rPr>
        <w:t>257</w:t>
      </w:r>
      <w:r>
        <w:rPr/>
        <w:t>场培训，其中内训</w:t>
      </w:r>
      <w:r>
        <w:rPr>
          <w:rFonts w:ascii="Times New Roman" w:hAnsi="Times New Roman" w:cs="Times New Roman" w:eastAsia="Times New Roman" w:hint="default"/>
        </w:rPr>
        <w:t>233</w:t>
      </w:r>
      <w:r>
        <w:rPr/>
        <w:t>场，外派培训</w:t>
      </w:r>
      <w:r>
        <w:rPr>
          <w:rFonts w:ascii="Times New Roman" w:hAnsi="Times New Roman" w:cs="Times New Roman" w:eastAsia="Times New Roman" w:hint="default"/>
        </w:rPr>
        <w:t>/</w:t>
      </w:r>
      <w:r>
        <w:rPr/>
        <w:t>外聘内训</w:t>
      </w:r>
      <w:r>
        <w:rPr>
          <w:rFonts w:ascii="Times New Roman" w:hAnsi="Times New Roman" w:cs="Times New Roman" w:eastAsia="Times New Roman" w:hint="default"/>
        </w:rPr>
        <w:t>24</w:t>
      </w:r>
      <w:r>
        <w:rPr/>
        <w:t>场，覆盖人数</w:t>
      </w:r>
      <w:r>
        <w:rPr>
          <w:rFonts w:ascii="Times New Roman" w:hAnsi="Times New Roman" w:cs="Times New Roman" w:eastAsia="Times New Roman" w:hint="default"/>
        </w:rPr>
        <w:t>3,219</w:t>
      </w:r>
      <w:r>
        <w:rPr/>
        <w:t>人次，平均课堂满意度为</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91.4%</w:t>
      </w:r>
      <w:r>
        <w:rPr/>
        <w:t>，保证公司业务发展的需要，为公司可持续性发展贡献一份力量。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left="512" w:right="94"/>
        <w:jc w:val="left"/>
      </w:pPr>
      <w:r>
        <w:rPr>
          <w:spacing w:val="-4"/>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ind w:right="9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pStyle w:val="BodyText"/>
        <w:spacing w:line="451" w:lineRule="auto" w:before="54"/>
        <w:ind w:right="111" w:firstLine="360"/>
        <w:jc w:val="both"/>
      </w:pPr>
      <w:r>
        <w:rPr>
          <w:rFonts w:ascii="Times New Roman" w:hAnsi="Times New Roman" w:cs="Times New Roman" w:eastAsia="Times New Roman" w:hint="default"/>
        </w:rPr>
        <w:t>1</w:t>
      </w:r>
      <w:r>
        <w:rPr/>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BodyText"/>
        <w:spacing w:line="463" w:lineRule="auto" w:before="74"/>
        <w:ind w:right="190" w:firstLine="360"/>
        <w:jc w:val="both"/>
      </w:pPr>
      <w:r>
        <w:rPr>
          <w:rFonts w:ascii="Times New Roman" w:hAnsi="Times New Roman" w:cs="Times New Roman" w:eastAsia="Times New Roman" w:hint="default"/>
        </w:rPr>
        <w:t>2</w:t>
      </w:r>
      <w:r>
        <w:rPr/>
        <w:t>、关于公司与控股股东：公司控股股东严格规范自己的行为，没有超越股东大会直接或间接干预公司的决策和经营活 </w:t>
      </w:r>
      <w:r>
        <w:rPr>
          <w:spacing w:val="-2"/>
        </w:rPr>
        <w:t>动。公司拥有独立完整的业务和自主经营能力，在业务、人员、资产、机构、财务上独立于控股股东，公司董事会、监事会</w:t>
      </w:r>
      <w:r>
        <w:rPr>
          <w:spacing w:val="-65"/>
        </w:rPr>
        <w:t> </w:t>
      </w:r>
      <w:r>
        <w:rPr>
          <w:spacing w:val="-65"/>
        </w:rPr>
      </w:r>
      <w:r>
        <w:rPr/>
        <w:t>和内部机构独立运作。</w:t>
      </w:r>
    </w:p>
    <w:p>
      <w:pPr>
        <w:pStyle w:val="BodyText"/>
        <w:spacing w:line="470" w:lineRule="auto" w:before="65"/>
        <w:ind w:right="192" w:firstLine="359"/>
        <w:jc w:val="both"/>
      </w:pPr>
      <w:r>
        <w:rPr>
          <w:rFonts w:ascii="Times New Roman" w:hAnsi="Times New Roman" w:cs="Times New Roman" w:eastAsia="Times New Roman" w:hint="default"/>
        </w:rPr>
        <w:t>3</w:t>
      </w:r>
      <w:r>
        <w:rPr/>
        <w:t>、关于董事和董事会：公司董事会设有董事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名。董事会的人数及人员构成符合法律、法规和《公 </w:t>
      </w:r>
      <w:r>
        <w:rPr>
          <w:spacing w:val="-2"/>
        </w:rPr>
        <w:t>司章程》的要求。各位董事能够依据《董事会议事规则》、《独立董事工作细则》、《深圳证券交易所创业板上市公司规范</w:t>
      </w:r>
      <w:r>
        <w:rPr>
          <w:spacing w:val="-67"/>
        </w:rPr>
        <w:t> </w:t>
      </w:r>
      <w:r>
        <w:rPr>
          <w:spacing w:val="-67"/>
        </w:rPr>
      </w:r>
      <w:r>
        <w:rPr>
          <w:spacing w:val="-3"/>
        </w:rPr>
        <w:t>运作指引》等开展工作，出席董事会和股东大会，尽责地履行职责和义务。公司董事通过自学熟悉并掌握相关法律法规，</w:t>
      </w:r>
      <w:r>
        <w:rPr>
          <w:spacing w:val="-27"/>
        </w:rPr>
        <w:t> </w:t>
      </w:r>
      <w:r>
        <w:rPr/>
        <w:t>从</w:t>
      </w:r>
      <w:r>
        <w:rPr>
          <w:spacing w:val="-82"/>
        </w:rPr>
        <w:t> </w:t>
      </w:r>
      <w:r>
        <w:rPr>
          <w:spacing w:val="-82"/>
        </w:rPr>
      </w:r>
      <w:r>
        <w:rPr>
          <w:spacing w:val="-3"/>
        </w:rPr>
        <w:t>根本上保证董事立足于维护公司和全体股东的最大利益，忠实、诚信、勤勉地履行职责，全体董事均能做到以认真负责，</w:t>
      </w:r>
      <w:r>
        <w:rPr>
          <w:spacing w:val="-25"/>
        </w:rPr>
        <w:t> </w:t>
      </w:r>
      <w:r>
        <w:rPr/>
        <w:t>勤</w:t>
      </w:r>
      <w:r>
        <w:rPr>
          <w:spacing w:val="-83"/>
        </w:rPr>
        <w:t> </w:t>
      </w:r>
      <w:r>
        <w:rPr>
          <w:spacing w:val="-83"/>
        </w:rPr>
      </w:r>
      <w:r>
        <w:rPr/>
        <w:t>勉诚信的态度忠实履行职责。</w:t>
      </w:r>
    </w:p>
    <w:p>
      <w:pPr>
        <w:pStyle w:val="BodyText"/>
        <w:spacing w:line="468" w:lineRule="auto" w:before="59"/>
        <w:ind w:left="153" w:right="94" w:firstLine="359"/>
        <w:jc w:val="left"/>
      </w:pPr>
      <w:r>
        <w:rPr>
          <w:rFonts w:ascii="Times New Roman" w:hAnsi="Times New Roman" w:cs="Times New Roman" w:eastAsia="Times New Roman" w:hint="default"/>
        </w:rPr>
        <w:t>4</w:t>
      </w:r>
      <w:r>
        <w:rPr/>
        <w:t>、关于监事和监事会：公司监事会设有监事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名，人数和人员构成符合法律、法规和《公司章程》 </w:t>
      </w:r>
      <w:r>
        <w:rPr>
          <w:spacing w:val="-4"/>
        </w:rPr>
        <w:t>的规定与要求；监事会会议的召集、召开程序，完全按照《监事会议事会议规则》的要求履行，并按照拟定的会议议程进行。</w:t>
      </w:r>
      <w:r>
        <w:rPr>
          <w:spacing w:val="-44"/>
        </w:rPr>
        <w:t> </w:t>
      </w:r>
      <w:r>
        <w:rPr>
          <w:spacing w:val="-44"/>
        </w:rPr>
      </w:r>
      <w:r>
        <w:rPr>
          <w:spacing w:val="-2"/>
        </w:rPr>
        <w:t>公司监事能够认真履行自己的职责，本着对公司和全体股东负责的精神，依法、独立对公司财务及公司董事、经理和其他高</w:t>
      </w:r>
      <w:r>
        <w:rPr>
          <w:spacing w:val="-64"/>
        </w:rPr>
        <w:t> </w:t>
      </w:r>
      <w:r>
        <w:rPr>
          <w:spacing w:val="-64"/>
        </w:rPr>
      </w:r>
      <w:r>
        <w:rPr/>
        <w:t>级管理人员履行职责的合法性、合规性进行监督。</w:t>
      </w:r>
    </w:p>
    <w:p>
      <w:pPr>
        <w:pStyle w:val="BodyText"/>
        <w:spacing w:line="451" w:lineRule="auto" w:before="61"/>
        <w:ind w:left="153" w:right="199" w:firstLine="360"/>
        <w:jc w:val="both"/>
      </w:pPr>
      <w:r>
        <w:rPr>
          <w:rFonts w:ascii="Times New Roman" w:hAnsi="Times New Roman" w:cs="Times New Roman" w:eastAsia="Times New Roman" w:hint="default"/>
        </w:rPr>
        <w:t>5</w:t>
      </w:r>
      <w:r>
        <w:rPr/>
        <w:t>、关于绩效评价与激励约束机制：公司董事会下设的薪酬与考核委员会，负责对公司的董事、监事、高管进行绩效考 核，公司现有的考核及激励约束机制符合公司的发展现状并且在不断完善。</w:t>
      </w:r>
    </w:p>
    <w:p>
      <w:pPr>
        <w:pStyle w:val="BodyText"/>
        <w:spacing w:line="463" w:lineRule="auto" w:before="74"/>
        <w:ind w:left="153" w:right="98" w:firstLine="360"/>
        <w:jc w:val="both"/>
      </w:pPr>
      <w:r>
        <w:rPr>
          <w:rFonts w:ascii="Times New Roman" w:hAnsi="Times New Roman" w:cs="Times New Roman" w:eastAsia="Times New Roman" w:hint="default"/>
        </w:rPr>
        <w:t>6</w:t>
      </w:r>
      <w:r>
        <w:rPr/>
        <w:t>、关于信息披露与透明度：公司严格按照有关法律法规以及《信息披露管理制度》、《投资者管理制度》、《重大信 </w:t>
      </w:r>
      <w:r>
        <w:rPr>
          <w:spacing w:val="-2"/>
        </w:rPr>
        <w:t>息内部报告和保密制度》等要求，真实、准确、及时、公平、完整地披露有关信息；并制定公司董事会秘书负责信息披露工</w:t>
      </w:r>
      <w:r>
        <w:rPr>
          <w:spacing w:val="-71"/>
        </w:rPr>
        <w:t> </w:t>
      </w:r>
      <w:r>
        <w:rPr>
          <w:spacing w:val="-71"/>
        </w:rPr>
      </w:r>
      <w:r>
        <w:rPr>
          <w:spacing w:val="-4"/>
        </w:rPr>
        <w:t>作，协调公司与投资者的关系，接待股东来访，回答投资者咨询，向投资者提供公司已披露的资料；并指定《中国证券报》、</w:t>
      </w:r>
    </w:p>
    <w:p>
      <w:pPr>
        <w:pStyle w:val="BodyText"/>
        <w:spacing w:line="451" w:lineRule="auto" w:before="65"/>
        <w:ind w:left="153" w:right="248"/>
        <w:jc w:val="left"/>
      </w:pPr>
      <w:r>
        <w:rPr/>
        <w:t>《证券时报》、《上海证券报》和巨潮网（</w:t>
      </w:r>
      <w:hyperlink r:id="rId13">
        <w:r>
          <w:rPr>
            <w:rFonts w:ascii="Times New Roman" w:hAnsi="Times New Roman" w:cs="Times New Roman" w:eastAsia="Times New Roman" w:hint="default"/>
          </w:rPr>
          <w:t>www.cninfo.com.cn</w:t>
        </w:r>
      </w:hyperlink>
      <w:r>
        <w:rPr/>
        <w:t>）为公司信息披露的指定报纸和网站，确保公司所有股东能 够以平等的机会获得信息。</w:t>
      </w:r>
    </w:p>
    <w:p>
      <w:pPr>
        <w:spacing w:after="0" w:line="451"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44" w:lineRule="auto"/>
        <w:ind w:right="164" w:firstLine="360"/>
        <w:jc w:val="left"/>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 公司治理的实际状况与中国证监会发布的有关上市公司治理的规范性文件是否存在重大差异</w:t>
      </w:r>
    </w:p>
    <w:p>
      <w:pPr>
        <w:pStyle w:val="BodyText"/>
        <w:spacing w:line="211"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both"/>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2" w:right="0"/>
        <w:jc w:val="left"/>
      </w:pPr>
      <w:r>
        <w:rPr>
          <w:spacing w:val="-4"/>
        </w:rPr>
        <w:t>为防止控股股东及关联方占用公司资金，杜绝控股股东及关联方资金占用行为的发生，根据《公司法》、《证券法》）、</w:t>
      </w:r>
      <w:r>
        <w:rPr/>
      </w:r>
    </w:p>
    <w:p>
      <w:pPr>
        <w:spacing w:line="240" w:lineRule="auto" w:before="10"/>
        <w:rPr>
          <w:rFonts w:ascii="宋体" w:hAnsi="宋体" w:cs="宋体" w:eastAsia="宋体" w:hint="default"/>
          <w:sz w:val="17"/>
          <w:szCs w:val="17"/>
        </w:rPr>
      </w:pPr>
    </w:p>
    <w:p>
      <w:pPr>
        <w:pStyle w:val="BodyText"/>
        <w:spacing w:line="477" w:lineRule="auto"/>
        <w:ind w:right="173"/>
        <w:jc w:val="both"/>
      </w:pPr>
      <w:r>
        <w:rPr>
          <w:spacing w:val="-2"/>
        </w:rPr>
        <w:t>《深圳证券交易所创业板股票上市规则》、《深圳证券交易所创业板上市公司规范运作指引》等有关法律法规和《深圳市新</w:t>
      </w:r>
      <w:r>
        <w:rPr>
          <w:spacing w:val="-65"/>
        </w:rPr>
        <w:t> </w:t>
      </w:r>
      <w:r>
        <w:rPr>
          <w:spacing w:val="-65"/>
        </w:rPr>
      </w:r>
      <w:r>
        <w:rPr>
          <w:spacing w:val="-2"/>
        </w:rPr>
        <w:t>国都技术股份有限公司章程》，公司制定了《防范控股股东及关联方占用公司资金制度》，明确关联方占用情况及相关责任</w:t>
      </w:r>
      <w:r>
        <w:rPr>
          <w:spacing w:val="-67"/>
        </w:rPr>
        <w:t> </w:t>
      </w:r>
      <w:r>
        <w:rPr>
          <w:spacing w:val="-67"/>
        </w:rPr>
      </w:r>
      <w:r>
        <w:rPr/>
        <w:t>追究制度。独立董事及监事会对关联方资金占用情况进行监督检查。</w:t>
      </w:r>
    </w:p>
    <w:p>
      <w:pPr>
        <w:pStyle w:val="BodyText"/>
        <w:spacing w:line="477" w:lineRule="auto" w:before="54"/>
        <w:ind w:right="164" w:firstLine="360"/>
        <w:jc w:val="left"/>
      </w:pPr>
      <w:r>
        <w:rPr>
          <w:spacing w:val="-2"/>
        </w:rPr>
        <w:t>本报告期内，公司不存在与控股股东在业务、人员、资产、机构、财务等方面存在不能保证独立性、不能保持自主经营</w:t>
      </w:r>
      <w:r>
        <w:rPr/>
        <w:t> 能力的情况。</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三、同业竞争情况" w:id="130"/>
      <w:bookmarkEnd w:id="130"/>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spacing w:line="240" w:lineRule="auto" w:before="44"/>
        <w:ind w:left="0" w:right="190"/>
        <w:jc w:val="right"/>
      </w:pPr>
      <w:r>
        <w:rPr/>
        <w:pict>
          <v:shape style="position:absolute;margin-left:56.400002pt;margin-top:-51.968281pt;width:479.05pt;height:272.6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大会会议决议公告</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2015-001</w:t>
                        </w:r>
                        <w:r>
                          <w:rPr>
                            <w:rFonts w:ascii="宋体" w:hAnsi="宋体" w:cs="宋体" w:eastAsia="宋体" w:hint="default"/>
                            <w:sz w:val="18"/>
                            <w:szCs w:val="18"/>
                          </w:rPr>
                          <w:t>）</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大会会议决议公告</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2015-017</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年年度股东大会会 </w:t>
                        </w:r>
                        <w:r>
                          <w:rPr>
                            <w:rFonts w:ascii="宋体" w:hAnsi="宋体" w:cs="宋体" w:eastAsia="宋体" w:hint="default"/>
                            <w:spacing w:val="-11"/>
                            <w:sz w:val="18"/>
                            <w:szCs w:val="18"/>
                          </w:rPr>
                          <w:t>议决议公告》（公告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90"/>
        <w:jc w:val="right"/>
      </w:pPr>
      <w:r>
        <w:rPr/>
        <w:t>》</w:t>
      </w:r>
    </w:p>
    <w:p>
      <w:pPr>
        <w:spacing w:after="0" w:line="240" w:lineRule="auto"/>
        <w:jc w:val="right"/>
        <w:sectPr>
          <w:pgSz w:w="11910" w:h="16840"/>
          <w:pgMar w:header="745"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70"/>
        <w:jc w:val="right"/>
      </w:pPr>
      <w:r>
        <w:rPr/>
        <w:pict>
          <v:shape style="position:absolute;margin-left:56.400002pt;margin-top:-16.489298pt;width:479.05pt;height:312.8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9"/>
                          <w:jc w:val="left"/>
                          <w:rPr>
                            <w:rFonts w:ascii="宋体" w:hAnsi="宋体" w:cs="宋体" w:eastAsia="宋体" w:hint="default"/>
                            <w:sz w:val="18"/>
                            <w:szCs w:val="18"/>
                          </w:rPr>
                        </w:pPr>
                        <w:r>
                          <w:rPr>
                            <w:rFonts w:ascii="宋体" w:hAnsi="宋体" w:cs="宋体" w:eastAsia="宋体" w:hint="default"/>
                            <w:sz w:val="18"/>
                            <w:szCs w:val="18"/>
                          </w:rPr>
                          <w:t>年第三次临时股东 大会会议决议公告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2015-065</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 大会会议决议公告</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2015-114</w:t>
                        </w:r>
                        <w:r>
                          <w:rPr>
                            <w:rFonts w:ascii="宋体" w:hAnsi="宋体" w:cs="宋体" w:eastAsia="宋体" w:hint="default"/>
                            <w:sz w:val="18"/>
                            <w:szCs w:val="18"/>
                          </w:rPr>
                          <w:t>）</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 大会会议决议公告</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2015-129</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 大会会议决议公告</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2015-142</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7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7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7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6"/>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独立董事对公司有关建议是否被采纳</w:t>
      </w:r>
    </w:p>
    <w:p>
      <w:pPr>
        <w:pStyle w:val="BodyText"/>
        <w:spacing w:line="340" w:lineRule="auto" w:before="115"/>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477" w:lineRule="auto" w:before="121"/>
        <w:ind w:right="94" w:firstLine="360"/>
        <w:jc w:val="left"/>
      </w:pPr>
      <w:r>
        <w:rPr>
          <w:spacing w:val="-2"/>
        </w:rPr>
        <w:t>针对公司第三届董事会第八次会议议案《关于公司使用自有资金购买理财产品的议案》，独立董事陈京琳建议单个理财</w:t>
      </w:r>
      <w:r>
        <w:rPr/>
        <w:t> 产品投资期限不超过</w:t>
      </w:r>
      <w:r>
        <w:rPr>
          <w:rFonts w:ascii="Times New Roman" w:hAnsi="Times New Roman" w:cs="Times New Roman" w:eastAsia="Times New Roman" w:hint="default"/>
        </w:rPr>
        <w:t>12</w:t>
      </w:r>
      <w:r>
        <w:rPr/>
        <w:t>个月，经董事会一致协商通过。</w:t>
      </w:r>
    </w:p>
    <w:p>
      <w:pPr>
        <w:pStyle w:val="BodyText"/>
        <w:spacing w:line="451" w:lineRule="auto" w:before="21"/>
        <w:ind w:right="214" w:firstLine="360"/>
        <w:jc w:val="left"/>
      </w:pPr>
      <w:r>
        <w:rPr/>
        <w:t>针对公司第三届董事会第九次会议议案《关于公司制定《深圳市新国都技术股份有限公司未来三年（</w:t>
      </w:r>
      <w:r>
        <w:rPr>
          <w:rFonts w:ascii="Times New Roman" w:hAnsi="Times New Roman" w:cs="Times New Roman" w:eastAsia="Times New Roman" w:hint="default"/>
        </w:rPr>
        <w:t>2015-2017</w:t>
      </w:r>
      <w:r>
        <w:rPr/>
        <w:t>年）股 东回报规划》的议案》，公司独立董事会何佳建议多采用现金分红方式，关注投资者利益，经董事会一致协商通过。</w:t>
      </w:r>
    </w:p>
    <w:p>
      <w:pPr>
        <w:pStyle w:val="BodyText"/>
        <w:spacing w:line="451" w:lineRule="auto" w:before="74"/>
        <w:ind w:right="192" w:firstLine="360"/>
        <w:jc w:val="both"/>
      </w:pPr>
      <w:r>
        <w:rPr>
          <w:spacing w:val="-2"/>
        </w:rPr>
        <w:t>针对第三届董事会第十九次会议议案《深圳市新国都技术股份有限公司</w:t>
      </w:r>
      <w:r>
        <w:rPr>
          <w:rFonts w:ascii="Times New Roman" w:hAnsi="Times New Roman" w:cs="Times New Roman" w:eastAsia="Times New Roman" w:hint="default"/>
          <w:spacing w:val="-2"/>
        </w:rPr>
        <w:t>2015</w:t>
      </w:r>
      <w:r>
        <w:rPr>
          <w:spacing w:val="-2"/>
        </w:rPr>
        <w:t>年度股票期权激励计划（草案）》，独立董</w:t>
      </w:r>
      <w:r>
        <w:rPr/>
        <w:t> </w:t>
      </w:r>
      <w:r>
        <w:rPr>
          <w:spacing w:val="-2"/>
        </w:rPr>
        <w:t>事蔡艳红关注股权激励费用摊销问题，建议结合</w:t>
      </w:r>
      <w:r>
        <w:rPr>
          <w:rFonts w:ascii="Times New Roman" w:hAnsi="Times New Roman" w:cs="Times New Roman" w:eastAsia="Times New Roman" w:hint="default"/>
          <w:spacing w:val="-2"/>
        </w:rPr>
        <w:t>2014</w:t>
      </w:r>
      <w:r>
        <w:rPr>
          <w:spacing w:val="-2"/>
        </w:rPr>
        <w:t>年股权激励计划综合考虑股权激励费用，通过调节各期行权比例保证股</w:t>
      </w:r>
      <w:r>
        <w:rPr>
          <w:spacing w:val="-62"/>
        </w:rPr>
        <w:t> </w:t>
      </w:r>
      <w:r>
        <w:rPr>
          <w:spacing w:val="-62"/>
        </w:rPr>
      </w:r>
      <w:r>
        <w:rPr/>
        <w:t>权激励费用摊销对公司财务影响可控，财务总监表示会考虑落实该建议。</w:t>
      </w:r>
    </w:p>
    <w:p>
      <w:pPr>
        <w:pStyle w:val="BodyText"/>
        <w:spacing w:line="477" w:lineRule="auto" w:before="74"/>
        <w:ind w:right="94" w:firstLine="360"/>
        <w:jc w:val="left"/>
      </w:pPr>
      <w:r>
        <w:rPr/>
        <w:t>同时针对第三届董事会第十九次会议审议的公司发行公司债券事项，独立董事蔡艳红建议对比不同融资渠道融资成本， 保证公司利益，财务总监接受该建议。</w:t>
      </w:r>
    </w:p>
    <w:p>
      <w:pPr>
        <w:spacing w:line="240" w:lineRule="auto" w:before="6"/>
        <w:rPr>
          <w:rFonts w:ascii="宋体" w:hAnsi="宋体" w:cs="宋体" w:eastAsia="宋体" w:hint="default"/>
          <w:sz w:val="17"/>
          <w:szCs w:val="17"/>
        </w:rPr>
      </w:pPr>
    </w:p>
    <w:p>
      <w:pPr>
        <w:pStyle w:val="Heading2"/>
        <w:spacing w:line="240" w:lineRule="auto"/>
        <w:ind w:right="94"/>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right="94"/>
        <w:jc w:val="left"/>
      </w:pPr>
      <w:r>
        <w:rPr>
          <w:rFonts w:ascii="Times New Roman" w:hAnsi="Times New Roman" w:cs="Times New Roman" w:eastAsia="Times New Roman" w:hint="default"/>
        </w:rPr>
        <w:t>1</w:t>
      </w:r>
      <w:r>
        <w:rPr/>
        <w:t>、第三届董事会审计委员会</w:t>
      </w:r>
    </w:p>
    <w:p>
      <w:pPr>
        <w:spacing w:line="240" w:lineRule="auto" w:before="9"/>
        <w:rPr>
          <w:rFonts w:ascii="宋体" w:hAnsi="宋体" w:cs="宋体" w:eastAsia="宋体" w:hint="default"/>
          <w:sz w:val="16"/>
          <w:szCs w:val="16"/>
        </w:rPr>
      </w:pPr>
    </w:p>
    <w:p>
      <w:pPr>
        <w:pStyle w:val="BodyText"/>
        <w:spacing w:line="458" w:lineRule="auto"/>
        <w:ind w:right="9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日，公司召开第三届董事会审计委员会第三次会议，审议通过了《关于</w:t>
      </w:r>
      <w:r>
        <w:rPr>
          <w:rFonts w:ascii="Times New Roman" w:hAnsi="Times New Roman" w:cs="Times New Roman" w:eastAsia="Times New Roman" w:hint="default"/>
        </w:rPr>
        <w:t>2014</w:t>
      </w:r>
      <w:r>
        <w:rPr/>
        <w:t>年度利润分配及资本公积转增 </w:t>
      </w:r>
      <w:r>
        <w:rPr>
          <w:spacing w:val="-2"/>
        </w:rPr>
        <w:t>股本的议案》、《关于</w:t>
      </w:r>
      <w:r>
        <w:rPr>
          <w:rFonts w:ascii="Times New Roman" w:hAnsi="Times New Roman" w:cs="Times New Roman" w:eastAsia="Times New Roman" w:hint="default"/>
          <w:spacing w:val="-2"/>
        </w:rPr>
        <w:t>2014</w:t>
      </w:r>
      <w:r>
        <w:rPr>
          <w:spacing w:val="-2"/>
        </w:rPr>
        <w:t>年度募集资金存放与使用情况专项报告的议案》、《关于</w:t>
      </w:r>
      <w:r>
        <w:rPr>
          <w:rFonts w:ascii="Times New Roman" w:hAnsi="Times New Roman" w:cs="Times New Roman" w:eastAsia="Times New Roman" w:hint="default"/>
          <w:spacing w:val="-2"/>
        </w:rPr>
        <w:t>2014</w:t>
      </w:r>
      <w:r>
        <w:rPr>
          <w:spacing w:val="-2"/>
        </w:rPr>
        <w:t>年度财务决算报告的议案》、《关</w:t>
      </w:r>
      <w:r>
        <w:rPr>
          <w:spacing w:val="-62"/>
        </w:rPr>
        <w:t> </w:t>
      </w:r>
      <w:r>
        <w:rPr>
          <w:spacing w:val="-62"/>
        </w:rPr>
      </w:r>
      <w:r>
        <w:rPr>
          <w:spacing w:val="-5"/>
        </w:rPr>
        <w:t>于</w:t>
      </w:r>
      <w:r>
        <w:rPr>
          <w:rFonts w:ascii="Times New Roman" w:hAnsi="Times New Roman" w:cs="Times New Roman" w:eastAsia="Times New Roman" w:hint="default"/>
          <w:spacing w:val="-5"/>
        </w:rPr>
        <w:t>2014</w:t>
      </w:r>
      <w:r>
        <w:rPr>
          <w:spacing w:val="-5"/>
        </w:rPr>
        <w:t>年度内部控制自我评价报告的议案》、《关于</w:t>
      </w:r>
      <w:r>
        <w:rPr>
          <w:rFonts w:ascii="Times New Roman" w:hAnsi="Times New Roman" w:cs="Times New Roman" w:eastAsia="Times New Roman" w:hint="default"/>
          <w:spacing w:val="-5"/>
        </w:rPr>
        <w:t>2014</w:t>
      </w:r>
      <w:r>
        <w:rPr>
          <w:spacing w:val="-5"/>
        </w:rPr>
        <w:t>年度内审工作总结及</w:t>
      </w:r>
      <w:r>
        <w:rPr>
          <w:rFonts w:ascii="Times New Roman" w:hAnsi="Times New Roman" w:cs="Times New Roman" w:eastAsia="Times New Roman" w:hint="default"/>
          <w:spacing w:val="-5"/>
        </w:rPr>
        <w:t>2015</w:t>
      </w:r>
      <w:r>
        <w:rPr>
          <w:spacing w:val="-5"/>
        </w:rPr>
        <w:t>年内审工作计划的议案》、《关于聘请</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4"/>
        </w:rPr>
        <w:t>年度审计机构的议案》，并对公司利润分配方案发表意见：公司本次分配预案结合公司实际经营情况，并充分考虑公司股东，</w:t>
      </w:r>
      <w:r>
        <w:rPr>
          <w:spacing w:val="-46"/>
        </w:rPr>
        <w:t> </w:t>
      </w:r>
      <w:r>
        <w:rPr>
          <w:spacing w:val="-46"/>
        </w:rPr>
      </w:r>
      <w:r>
        <w:rPr/>
        <w:t>特别是中小股东的利益，决策程序符合相关法律法规、预案内容符合公司利润分配政策及《公司章程》的相关规定。</w:t>
      </w:r>
    </w:p>
    <w:p>
      <w:pPr>
        <w:pStyle w:val="BodyText"/>
        <w:spacing w:line="451" w:lineRule="auto" w:before="68"/>
        <w:ind w:right="94" w:firstLine="35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日，公司召开第三届董事会审计委员会第四次会议，审议通过了《关于审议</w:t>
      </w:r>
      <w:r>
        <w:rPr>
          <w:rFonts w:ascii="Times New Roman" w:hAnsi="Times New Roman" w:cs="Times New Roman" w:eastAsia="Times New Roman" w:hint="default"/>
          <w:spacing w:val="-2"/>
        </w:rPr>
        <w:t>2015</w:t>
      </w:r>
      <w:r>
        <w:rPr>
          <w:spacing w:val="-2"/>
        </w:rPr>
        <w:t>年一季度内部审计工作总结</w:t>
      </w:r>
      <w:r>
        <w:rPr/>
        <w:t> 及二季度工作计划的议案》。</w:t>
      </w:r>
    </w:p>
    <w:p>
      <w:pPr>
        <w:pStyle w:val="BodyText"/>
        <w:spacing w:line="451" w:lineRule="auto" w:before="74"/>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日，公司召开第三届董事会审计委员会第五次会议，审议通过了《关于审议</w:t>
      </w:r>
      <w:r>
        <w:rPr>
          <w:rFonts w:ascii="Times New Roman" w:hAnsi="Times New Roman" w:cs="Times New Roman" w:eastAsia="Times New Roman" w:hint="default"/>
        </w:rPr>
        <w:t>2015</w:t>
      </w:r>
      <w:r>
        <w:rPr/>
        <w:t>年上半年募集资金存放与 使用情况报告的议案》、《关于审议</w:t>
      </w:r>
      <w:r>
        <w:rPr>
          <w:rFonts w:ascii="Times New Roman" w:hAnsi="Times New Roman" w:cs="Times New Roman" w:eastAsia="Times New Roman" w:hint="default"/>
        </w:rPr>
        <w:t>2015</w:t>
      </w:r>
      <w:r>
        <w:rPr/>
        <w:t>年度内部审计上半年工作总结及下半年工作计划报告的议案》。</w:t>
      </w:r>
    </w:p>
    <w:p>
      <w:pPr>
        <w:pStyle w:val="BodyText"/>
        <w:spacing w:line="451" w:lineRule="auto" w:before="43"/>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日，公司召开第三届董事会审计委员会第六次会议，审议通过了《关于审议</w:t>
      </w:r>
      <w:r>
        <w:rPr>
          <w:rFonts w:ascii="Times New Roman" w:hAnsi="Times New Roman" w:cs="Times New Roman" w:eastAsia="Times New Roman" w:hint="default"/>
        </w:rPr>
        <w:t>2015</w:t>
      </w:r>
      <w:r>
        <w:rPr/>
        <w:t>年三季度募集资金存放与 使用情况报告的议案》、《关于审议</w:t>
      </w:r>
      <w:r>
        <w:rPr>
          <w:rFonts w:ascii="Times New Roman" w:hAnsi="Times New Roman" w:cs="Times New Roman" w:eastAsia="Times New Roman" w:hint="default"/>
        </w:rPr>
        <w:t>2015</w:t>
      </w:r>
      <w:r>
        <w:rPr/>
        <w:t>年度内审部三季度工作总结及四季度工作计划的议案》。 </w:t>
      </w:r>
      <w:r>
        <w:rPr>
          <w:rFonts w:ascii="Times New Roman" w:hAnsi="Times New Roman" w:cs="Times New Roman" w:eastAsia="Times New Roman" w:hint="default"/>
        </w:rPr>
        <w:t>2</w:t>
      </w:r>
      <w:r>
        <w:rPr/>
        <w:t>、第三届董事会薪酬与考核委员会</w:t>
      </w:r>
    </w:p>
    <w:p>
      <w:pPr>
        <w:pStyle w:val="BodyText"/>
        <w:spacing w:line="240" w:lineRule="auto" w:before="43"/>
        <w:ind w:left="512" w:right="94"/>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日，公司召开第三届董事会薪酬与考核委员会第二次会议，审议通过了《关于确认公司高级管理人员</w:t>
      </w:r>
      <w:r>
        <w:rPr>
          <w:rFonts w:ascii="Times New Roman" w:hAnsi="Times New Roman" w:cs="Times New Roman" w:eastAsia="Times New Roman" w:hint="default"/>
        </w:rPr>
        <w:t>2014</w:t>
      </w:r>
    </w:p>
    <w:p>
      <w:pPr>
        <w:spacing w:after="0" w:line="240" w:lineRule="auto"/>
        <w:jc w:val="left"/>
        <w:rPr>
          <w:rFonts w:ascii="Times New Roman" w:hAnsi="Times New Roman" w:cs="Times New Roman" w:eastAsia="Times New Roman" w:hint="default"/>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before="44"/>
        <w:ind w:right="94"/>
        <w:jc w:val="left"/>
      </w:pPr>
      <w:r>
        <w:rPr/>
        <w:t>年度薪酬的议案》、《关于调整外部董事津贴的议案》。</w:t>
      </w:r>
    </w:p>
    <w:p>
      <w:pPr>
        <w:spacing w:line="240" w:lineRule="auto" w:before="10"/>
        <w:rPr>
          <w:rFonts w:ascii="宋体" w:hAnsi="宋体" w:cs="宋体" w:eastAsia="宋体" w:hint="default"/>
          <w:sz w:val="17"/>
          <w:szCs w:val="17"/>
        </w:rPr>
      </w:pPr>
    </w:p>
    <w:p>
      <w:pPr>
        <w:pStyle w:val="BodyText"/>
        <w:spacing w:line="451" w:lineRule="auto"/>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日，公司召开第三届董事会薪酬与考核委员会第三次会议，审议通过了《关于考核公司股票期权激励计划 第一个行权期可行权激励对象的议案》。</w:t>
      </w:r>
    </w:p>
    <w:p>
      <w:pPr>
        <w:pStyle w:val="BodyText"/>
        <w:spacing w:line="451" w:lineRule="auto" w:before="74"/>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日，公司召开第三届董事会薪酬与考核委员会第四次会议，审议通过了《关于注销部分已获准行权但尚未 行权的股票期权议案》。</w:t>
      </w:r>
    </w:p>
    <w:p>
      <w:pPr>
        <w:pStyle w:val="BodyText"/>
        <w:spacing w:line="451" w:lineRule="auto" w:before="74"/>
        <w:ind w:right="9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日，公司召开第三届董事会薪酬与考核委员会第五次会议，审议通过了《审议</w:t>
      </w:r>
      <w:r>
        <w:rPr>
          <w:rFonts w:ascii="Times New Roman" w:hAnsi="Times New Roman" w:cs="Times New Roman" w:eastAsia="Times New Roman" w:hint="default"/>
        </w:rPr>
        <w:t>&lt;</w:t>
      </w:r>
      <w:r>
        <w:rPr/>
        <w:t>关于深圳市新国都技术股 份有限公司</w:t>
      </w:r>
      <w:r>
        <w:rPr>
          <w:rFonts w:ascii="Times New Roman" w:hAnsi="Times New Roman" w:cs="Times New Roman" w:eastAsia="Times New Roman" w:hint="default"/>
        </w:rPr>
        <w:t>2015</w:t>
      </w:r>
      <w:r>
        <w:rPr/>
        <w:t>年股票期权激励计划（草案）及摘要</w:t>
      </w:r>
      <w:r>
        <w:rPr>
          <w:rFonts w:ascii="Times New Roman" w:hAnsi="Times New Roman" w:cs="Times New Roman" w:eastAsia="Times New Roman" w:hint="default"/>
        </w:rPr>
        <w:t>&gt;</w:t>
      </w:r>
      <w:r>
        <w:rPr/>
        <w:t>的议案》、《审议《关于深圳市新国都技术股份有限公司</w:t>
      </w:r>
      <w:r>
        <w:rPr>
          <w:rFonts w:ascii="Times New Roman" w:hAnsi="Times New Roman" w:cs="Times New Roman" w:eastAsia="Times New Roman" w:hint="default"/>
        </w:rPr>
        <w:t>2015</w:t>
      </w:r>
      <w:r>
        <w:rPr/>
        <w:t>年股票</w:t>
      </w:r>
      <w:r>
        <w:rPr>
          <w:spacing w:val="-3"/>
        </w:rPr>
        <w:t> </w:t>
      </w:r>
      <w:r>
        <w:rPr/>
        <w:t>期权激励计划管理办法》的议案》、《审议《关于深圳市新国都技术股份有限公司</w:t>
      </w:r>
      <w:r>
        <w:rPr>
          <w:rFonts w:ascii="Times New Roman" w:hAnsi="Times New Roman" w:cs="Times New Roman" w:eastAsia="Times New Roman" w:hint="default"/>
        </w:rPr>
        <w:t>2015</w:t>
      </w:r>
      <w:r>
        <w:rPr/>
        <w:t>年股票期权激励计划实施考核办法》 的议案》。</w:t>
      </w:r>
    </w:p>
    <w:p>
      <w:pPr>
        <w:pStyle w:val="BodyText"/>
        <w:spacing w:line="451" w:lineRule="auto" w:before="74"/>
        <w:ind w:left="512" w:right="5494" w:hanging="360"/>
        <w:jc w:val="left"/>
      </w:pPr>
      <w:r>
        <w:rPr>
          <w:rFonts w:ascii="Times New Roman" w:hAnsi="Times New Roman" w:cs="Times New Roman" w:eastAsia="Times New Roman" w:hint="default"/>
        </w:rPr>
        <w:t>3</w:t>
      </w:r>
      <w:r>
        <w:rPr/>
        <w:t>、第三届董事会提名委员会 报告期内，第三届董事会提名委员会未召开会议。</w:t>
      </w:r>
    </w:p>
    <w:p>
      <w:pPr>
        <w:pStyle w:val="BodyText"/>
        <w:spacing w:line="451" w:lineRule="auto" w:before="74"/>
        <w:ind w:left="512" w:right="5494" w:hanging="360"/>
        <w:jc w:val="left"/>
      </w:pPr>
      <w:r>
        <w:rPr>
          <w:rFonts w:ascii="Times New Roman" w:hAnsi="Times New Roman" w:cs="Times New Roman" w:eastAsia="Times New Roman" w:hint="default"/>
        </w:rPr>
        <w:t>4</w:t>
      </w:r>
      <w:r>
        <w:rPr/>
        <w:t>、第三届战略委员会 报告期内，第三届董事会战略委员会未召开会议。</w:t>
      </w:r>
    </w:p>
    <w:p>
      <w:pPr>
        <w:spacing w:line="240" w:lineRule="auto" w:before="0"/>
        <w:rPr>
          <w:rFonts w:ascii="宋体" w:hAnsi="宋体" w:cs="宋体" w:eastAsia="宋体" w:hint="default"/>
          <w:sz w:val="19"/>
          <w:szCs w:val="19"/>
        </w:rPr>
      </w:pPr>
    </w:p>
    <w:p>
      <w:pPr>
        <w:pStyle w:val="Heading2"/>
        <w:spacing w:line="240" w:lineRule="auto"/>
        <w:ind w:right="94"/>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监事会在报告期内的监督活动是否发现公司存在风险</w:t>
      </w:r>
    </w:p>
    <w:p>
      <w:pPr>
        <w:pStyle w:val="BodyText"/>
        <w:spacing w:line="340" w:lineRule="auto" w:before="115"/>
        <w:ind w:right="63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1</w:t>
      </w:r>
      <w:r>
        <w:rPr/>
        <w:t>、考评情况</w:t>
      </w:r>
    </w:p>
    <w:p>
      <w:pPr>
        <w:pStyle w:val="BodyText"/>
        <w:spacing w:line="477" w:lineRule="auto" w:before="142"/>
        <w:ind w:right="94" w:firstLine="360"/>
        <w:jc w:val="left"/>
      </w:pPr>
      <w:r>
        <w:rPr>
          <w:spacing w:val="-2"/>
        </w:rPr>
        <w:t>为进一步完善公司法人治理，健全内部约束和责任追究机制，提高公司决策与经营管理水平，建设廉洁、务实、高效的</w:t>
      </w:r>
      <w:r>
        <w:rPr/>
        <w:t> 管理团队，公司建立《总经理工作细则》、《董事会秘书工作制度》、《财务会计相关负责人管理制度》、《董事、监事、 高级管理人员内部问责制度》等管理制度。此外定期对高级管理人员实施绩效考核。</w:t>
      </w:r>
    </w:p>
    <w:p>
      <w:pPr>
        <w:pStyle w:val="BodyText"/>
        <w:spacing w:line="211" w:lineRule="exact"/>
        <w:ind w:right="94"/>
        <w:jc w:val="left"/>
      </w:pPr>
      <w:r>
        <w:rPr/>
        <w:t>考核方案：</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408"/>
        <w:gridCol w:w="761"/>
        <w:gridCol w:w="2417"/>
        <w:gridCol w:w="1793"/>
        <w:gridCol w:w="1279"/>
      </w:tblGrid>
      <w:tr>
        <w:trPr>
          <w:trHeight w:val="427" w:hRule="exact"/>
        </w:trPr>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考核对象</w:t>
            </w:r>
            <w:r>
              <w:rPr>
                <w:rFonts w:ascii="宋体" w:hAnsi="宋体" w:cs="宋体" w:eastAsia="宋体" w:hint="default"/>
                <w:sz w:val="18"/>
                <w:szCs w:val="18"/>
              </w:rPr>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 w:right="0"/>
              <w:jc w:val="left"/>
              <w:rPr>
                <w:rFonts w:ascii="宋体" w:hAnsi="宋体" w:cs="宋体" w:eastAsia="宋体" w:hint="default"/>
                <w:sz w:val="18"/>
                <w:szCs w:val="18"/>
              </w:rPr>
            </w:pPr>
            <w:r>
              <w:rPr>
                <w:rFonts w:ascii="宋体" w:hAnsi="宋体" w:cs="宋体" w:eastAsia="宋体" w:hint="default"/>
                <w:b/>
                <w:bCs/>
                <w:sz w:val="18"/>
                <w:szCs w:val="18"/>
              </w:rPr>
              <w:t>考核周期</w:t>
            </w:r>
            <w:r>
              <w:rPr>
                <w:rFonts w:ascii="宋体" w:hAnsi="宋体" w:cs="宋体" w:eastAsia="宋体" w:hint="default"/>
                <w:sz w:val="18"/>
                <w:szCs w:val="18"/>
              </w:rPr>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考核维度</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0" w:right="0"/>
              <w:jc w:val="left"/>
              <w:rPr>
                <w:rFonts w:ascii="宋体" w:hAnsi="宋体" w:cs="宋体" w:eastAsia="宋体" w:hint="default"/>
                <w:sz w:val="18"/>
                <w:szCs w:val="18"/>
              </w:rPr>
            </w:pPr>
            <w:r>
              <w:rPr>
                <w:rFonts w:ascii="宋体" w:hAnsi="宋体" w:cs="宋体" w:eastAsia="宋体" w:hint="default"/>
                <w:b/>
                <w:bCs/>
                <w:sz w:val="18"/>
                <w:szCs w:val="18"/>
              </w:rPr>
              <w:t>考核内容</w:t>
            </w:r>
            <w:r>
              <w:rPr>
                <w:rFonts w:ascii="宋体" w:hAnsi="宋体" w:cs="宋体" w:eastAsia="宋体"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权重</w:t>
            </w:r>
            <w:r>
              <w:rPr>
                <w:rFonts w:ascii="宋体" w:hAnsi="宋体" w:cs="宋体" w:eastAsia="宋体" w:hint="default"/>
                <w:sz w:val="18"/>
                <w:szCs w:val="18"/>
              </w:rPr>
            </w:r>
          </w:p>
        </w:tc>
      </w:tr>
      <w:tr>
        <w:trPr>
          <w:trHeight w:val="427" w:hRule="exact"/>
        </w:trPr>
        <w:tc>
          <w:tcPr>
            <w:tcW w:w="3408" w:type="dxa"/>
            <w:vMerge w:val="restart"/>
            <w:tcBorders>
              <w:top w:val="single" w:sz="6" w:space="0" w:color="000000"/>
              <w:left w:val="single" w:sz="6" w:space="0" w:color="000000"/>
              <w:right w:val="single" w:sz="6" w:space="0" w:color="000000"/>
            </w:tcBorders>
          </w:tcPr>
          <w:p>
            <w:pPr>
              <w:pStyle w:val="TableParagraph"/>
              <w:spacing w:line="240" w:lineRule="auto" w:before="61"/>
              <w:ind w:left="40"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Times New Roman" w:hAnsi="Times New Roman" w:cs="Times New Roman" w:eastAsia="Times New Roman" w:hint="default"/>
                <w:sz w:val="18"/>
                <w:szCs w:val="18"/>
              </w:rPr>
              <w:t>M5</w:t>
            </w:r>
            <w:r>
              <w:rPr>
                <w:rFonts w:ascii="宋体" w:hAnsi="宋体" w:cs="宋体" w:eastAsia="宋体" w:hint="default"/>
                <w:sz w:val="18"/>
                <w:szCs w:val="18"/>
              </w:rPr>
              <w:t>以上职级人员及各一级部门长）</w:t>
            </w:r>
          </w:p>
        </w:tc>
        <w:tc>
          <w:tcPr>
            <w:tcW w:w="761" w:type="dxa"/>
            <w:vMerge w:val="restart"/>
            <w:tcBorders>
              <w:top w:val="single" w:sz="6" w:space="0" w:color="000000"/>
              <w:left w:val="single" w:sz="6" w:space="0" w:color="000000"/>
              <w:right w:val="single" w:sz="6" w:space="0" w:color="000000"/>
            </w:tcBorders>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KPI</w:t>
            </w:r>
            <w:r>
              <w:rPr>
                <w:rFonts w:ascii="宋体" w:hAnsi="宋体" w:cs="宋体" w:eastAsia="宋体" w:hint="default"/>
                <w:sz w:val="18"/>
                <w:szCs w:val="18"/>
              </w:rPr>
              <w:t>考核</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r>
              <w:rPr>
                <w:rFonts w:ascii="Times New Roman" w:hAnsi="Times New Roman" w:cs="Times New Roman" w:eastAsia="Times New Roman" w:hint="default"/>
                <w:sz w:val="18"/>
                <w:szCs w:val="18"/>
              </w:rPr>
              <w:t>KPI</w:t>
            </w:r>
            <w:r>
              <w:rPr>
                <w:rFonts w:ascii="宋体" w:hAnsi="宋体" w:cs="宋体" w:eastAsia="宋体" w:hint="default"/>
                <w:sz w:val="18"/>
                <w:szCs w:val="18"/>
              </w:rPr>
              <w:t>达成情况</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60%</w:t>
            </w:r>
          </w:p>
        </w:tc>
      </w:tr>
      <w:tr>
        <w:trPr>
          <w:trHeight w:val="780" w:hRule="exact"/>
        </w:trPr>
        <w:tc>
          <w:tcPr>
            <w:tcW w:w="3408" w:type="dxa"/>
            <w:vMerge/>
            <w:tcBorders>
              <w:left w:val="single" w:sz="6" w:space="0" w:color="000000"/>
              <w:right w:val="single" w:sz="6" w:space="0" w:color="000000"/>
            </w:tcBorders>
          </w:tcPr>
          <w:p>
            <w:pPr/>
          </w:p>
        </w:tc>
        <w:tc>
          <w:tcPr>
            <w:tcW w:w="761" w:type="dxa"/>
            <w:vMerge/>
            <w:tcBorders>
              <w:left w:val="single" w:sz="6" w:space="0" w:color="000000"/>
              <w:right w:val="single" w:sz="6" w:space="0" w:color="000000"/>
            </w:tcBorders>
          </w:tcPr>
          <w:p>
            <w:pP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度测评</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4" w:right="871"/>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考核</w:t>
            </w:r>
            <w:r>
              <w:rPr>
                <w:rFonts w:ascii="宋体" w:hAnsi="宋体" w:cs="宋体" w:eastAsia="宋体" w:hint="default"/>
                <w:spacing w:val="-87"/>
                <w:sz w:val="18"/>
                <w:szCs w:val="18"/>
              </w:rPr>
              <w:t> </w:t>
            </w:r>
            <w:r>
              <w:rPr>
                <w:rFonts w:ascii="宋体" w:hAnsi="宋体" w:cs="宋体" w:eastAsia="宋体" w:hint="default"/>
                <w:sz w:val="18"/>
                <w:szCs w:val="18"/>
              </w:rPr>
              <w:t>个人敬业度</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1"/>
              <w:ind w:left="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个人敬业度</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360</w:t>
            </w:r>
            <w:r>
              <w:rPr>
                <w:rFonts w:ascii="宋体" w:hAnsi="宋体" w:cs="宋体" w:eastAsia="宋体" w:hint="default"/>
                <w:sz w:val="18"/>
                <w:szCs w:val="18"/>
              </w:rPr>
              <w:t>考核</w:t>
            </w:r>
            <w:r>
              <w:rPr>
                <w:rFonts w:ascii="Times New Roman" w:hAnsi="Times New Roman" w:cs="Times New Roman" w:eastAsia="Times New Roman" w:hint="default"/>
                <w:sz w:val="18"/>
                <w:szCs w:val="18"/>
              </w:rPr>
              <w:t>15%</w:t>
            </w:r>
          </w:p>
        </w:tc>
      </w:tr>
      <w:tr>
        <w:trPr>
          <w:trHeight w:val="427" w:hRule="exact"/>
        </w:trPr>
        <w:tc>
          <w:tcPr>
            <w:tcW w:w="3408"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年度敬业度调研部门平均比例</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组织敬业度调研</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87"/>
        <w:ind w:right="94"/>
        <w:jc w:val="left"/>
      </w:pPr>
      <w:r>
        <w:rPr/>
        <w:t>实施情况：</w:t>
      </w:r>
    </w:p>
    <w:p>
      <w:pPr>
        <w:spacing w:line="240" w:lineRule="auto" w:before="10"/>
        <w:rPr>
          <w:rFonts w:ascii="宋体" w:hAnsi="宋体" w:cs="宋体" w:eastAsia="宋体" w:hint="default"/>
          <w:sz w:val="17"/>
          <w:szCs w:val="17"/>
        </w:rPr>
      </w:pPr>
    </w:p>
    <w:p>
      <w:pPr>
        <w:pStyle w:val="BodyText"/>
        <w:tabs>
          <w:tab w:pos="572" w:val="left" w:leader="none"/>
        </w:tabs>
        <w:spacing w:line="240" w:lineRule="auto"/>
        <w:ind w:right="94"/>
        <w:jc w:val="left"/>
      </w:pPr>
      <w:r>
        <w:rPr>
          <w:rFonts w:ascii="PMingLiU-ExtB" w:hAnsi="PMingLiU-ExtB" w:cs="PMingLiU-ExtB" w:eastAsia="PMingLiU-ExtB" w:hint="default"/>
        </w:rPr>
        <w:t></w:t>
        <w:tab/>
        <w:t></w:t>
      </w:r>
      <w:r>
        <w:rPr/>
        <w:t>邮件发送</w:t>
      </w:r>
      <w:r>
        <w:rPr>
          <w:rFonts w:ascii="Times New Roman" w:hAnsi="Times New Roman" w:cs="Times New Roman" w:eastAsia="Times New Roman" w:hint="default"/>
        </w:rPr>
        <w:t>360</w:t>
      </w:r>
      <w:r>
        <w:rPr/>
        <w:t>测评的网址：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572" w:val="left" w:leader="none"/>
          <w:tab w:pos="2694" w:val="left" w:leader="none"/>
        </w:tabs>
        <w:spacing w:line="240" w:lineRule="auto"/>
        <w:ind w:right="0"/>
        <w:jc w:val="left"/>
      </w:pPr>
      <w:r>
        <w:rPr>
          <w:rFonts w:ascii="PMingLiU-ExtB" w:hAnsi="PMingLiU-ExtB" w:cs="PMingLiU-ExtB" w:eastAsia="PMingLiU-ExtB" w:hint="default"/>
        </w:rPr>
        <w:t></w:t>
        <w:tab/>
        <w:t></w:t>
      </w:r>
      <w:r>
        <w:rPr/>
        <w:t>高管总结</w:t>
      </w:r>
      <w:r>
        <w:rPr>
          <w:rFonts w:ascii="Times New Roman" w:hAnsi="Times New Roman" w:cs="Times New Roman" w:eastAsia="Times New Roman" w:hint="default"/>
        </w:rPr>
        <w:t>/360</w:t>
      </w:r>
      <w:r>
        <w:rPr/>
        <w:t>测评：</w:t>
        <w:tab/>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p>
    <w:p>
      <w:pPr>
        <w:spacing w:line="240" w:lineRule="auto" w:before="9"/>
        <w:rPr>
          <w:rFonts w:ascii="宋体" w:hAnsi="宋体" w:cs="宋体" w:eastAsia="宋体" w:hint="default"/>
          <w:sz w:val="16"/>
          <w:szCs w:val="16"/>
        </w:rPr>
      </w:pPr>
    </w:p>
    <w:p>
      <w:pPr>
        <w:pStyle w:val="BodyText"/>
        <w:tabs>
          <w:tab w:pos="716" w:val="left" w:leader="none"/>
          <w:tab w:pos="2701" w:val="left" w:leader="none"/>
        </w:tabs>
        <w:spacing w:line="240" w:lineRule="auto"/>
        <w:ind w:right="0"/>
        <w:jc w:val="left"/>
      </w:pPr>
      <w:r>
        <w:rPr>
          <w:rFonts w:ascii="PMingLiU-ExtB" w:hAnsi="PMingLiU-ExtB" w:cs="PMingLiU-ExtB" w:eastAsia="PMingLiU-ExtB" w:hint="default"/>
        </w:rPr>
        <w:t></w:t>
        <w:tab/>
      </w:r>
      <w:r>
        <w:rPr/>
        <w:t>高管</w:t>
      </w:r>
      <w:r>
        <w:rPr>
          <w:rFonts w:ascii="Times New Roman" w:hAnsi="Times New Roman" w:cs="Times New Roman" w:eastAsia="Times New Roman" w:hint="default"/>
        </w:rPr>
        <w:t>KPI</w:t>
      </w:r>
      <w:r>
        <w:rPr/>
        <w:t>述职汇报：</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w:t>
      </w:r>
    </w:p>
    <w:p>
      <w:pPr>
        <w:spacing w:line="240" w:lineRule="auto" w:before="9"/>
        <w:rPr>
          <w:rFonts w:ascii="宋体" w:hAnsi="宋体" w:cs="宋体" w:eastAsia="宋体" w:hint="default"/>
          <w:sz w:val="16"/>
          <w:szCs w:val="16"/>
        </w:rPr>
      </w:pPr>
    </w:p>
    <w:p>
      <w:pPr>
        <w:pStyle w:val="BodyText"/>
        <w:tabs>
          <w:tab w:pos="572" w:val="left" w:leader="none"/>
          <w:tab w:pos="2771" w:val="left" w:leader="none"/>
        </w:tabs>
        <w:spacing w:line="240" w:lineRule="auto"/>
        <w:ind w:right="0"/>
        <w:jc w:val="left"/>
      </w:pPr>
      <w:r>
        <w:rPr>
          <w:rFonts w:ascii="PMingLiU-ExtB" w:hAnsi="PMingLiU-ExtB" w:cs="PMingLiU-ExtB" w:eastAsia="PMingLiU-ExtB" w:hint="default"/>
        </w:rPr>
        <w:t></w:t>
        <w:tab/>
        <w:t></w:t>
      </w:r>
      <w:r>
        <w:rPr/>
        <w:t>人力资源部汇总整理：</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w:t>
      </w:r>
    </w:p>
    <w:p>
      <w:pPr>
        <w:spacing w:line="240" w:lineRule="auto" w:before="9"/>
        <w:rPr>
          <w:rFonts w:ascii="宋体" w:hAnsi="宋体" w:cs="宋体" w:eastAsia="宋体" w:hint="default"/>
          <w:sz w:val="16"/>
          <w:szCs w:val="16"/>
        </w:rPr>
      </w:pPr>
    </w:p>
    <w:p>
      <w:pPr>
        <w:pStyle w:val="BodyText"/>
        <w:tabs>
          <w:tab w:pos="572" w:val="left" w:leader="none"/>
          <w:tab w:pos="2771" w:val="left" w:leader="none"/>
        </w:tabs>
        <w:spacing w:line="240" w:lineRule="auto"/>
        <w:ind w:left="153" w:right="0"/>
        <w:jc w:val="left"/>
      </w:pPr>
      <w:r>
        <w:rPr>
          <w:rFonts w:ascii="PMingLiU-ExtB" w:hAnsi="PMingLiU-ExtB" w:cs="PMingLiU-ExtB" w:eastAsia="PMingLiU-ExtB" w:hint="default"/>
        </w:rPr>
        <w:t></w:t>
        <w:tab/>
        <w:t></w:t>
      </w:r>
      <w:r>
        <w:rPr/>
        <w:t>人力资源部汇总报批：</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p>
    <w:p>
      <w:pPr>
        <w:spacing w:line="240" w:lineRule="auto" w:before="9"/>
        <w:rPr>
          <w:rFonts w:ascii="宋体" w:hAnsi="宋体" w:cs="宋体" w:eastAsia="宋体" w:hint="default"/>
          <w:sz w:val="16"/>
          <w:szCs w:val="16"/>
        </w:rPr>
      </w:pPr>
    </w:p>
    <w:p>
      <w:pPr>
        <w:pStyle w:val="BodyText"/>
        <w:tabs>
          <w:tab w:pos="573" w:val="left" w:leader="none"/>
          <w:tab w:pos="2771" w:val="left" w:leader="none"/>
        </w:tabs>
        <w:spacing w:line="451" w:lineRule="auto"/>
        <w:ind w:left="153" w:right="5192" w:hanging="1"/>
        <w:jc w:val="left"/>
      </w:pPr>
      <w:r>
        <w:rPr>
          <w:rFonts w:ascii="PMingLiU-ExtB" w:hAnsi="PMingLiU-ExtB" w:cs="PMingLiU-ExtB" w:eastAsia="PMingLiU-ExtB" w:hint="default"/>
        </w:rPr>
        <w:t></w:t>
        <w:tab/>
        <w:t></w:t>
      </w:r>
      <w:r>
        <w:rPr/>
        <w:t>人力资源部反馈成绩：</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22</w:t>
      </w:r>
      <w:r>
        <w:rPr/>
        <w:t>日 </w:t>
      </w:r>
      <w:r>
        <w:rPr>
          <w:rFonts w:ascii="Times New Roman" w:hAnsi="Times New Roman" w:cs="Times New Roman" w:eastAsia="Times New Roman" w:hint="default"/>
        </w:rPr>
        <w:t>2</w:t>
      </w:r>
      <w:r>
        <w:rPr/>
        <w:t>、激励情况</w:t>
      </w:r>
    </w:p>
    <w:p>
      <w:pPr>
        <w:pStyle w:val="BodyText"/>
        <w:spacing w:line="477" w:lineRule="auto" w:before="43"/>
        <w:ind w:left="153" w:right="150" w:firstLine="360"/>
        <w:jc w:val="both"/>
      </w:pPr>
      <w:r>
        <w:rPr>
          <w:spacing w:val="-2"/>
        </w:rPr>
        <w:t>公司建立了完善的高级管理人员激励体系，薪酬理念与公司价值取向和企业文化相一致，支持公司发展战略的实施。高</w:t>
      </w:r>
      <w:r>
        <w:rPr/>
        <w:t> </w:t>
      </w:r>
      <w:r>
        <w:rPr>
          <w:spacing w:val="-2"/>
        </w:rPr>
        <w:t>级管理人员全薪收入由固定月薪、年度绩效奖金、长期激励和福利补贴构成。公司每年对高级管理人员进行绩效考评，工作</w:t>
      </w:r>
      <w:r>
        <w:rPr>
          <w:spacing w:val="-64"/>
        </w:rPr>
        <w:t> </w:t>
      </w:r>
      <w:r>
        <w:rPr>
          <w:spacing w:val="-64"/>
        </w:rPr>
      </w:r>
      <w:r>
        <w:rPr/>
        <w:t>绩效应用于调薪、奖金分配中，与个人收入直接挂钩。</w:t>
      </w:r>
    </w:p>
    <w:p>
      <w:pPr>
        <w:spacing w:line="240" w:lineRule="auto" w:before="6"/>
        <w:rPr>
          <w:rFonts w:ascii="宋体" w:hAnsi="宋体" w:cs="宋体" w:eastAsia="宋体" w:hint="default"/>
          <w:sz w:val="17"/>
          <w:szCs w:val="17"/>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177"/>
        <w:jc w:val="right"/>
      </w:pPr>
      <w:r>
        <w:rPr/>
        <w:pict>
          <v:shape style="position:absolute;margin-left:57pt;margin-top:-20.768269pt;width:478.6pt;height:346.4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7"/>
                    <w:gridCol w:w="3053"/>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巨潮资讯网《深圳市新国都技术股份有限公司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09"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2"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、重大缺陷：（</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）财务报表造假；（</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）更</w:t>
                        </w:r>
                        <w:r>
                          <w:rPr>
                            <w:rFonts w:ascii="宋体" w:hAnsi="宋体" w:cs="宋体" w:eastAsia="宋体" w:hint="default"/>
                            <w:spacing w:val="-77"/>
                            <w:sz w:val="18"/>
                            <w:szCs w:val="18"/>
                          </w:rPr>
                          <w:t> </w:t>
                        </w:r>
                        <w:r>
                          <w:rPr>
                            <w:rFonts w:ascii="宋体" w:hAnsi="宋体" w:cs="宋体" w:eastAsia="宋体" w:hint="default"/>
                            <w:spacing w:val="-5"/>
                            <w:sz w:val="18"/>
                            <w:szCs w:val="18"/>
                          </w:rPr>
                          <w:t>正或重述已公布的财务报告；（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w:t>
                        </w:r>
                        <w:r>
                          <w:rPr>
                            <w:rFonts w:ascii="宋体" w:hAnsi="宋体" w:cs="宋体" w:eastAsia="宋体" w:hint="default"/>
                            <w:spacing w:val="-84"/>
                            <w:sz w:val="18"/>
                            <w:szCs w:val="18"/>
                          </w:rPr>
                          <w:t> </w:t>
                        </w:r>
                        <w:r>
                          <w:rPr>
                            <w:rFonts w:ascii="宋体" w:hAnsi="宋体" w:cs="宋体" w:eastAsia="宋体" w:hint="default"/>
                            <w:spacing w:val="-6"/>
                            <w:sz w:val="18"/>
                            <w:szCs w:val="18"/>
                          </w:rPr>
                          <w:t>计师出具保留、否定意见审计报告等。</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pacing w:val="-5"/>
                            <w:sz w:val="18"/>
                            <w:szCs w:val="18"/>
                          </w:rPr>
                          <w:t>重要缺陷包括：（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）未正确执行国家相关</w:t>
                        </w:r>
                        <w:r>
                          <w:rPr>
                            <w:rFonts w:ascii="宋体" w:hAnsi="宋体" w:cs="宋体" w:eastAsia="宋体" w:hint="default"/>
                            <w:spacing w:val="-86"/>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）外部审计发现的重大财务</w:t>
                        </w:r>
                        <w:r>
                          <w:rPr>
                            <w:rFonts w:ascii="宋体" w:hAnsi="宋体" w:cs="宋体" w:eastAsia="宋体" w:hint="default"/>
                            <w:spacing w:val="-86"/>
                            <w:sz w:val="18"/>
                            <w:szCs w:val="18"/>
                          </w:rPr>
                          <w:t> </w:t>
                        </w:r>
                        <w:r>
                          <w:rPr>
                            <w:rFonts w:ascii="宋体" w:hAnsi="宋体" w:cs="宋体" w:eastAsia="宋体" w:hint="default"/>
                            <w:spacing w:val="-5"/>
                            <w:sz w:val="18"/>
                            <w:szCs w:val="18"/>
                          </w:rPr>
                          <w:t>报表差错；（</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）对财务报告的产生缺乏有</w:t>
                        </w:r>
                        <w:r>
                          <w:rPr>
                            <w:rFonts w:ascii="宋体" w:hAnsi="宋体" w:cs="宋体" w:eastAsia="宋体" w:hint="default"/>
                            <w:spacing w:val="-86"/>
                            <w:sz w:val="18"/>
                            <w:szCs w:val="18"/>
                          </w:rPr>
                          <w:t> </w:t>
                        </w:r>
                        <w:r>
                          <w:rPr>
                            <w:rFonts w:ascii="宋体" w:hAnsi="宋体" w:cs="宋体" w:eastAsia="宋体" w:hint="default"/>
                            <w:sz w:val="18"/>
                            <w:szCs w:val="18"/>
                          </w:rPr>
                          <w:t>效审核、监督机制等。</w:t>
                        </w:r>
                        <w:r>
                          <w:rPr>
                            <w:rFonts w:ascii="宋体" w:hAnsi="宋体" w:cs="宋体" w:eastAsia="宋体" w:hint="default"/>
                            <w:spacing w:val="66"/>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、一般缺陷：除</w:t>
                        </w:r>
                        <w:r>
                          <w:rPr>
                            <w:rFonts w:ascii="宋体" w:hAnsi="宋体" w:cs="宋体" w:eastAsia="宋体" w:hint="default"/>
                            <w:sz w:val="18"/>
                            <w:szCs w:val="18"/>
                          </w:rPr>
                          <w:t> 上述重大缺陷、重要缺陷之外的其他控制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）企业高管存在舞弊</w:t>
                        </w:r>
                      </w:p>
                      <w:p>
                        <w:pPr>
                          <w:pStyle w:val="TableParagraph"/>
                          <w:spacing w:line="302" w:lineRule="auto" w:before="60"/>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）严重的违规、违纪且遭受处罚、 警告；</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）被媒体负面报到且已造成 </w:t>
                        </w:r>
                        <w:r>
                          <w:rPr>
                            <w:rFonts w:ascii="宋体" w:hAnsi="宋体" w:cs="宋体" w:eastAsia="宋体" w:hint="default"/>
                            <w:spacing w:val="-9"/>
                            <w:sz w:val="18"/>
                            <w:szCs w:val="18"/>
                          </w:rPr>
                          <w:t>严重影响；（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）已知的重大缺陷未得到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整改。</w:t>
                        </w:r>
                        <w:r>
                          <w:rPr>
                            <w:rFonts w:ascii="宋体" w:hAnsi="宋体" w:cs="宋体" w:eastAsia="宋体" w:hint="default"/>
                            <w:spacing w:val="6"/>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）非高管人</w:t>
                        </w:r>
                        <w:r>
                          <w:rPr>
                            <w:rFonts w:ascii="宋体" w:hAnsi="宋体" w:cs="宋体" w:eastAsia="宋体" w:hint="default"/>
                            <w:sz w:val="18"/>
                            <w:szCs w:val="18"/>
                          </w:rPr>
                          <w:t> </w:t>
                        </w:r>
                        <w:r>
                          <w:rPr>
                            <w:rFonts w:ascii="宋体" w:hAnsi="宋体" w:cs="宋体" w:eastAsia="宋体" w:hint="default"/>
                            <w:spacing w:val="-9"/>
                            <w:sz w:val="18"/>
                            <w:szCs w:val="18"/>
                          </w:rPr>
                          <w:t>员的舞弊；（</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）被媒体负面报到，但尚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未造成实际影响；（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）缺失有效的内部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管理与监督机制等。</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 </w:t>
                        </w:r>
                        <w:r>
                          <w:rPr>
                            <w:rFonts w:ascii="宋体" w:hAnsi="宋体" w:cs="宋体" w:eastAsia="宋体" w:hint="default"/>
                            <w:spacing w:val="-4"/>
                            <w:sz w:val="18"/>
                            <w:szCs w:val="18"/>
                          </w:rPr>
                          <w:t>上述重大缺陷、重要缺陷之外的其他控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409"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12" w:space="0" w:color="D4D4D4"/>
                          <w:right w:val="single" w:sz="4" w:space="0" w:color="000000"/>
                        </w:tcBorders>
                      </w:tcPr>
                      <w:p>
                        <w:pPr>
                          <w:pStyle w:val="TableParagraph"/>
                          <w:tabs>
                            <w:tab w:pos="1281" w:val="left" w:leader="none"/>
                            <w:tab w:pos="2001" w:val="left" w:leader="none"/>
                          </w:tabs>
                          <w:spacing w:line="316" w:lineRule="auto" w:before="49"/>
                          <w:ind w:left="18" w:right="225"/>
                          <w:jc w:val="left"/>
                          <w:rPr>
                            <w:rFonts w:ascii="宋体" w:hAnsi="宋体" w:cs="宋体" w:eastAsia="宋体" w:hint="default"/>
                            <w:sz w:val="18"/>
                            <w:szCs w:val="18"/>
                          </w:rPr>
                        </w:pPr>
                        <w:r>
                          <w:rPr>
                            <w:rFonts w:ascii="宋体" w:hAnsi="宋体" w:cs="宋体" w:eastAsia="宋体" w:hint="default"/>
                            <w:sz w:val="18"/>
                            <w:szCs w:val="18"/>
                          </w:rPr>
                          <w:t>定量标准</w:t>
                          <w:tab/>
                          <w:tab/>
                          <w:t>重大缺陷 重要缺陷</w:t>
                          <w:tab/>
                          <w:t>一般缺陷资产潜在错报</w:t>
                        </w:r>
                      </w:p>
                    </w:tc>
                    <w:tc>
                      <w:tcPr>
                        <w:tcW w:w="3053" w:type="dxa"/>
                        <w:vMerge w:val="restart"/>
                        <w:tcBorders>
                          <w:top w:val="single" w:sz="4" w:space="0" w:color="000000"/>
                          <w:left w:val="single" w:sz="4" w:space="0" w:color="000000"/>
                          <w:right w:val="single" w:sz="4" w:space="0" w:color="000000"/>
                        </w:tcBorders>
                      </w:tcPr>
                      <w:p>
                        <w:pPr>
                          <w:pStyle w:val="TableParagraph"/>
                          <w:tabs>
                            <w:tab w:pos="900" w:val="left" w:leader="none"/>
                            <w:tab w:pos="1288" w:val="left" w:leader="none"/>
                            <w:tab w:pos="2608" w:val="left" w:leader="none"/>
                          </w:tabs>
                          <w:spacing w:line="316"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定量标准</w:t>
                          <w:tab/>
                          <w:tab/>
                          <w:t>重大缺陷</w:t>
                          <w:tab/>
                          <w:t>重要 缺陷</w:t>
                          <w:tab/>
                          <w:t>一般缺陷金额影响</w:t>
                          <w:tab/>
                        </w:r>
                        <w:r>
                          <w:rPr>
                            <w:rFonts w:ascii="宋体" w:hAnsi="宋体" w:cs="宋体" w:eastAsia="宋体" w:hint="default"/>
                            <w:spacing w:val="-3"/>
                            <w:sz w:val="18"/>
                            <w:szCs w:val="18"/>
                          </w:rPr>
                          <w:t>绝对</w:t>
                        </w:r>
                        <w:r>
                          <w:rPr>
                            <w:rFonts w:ascii="宋体" w:hAnsi="宋体" w:cs="宋体" w:eastAsia="宋体" w:hint="default"/>
                            <w:sz w:val="18"/>
                            <w:szCs w:val="18"/>
                          </w:rPr>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12"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12"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986"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0.25%    0.25%&gt;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0.05%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错报</w:t>
            </w:r>
          </w:p>
          <w:p>
            <w:pPr>
              <w:pStyle w:val="TableParagraph"/>
              <w:tabs>
                <w:tab w:pos="1605" w:val="left" w:leader="none"/>
                <w:tab w:pos="2301" w:val="left" w:leader="none"/>
              </w:tabs>
              <w:spacing w:line="300" w:lineRule="auto" w:before="63"/>
              <w:ind w:left="23" w:right="17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&lt;0.05%</w:t>
            </w:r>
            <w:r>
              <w:rPr>
                <w:rFonts w:ascii="宋体" w:hAnsi="宋体" w:cs="宋体" w:eastAsia="宋体" w:hint="default"/>
                <w:sz w:val="18"/>
                <w:szCs w:val="18"/>
              </w:rPr>
              <w:t>营业收入潜在错报</w:t>
              <w:tab/>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1"/>
                <w:sz w:val="18"/>
                <w:szCs w:val="18"/>
              </w:rPr>
              <w:t>0.5%&gt;</w:t>
            </w:r>
            <w:r>
              <w:rPr>
                <w:rFonts w:ascii="宋体" w:hAnsi="宋体" w:cs="宋体" w:eastAsia="宋体" w:hint="default"/>
                <w:spacing w:val="-1"/>
                <w:sz w:val="18"/>
                <w:szCs w:val="18"/>
              </w:rPr>
              <w:t>错报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0.1%</w:t>
              <w:tab/>
            </w:r>
            <w:r>
              <w:rPr>
                <w:rFonts w:ascii="宋体" w:hAnsi="宋体" w:cs="宋体" w:eastAsia="宋体" w:hint="default"/>
                <w:sz w:val="18"/>
                <w:szCs w:val="18"/>
              </w:rPr>
              <w:t>错报</w:t>
            </w:r>
            <w:r>
              <w:rPr>
                <w:rFonts w:ascii="Times New Roman" w:hAnsi="Times New Roman" w:cs="Times New Roman" w:eastAsia="Times New Roman" w:hint="default"/>
                <w:sz w:val="18"/>
                <w:szCs w:val="18"/>
              </w:rPr>
              <w:t>&lt;0.1%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16"/>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r>
              <w:rPr>
                <w:rFonts w:ascii="Times New Roman" w:hAnsi="Times New Roman" w:cs="Times New Roman" w:eastAsia="Times New Roman" w:hint="default"/>
                <w:sz w:val="18"/>
                <w:szCs w:val="18"/>
              </w:rPr>
              <w:t>&gt;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 绝对金额</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我们认为，新国都技术公司按照《内部会计控制规范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日在所有重大方面</w:t>
            </w:r>
            <w:r>
              <w:rPr>
                <w:rFonts w:ascii="宋体" w:hAnsi="宋体" w:cs="宋体" w:eastAsia="宋体" w:hint="default"/>
                <w:sz w:val="18"/>
                <w:szCs w:val="18"/>
              </w:rPr>
              <w:t> 保持了与财务报表相关的有效的内部控制。</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第十节 财务报告" w:id="145"/>
      <w:bookmarkEnd w:id="145"/>
      <w:r>
        <w:rPr>
          <w:b w:val="0"/>
          <w:bCs w:val="0"/>
        </w:rPr>
      </w:r>
      <w:bookmarkStart w:name="_bookmark9" w:id="146"/>
      <w:bookmarkEnd w:id="146"/>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[2016]004704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谭荣、张晓义</w:t>
            </w:r>
          </w:p>
        </w:tc>
      </w:tr>
    </w:tbl>
    <w:p>
      <w:pPr>
        <w:pStyle w:val="BodyText"/>
        <w:spacing w:line="240" w:lineRule="auto" w:before="49"/>
        <w:ind w:left="3428" w:right="3468"/>
        <w:jc w:val="center"/>
      </w:pPr>
      <w:r>
        <w:rPr/>
        <w:t>审计报告正文</w:t>
      </w:r>
    </w:p>
    <w:p>
      <w:pPr>
        <w:spacing w:line="240" w:lineRule="auto" w:before="6"/>
        <w:rPr>
          <w:rFonts w:ascii="宋体" w:hAnsi="宋体" w:cs="宋体" w:eastAsia="宋体" w:hint="default"/>
          <w:sz w:val="11"/>
          <w:szCs w:val="11"/>
        </w:rPr>
      </w:pPr>
    </w:p>
    <w:p>
      <w:pPr>
        <w:pStyle w:val="BodyText"/>
        <w:spacing w:line="477" w:lineRule="auto" w:before="44"/>
        <w:ind w:left="512" w:right="94" w:hanging="360"/>
        <w:jc w:val="left"/>
      </w:pPr>
      <w:r>
        <w:rPr/>
        <w:t>深圳市新国都技术股份有限公司全体股东： </w:t>
      </w:r>
      <w:r>
        <w:rPr>
          <w:spacing w:val="-1"/>
        </w:rPr>
        <w:t>我们审计了后附的深圳市新国都技术股份有限公司</w:t>
      </w:r>
      <w:r>
        <w:rPr>
          <w:rFonts w:ascii="Times New Roman" w:hAnsi="Times New Roman" w:cs="Times New Roman" w:eastAsia="Times New Roman" w:hint="default"/>
          <w:spacing w:val="-1"/>
        </w:rPr>
        <w:t>(</w:t>
      </w:r>
      <w:r>
        <w:rPr>
          <w:spacing w:val="-1"/>
        </w:rPr>
        <w:t>以下简称新国都技术公司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w:t>
      </w:r>
    </w:p>
    <w:p>
      <w:pPr>
        <w:pStyle w:val="BodyText"/>
        <w:spacing w:line="451" w:lineRule="auto" w:before="21"/>
        <w:ind w:right="94"/>
        <w:jc w:val="left"/>
      </w:pPr>
      <w:r>
        <w:rPr>
          <w:spacing w:val="-2"/>
        </w:rPr>
        <w:t>母公司资产负债表，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年度的合并及母公司利润表、合并及母公司现金流量表、合并及母公司股东权益变动表，以及财务</w:t>
      </w:r>
      <w:r>
        <w:rPr>
          <w:spacing w:val="-62"/>
        </w:rPr>
        <w:t> </w:t>
      </w:r>
      <w:r>
        <w:rPr>
          <w:spacing w:val="-62"/>
        </w:rPr>
      </w:r>
      <w:r>
        <w:rPr/>
        <w:t>报表附注。</w:t>
      </w:r>
    </w:p>
    <w:p>
      <w:pPr>
        <w:pStyle w:val="BodyText"/>
        <w:spacing w:line="398" w:lineRule="auto"/>
        <w:ind w:left="512" w:right="184" w:hanging="360"/>
        <w:jc w:val="left"/>
      </w:pPr>
      <w:r>
        <w:rPr/>
        <w:t>一、管理层对财务报表的责任 编制和公允列报财务报表是新国都技术公司管理层的责任，这种责任包括：（</w:t>
      </w:r>
      <w:r>
        <w:rPr>
          <w:rFonts w:ascii="宋体" w:hAnsi="宋体" w:cs="宋体" w:eastAsia="宋体" w:hint="default"/>
        </w:rPr>
        <w:t>1</w:t>
      </w:r>
      <w:r>
        <w:rPr/>
        <w:t>）按照企业会计准则的规定编制财务报</w:t>
      </w:r>
    </w:p>
    <w:p>
      <w:pPr>
        <w:pStyle w:val="BodyText"/>
        <w:spacing w:line="396" w:lineRule="auto" w:before="113"/>
        <w:ind w:right="94"/>
        <w:jc w:val="left"/>
      </w:pPr>
      <w:r>
        <w:rPr>
          <w:spacing w:val="-2"/>
        </w:rPr>
        <w:t>表，并使其实现公允反映；（</w:t>
      </w:r>
      <w:r>
        <w:rPr>
          <w:rFonts w:ascii="宋体" w:hAnsi="宋体" w:cs="宋体" w:eastAsia="宋体" w:hint="default"/>
          <w:spacing w:val="-2"/>
        </w:rPr>
        <w:t>2</w:t>
      </w:r>
      <w:r>
        <w:rPr>
          <w:spacing w:val="-2"/>
        </w:rPr>
        <w:t>）设计、执行和维护必要的内部控制，以使财务报表不存在由于舞弊或错误导致的重大错报。</w:t>
      </w:r>
      <w:r>
        <w:rPr>
          <w:spacing w:val="-66"/>
        </w:rPr>
        <w:t> </w:t>
      </w:r>
      <w:r>
        <w:rPr>
          <w:spacing w:val="-66"/>
        </w:rPr>
      </w:r>
      <w:r>
        <w:rPr/>
        <w:t>二、注册会计师的责任</w:t>
      </w:r>
    </w:p>
    <w:p>
      <w:pPr>
        <w:pStyle w:val="BodyText"/>
        <w:spacing w:line="477" w:lineRule="auto" w:before="38"/>
        <w:ind w:right="193"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54"/>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96" w:lineRule="auto" w:before="54"/>
        <w:ind w:right="3154" w:firstLine="360"/>
        <w:jc w:val="left"/>
      </w:pPr>
      <w:r>
        <w:rPr/>
        <w:t>我们相信，我们获取的审计证据是充分、适当的，为发表审计意见提供了基础。 三、审计意见</w:t>
      </w:r>
    </w:p>
    <w:p>
      <w:pPr>
        <w:pStyle w:val="BodyText"/>
        <w:spacing w:line="477" w:lineRule="auto" w:before="38"/>
        <w:ind w:right="94" w:firstLine="360"/>
        <w:jc w:val="left"/>
      </w:pPr>
      <w:r>
        <w:rPr>
          <w:spacing w:val="-2"/>
        </w:rPr>
        <w:t>我们认为，新国都技术公司的财务报表在所有重大方面按照企业会计准则的规定编制，公允反映了新国都技术公司</w:t>
      </w:r>
      <w:r>
        <w:rPr>
          <w:rFonts w:ascii="宋体" w:hAnsi="宋体" w:cs="宋体" w:eastAsia="宋体" w:hint="default"/>
          <w:spacing w:val="-2"/>
        </w:rPr>
        <w:t>2015</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年度的合并及母公司经营成果和现金流量。</w:t>
      </w:r>
    </w:p>
    <w:p>
      <w:pPr>
        <w:spacing w:after="0" w:line="477" w:lineRule="auto"/>
        <w:jc w:val="left"/>
        <w:sectPr>
          <w:pgSz w:w="11910" w:h="16840"/>
          <w:pgMar w:header="745" w:footer="982" w:top="1060" w:bottom="1180" w:left="980" w:right="940"/>
        </w:sectPr>
      </w:pPr>
    </w:p>
    <w:p>
      <w:pPr>
        <w:pStyle w:val="BodyText"/>
        <w:tabs>
          <w:tab w:pos="4551" w:val="left" w:leader="none"/>
        </w:tabs>
        <w:spacing w:line="224" w:lineRule="exact"/>
        <w:ind w:right="-20"/>
        <w:jc w:val="left"/>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r>
        <w:rPr>
          <w:spacing w:val="-16"/>
        </w:rPr>
        <w:t> </w:t>
      </w:r>
      <w:r>
        <w:rPr/>
        <w:t>谭荣</w:t>
      </w:r>
    </w:p>
    <w:p>
      <w:pPr>
        <w:pStyle w:val="BodyText"/>
        <w:tabs>
          <w:tab w:pos="4549" w:val="left" w:leader="none"/>
        </w:tabs>
        <w:spacing w:line="240" w:lineRule="auto" w:before="62"/>
        <w:ind w:left="243" w:right="-20"/>
        <w:jc w:val="left"/>
      </w:pPr>
      <w:r>
        <w:rPr>
          <w:spacing w:val="-1"/>
        </w:rPr>
        <w:t>中国</w:t>
      </w:r>
      <w:r>
        <w:rPr>
          <w:rFonts w:ascii="Times New Roman" w:hAnsi="Times New Roman" w:cs="Times New Roman" w:eastAsia="Times New Roman" w:hint="default"/>
          <w:spacing w:val="-1"/>
        </w:rPr>
        <w:t>•</w:t>
      </w:r>
      <w:r>
        <w:rPr>
          <w:spacing w:val="-1"/>
        </w:rPr>
        <w:t>北京</w:t>
        <w:tab/>
      </w:r>
      <w:r>
        <w:rPr/>
        <w:t>中国注册会计师：</w:t>
      </w:r>
      <w:r>
        <w:rPr>
          <w:spacing w:val="-16"/>
        </w:rPr>
        <w:t> </w:t>
      </w:r>
      <w:r>
        <w:rPr/>
        <w:t>张晓义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8"/>
        <w:ind w:right="0"/>
        <w:jc w:val="left"/>
      </w:pPr>
      <w:r>
        <w:rPr/>
        <w:t>二〇一六年四月十八日</w:t>
      </w:r>
    </w:p>
    <w:p>
      <w:pPr>
        <w:spacing w:after="0" w:line="240" w:lineRule="auto"/>
        <w:jc w:val="left"/>
        <w:sectPr>
          <w:type w:val="continuous"/>
          <w:pgSz w:w="11910" w:h="16840"/>
          <w:pgMar w:top="1060" w:bottom="1180" w:left="980" w:right="940"/>
          <w:cols w:num="2" w:equalWidth="0">
            <w:col w:w="6604" w:space="1231"/>
            <w:col w:w="2155"/>
          </w:cols>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二、财务报表" w:id="148"/>
      <w:bookmarkEnd w:id="148"/>
      <w:r>
        <w:rPr/>
      </w: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编制单位：深圳市新国都技术股份有限公司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573" w:space="50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428,153,435.05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515,970,004.73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121,378.09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56,779,381.02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75,755,288.58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358,297,454.84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299,105,960.46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4,466,437.04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3,213,386.36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65,670.45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1,856,222.19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5,251,857.18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6,089,565.61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198,185,930.74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127,407,106.00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66,678,846.16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7,493,811.49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1,118,000,390.57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1,036,891,345.42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75,710,833.32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24,526,601.30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43,552,693.97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26,981,294.82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296,925,757.82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230,792,939.85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73,509,139.37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32,546,268.45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176,047,177.83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7,370,285.31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5,365,973.02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15,416,982.90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10,441,999.07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15,705,208.00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10,592,314.00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704,478,078.52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344,368,640.51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1,822,478,469.09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1,381,259,985.93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51,558,464.00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113,584,542.16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242,639,477.56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116,225,757.26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49,101,803.37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32,140,589.98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31,237,316.25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25,200,414.74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16,020,759.10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13,319,196.69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31,714,321.93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904,410.55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535,856,684.37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236,638,295.61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1,038,783.85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13,155,833.33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6,238,129.72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20,432,746.90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556,289,431.27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247,958,295.61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231,021,360.00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606,706,549.26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671,145,093.66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-87,737.42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24,685,764.62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400,028,473.46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327,492,908.55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1,262,354,409.92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1,130,378,477.77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3,834,627.90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2,923,212.55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1,266,189,037.82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1,133,301,690.32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1,822,478,469.09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1,381,259,985.93</w:t>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5" w:val="left" w:leader="none"/>
        </w:tabs>
        <w:spacing w:line="240" w:lineRule="auto" w:before="44"/>
        <w:ind w:left="0" w:right="246"/>
        <w:jc w:val="right"/>
      </w:pPr>
      <w:r>
        <w:rPr/>
        <w:t>法定代表人：刘祥</w:t>
        <w:tab/>
      </w:r>
      <w:r>
        <w:rPr>
          <w:spacing w:val="-1"/>
        </w:rPr>
        <w:t>主管会计工作负责人：赵辉</w:t>
        <w:tab/>
      </w:r>
      <w:r>
        <w:rPr/>
        <w:t>会计机构负责人：赵辉</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317,328,362.02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354,446,108.16</w:t>
            </w:r>
            <w:r>
              <w:rPr>
                <w:rFonts w:ascii="Times New Roman"/>
                <w:sz w:val="18"/>
              </w:rPr>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24,547.95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53,446,206.16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75,695,657.58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342,691,461.13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298,964,114.51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1,815,398.15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3,082,586.36</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8,786.77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1,451,084.12</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3,945,894.80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17,983,659.53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186,752,319.43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134,309,360.30</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15,542,276.73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7,493,811.49</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921,555,253.14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893,426,382.05</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947,282,698.57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543,586,601.30</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39,004,785.03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23,818,669.90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2,047,062.08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1,824,618.46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3,941,558.33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4,269,621.98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12,085,746.26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8,238,386.29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15,705,208.00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10,592,314.00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1,020,067,058.27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595,451,461.93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1,941,622,311.41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1,488,877,843.98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112,151,669.05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483,702,316.92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364,601,551.65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48,180,071.41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32,140,589.98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17,425,783.00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19,404,455.90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7,610,261.76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7,166,716.99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189,960,747.36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104,760,011.86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909,030,849.50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576,921,252.77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11,155,833.33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11,155,833.33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920,186,682.83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583,021,252.77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231,021,360.00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600,331,542.63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668,211,755.86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24,685,764.62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165,396,961.33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105,904,359.79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1,021,435,628.58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905,856,591.21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1,941,622,311.41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1,488,877,843.98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952,127,861.80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645,000,638.19</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388,957,724.06</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39984pt;width:158.9pt;height:20.65pt;mso-position-horizontal-relative:page;mso-position-vertical-relative:page;z-index:-1073824" coordorigin="4219,8003" coordsize="3178,413">
            <v:group style="position:absolute;left:4230;top:8014;width:2;height:392" coordorigin="4230,8014" coordsize="2,392">
              <v:shape style="position:absolute;left:4230;top:8014;width:2;height:392" coordorigin="4230,8014" coordsize="0,392" path="m4230,8014l4230,8405e" filled="false" stroked="true" strokeweight="1.08pt" strokecolor="#ffffff">
                <v:path arrowok="t"/>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r>
        <w:rPr/>
        <w:pict>
          <v:group style="position:absolute;margin-left:210.960007pt;margin-top:520.73999pt;width:158.9pt;height:20.65pt;mso-position-horizontal-relative:page;mso-position-vertical-relative:page;z-index:-1073800" coordorigin="4219,10415" coordsize="3178,413">
            <v:group style="position:absolute;left:4230;top:10426;width:2;height:392" coordorigin="4230,10426" coordsize="2,392">
              <v:shape style="position:absolute;left:4230;top:10426;width:2;height:392" coordorigin="4230,10426" coordsize="0,392" path="m4230,10426l4230,10817e" filled="false" stroked="true" strokeweight="1.08pt" strokecolor="#ffffff">
                <v:path arrowok="t"/>
              </v:shape>
            </v:group>
            <v:group style="position:absolute;left:4241;top:10426;width:3156;height:392" coordorigin="4241,10426" coordsize="3156,392">
              <v:shape style="position:absolute;left:4241;top:10426;width:3156;height:392" coordorigin="4241,10426" coordsize="3156,392" path="m4241,10817l7397,10817,7397,10426,4241,10426,4241,108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117"/>
        <w:gridCol w:w="2105"/>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8,781,532.90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5,129,772.00</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108,175,920.53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98,295,524.31</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69" w:right="0"/>
              <w:jc w:val="left"/>
              <w:rPr>
                <w:rFonts w:ascii="Times New Roman" w:hAnsi="Times New Roman" w:cs="Times New Roman" w:eastAsia="Times New Roman" w:hint="default"/>
                <w:sz w:val="18"/>
                <w:szCs w:val="18"/>
              </w:rPr>
            </w:pPr>
            <w:r>
              <w:rPr>
                <w:rFonts w:ascii="Times New Roman"/>
                <w:sz w:val="18"/>
              </w:rPr>
              <w:t>211,711,652.53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156,945,062.59</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4,917,917.28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-12,717,729.87</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9,876,348.57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8,390,285.10</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121,378.09</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4,098,865.53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2,632,356.73</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1,186,040.87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2,632,356.73</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29,658,771.33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35,832,045.47</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58,348,072.41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42,382,710.90</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27,187.92</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731,328.22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881,818.86</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5,756.16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479,361.17</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87,275,515.52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77,332,937.51</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868,246.20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-2,239,032.20</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86,407,269.32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79,571,969.71</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85,495,853.97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79,581,385.94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911,415.35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-9,416.23</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-87,737.42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-87,737.42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67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152"/>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-87,737.42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-87,737.42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86,319,531.90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79,571,969.71</w:t>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85,408,116.55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79,581,385.94</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911,415.35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-9,416.23</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0.350</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0.350</w:t>
            </w:r>
          </w:p>
        </w:tc>
      </w:tr>
    </w:tbl>
    <w:p>
      <w:pPr>
        <w:pStyle w:val="BodyText"/>
        <w:tabs>
          <w:tab w:pos="3666" w:val="left" w:leader="none"/>
          <w:tab w:pos="7897" w:val="left" w:leader="none"/>
        </w:tabs>
        <w:spacing w:line="621" w:lineRule="auto" w:before="49"/>
        <w:ind w:right="246"/>
        <w:jc w:val="left"/>
      </w:pPr>
      <w:r>
        <w:rPr/>
        <w:t>本期发生同一控制下企业合并的，被合并方在合并前实现的净利润为：元，上期被合并方实现的净利润为：元。 法定代表人：刘祥</w:t>
        <w:tab/>
      </w:r>
      <w:r>
        <w:rPr>
          <w:spacing w:val="-1"/>
        </w:rPr>
        <w:t>主管会计工作负责人：赵辉</w:t>
        <w:tab/>
      </w:r>
      <w:r>
        <w:rPr/>
        <w:t>会计机构负责人：赵辉</w:t>
      </w:r>
    </w:p>
    <w:p>
      <w:pPr>
        <w:pStyle w:val="Heading3"/>
        <w:spacing w:line="240" w:lineRule="auto" w:before="69"/>
        <w:ind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901,382,944.77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677,939,954.18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714,757,768.83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500,671,254.12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4,980,236.73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2,994,999.16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75,419,743.38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73,521,508.96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108,886,591.11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99,267,431.03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6,775,465.07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-6,547,493.85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8,425,889.57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8,196,388.12</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24,547.95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60,452,327.90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2,464,437.08</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1,184,232.02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2,464,437.08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42,614,125.93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2,300,303.72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26,660,661.72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26,848,787.27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669,257.02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881,688.13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479,361.17</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68,605,530.63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28,267,402.86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-3,847,359.97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-4,187,644.78</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72,452,890.60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32,455,047.64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72,452,890.60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1,135,307,246.85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655,777,738.32</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50,546,421.35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31,536,423.39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16,955,559.95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12,546,314.77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1,202,809,228.15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699,860,476.48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560,046,610.64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422,777,963.48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166,662,712.71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119,793,756.96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88,306,593.14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49,792,374.84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123,392,464.29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111,363,693.77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938,408,380.78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703,727,789.05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264,400,847.37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-3,867,312.57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394,662,824.66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394,662,824.66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75,213,608.24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178,216,532.90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234,167,642.16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799,381,250.40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178,216,532.90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-404,718,425.74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-171,016,532.90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18,366,015.60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4,966,529.73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12,302,628.02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73,332,545.33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12,302,628.02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39,863.04</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13,824,006.23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27,117,241.78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40,981,111.05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32,351,434.28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872,628.02</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45,998.51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-107,920,145.58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-174,011,217.45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496,743,338.75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670,754,556.20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388,823,193.17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496,743,338.75</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2"/>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1,052,879,263.56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654,383,885.92</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23,311,317.76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16,504,566.23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83,627,097.83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151,496,232.12</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1,159,817,679.15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822,384,684.27</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681,312,054.09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516,177,963.48</w:t>
            </w:r>
            <w:r>
              <w:rPr>
                <w:rFonts w:ascii="Times New Roman"/>
                <w:sz w:val="18"/>
              </w:rPr>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99,304,044.25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84,270,544.11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46,459,663.61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28,784,402.29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95,176,843.31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229,577,981.38</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922,252,605.26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858,810,891.26</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237,565,073.89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-36,426,206.99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499,600.00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193,518,495.88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254,018,095.88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35,700,000.00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11,858,061.00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13,616,152.07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82" w:header="745"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256,839,110.00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577,697,171.00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143,616,152.07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-323,679,075.12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-107,916,152.07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18,366,015.60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1,410,900.12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6,719,369.02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69,776,915.72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6,719,369.02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13,766,994.75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26,449,063.31</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40,216,058.06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29,560,857.66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-4,710,630.98</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-56,553,143.57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-149,052,990.04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335,219,442.18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484,272,432.22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278,666,298.61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335,219,442.18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671,145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,093.66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475.56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327,492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,908.55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2,923,2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12.55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01,690.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82" w:header="745" w:top="1060" w:bottom="118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671,145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,093.66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475.56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327,492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,908.55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2,923,2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12.55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01,690.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116,72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-64,438,</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544.40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72,535,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564.91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911,415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132,887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,347.50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-87,737.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85,495,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853.97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911,415</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86,319,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531.90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2,421,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360.00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49,861,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455.60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52,282,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815.60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2,421,</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360.00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49,861,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455.60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52,282,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815.60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289.06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-114,30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-114,30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231,02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606,706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400,028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,473.46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3,834,6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27.90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89,037.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bl>
    <w:p>
      <w:pPr>
        <w:pStyle w:val="BodyText"/>
        <w:spacing w:line="240" w:lineRule="auto" w:before="49"/>
        <w:ind w:right="0"/>
        <w:jc w:val="left"/>
      </w:pPr>
      <w:r>
        <w:rPr/>
        <w:t>上期金额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0"/>
        <w:gridCol w:w="533"/>
        <w:gridCol w:w="662"/>
        <w:gridCol w:w="665"/>
        <w:gridCol w:w="667"/>
        <w:gridCol w:w="665"/>
        <w:gridCol w:w="662"/>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,393.65</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14,194,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970.80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,027.37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28.78</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1,035,9</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,393.65</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970.80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,027.37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28.78</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1,035,9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64,905,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881.18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-9,416.</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97,366,</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669.72</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79,581,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385.94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79,571,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969.71</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700.01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700.01</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-14,675,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504.76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04.76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671,145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327,492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,908.55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2,923,2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12.55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1,133,3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01,690.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668,211,7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55.86</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17,440,47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105,904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,359.79</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905,856,5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91.21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668,211,7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55.86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17,440,47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105,904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,359.79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905,856,5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91.21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116,721,</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-67,880,2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7,245,289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59,492,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115,579,0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37.37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890.60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72,452,89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0.60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2,421,36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46,419,78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48,841,14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6.77</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2,421,36</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46,419,78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48,841,14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6.77</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7,245,289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289.06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-5,715,00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7,245,289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-7,245,2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89.06</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-5,715,00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231,021,</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600,331,5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42.63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24,685,76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165,396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1,021,435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,628.58</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93.65</w:t>
            </w:r>
          </w:p>
        </w:tc>
        <w:tc>
          <w:tcPr>
            <w:tcW w:w="797" w:type="dxa"/>
            <w:vMerge w:val="restart"/>
            <w:tcBorders>
              <w:top w:val="single" w:sz="18" w:space="0" w:color="D4D4D4"/>
              <w:left w:val="single" w:sz="4" w:space="0" w:color="000000"/>
              <w:right w:val="single" w:sz="4" w:space="0" w:color="000000"/>
            </w:tcBorders>
          </w:tcPr>
          <w:p>
            <w:pP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14,194,97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0.80</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88,124,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816.91</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858,540,1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81.36</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93.65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14,194,97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88,124,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816.91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858,540,1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81.36</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3,245,504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17,779,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47,316,40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9.85</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047.64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32,455,04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7.64</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2.21</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26,291,36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26,291,36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2.21</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3,245,504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-14,675,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504.76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3,245,504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04.76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668,211,7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55.86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17,440,47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105,904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905,856,5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91.21</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bookmarkStart w:name="三、公司基本情况" w:id="157"/>
      <w:bookmarkEnd w:id="157"/>
      <w:r>
        <w:rPr>
          <w:b w:val="0"/>
          <w:bCs w:val="0"/>
        </w:rPr>
      </w:r>
      <w:r>
        <w:rPr/>
        <w:t>三、公司基本情况</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01" w:firstLine="360"/>
        <w:jc w:val="left"/>
      </w:pPr>
      <w:r>
        <w:rPr/>
        <w:t>深圳市新国都技术股份有限公司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前身为深圳市新国都技术有限公司（以下简称</w:t>
      </w:r>
      <w:r>
        <w:rPr>
          <w:rFonts w:ascii="Times New Roman" w:hAnsi="Times New Roman" w:cs="Times New Roman" w:eastAsia="Times New Roman" w:hint="default"/>
        </w:rPr>
        <w:t>“</w:t>
      </w:r>
      <w:r>
        <w:rPr/>
        <w:t>新国都技</w:t>
      </w:r>
      <w:r>
        <w:rPr>
          <w:spacing w:val="2"/>
        </w:rPr>
        <w:t> </w:t>
      </w:r>
      <w:r>
        <w:rPr>
          <w:spacing w:val="-3"/>
        </w:rPr>
        <w:t>术</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日经深圳市工商行政管理局批准成立，由刘祥、刘亚和深圳市奥格立电子科技有限公司共同出资组建，</w:t>
      </w:r>
      <w:r>
        <w:rPr>
          <w:spacing w:val="-80"/>
        </w:rPr>
        <w:t> </w:t>
      </w:r>
      <w:r>
        <w:rPr>
          <w:spacing w:val="-80"/>
        </w:rPr>
      </w:r>
      <w:r>
        <w:rPr/>
        <w:t>注册资本为人民币</w:t>
      </w:r>
      <w:r>
        <w:rPr>
          <w:rFonts w:ascii="Times New Roman" w:hAnsi="Times New Roman" w:cs="Times New Roman" w:eastAsia="Times New Roman" w:hint="default"/>
        </w:rPr>
        <w:t>300.00</w:t>
      </w:r>
      <w:r>
        <w:rPr/>
        <w:t>万元，其中刘祥出资人民币</w:t>
      </w:r>
      <w:r>
        <w:rPr>
          <w:rFonts w:ascii="Times New Roman" w:hAnsi="Times New Roman" w:cs="Times New Roman" w:eastAsia="Times New Roman" w:hint="default"/>
        </w:rPr>
        <w:t>120.00</w:t>
      </w:r>
      <w:r>
        <w:rPr/>
        <w:t>万元，出资比例</w:t>
      </w:r>
      <w:r>
        <w:rPr>
          <w:rFonts w:ascii="Times New Roman" w:hAnsi="Times New Roman" w:cs="Times New Roman" w:eastAsia="Times New Roman" w:hint="default"/>
        </w:rPr>
        <w:t>40.00%</w:t>
      </w:r>
      <w:r>
        <w:rPr/>
        <w:t>；刘亚出资人民币</w:t>
      </w:r>
      <w:r>
        <w:rPr>
          <w:rFonts w:ascii="Times New Roman" w:hAnsi="Times New Roman" w:cs="Times New Roman" w:eastAsia="Times New Roman" w:hint="default"/>
        </w:rPr>
        <w:t>90.00</w:t>
      </w:r>
      <w:r>
        <w:rPr/>
        <w:t>万元，出资比例</w:t>
      </w:r>
      <w:r>
        <w:rPr>
          <w:spacing w:val="14"/>
        </w:rPr>
        <w:t> </w:t>
      </w:r>
      <w:r>
        <w:rPr>
          <w:rFonts w:ascii="Times New Roman" w:hAnsi="Times New Roman" w:cs="Times New Roman" w:eastAsia="Times New Roman" w:hint="default"/>
        </w:rPr>
        <w:t>30.00%</w:t>
      </w:r>
      <w:r>
        <w:rPr/>
        <w:t>；深圳市奥格立电子科技有限公司出资人民币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。本次出资业经深圳市远东会计师事务所</w:t>
      </w:r>
      <w:r>
        <w:rPr>
          <w:spacing w:val="-74"/>
        </w:rPr>
        <w:t> </w:t>
      </w:r>
      <w:r>
        <w:rPr>
          <w:spacing w:val="-74"/>
        </w:rPr>
      </w:r>
      <w:r>
        <w:rPr/>
        <w:t>深远东验字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347</w:t>
      </w:r>
      <w:r>
        <w:rPr/>
        <w:t>号验资报告验证，并领取注册号为</w:t>
      </w:r>
      <w:r>
        <w:rPr>
          <w:rFonts w:ascii="Times New Roman" w:hAnsi="Times New Roman" w:cs="Times New Roman" w:eastAsia="Times New Roman" w:hint="default"/>
        </w:rPr>
        <w:t>4403012070860</w:t>
      </w:r>
      <w:r>
        <w:rPr/>
        <w:t>的企业法人营业执照。</w:t>
      </w:r>
    </w:p>
    <w:p>
      <w:pPr>
        <w:pStyle w:val="BodyText"/>
        <w:spacing w:line="477" w:lineRule="auto" w:before="43"/>
        <w:ind w:right="94" w:firstLine="360"/>
        <w:jc w:val="left"/>
      </w:pP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日经股东会决议，刘亚将其持有的新国都技术</w:t>
      </w:r>
      <w:r>
        <w:rPr>
          <w:rFonts w:ascii="宋体" w:hAnsi="宋体" w:cs="宋体" w:eastAsia="宋体" w:hint="default"/>
          <w:spacing w:val="-2"/>
        </w:rPr>
        <w:t>30.00%</w:t>
      </w:r>
      <w:r>
        <w:rPr>
          <w:spacing w:val="-2"/>
        </w:rPr>
        <w:t>的股权转让给刘祥，转让完成后股权结构为：刘祥占</w:t>
      </w:r>
      <w:r>
        <w:rPr/>
        <w:t> 注册资本的</w:t>
      </w:r>
      <w:r>
        <w:rPr>
          <w:rFonts w:ascii="宋体" w:hAnsi="宋体" w:cs="宋体" w:eastAsia="宋体" w:hint="default"/>
        </w:rPr>
        <w:t>70.00%</w:t>
      </w:r>
      <w:r>
        <w:rPr/>
        <w:t>；深圳市奥格立电子科技有限公司占注册资本的</w:t>
      </w:r>
      <w:r>
        <w:rPr>
          <w:rFonts w:ascii="宋体" w:hAnsi="宋体" w:cs="宋体" w:eastAsia="宋体" w:hint="default"/>
        </w:rPr>
        <w:t>30.00%</w:t>
      </w:r>
      <w:r>
        <w:rPr/>
        <w:t>。并于</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28</w:t>
      </w:r>
      <w:r>
        <w:rPr/>
        <w:t>日办理了工商变更手续。</w:t>
      </w:r>
    </w:p>
    <w:p>
      <w:pPr>
        <w:pStyle w:val="BodyText"/>
        <w:spacing w:line="477" w:lineRule="auto" w:before="54"/>
        <w:ind w:right="185" w:firstLine="359"/>
        <w:jc w:val="left"/>
      </w:pPr>
      <w:r>
        <w:rPr>
          <w:rFonts w:ascii="宋体" w:hAnsi="宋体" w:cs="宋体" w:eastAsia="宋体" w:hint="default"/>
        </w:rPr>
        <w:t>2004</w:t>
      </w:r>
      <w:r>
        <w:rPr/>
        <w:t>年</w:t>
      </w:r>
      <w:r>
        <w:rPr>
          <w:rFonts w:ascii="宋体" w:hAnsi="宋体" w:cs="宋体" w:eastAsia="宋体" w:hint="default"/>
        </w:rPr>
        <w:t>5</w:t>
      </w:r>
      <w:r>
        <w:rPr/>
        <w:t>月</w:t>
      </w:r>
      <w:r>
        <w:rPr>
          <w:rFonts w:ascii="宋体" w:hAnsi="宋体" w:cs="宋体" w:eastAsia="宋体" w:hint="default"/>
        </w:rPr>
        <w:t>21</w:t>
      </w:r>
      <w:r>
        <w:rPr/>
        <w:t>日经股东会决议，增加注册资本人民币</w:t>
      </w:r>
      <w:r>
        <w:rPr>
          <w:rFonts w:ascii="宋体" w:hAnsi="宋体" w:cs="宋体" w:eastAsia="宋体" w:hint="default"/>
        </w:rPr>
        <w:t>1,200.00</w:t>
      </w:r>
      <w:r>
        <w:rPr/>
        <w:t>万元，全部由股东深圳市奥格立电子科技有限公司投入， </w:t>
      </w:r>
      <w:r>
        <w:rPr>
          <w:spacing w:val="-2"/>
        </w:rPr>
        <w:t>增资后新国都技术注册资本为人民币</w:t>
      </w:r>
      <w:r>
        <w:rPr>
          <w:rFonts w:ascii="宋体" w:hAnsi="宋体" w:cs="宋体" w:eastAsia="宋体" w:hint="default"/>
          <w:spacing w:val="-2"/>
        </w:rPr>
        <w:t>1,500.00</w:t>
      </w:r>
      <w:r>
        <w:rPr>
          <w:spacing w:val="-2"/>
        </w:rPr>
        <w:t>万元，其中：深圳市奥格立电子科技有限公司占注册资本的</w:t>
      </w:r>
      <w:r>
        <w:rPr>
          <w:rFonts w:ascii="宋体" w:hAnsi="宋体" w:cs="宋体" w:eastAsia="宋体" w:hint="default"/>
          <w:spacing w:val="-2"/>
        </w:rPr>
        <w:t>86.00%</w:t>
      </w:r>
      <w:r>
        <w:rPr>
          <w:spacing w:val="-2"/>
        </w:rPr>
        <w:t>；刘祥占注</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3"/>
        </w:rPr>
        <w:t>册资本的</w:t>
      </w:r>
      <w:r>
        <w:rPr>
          <w:rFonts w:ascii="宋体" w:hAnsi="宋体" w:cs="宋体" w:eastAsia="宋体" w:hint="default"/>
          <w:spacing w:val="-3"/>
        </w:rPr>
        <w:t>14.00%</w:t>
      </w:r>
      <w:r>
        <w:rPr>
          <w:spacing w:val="-3"/>
        </w:rPr>
        <w:t>。并于</w:t>
      </w:r>
      <w:r>
        <w:rPr>
          <w:rFonts w:ascii="宋体" w:hAnsi="宋体" w:cs="宋体" w:eastAsia="宋体" w:hint="default"/>
          <w:spacing w:val="-3"/>
        </w:rPr>
        <w:t>2004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日办理了工商变更手续。本次增资业经深圳市长城会计师事务所有限公司深长验字</w:t>
      </w:r>
      <w:r>
        <w:rPr>
          <w:rFonts w:ascii="宋体" w:hAnsi="宋体" w:cs="宋体" w:eastAsia="宋体" w:hint="default"/>
          <w:spacing w:val="-3"/>
        </w:rPr>
        <w:t>(2004)</w:t>
      </w:r>
      <w:r>
        <w:rPr>
          <w:rFonts w:ascii="宋体" w:hAnsi="宋体" w:cs="宋体" w:eastAsia="宋体" w:hint="default"/>
          <w:spacing w:val="-79"/>
        </w:rPr>
        <w:t> </w:t>
      </w:r>
      <w:r>
        <w:rPr>
          <w:rFonts w:ascii="宋体" w:hAnsi="宋体" w:cs="宋体" w:eastAsia="宋体" w:hint="default"/>
          <w:spacing w:val="-79"/>
        </w:rPr>
      </w:r>
      <w:r>
        <w:rPr/>
        <w:t>第</w:t>
      </w:r>
      <w:r>
        <w:rPr>
          <w:rFonts w:ascii="宋体" w:hAnsi="宋体" w:cs="宋体" w:eastAsia="宋体" w:hint="default"/>
        </w:rPr>
        <w:t>159</w:t>
      </w:r>
      <w:r>
        <w:rPr/>
        <w:t>号验资报告验证。</w:t>
      </w:r>
    </w:p>
    <w:p>
      <w:pPr>
        <w:pStyle w:val="BodyText"/>
        <w:spacing w:line="477" w:lineRule="auto" w:before="54"/>
        <w:ind w:right="188" w:firstLine="360"/>
        <w:jc w:val="both"/>
      </w:pP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日经股东会决议，增加注册资本人民币</w:t>
      </w:r>
      <w:r>
        <w:rPr>
          <w:rFonts w:ascii="宋体" w:hAnsi="宋体" w:cs="宋体" w:eastAsia="宋体" w:hint="default"/>
          <w:spacing w:val="-2"/>
        </w:rPr>
        <w:t>2,500.00</w:t>
      </w:r>
      <w:r>
        <w:rPr>
          <w:spacing w:val="-2"/>
        </w:rPr>
        <w:t>万元，全部由未分配利润转增，增资后新国都技术注册资</w:t>
      </w:r>
      <w:r>
        <w:rPr/>
        <w:t> </w:t>
      </w:r>
      <w:r>
        <w:rPr>
          <w:spacing w:val="-4"/>
        </w:rPr>
        <w:t>本为人民币</w:t>
      </w:r>
      <w:r>
        <w:rPr>
          <w:rFonts w:ascii="宋体" w:hAnsi="宋体" w:cs="宋体" w:eastAsia="宋体" w:hint="default"/>
          <w:spacing w:val="-4"/>
        </w:rPr>
        <w:t>4,000.00</w:t>
      </w:r>
      <w:r>
        <w:rPr>
          <w:spacing w:val="-4"/>
        </w:rPr>
        <w:t>万元，其中：深圳市奥格立电子科技有限公司占注册资本的</w:t>
      </w:r>
      <w:r>
        <w:rPr>
          <w:rFonts w:ascii="宋体" w:hAnsi="宋体" w:cs="宋体" w:eastAsia="宋体" w:hint="default"/>
          <w:spacing w:val="-4"/>
        </w:rPr>
        <w:t>86.00%</w:t>
      </w:r>
      <w:r>
        <w:rPr>
          <w:spacing w:val="-4"/>
        </w:rPr>
        <w:t>；刘祥占注册资本的</w:t>
      </w:r>
      <w:r>
        <w:rPr>
          <w:rFonts w:ascii="宋体" w:hAnsi="宋体" w:cs="宋体" w:eastAsia="宋体" w:hint="default"/>
          <w:spacing w:val="-4"/>
        </w:rPr>
        <w:t>14.00%</w:t>
      </w:r>
      <w:r>
        <w:rPr>
          <w:spacing w:val="-4"/>
        </w:rPr>
        <w:t>。并于</w:t>
      </w:r>
      <w:r>
        <w:rPr>
          <w:rFonts w:ascii="宋体" w:hAnsi="宋体" w:cs="宋体" w:eastAsia="宋体" w:hint="default"/>
          <w:spacing w:val="-4"/>
        </w:rPr>
        <w:t>2007</w:t>
      </w:r>
      <w:r>
        <w:rPr>
          <w:rFonts w:ascii="宋体" w:hAnsi="宋体" w:cs="宋体" w:eastAsia="宋体" w:hint="default"/>
          <w:spacing w:val="1"/>
        </w:rPr>
        <w:t> </w:t>
      </w:r>
      <w:r>
        <w:rPr/>
        <w:t>年</w:t>
      </w:r>
      <w:r>
        <w:rPr>
          <w:rFonts w:ascii="宋体" w:hAnsi="宋体" w:cs="宋体" w:eastAsia="宋体" w:hint="default"/>
        </w:rPr>
        <w:t>12</w:t>
      </w:r>
      <w:r>
        <w:rPr/>
        <w:t>月</w:t>
      </w:r>
      <w:r>
        <w:rPr>
          <w:rFonts w:ascii="宋体" w:hAnsi="宋体" w:cs="宋体" w:eastAsia="宋体" w:hint="default"/>
        </w:rPr>
        <w:t>20</w:t>
      </w:r>
      <w:r>
        <w:rPr/>
        <w:t>日办理了工商变更手续，本次增资业经深圳大华天诚会计师事务所深华验字</w:t>
      </w:r>
      <w:r>
        <w:rPr>
          <w:rFonts w:ascii="宋体" w:hAnsi="宋体" w:cs="宋体" w:eastAsia="宋体" w:hint="default"/>
        </w:rPr>
        <w:t>[2007]152</w:t>
      </w:r>
      <w:r>
        <w:rPr/>
        <w:t>号验资报告验证。</w:t>
      </w:r>
    </w:p>
    <w:p>
      <w:pPr>
        <w:pStyle w:val="BodyText"/>
        <w:spacing w:line="240" w:lineRule="auto" w:before="54"/>
        <w:ind w:left="512" w:right="94"/>
        <w:jc w:val="left"/>
      </w:pPr>
      <w:r>
        <w:rPr>
          <w:rFonts w:ascii="宋体" w:hAnsi="宋体" w:cs="宋体" w:eastAsia="宋体" w:hint="default"/>
          <w:spacing w:val="10"/>
        </w:rPr>
        <w:t>2008</w:t>
      </w:r>
      <w:r>
        <w:rPr>
          <w:spacing w:val="10"/>
        </w:rPr>
        <w:t>年</w:t>
      </w:r>
      <w:r>
        <w:rPr>
          <w:rFonts w:ascii="宋体" w:hAnsi="宋体" w:cs="宋体" w:eastAsia="宋体" w:hint="default"/>
          <w:spacing w:val="10"/>
        </w:rPr>
        <w:t>3</w:t>
      </w:r>
      <w:r>
        <w:rPr>
          <w:spacing w:val="10"/>
        </w:rPr>
        <w:t>月</w:t>
      </w:r>
      <w:r>
        <w:rPr>
          <w:rFonts w:ascii="宋体" w:hAnsi="宋体" w:cs="宋体" w:eastAsia="宋体" w:hint="default"/>
          <w:spacing w:val="10"/>
        </w:rPr>
        <w:t>10</w:t>
      </w:r>
      <w:r>
        <w:rPr>
          <w:spacing w:val="10"/>
        </w:rPr>
        <w:t>日股东会通过了同意深圳市奥格立电子科技有限公司将其持有新国都技术的</w:t>
      </w:r>
      <w:r>
        <w:rPr>
          <w:rFonts w:ascii="宋体" w:hAnsi="宋体" w:cs="宋体" w:eastAsia="宋体" w:hint="default"/>
          <w:spacing w:val="10"/>
        </w:rPr>
        <w:t>86.00%</w:t>
      </w:r>
      <w:r>
        <w:rPr>
          <w:spacing w:val="10"/>
        </w:rPr>
        <w:t>的股权以人民币</w:t>
      </w:r>
      <w:r>
        <w:rPr/>
      </w:r>
    </w:p>
    <w:p>
      <w:pPr>
        <w:spacing w:line="240" w:lineRule="auto" w:before="10"/>
        <w:rPr>
          <w:rFonts w:ascii="宋体" w:hAnsi="宋体" w:cs="宋体" w:eastAsia="宋体" w:hint="default"/>
          <w:sz w:val="17"/>
          <w:szCs w:val="17"/>
        </w:rPr>
      </w:pPr>
    </w:p>
    <w:p>
      <w:pPr>
        <w:pStyle w:val="BodyText"/>
        <w:spacing w:line="477" w:lineRule="auto"/>
        <w:ind w:right="94"/>
        <w:jc w:val="left"/>
      </w:pPr>
      <w:r>
        <w:rPr/>
        <w:pict>
          <v:shape style="position:absolute;margin-left:82.32pt;margin-top:65.828743pt;width:430.95pt;height:26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4"/>
                    <w:gridCol w:w="2803"/>
                    <w:gridCol w:w="2830"/>
                  </w:tblGrid>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2,115</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52.875%</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705</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17.625%</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705</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17.625%</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1.500%</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60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1.500%</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1.250%</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35</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0.875%</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1.500%</w:t>
                        </w:r>
                      </w:p>
                    </w:tc>
                  </w:tr>
                  <w:tr>
                    <w:trPr>
                      <w:trHeight w:val="346"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1.250%</w:t>
                        </w:r>
                      </w:p>
                    </w:tc>
                  </w:tr>
                  <w:tr>
                    <w:trPr>
                      <w:trHeight w:val="348" w:hRule="exact"/>
                    </w:trPr>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4,000</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rPr>
        <w:t>4,449.64</w:t>
      </w:r>
      <w:r>
        <w:rPr/>
        <w:t>万元的价格转让给刘祥、刘亚、江汉、李俊、徐兴春、栾承岚、李林杰、陈希芬、徐金芳、韦余红、赵辉、汪洋、 聂淼</w:t>
      </w:r>
      <w:r>
        <w:rPr>
          <w:rFonts w:ascii="宋体" w:hAnsi="宋体" w:cs="宋体" w:eastAsia="宋体" w:hint="default"/>
        </w:rPr>
        <w:t>13</w:t>
      </w:r>
      <w:r>
        <w:rPr/>
        <w:t>位自然人的决议，转让后深圳市奥格立电子科技有限公司不再持有新国都技术的股份。并于</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24</w:t>
      </w:r>
      <w:r>
        <w:rPr/>
        <w:t>日办理了工</w:t>
      </w:r>
      <w:r>
        <w:rPr>
          <w:spacing w:val="-86"/>
        </w:rPr>
        <w:t> </w:t>
      </w:r>
      <w:r>
        <w:rPr>
          <w:spacing w:val="-86"/>
        </w:rPr>
      </w:r>
      <w:r>
        <w:rPr/>
        <w:t>商变更手续。本次股权转让完成后，新国都技术股权结构如下表：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77" w:lineRule="auto" w:before="44"/>
        <w:ind w:right="192" w:firstLine="359"/>
        <w:jc w:val="both"/>
      </w:pPr>
      <w:r>
        <w:rPr/>
        <w:t>根据</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8</w:t>
      </w:r>
      <w:r>
        <w:rPr/>
        <w:t>日召开的</w:t>
      </w:r>
      <w:r>
        <w:rPr>
          <w:rFonts w:ascii="宋体" w:hAnsi="宋体" w:cs="宋体" w:eastAsia="宋体" w:hint="default"/>
        </w:rPr>
        <w:t>2008</w:t>
      </w:r>
      <w:r>
        <w:rPr/>
        <w:t>年第</w:t>
      </w:r>
      <w:r>
        <w:rPr>
          <w:rFonts w:ascii="宋体" w:hAnsi="宋体" w:cs="宋体" w:eastAsia="宋体" w:hint="default"/>
        </w:rPr>
        <w:t>3</w:t>
      </w:r>
      <w:r>
        <w:rPr/>
        <w:t>次临时股东会会议及其决议、</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8</w:t>
      </w:r>
      <w:r>
        <w:rPr/>
        <w:t>日签订的发起人协议规定，新国都技术由 </w:t>
      </w:r>
      <w:r>
        <w:rPr>
          <w:spacing w:val="-2"/>
        </w:rPr>
        <w:t>有限责任公司整体变更为股份有限公司，以截止</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日经审计的净资产人民币</w:t>
      </w:r>
      <w:r>
        <w:rPr>
          <w:rFonts w:ascii="宋体" w:hAnsi="宋体" w:cs="宋体" w:eastAsia="宋体" w:hint="default"/>
          <w:spacing w:val="-2"/>
        </w:rPr>
        <w:t>59,860,459.32</w:t>
      </w:r>
      <w:r>
        <w:rPr>
          <w:spacing w:val="-2"/>
        </w:rPr>
        <w:t>元中的</w:t>
      </w:r>
      <w:r>
        <w:rPr>
          <w:rFonts w:ascii="宋体" w:hAnsi="宋体" w:cs="宋体" w:eastAsia="宋体" w:hint="default"/>
          <w:spacing w:val="-2"/>
        </w:rPr>
        <w:t>4,000.00</w:t>
      </w:r>
      <w:r>
        <w:rPr>
          <w:spacing w:val="-2"/>
        </w:rPr>
        <w:t>万元按</w:t>
      </w:r>
      <w:r>
        <w:rPr>
          <w:spacing w:val="-53"/>
        </w:rPr>
        <w:t> </w:t>
      </w:r>
      <w:r>
        <w:rPr>
          <w:spacing w:val="-53"/>
        </w:rPr>
      </w:r>
      <w:r>
        <w:rPr>
          <w:rFonts w:ascii="宋体" w:hAnsi="宋体" w:cs="宋体" w:eastAsia="宋体" w:hint="default"/>
          <w:spacing w:val="-2"/>
        </w:rPr>
        <w:t>1:1</w:t>
      </w:r>
      <w:r>
        <w:rPr>
          <w:spacing w:val="-2"/>
        </w:rPr>
        <w:t>的比例折合为股本总额</w:t>
      </w:r>
      <w:r>
        <w:rPr>
          <w:rFonts w:ascii="宋体" w:hAnsi="宋体" w:cs="宋体" w:eastAsia="宋体" w:hint="default"/>
          <w:spacing w:val="-2"/>
        </w:rPr>
        <w:t>4,000</w:t>
      </w:r>
      <w:r>
        <w:rPr>
          <w:spacing w:val="-2"/>
        </w:rPr>
        <w:t>万股。变更后的注册资本为人民币</w:t>
      </w:r>
      <w:r>
        <w:rPr>
          <w:rFonts w:ascii="宋体" w:hAnsi="宋体" w:cs="宋体" w:eastAsia="宋体" w:hint="default"/>
          <w:spacing w:val="-2"/>
        </w:rPr>
        <w:t>4,000.00</w:t>
      </w:r>
      <w:r>
        <w:rPr>
          <w:spacing w:val="-2"/>
        </w:rPr>
        <w:t>万元。本次变更业经深圳大华天诚会计师事务所</w:t>
      </w:r>
      <w:r>
        <w:rPr>
          <w:spacing w:val="-56"/>
        </w:rPr>
        <w:t> </w:t>
      </w:r>
      <w:r>
        <w:rPr>
          <w:spacing w:val="-56"/>
        </w:rPr>
      </w:r>
      <w:r>
        <w:rPr>
          <w:spacing w:val="-2"/>
        </w:rPr>
        <w:t>深华验字</w:t>
      </w:r>
      <w:r>
        <w:rPr>
          <w:rFonts w:ascii="宋体" w:hAnsi="宋体" w:cs="宋体" w:eastAsia="宋体" w:hint="default"/>
          <w:spacing w:val="-2"/>
        </w:rPr>
        <w:t>[2008]35</w:t>
      </w:r>
      <w:r>
        <w:rPr>
          <w:spacing w:val="-2"/>
        </w:rPr>
        <w:t>号验资报告验证。</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日，新国都技术取得深圳市工商行政管理局核发的</w:t>
      </w:r>
      <w:r>
        <w:rPr>
          <w:rFonts w:ascii="宋体" w:hAnsi="宋体" w:cs="宋体" w:eastAsia="宋体" w:hint="default"/>
          <w:spacing w:val="-2"/>
        </w:rPr>
        <w:t>440301103074776</w:t>
      </w:r>
      <w:r>
        <w:rPr>
          <w:spacing w:val="-2"/>
        </w:rPr>
        <w:t>号《企</w:t>
      </w:r>
      <w:r>
        <w:rPr>
          <w:spacing w:val="-50"/>
        </w:rPr>
        <w:t> </w:t>
      </w:r>
      <w:r>
        <w:rPr>
          <w:spacing w:val="-50"/>
        </w:rPr>
      </w:r>
      <w:r>
        <w:rPr/>
        <w:t>业法人营业执照》。</w:t>
      </w:r>
    </w:p>
    <w:p>
      <w:pPr>
        <w:pStyle w:val="BodyText"/>
        <w:spacing w:line="477" w:lineRule="auto" w:before="54"/>
        <w:ind w:left="153" w:right="195" w:firstLine="360"/>
        <w:jc w:val="both"/>
      </w:pPr>
      <w:r>
        <w:rPr>
          <w:rFonts w:ascii="宋体" w:hAnsi="宋体" w:cs="宋体" w:eastAsia="宋体" w:hint="default"/>
        </w:rPr>
        <w:t>2008</w:t>
      </w:r>
      <w:r>
        <w:rPr/>
        <w:t>年</w:t>
      </w:r>
      <w:r>
        <w:rPr>
          <w:rFonts w:ascii="宋体" w:hAnsi="宋体" w:cs="宋体" w:eastAsia="宋体" w:hint="default"/>
        </w:rPr>
        <w:t>7</w:t>
      </w:r>
      <w:r>
        <w:rPr/>
        <w:t>月，本公司与深圳国际高新技术产权交易所签订了股权登记托管服务合同，办理了非上市股份有限公司股权托 管。</w:t>
      </w:r>
    </w:p>
    <w:p>
      <w:pPr>
        <w:pStyle w:val="BodyText"/>
        <w:spacing w:line="477" w:lineRule="auto" w:before="54"/>
        <w:ind w:left="153" w:right="190" w:firstLine="360"/>
        <w:jc w:val="both"/>
      </w:pPr>
      <w:r>
        <w:rPr>
          <w:spacing w:val="-2"/>
        </w:rPr>
        <w:t>根据本公司</w:t>
      </w:r>
      <w:r>
        <w:rPr>
          <w:rFonts w:ascii="宋体" w:hAnsi="宋体" w:cs="宋体" w:eastAsia="宋体" w:hint="default"/>
          <w:spacing w:val="-2"/>
        </w:rPr>
        <w:t>2008</w:t>
      </w:r>
      <w:r>
        <w:rPr>
          <w:spacing w:val="-2"/>
        </w:rPr>
        <w:t>年第一次临时股东大会决议和修改后章程的规定，本公司申请增加注册资本人民币</w:t>
      </w:r>
      <w:r>
        <w:rPr>
          <w:rFonts w:ascii="宋体" w:hAnsi="宋体" w:cs="宋体" w:eastAsia="宋体" w:hint="default"/>
          <w:spacing w:val="-2"/>
        </w:rPr>
        <w:t>750.00</w:t>
      </w:r>
      <w:r>
        <w:rPr>
          <w:spacing w:val="-2"/>
        </w:rPr>
        <w:t>万元，变更后</w:t>
      </w:r>
      <w:r>
        <w:rPr/>
        <w:t> </w:t>
      </w:r>
      <w:r>
        <w:rPr>
          <w:spacing w:val="-2"/>
        </w:rPr>
        <w:t>的注册资本为人民币</w:t>
      </w:r>
      <w:r>
        <w:rPr>
          <w:rFonts w:ascii="宋体" w:hAnsi="宋体" w:cs="宋体" w:eastAsia="宋体" w:hint="default"/>
          <w:spacing w:val="-2"/>
        </w:rPr>
        <w:t>4,750.00</w:t>
      </w:r>
      <w:r>
        <w:rPr>
          <w:spacing w:val="-2"/>
        </w:rPr>
        <w:t>万元。新增注册资本由深圳市创新投资集团有限公司、北京首创建设有限公司、深圳市长润创</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50"/>
        <w:jc w:val="both"/>
      </w:pPr>
      <w:r>
        <w:rPr>
          <w:spacing w:val="-2"/>
        </w:rPr>
        <w:t>业投资企业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、上海林耐实业投资中心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、深圳市福田创新资本创业投资有限公司、蔡衍军、陈新华、里</w:t>
      </w:r>
      <w:r>
        <w:rPr>
          <w:spacing w:val="-65"/>
        </w:rPr>
        <w:t> </w:t>
      </w:r>
      <w:r>
        <w:rPr>
          <w:spacing w:val="-65"/>
        </w:rPr>
      </w:r>
      <w:r>
        <w:rPr>
          <w:spacing w:val="-2"/>
        </w:rPr>
        <w:t>维宁、王凌海、许芹、李妍</w:t>
      </w:r>
      <w:r>
        <w:rPr>
          <w:rFonts w:ascii="宋体" w:hAnsi="宋体" w:cs="宋体" w:eastAsia="宋体" w:hint="default"/>
          <w:spacing w:val="-2"/>
        </w:rPr>
        <w:t>11</w:t>
      </w:r>
      <w:r>
        <w:rPr>
          <w:spacing w:val="-2"/>
        </w:rPr>
        <w:t>位新股东以人民币</w:t>
      </w:r>
      <w:r>
        <w:rPr>
          <w:rFonts w:ascii="宋体" w:hAnsi="宋体" w:cs="宋体" w:eastAsia="宋体" w:hint="default"/>
          <w:spacing w:val="-2"/>
        </w:rPr>
        <w:t>5,002.50</w:t>
      </w:r>
      <w:r>
        <w:rPr>
          <w:spacing w:val="-2"/>
        </w:rPr>
        <w:t>万元全部认购，其中人民币</w:t>
      </w:r>
      <w:r>
        <w:rPr>
          <w:rFonts w:ascii="宋体" w:hAnsi="宋体" w:cs="宋体" w:eastAsia="宋体" w:hint="default"/>
          <w:spacing w:val="-2"/>
        </w:rPr>
        <w:t>750.00</w:t>
      </w:r>
      <w:r>
        <w:rPr>
          <w:spacing w:val="-2"/>
        </w:rPr>
        <w:t>万元作为新增注册资本，剩余人</w:t>
      </w:r>
      <w:r>
        <w:rPr>
          <w:spacing w:val="-54"/>
        </w:rPr>
        <w:t> </w:t>
      </w:r>
      <w:r>
        <w:rPr>
          <w:spacing w:val="-54"/>
        </w:rPr>
      </w:r>
      <w:r>
        <w:rPr>
          <w:spacing w:val="-2"/>
        </w:rPr>
        <w:t>民币</w:t>
      </w:r>
      <w:r>
        <w:rPr>
          <w:rFonts w:ascii="宋体" w:hAnsi="宋体" w:cs="宋体" w:eastAsia="宋体" w:hint="default"/>
          <w:spacing w:val="-2"/>
        </w:rPr>
        <w:t>4,252.50</w:t>
      </w:r>
      <w:r>
        <w:rPr>
          <w:spacing w:val="-2"/>
        </w:rPr>
        <w:t>万元作为本公司资本公积，增资后本公司注册资本为人民币</w:t>
      </w:r>
      <w:r>
        <w:rPr>
          <w:rFonts w:ascii="宋体" w:hAnsi="宋体" w:cs="宋体" w:eastAsia="宋体" w:hint="default"/>
          <w:spacing w:val="-2"/>
        </w:rPr>
        <w:t>4,750.00</w:t>
      </w:r>
      <w:r>
        <w:rPr>
          <w:spacing w:val="-2"/>
        </w:rPr>
        <w:t>万元。该增资业经广东大华德律会计师事</w:t>
      </w:r>
      <w:r>
        <w:rPr>
          <w:spacing w:val="-56"/>
        </w:rPr>
        <w:t> </w:t>
      </w:r>
      <w:r>
        <w:rPr>
          <w:spacing w:val="-56"/>
        </w:rPr>
      </w:r>
      <w:r>
        <w:rPr/>
        <w:t>务所深华验字</w:t>
      </w:r>
      <w:r>
        <w:rPr>
          <w:rFonts w:ascii="宋体" w:hAnsi="宋体" w:cs="宋体" w:eastAsia="宋体" w:hint="default"/>
        </w:rPr>
        <w:t>[2008]74</w:t>
      </w:r>
      <w:r>
        <w:rPr/>
        <w:t>号验资报告验证。并于</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18</w:t>
      </w:r>
      <w:r>
        <w:rPr/>
        <w:t>日办理完毕工商变更手续。</w:t>
      </w:r>
    </w:p>
    <w:p>
      <w:pPr>
        <w:pStyle w:val="BodyText"/>
        <w:spacing w:line="240" w:lineRule="auto" w:before="54"/>
        <w:ind w:left="512" w:right="0"/>
        <w:jc w:val="left"/>
        <w:rPr>
          <w:rFonts w:ascii="宋体" w:hAnsi="宋体" w:cs="宋体" w:eastAsia="宋体" w:hint="default"/>
        </w:rPr>
      </w:pP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5</w:t>
      </w:r>
      <w:r>
        <w:rPr/>
        <w:t>日，上海林耐实业投资中心</w:t>
      </w:r>
      <w:r>
        <w:rPr>
          <w:rFonts w:ascii="宋体" w:hAnsi="宋体" w:cs="宋体" w:eastAsia="宋体" w:hint="default"/>
        </w:rPr>
        <w:t>(</w:t>
      </w:r>
      <w:r>
        <w:rPr/>
        <w:t>有限合伙</w:t>
      </w:r>
      <w:r>
        <w:rPr>
          <w:rFonts w:ascii="宋体" w:hAnsi="宋体" w:cs="宋体" w:eastAsia="宋体" w:hint="default"/>
        </w:rPr>
        <w:t>)</w:t>
      </w:r>
      <w:r>
        <w:rPr/>
        <w:t>将其持有的本公司</w:t>
      </w:r>
      <w:r>
        <w:rPr>
          <w:rFonts w:ascii="宋体" w:hAnsi="宋体" w:cs="宋体" w:eastAsia="宋体" w:hint="default"/>
        </w:rPr>
        <w:t>1.684%</w:t>
      </w:r>
      <w:r>
        <w:rPr/>
        <w:t>的股权全部转让给自然人张燕民，并于</w:t>
      </w:r>
      <w:r>
        <w:rPr>
          <w:rFonts w:ascii="宋体" w:hAnsi="宋体" w:cs="宋体" w:eastAsia="宋体" w:hint="default"/>
        </w:rPr>
        <w:t>2009</w:t>
      </w:r>
    </w:p>
    <w:p>
      <w:pPr>
        <w:spacing w:line="240" w:lineRule="auto" w:before="10"/>
        <w:rPr>
          <w:rFonts w:ascii="宋体" w:hAnsi="宋体" w:cs="宋体" w:eastAsia="宋体" w:hint="default"/>
          <w:sz w:val="17"/>
          <w:szCs w:val="17"/>
        </w:rPr>
      </w:pPr>
    </w:p>
    <w:p>
      <w:pPr>
        <w:pStyle w:val="BodyText"/>
        <w:spacing w:line="240" w:lineRule="auto"/>
        <w:ind w:right="0"/>
        <w:jc w:val="both"/>
      </w:pPr>
      <w:r>
        <w:rPr/>
        <w:t>年</w:t>
      </w:r>
      <w:r>
        <w:rPr>
          <w:rFonts w:ascii="宋体" w:hAnsi="宋体" w:cs="宋体" w:eastAsia="宋体" w:hint="default"/>
        </w:rPr>
        <w:t>6</w:t>
      </w:r>
      <w:r>
        <w:rPr/>
        <w:t>月</w:t>
      </w:r>
      <w:r>
        <w:rPr>
          <w:rFonts w:ascii="宋体" w:hAnsi="宋体" w:cs="宋体" w:eastAsia="宋体" w:hint="default"/>
        </w:rPr>
        <w:t>22</w:t>
      </w:r>
      <w:r>
        <w:rPr/>
        <w:t>日在深圳国际高新技术产权交易所办理了股权变更的备案手续。</w:t>
      </w:r>
    </w:p>
    <w:p>
      <w:pPr>
        <w:spacing w:line="240" w:lineRule="auto" w:before="10"/>
        <w:rPr>
          <w:rFonts w:ascii="宋体" w:hAnsi="宋体" w:cs="宋体" w:eastAsia="宋体" w:hint="default"/>
          <w:sz w:val="17"/>
          <w:szCs w:val="17"/>
        </w:rPr>
      </w:pPr>
    </w:p>
    <w:p>
      <w:pPr>
        <w:pStyle w:val="BodyText"/>
        <w:spacing w:line="240" w:lineRule="auto"/>
        <w:ind w:left="512" w:right="0"/>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spacing w:val="1"/>
        </w:rPr>
        <w:t>9</w:t>
      </w:r>
      <w:r>
        <w:rPr/>
        <w:t>年</w:t>
      </w:r>
      <w:r>
        <w:rPr>
          <w:rFonts w:ascii="宋体" w:hAnsi="宋体" w:cs="宋体" w:eastAsia="宋体" w:hint="default"/>
          <w:spacing w:val="1"/>
        </w:rPr>
        <w:t>6</w:t>
      </w:r>
      <w:r>
        <w:rPr>
          <w:spacing w:val="-3"/>
        </w:rPr>
        <w:t>月</w:t>
      </w:r>
      <w:r>
        <w:rPr>
          <w:rFonts w:ascii="宋体" w:hAnsi="宋体" w:cs="宋体" w:eastAsia="宋体" w:hint="default"/>
          <w:spacing w:val="1"/>
        </w:rPr>
        <w:t>22</w:t>
      </w:r>
      <w:r>
        <w:rPr/>
        <w:t>日</w:t>
      </w:r>
      <w:r>
        <w:rPr>
          <w:spacing w:val="-87"/>
        </w:rPr>
        <w:t>，</w:t>
      </w:r>
      <w:r>
        <w:rPr/>
        <w:t>深圳市长润</w:t>
      </w:r>
      <w:r>
        <w:rPr>
          <w:spacing w:val="-3"/>
        </w:rPr>
        <w:t>创</w:t>
      </w:r>
      <w:r>
        <w:rPr/>
        <w:t>业投资企业</w:t>
      </w:r>
      <w:r>
        <w:rPr>
          <w:rFonts w:ascii="宋体" w:hAnsi="宋体" w:cs="宋体" w:eastAsia="宋体" w:hint="default"/>
          <w:spacing w:val="1"/>
        </w:rPr>
        <w:t>(</w:t>
      </w:r>
      <w:r>
        <w:rPr/>
        <w:t>有限合伙</w:t>
      </w:r>
      <w:r>
        <w:rPr>
          <w:rFonts w:ascii="宋体" w:hAnsi="宋体" w:cs="宋体" w:eastAsia="宋体" w:hint="default"/>
          <w:spacing w:val="1"/>
        </w:rPr>
        <w:t>)</w:t>
      </w:r>
      <w:r>
        <w:rPr/>
        <w:t>将其</w:t>
      </w:r>
      <w:r>
        <w:rPr>
          <w:spacing w:val="-3"/>
        </w:rPr>
        <w:t>持</w:t>
      </w:r>
      <w:r>
        <w:rPr/>
        <w:t>有的本公司</w:t>
      </w:r>
      <w:r>
        <w:rPr>
          <w:rFonts w:ascii="宋体" w:hAnsi="宋体" w:cs="宋体" w:eastAsia="宋体" w:hint="default"/>
          <w:spacing w:val="1"/>
        </w:rPr>
        <w:t>2.</w:t>
      </w:r>
      <w:r>
        <w:rPr>
          <w:rFonts w:ascii="宋体" w:hAnsi="宋体" w:cs="宋体" w:eastAsia="宋体" w:hint="default"/>
          <w:spacing w:val="-2"/>
        </w:rPr>
        <w:t>1</w:t>
      </w:r>
      <w:r>
        <w:rPr>
          <w:rFonts w:ascii="宋体" w:hAnsi="宋体" w:cs="宋体" w:eastAsia="宋体" w:hint="default"/>
          <w:spacing w:val="1"/>
        </w:rPr>
        <w:t>0</w:t>
      </w:r>
      <w:r>
        <w:rPr>
          <w:rFonts w:ascii="宋体" w:hAnsi="宋体" w:cs="宋体" w:eastAsia="宋体" w:hint="default"/>
          <w:spacing w:val="-2"/>
        </w:rPr>
        <w:t>5</w:t>
      </w:r>
      <w:r>
        <w:rPr>
          <w:rFonts w:ascii="宋体" w:hAnsi="宋体" w:cs="宋体" w:eastAsia="宋体" w:hint="default"/>
          <w:spacing w:val="1"/>
        </w:rPr>
        <w:t>%</w:t>
      </w:r>
      <w:r>
        <w:rPr/>
        <w:t>的股权全</w:t>
      </w:r>
      <w:r>
        <w:rPr>
          <w:spacing w:val="-3"/>
        </w:rPr>
        <w:t>部</w:t>
      </w:r>
      <w:r>
        <w:rPr/>
        <w:t>转让给自然人王巍</w:t>
      </w:r>
      <w:r>
        <w:rPr>
          <w:spacing w:val="-87"/>
        </w:rPr>
        <w:t>，</w:t>
      </w:r>
      <w:r>
        <w:rPr/>
        <w:t>并于</w:t>
      </w:r>
      <w:r>
        <w:rPr>
          <w:rFonts w:ascii="宋体" w:hAnsi="宋体" w:cs="宋体" w:eastAsia="宋体" w:hint="default"/>
          <w:spacing w:val="1"/>
        </w:rPr>
        <w:t>20</w:t>
      </w:r>
      <w:r>
        <w:rPr>
          <w:rFonts w:ascii="宋体" w:hAnsi="宋体" w:cs="宋体" w:eastAsia="宋体" w:hint="default"/>
          <w:spacing w:val="-2"/>
        </w:rPr>
        <w:t>0</w:t>
      </w:r>
      <w:r>
        <w:rPr>
          <w:rFonts w:ascii="宋体" w:hAnsi="宋体" w:cs="宋体" w:eastAsia="宋体" w:hint="default"/>
        </w:rPr>
        <w:t>9</w:t>
      </w:r>
    </w:p>
    <w:p>
      <w:pPr>
        <w:spacing w:line="240" w:lineRule="auto" w:before="10"/>
        <w:rPr>
          <w:rFonts w:ascii="宋体" w:hAnsi="宋体" w:cs="宋体" w:eastAsia="宋体" w:hint="default"/>
          <w:sz w:val="17"/>
          <w:szCs w:val="17"/>
        </w:rPr>
      </w:pPr>
    </w:p>
    <w:p>
      <w:pPr>
        <w:pStyle w:val="BodyText"/>
        <w:spacing w:line="240" w:lineRule="auto"/>
        <w:ind w:left="153" w:right="0"/>
        <w:jc w:val="both"/>
      </w:pPr>
      <w:r>
        <w:rPr/>
        <w:t>年</w:t>
      </w:r>
      <w:r>
        <w:rPr>
          <w:rFonts w:ascii="宋体" w:hAnsi="宋体" w:cs="宋体" w:eastAsia="宋体" w:hint="default"/>
        </w:rPr>
        <w:t>6</w:t>
      </w:r>
      <w:r>
        <w:rPr/>
        <w:t>月</w:t>
      </w:r>
      <w:r>
        <w:rPr>
          <w:rFonts w:ascii="宋体" w:hAnsi="宋体" w:cs="宋体" w:eastAsia="宋体" w:hint="default"/>
        </w:rPr>
        <w:t>22</w:t>
      </w:r>
      <w:r>
        <w:rPr/>
        <w:t>日在深圳国际高新技术产权交易所办理了股权变更的备案手续。</w:t>
      </w:r>
    </w:p>
    <w:p>
      <w:pPr>
        <w:spacing w:line="240" w:lineRule="auto" w:before="10"/>
        <w:rPr>
          <w:rFonts w:ascii="宋体" w:hAnsi="宋体" w:cs="宋体" w:eastAsia="宋体" w:hint="default"/>
          <w:sz w:val="17"/>
          <w:szCs w:val="17"/>
        </w:rPr>
      </w:pPr>
    </w:p>
    <w:p>
      <w:pPr>
        <w:pStyle w:val="BodyText"/>
        <w:spacing w:line="477" w:lineRule="auto"/>
        <w:ind w:left="153" w:right="147" w:firstLine="359"/>
        <w:jc w:val="both"/>
      </w:pP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15</w:t>
      </w:r>
      <w:r>
        <w:rPr>
          <w:spacing w:val="-2"/>
        </w:rPr>
        <w:t>日，北京首创建设有限公司</w:t>
      </w:r>
      <w:r>
        <w:rPr>
          <w:rFonts w:ascii="宋体" w:hAnsi="宋体" w:cs="宋体" w:eastAsia="宋体" w:hint="default"/>
          <w:spacing w:val="-2"/>
        </w:rPr>
        <w:t>(</w:t>
      </w:r>
      <w:r>
        <w:rPr>
          <w:spacing w:val="-2"/>
        </w:rPr>
        <w:t>以下简称</w:t>
      </w:r>
      <w:r>
        <w:rPr>
          <w:rFonts w:ascii="宋体" w:hAnsi="宋体" w:cs="宋体" w:eastAsia="宋体" w:hint="default"/>
          <w:spacing w:val="-2"/>
        </w:rPr>
        <w:t>“</w:t>
      </w:r>
      <w:r>
        <w:rPr>
          <w:spacing w:val="-2"/>
        </w:rPr>
        <w:t>首创建设</w:t>
      </w:r>
      <w:r>
        <w:rPr>
          <w:rFonts w:ascii="宋体" w:hAnsi="宋体" w:cs="宋体" w:eastAsia="宋体" w:hint="default"/>
          <w:spacing w:val="-2"/>
        </w:rPr>
        <w:t>”)</w:t>
      </w:r>
      <w:r>
        <w:rPr>
          <w:spacing w:val="-2"/>
        </w:rPr>
        <w:t>董事会通过了关于转让其持有本公司</w:t>
      </w:r>
      <w:r>
        <w:rPr>
          <w:rFonts w:ascii="宋体" w:hAnsi="宋体" w:cs="宋体" w:eastAsia="宋体" w:hint="default"/>
          <w:spacing w:val="-2"/>
        </w:rPr>
        <w:t>120</w:t>
      </w:r>
      <w:r>
        <w:rPr>
          <w:spacing w:val="-2"/>
        </w:rPr>
        <w:t>万股股份的决</w:t>
      </w:r>
      <w:r>
        <w:rPr/>
        <w:t> </w:t>
      </w:r>
      <w:r>
        <w:rPr>
          <w:spacing w:val="-2"/>
        </w:rPr>
        <w:t>议，同意以不低于评估价格转让上述股权，并按照国有产权转让相关规定履行审批程序和转让流程，呈报北京首都创业集团</w:t>
      </w:r>
      <w:r>
        <w:rPr>
          <w:spacing w:val="-63"/>
        </w:rPr>
        <w:t> </w:t>
      </w:r>
      <w:r>
        <w:rPr>
          <w:spacing w:val="-63"/>
        </w:rPr>
      </w:r>
      <w:r>
        <w:rPr/>
        <w:t>有限公司</w:t>
      </w:r>
      <w:r>
        <w:rPr>
          <w:rFonts w:ascii="宋体" w:hAnsi="宋体" w:cs="宋体" w:eastAsia="宋体" w:hint="default"/>
        </w:rPr>
        <w:t>(</w:t>
      </w:r>
      <w:r>
        <w:rPr/>
        <w:t>以下简称</w:t>
      </w:r>
      <w:r>
        <w:rPr>
          <w:rFonts w:ascii="宋体" w:hAnsi="宋体" w:cs="宋体" w:eastAsia="宋体" w:hint="default"/>
        </w:rPr>
        <w:t>“</w:t>
      </w:r>
      <w:r>
        <w:rPr/>
        <w:t>首创集团</w:t>
      </w:r>
      <w:r>
        <w:rPr>
          <w:rFonts w:ascii="宋体" w:hAnsi="宋体" w:cs="宋体" w:eastAsia="宋体" w:hint="default"/>
        </w:rPr>
        <w:t>”)</w:t>
      </w:r>
      <w:r>
        <w:rPr/>
        <w:t>审批。根据</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10</w:t>
      </w:r>
      <w:r>
        <w:rPr/>
        <w:t>日《首创集团总经理办公会会议纪要》</w:t>
      </w:r>
      <w:r>
        <w:rPr>
          <w:rFonts w:ascii="宋体" w:hAnsi="宋体" w:cs="宋体" w:eastAsia="宋体" w:hint="default"/>
        </w:rPr>
        <w:t>(2009</w:t>
      </w:r>
      <w:r>
        <w:rPr/>
        <w:t>年第</w:t>
      </w:r>
      <w:r>
        <w:rPr>
          <w:rFonts w:ascii="宋体" w:hAnsi="宋体" w:cs="宋体" w:eastAsia="宋体" w:hint="default"/>
        </w:rPr>
        <w:t>12</w:t>
      </w:r>
      <w:r>
        <w:rPr/>
        <w:t>次会议</w:t>
      </w:r>
      <w:r>
        <w:rPr>
          <w:rFonts w:ascii="宋体" w:hAnsi="宋体" w:cs="宋体" w:eastAsia="宋体" w:hint="default"/>
        </w:rPr>
        <w:t>)</w:t>
      </w:r>
      <w:r>
        <w:rPr/>
        <w:t>，首</w:t>
      </w:r>
      <w:r>
        <w:rPr>
          <w:spacing w:val="-3"/>
        </w:rPr>
        <w:t> </w:t>
      </w:r>
      <w:r>
        <w:rPr>
          <w:spacing w:val="-2"/>
        </w:rPr>
        <w:t>创集团同意首创建设转让其持有的本公司股权，转让价格不低于初始投资额。北京市人民政府国有资产监督管理委员会</w:t>
      </w:r>
      <w:r>
        <w:rPr>
          <w:rFonts w:ascii="宋体" w:hAnsi="宋体" w:cs="宋体" w:eastAsia="宋体" w:hint="default"/>
          <w:spacing w:val="-2"/>
        </w:rPr>
        <w:t>2009</w:t>
      </w:r>
      <w:r>
        <w:rPr>
          <w:rFonts w:ascii="宋体" w:hAnsi="宋体" w:cs="宋体" w:eastAsia="宋体" w:hint="default"/>
          <w:spacing w:val="-56"/>
        </w:rPr>
        <w:t> </w:t>
      </w:r>
      <w:r>
        <w:rPr/>
        <w:t>年</w:t>
      </w:r>
      <w:r>
        <w:rPr>
          <w:rFonts w:ascii="宋体" w:hAnsi="宋体" w:cs="宋体" w:eastAsia="宋体" w:hint="default"/>
        </w:rPr>
        <w:t>8</w:t>
      </w:r>
      <w:r>
        <w:rPr/>
        <w:t>月</w:t>
      </w:r>
      <w:r>
        <w:rPr>
          <w:rFonts w:ascii="宋体" w:hAnsi="宋体" w:cs="宋体" w:eastAsia="宋体" w:hint="default"/>
        </w:rPr>
        <w:t>26</w:t>
      </w:r>
      <w:r>
        <w:rPr/>
        <w:t>日做出了《北京市人民政府国有资产监督管理委员会关于深圳市新国都技术股份有限公司股权转让评估项目予以核</w:t>
      </w:r>
      <w:r>
        <w:rPr>
          <w:spacing w:val="-85"/>
        </w:rPr>
        <w:t> </w:t>
      </w:r>
      <w:r>
        <w:rPr>
          <w:spacing w:val="-85"/>
        </w:rPr>
      </w:r>
      <w:r>
        <w:rPr>
          <w:spacing w:val="-2"/>
        </w:rPr>
        <w:t>准的批复》批准了首创建设股份转让项目的资产评估报告，同意深圳市天健国众联资产评估土地房产评估有限公司出具的深</w:t>
      </w:r>
      <w:r>
        <w:rPr>
          <w:spacing w:val="-64"/>
        </w:rPr>
        <w:t> </w:t>
      </w:r>
      <w:r>
        <w:rPr>
          <w:spacing w:val="-64"/>
        </w:rPr>
      </w:r>
      <w:r>
        <w:rPr>
          <w:spacing w:val="-2"/>
        </w:rPr>
        <w:t>天健国众联评报字【</w:t>
      </w:r>
      <w:r>
        <w:rPr>
          <w:rFonts w:ascii="宋体" w:hAnsi="宋体" w:cs="宋体" w:eastAsia="宋体" w:hint="default"/>
          <w:spacing w:val="-2"/>
        </w:rPr>
        <w:t>2009</w:t>
      </w:r>
      <w:r>
        <w:rPr>
          <w:spacing w:val="-2"/>
        </w:rPr>
        <w:t>】第</w:t>
      </w:r>
      <w:r>
        <w:rPr>
          <w:rFonts w:ascii="宋体" w:hAnsi="宋体" w:cs="宋体" w:eastAsia="宋体" w:hint="default"/>
          <w:spacing w:val="-2"/>
        </w:rPr>
        <w:t>T-10801</w:t>
      </w:r>
      <w:r>
        <w:rPr>
          <w:spacing w:val="-2"/>
        </w:rPr>
        <w:t>号《北京首创建设有限公司拟转让持有的深圳市新国都技术股份有限公司</w:t>
      </w:r>
      <w:r>
        <w:rPr>
          <w:rFonts w:ascii="宋体" w:hAnsi="宋体" w:cs="宋体" w:eastAsia="宋体" w:hint="default"/>
          <w:spacing w:val="-2"/>
        </w:rPr>
        <w:t>2.5263%</w:t>
      </w:r>
      <w:r>
        <w:rPr>
          <w:spacing w:val="-2"/>
        </w:rPr>
        <w:t>国有</w:t>
      </w:r>
      <w:r>
        <w:rPr>
          <w:spacing w:val="-57"/>
        </w:rPr>
        <w:t> </w:t>
      </w:r>
      <w:r>
        <w:rPr/>
        <w:t>股权权益价值股权转让项目资产评估报告书》对本公司股权转让项目有效。</w:t>
      </w:r>
    </w:p>
    <w:p>
      <w:pPr>
        <w:pStyle w:val="BodyText"/>
        <w:spacing w:line="477" w:lineRule="auto" w:before="54"/>
        <w:ind w:left="153" w:right="149" w:firstLine="360"/>
        <w:jc w:val="both"/>
      </w:pPr>
      <w:r>
        <w:rPr/>
        <w:t>根据上述批复，首创建设将其持有的本公司全部股权在北京产权交易所挂牌转让。</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27</w:t>
      </w:r>
      <w:r>
        <w:rPr/>
        <w:t>日，首创建设与湖南瑞 驰丰和创业投资管理有限公司、钟可颐、谢建龙、黄健生、欧阳伟强等五方签署产权交易合同，将其所持有的</w:t>
      </w:r>
      <w:r>
        <w:rPr>
          <w:rFonts w:ascii="宋体" w:hAnsi="宋体" w:cs="宋体" w:eastAsia="宋体" w:hint="default"/>
        </w:rPr>
        <w:t>120</w:t>
      </w:r>
      <w:r>
        <w:rPr/>
        <w:t>万股本公</w:t>
      </w:r>
      <w:r>
        <w:rPr>
          <w:spacing w:val="-85"/>
        </w:rPr>
        <w:t> </w:t>
      </w:r>
      <w:r>
        <w:rPr>
          <w:spacing w:val="-85"/>
        </w:rPr>
      </w:r>
      <w:r>
        <w:rPr>
          <w:spacing w:val="-2"/>
        </w:rPr>
        <w:t>司股份，作价</w:t>
      </w:r>
      <w:r>
        <w:rPr>
          <w:rFonts w:ascii="宋体" w:hAnsi="宋体" w:cs="宋体" w:eastAsia="宋体" w:hint="default"/>
          <w:spacing w:val="-2"/>
        </w:rPr>
        <w:t>900.00</w:t>
      </w:r>
      <w:r>
        <w:rPr>
          <w:spacing w:val="-2"/>
        </w:rPr>
        <w:t>万元转让给上述五方，转让价格高于评估价值</w:t>
      </w:r>
      <w:r>
        <w:rPr>
          <w:rFonts w:ascii="宋体" w:hAnsi="宋体" w:cs="宋体" w:eastAsia="宋体" w:hint="default"/>
          <w:spacing w:val="-2"/>
        </w:rPr>
        <w:t>484.02</w:t>
      </w:r>
      <w:r>
        <w:rPr>
          <w:spacing w:val="-2"/>
        </w:rPr>
        <w:t>万元。其中，湖南瑞驰丰和创业投资管理有限公司</w:t>
      </w:r>
      <w:r>
        <w:rPr>
          <w:spacing w:val="-56"/>
        </w:rPr>
        <w:t> </w:t>
      </w:r>
      <w:r>
        <w:rPr>
          <w:spacing w:val="-56"/>
        </w:rPr>
      </w:r>
      <w:r>
        <w:rPr/>
        <w:t>受让</w:t>
      </w:r>
      <w:r>
        <w:rPr>
          <w:rFonts w:ascii="宋体" w:hAnsi="宋体" w:cs="宋体" w:eastAsia="宋体" w:hint="default"/>
        </w:rPr>
        <w:t>20</w:t>
      </w:r>
      <w:r>
        <w:rPr/>
        <w:t>万股，钟可颐受让</w:t>
      </w:r>
      <w:r>
        <w:rPr>
          <w:rFonts w:ascii="宋体" w:hAnsi="宋体" w:cs="宋体" w:eastAsia="宋体" w:hint="default"/>
        </w:rPr>
        <w:t>10</w:t>
      </w:r>
      <w:r>
        <w:rPr/>
        <w:t>万股，谢建龙受让</w:t>
      </w:r>
      <w:r>
        <w:rPr>
          <w:rFonts w:ascii="宋体" w:hAnsi="宋体" w:cs="宋体" w:eastAsia="宋体" w:hint="default"/>
        </w:rPr>
        <w:t>50</w:t>
      </w:r>
      <w:r>
        <w:rPr/>
        <w:t>万股，黄健生、欧阳伟强各受让</w:t>
      </w:r>
      <w:r>
        <w:rPr>
          <w:rFonts w:ascii="宋体" w:hAnsi="宋体" w:cs="宋体" w:eastAsia="宋体" w:hint="default"/>
        </w:rPr>
        <w:t>20</w:t>
      </w:r>
      <w:r>
        <w:rPr/>
        <w:t>万股。上述股权变更及过户于</w:t>
      </w:r>
      <w:r>
        <w:rPr>
          <w:rFonts w:ascii="宋体" w:hAnsi="宋体" w:cs="宋体" w:eastAsia="宋体" w:hint="default"/>
        </w:rPr>
        <w:t>2009</w:t>
      </w:r>
      <w:r>
        <w:rPr/>
        <w:t>年</w:t>
      </w:r>
      <w:r>
        <w:rPr>
          <w:rFonts w:ascii="宋体" w:hAnsi="宋体" w:cs="宋体" w:eastAsia="宋体" w:hint="default"/>
        </w:rPr>
        <w:t>9</w:t>
      </w:r>
      <w:r>
        <w:rPr/>
        <w:t>月</w:t>
      </w:r>
      <w:r>
        <w:rPr>
          <w:spacing w:val="-87"/>
        </w:rPr>
        <w:t> </w:t>
      </w:r>
      <w:r>
        <w:rPr>
          <w:rFonts w:ascii="宋体" w:hAnsi="宋体" w:cs="宋体" w:eastAsia="宋体" w:hint="default"/>
        </w:rPr>
        <w:t>30</w:t>
      </w:r>
      <w:r>
        <w:rPr/>
        <w:t>日完成。</w:t>
      </w:r>
    </w:p>
    <w:p>
      <w:pPr>
        <w:pStyle w:val="BodyText"/>
        <w:spacing w:line="477" w:lineRule="auto" w:before="54"/>
        <w:ind w:left="153" w:right="154" w:firstLine="360"/>
        <w:jc w:val="both"/>
      </w:pPr>
      <w:r>
        <w:rPr/>
        <w:pict>
          <v:shape style="position:absolute;margin-left:82.440002pt;margin-top:45.128712pt;width:430.7pt;height:156.8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2465"/>
                    <w:gridCol w:w="2431"/>
                  </w:tblGrid>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持股数</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股权比例</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2,115</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44.5263%</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705</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14.8421%</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705</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14.8421%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3.3684%</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2.1053%</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1.6842%</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1.2632%</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1.2632%</w:t>
                        </w:r>
                      </w:p>
                    </w:tc>
                  </w:tr>
                </w:tbl>
                <w:p>
                  <w:pPr/>
                </w:p>
              </w:txbxContent>
            </v:textbox>
            <w10:wrap type="none"/>
          </v:shape>
        </w:pic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30</w:t>
      </w:r>
      <w:r>
        <w:rPr/>
        <w:t>日，深圳国际高新技术产权交易所作为非上市股份公司股权登记托管机构，就本公司股份转让后的股东情 况向本公司出具了《非上市股份有限公司股东名册》。至此，本公司股本结构如下：</w:t>
      </w:r>
    </w:p>
    <w:p>
      <w:pPr>
        <w:spacing w:after="0" w:line="477" w:lineRule="auto"/>
        <w:jc w:val="both"/>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668" w:type="dxa"/>
        <w:tblLayout w:type="fixed"/>
        <w:tblCellMar>
          <w:top w:w="0" w:type="dxa"/>
          <w:left w:w="0" w:type="dxa"/>
          <w:bottom w:w="0" w:type="dxa"/>
          <w:right w:w="0" w:type="dxa"/>
        </w:tblCellMar>
        <w:tblLook w:val="01E0"/>
      </w:tblPr>
      <w:tblGrid>
        <w:gridCol w:w="3696"/>
        <w:gridCol w:w="2465"/>
        <w:gridCol w:w="2431"/>
      </w:tblGrid>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1.2632%</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1.0526%</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0.8421%</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0.7368%</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0.6316%</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0.4211%</w:t>
            </w:r>
          </w:p>
        </w:tc>
      </w:tr>
      <w:tr>
        <w:trPr>
          <w:trHeight w:val="348"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0.2105%</w:t>
            </w:r>
          </w:p>
        </w:tc>
      </w:tr>
      <w:tr>
        <w:trPr>
          <w:trHeight w:val="346" w:hRule="exact"/>
        </w:trPr>
        <w:tc>
          <w:tcPr>
            <w:tcW w:w="3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4,750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477" w:lineRule="auto" w:before="44"/>
        <w:ind w:right="152" w:firstLine="360"/>
        <w:jc w:val="both"/>
      </w:pPr>
      <w:r>
        <w:rPr>
          <w:spacing w:val="-2"/>
        </w:rPr>
        <w:t>经中国证券监督管理委员会证监发行字</w:t>
      </w:r>
      <w:r>
        <w:rPr>
          <w:rFonts w:ascii="宋体" w:hAnsi="宋体" w:cs="宋体" w:eastAsia="宋体" w:hint="default"/>
          <w:spacing w:val="-2"/>
        </w:rPr>
        <w:t>[2010]1292</w:t>
      </w:r>
      <w:r>
        <w:rPr>
          <w:spacing w:val="-2"/>
        </w:rPr>
        <w:t>号文核准，并经深圳证券交易所同意，本公司由主承销商中信证券股</w:t>
      </w:r>
      <w:r>
        <w:rPr/>
        <w:t> 份有限公司于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8</w:t>
      </w:r>
      <w:r>
        <w:rPr/>
        <w:t>日向社会公众公开发行普通股</w:t>
      </w:r>
      <w:r>
        <w:rPr>
          <w:rFonts w:ascii="宋体" w:hAnsi="宋体" w:cs="宋体" w:eastAsia="宋体" w:hint="default"/>
        </w:rPr>
        <w:t>(A</w:t>
      </w:r>
      <w:r>
        <w:rPr/>
        <w:t>股</w:t>
      </w:r>
      <w:r>
        <w:rPr>
          <w:rFonts w:ascii="宋体" w:hAnsi="宋体" w:cs="宋体" w:eastAsia="宋体" w:hint="default"/>
        </w:rPr>
        <w:t>)</w:t>
      </w:r>
      <w:r>
        <w:rPr/>
        <w:t>股票</w:t>
      </w:r>
      <w:r>
        <w:rPr>
          <w:rFonts w:ascii="宋体" w:hAnsi="宋体" w:cs="宋体" w:eastAsia="宋体" w:hint="default"/>
        </w:rPr>
        <w:t>1,600</w:t>
      </w:r>
      <w:r>
        <w:rPr/>
        <w:t>万股，每股面值</w:t>
      </w:r>
      <w:r>
        <w:rPr>
          <w:rFonts w:ascii="宋体" w:hAnsi="宋体" w:cs="宋体" w:eastAsia="宋体" w:hint="default"/>
        </w:rPr>
        <w:t>1.00</w:t>
      </w:r>
      <w:r>
        <w:rPr/>
        <w:t>元，每股发行价人民币</w:t>
      </w:r>
      <w:r>
        <w:rPr>
          <w:rFonts w:ascii="宋体" w:hAnsi="宋体" w:cs="宋体" w:eastAsia="宋体" w:hint="default"/>
        </w:rPr>
        <w:t>43.33</w:t>
      </w:r>
      <w:r>
        <w:rPr>
          <w:rFonts w:ascii="宋体" w:hAnsi="宋体" w:cs="宋体" w:eastAsia="宋体" w:hint="default"/>
          <w:spacing w:val="-19"/>
        </w:rPr>
        <w:t> </w:t>
      </w:r>
      <w:r>
        <w:rPr>
          <w:rFonts w:ascii="宋体" w:hAnsi="宋体" w:cs="宋体" w:eastAsia="宋体" w:hint="default"/>
          <w:spacing w:val="-19"/>
        </w:rPr>
      </w:r>
      <w:r>
        <w:rPr/>
        <w:t>元。截至</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13</w:t>
      </w:r>
      <w:r>
        <w:rPr/>
        <w:t>日止，共募集资金</w:t>
      </w:r>
      <w:r>
        <w:rPr>
          <w:rFonts w:ascii="宋体" w:hAnsi="宋体" w:cs="宋体" w:eastAsia="宋体" w:hint="default"/>
        </w:rPr>
        <w:t>69,328.00</w:t>
      </w:r>
      <w:r>
        <w:rPr/>
        <w:t>万元，扣除发行费用</w:t>
      </w:r>
      <w:r>
        <w:rPr>
          <w:rFonts w:ascii="宋体" w:hAnsi="宋体" w:cs="宋体" w:eastAsia="宋体" w:hint="default"/>
        </w:rPr>
        <w:t>46,945,065.67</w:t>
      </w:r>
      <w:r>
        <w:rPr/>
        <w:t>元，募集资金净额</w:t>
      </w:r>
      <w:r>
        <w:rPr>
          <w:rFonts w:ascii="宋体" w:hAnsi="宋体" w:cs="宋体" w:eastAsia="宋体" w:hint="default"/>
        </w:rPr>
        <w:t>646,334,934.33</w:t>
      </w:r>
      <w:r>
        <w:rPr>
          <w:rFonts w:ascii="宋体" w:hAnsi="宋体" w:cs="宋体" w:eastAsia="宋体" w:hint="default"/>
          <w:spacing w:val="-22"/>
        </w:rPr>
        <w:t> </w:t>
      </w:r>
      <w:r>
        <w:rPr>
          <w:rFonts w:ascii="宋体" w:hAnsi="宋体" w:cs="宋体" w:eastAsia="宋体" w:hint="default"/>
          <w:spacing w:val="-22"/>
        </w:rPr>
      </w:r>
      <w:r>
        <w:rPr/>
        <w:t>元，本次募集资金业经立信大华会计师事务所有限公司出具的</w:t>
      </w:r>
      <w:r>
        <w:rPr>
          <w:rFonts w:ascii="宋体" w:hAnsi="宋体" w:cs="宋体" w:eastAsia="宋体" w:hint="default"/>
        </w:rPr>
        <w:t>“</w:t>
      </w:r>
      <w:r>
        <w:rPr/>
        <w:t>立信大华验字</w:t>
      </w:r>
      <w:r>
        <w:rPr>
          <w:rFonts w:ascii="宋体" w:hAnsi="宋体" w:cs="宋体" w:eastAsia="宋体" w:hint="default"/>
        </w:rPr>
        <w:t>[2010]124</w:t>
      </w:r>
      <w:r>
        <w:rPr/>
        <w:t>号</w:t>
      </w:r>
      <w:r>
        <w:rPr>
          <w:rFonts w:ascii="宋体" w:hAnsi="宋体" w:cs="宋体" w:eastAsia="宋体" w:hint="default"/>
        </w:rPr>
        <w:t>”</w:t>
      </w:r>
      <w:r>
        <w:rPr/>
        <w:t>验资报告验证。</w:t>
      </w:r>
    </w:p>
    <w:p>
      <w:pPr>
        <w:pStyle w:val="BodyText"/>
        <w:spacing w:line="477" w:lineRule="auto" w:before="54"/>
        <w:ind w:right="152" w:firstLine="360"/>
        <w:jc w:val="both"/>
      </w:pPr>
      <w:r>
        <w:rPr/>
        <w:t>经本公司</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日股东大会审议通过，以公司原有的</w:t>
      </w:r>
      <w:r>
        <w:rPr>
          <w:rFonts w:ascii="宋体" w:hAnsi="宋体" w:cs="宋体" w:eastAsia="宋体" w:hint="default"/>
        </w:rPr>
        <w:t>6,350</w:t>
      </w:r>
      <w:r>
        <w:rPr/>
        <w:t>万股为基础，向全体股东每</w:t>
      </w:r>
      <w:r>
        <w:rPr>
          <w:rFonts w:ascii="宋体" w:hAnsi="宋体" w:cs="宋体" w:eastAsia="宋体" w:hint="default"/>
        </w:rPr>
        <w:t>10</w:t>
      </w:r>
      <w:r>
        <w:rPr/>
        <w:t>股派</w:t>
      </w:r>
      <w:r>
        <w:rPr>
          <w:rFonts w:ascii="宋体" w:hAnsi="宋体" w:cs="宋体" w:eastAsia="宋体" w:hint="default"/>
        </w:rPr>
        <w:t>2</w:t>
      </w:r>
      <w:r>
        <w:rPr/>
        <w:t>元人民币现金</w:t>
      </w:r>
      <w:r>
        <w:rPr>
          <w:rFonts w:ascii="宋体" w:hAnsi="宋体" w:cs="宋体" w:eastAsia="宋体" w:hint="default"/>
        </w:rPr>
        <w:t>(</w:t>
      </w:r>
      <w:r>
        <w:rPr/>
        <w:t>含 税</w:t>
      </w:r>
      <w:r>
        <w:rPr>
          <w:rFonts w:ascii="宋体" w:hAnsi="宋体" w:cs="宋体" w:eastAsia="宋体" w:hint="default"/>
        </w:rPr>
        <w:t>)</w:t>
      </w:r>
      <w:r>
        <w:rPr/>
        <w:t>，同时以资本公积向全体股东每</w:t>
      </w:r>
      <w:r>
        <w:rPr>
          <w:rFonts w:ascii="宋体" w:hAnsi="宋体" w:cs="宋体" w:eastAsia="宋体" w:hint="default"/>
        </w:rPr>
        <w:t>10</w:t>
      </w:r>
      <w:r>
        <w:rPr/>
        <w:t>股转增</w:t>
      </w:r>
      <w:r>
        <w:rPr>
          <w:rFonts w:ascii="宋体" w:hAnsi="宋体" w:cs="宋体" w:eastAsia="宋体" w:hint="default"/>
        </w:rPr>
        <w:t>8</w:t>
      </w:r>
      <w:r>
        <w:rPr/>
        <w:t>股，共计转增</w:t>
      </w:r>
      <w:r>
        <w:rPr>
          <w:rFonts w:ascii="宋体" w:hAnsi="宋体" w:cs="宋体" w:eastAsia="宋体" w:hint="default"/>
        </w:rPr>
        <w:t>5,080.00</w:t>
      </w:r>
      <w:r>
        <w:rPr/>
        <w:t>万元。转增后公司总股本为</w:t>
      </w:r>
      <w:r>
        <w:rPr>
          <w:rFonts w:ascii="宋体" w:hAnsi="宋体" w:cs="宋体" w:eastAsia="宋体" w:hint="default"/>
        </w:rPr>
        <w:t>11,430</w:t>
      </w:r>
      <w:r>
        <w:rPr/>
        <w:t>万股。</w:t>
      </w:r>
    </w:p>
    <w:p>
      <w:pPr>
        <w:pStyle w:val="BodyText"/>
        <w:spacing w:line="240" w:lineRule="auto" w:before="54"/>
        <w:ind w:left="512" w:right="0"/>
        <w:jc w:val="left"/>
      </w:pPr>
      <w:r>
        <w:rPr/>
        <w:t>经本公司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30</w:t>
      </w:r>
      <w:r>
        <w:rPr/>
        <w:t>日股东大会审议通过，以公司原有的</w:t>
      </w:r>
      <w:r>
        <w:rPr>
          <w:rFonts w:ascii="宋体" w:hAnsi="宋体" w:cs="宋体" w:eastAsia="宋体" w:hint="default"/>
        </w:rPr>
        <w:t>11,430</w:t>
      </w:r>
      <w:r>
        <w:rPr/>
        <w:t>万股为基础，向全体股东每</w:t>
      </w:r>
      <w:r>
        <w:rPr>
          <w:rFonts w:ascii="宋体" w:hAnsi="宋体" w:cs="宋体" w:eastAsia="宋体" w:hint="default"/>
        </w:rPr>
        <w:t>10</w:t>
      </w:r>
      <w:r>
        <w:rPr/>
        <w:t>股派现金人民币</w:t>
      </w:r>
      <w:r>
        <w:rPr>
          <w:rFonts w:ascii="宋体" w:hAnsi="宋体" w:cs="宋体" w:eastAsia="宋体" w:hint="default"/>
        </w:rPr>
        <w:t>0.50</w:t>
      </w:r>
      <w:r>
        <w:rPr/>
        <w:t>元</w:t>
      </w:r>
    </w:p>
    <w:p>
      <w:pPr>
        <w:spacing w:line="240" w:lineRule="auto" w:before="10"/>
        <w:rPr>
          <w:rFonts w:ascii="宋体" w:hAnsi="宋体" w:cs="宋体" w:eastAsia="宋体" w:hint="default"/>
          <w:sz w:val="17"/>
          <w:szCs w:val="17"/>
        </w:rPr>
      </w:pPr>
    </w:p>
    <w:p>
      <w:pPr>
        <w:pStyle w:val="BodyText"/>
        <w:spacing w:line="477" w:lineRule="auto"/>
        <w:ind w:left="512" w:right="0" w:hanging="361"/>
        <w:jc w:val="left"/>
      </w:pPr>
      <w:r>
        <w:rPr>
          <w:rFonts w:ascii="宋体" w:hAnsi="宋体" w:cs="宋体" w:eastAsia="宋体" w:hint="default"/>
        </w:rPr>
        <w:t>(</w:t>
      </w:r>
      <w:r>
        <w:rPr/>
        <w:t>含税</w:t>
      </w:r>
      <w:r>
        <w:rPr>
          <w:rFonts w:ascii="宋体" w:hAnsi="宋体" w:cs="宋体" w:eastAsia="宋体" w:hint="default"/>
        </w:rPr>
        <w:t>)</w:t>
      </w:r>
      <w:r>
        <w:rPr/>
        <w:t>，同时以资本公积向全体股东每</w:t>
      </w:r>
      <w:r>
        <w:rPr>
          <w:rFonts w:ascii="宋体" w:hAnsi="宋体" w:cs="宋体" w:eastAsia="宋体" w:hint="default"/>
        </w:rPr>
        <w:t>10</w:t>
      </w:r>
      <w:r>
        <w:rPr/>
        <w:t>股转增</w:t>
      </w:r>
      <w:r>
        <w:rPr>
          <w:rFonts w:ascii="宋体" w:hAnsi="宋体" w:cs="宋体" w:eastAsia="宋体" w:hint="default"/>
        </w:rPr>
        <w:t>10</w:t>
      </w:r>
      <w:r>
        <w:rPr/>
        <w:t>股，转增后公司总股本为</w:t>
      </w:r>
      <w:r>
        <w:rPr>
          <w:rFonts w:ascii="宋体" w:hAnsi="宋体" w:cs="宋体" w:eastAsia="宋体" w:hint="default"/>
        </w:rPr>
        <w:t>22,860</w:t>
      </w:r>
      <w:r>
        <w:rPr/>
        <w:t>万股。 </w:t>
      </w:r>
      <w:r>
        <w:rPr>
          <w:spacing w:val="-2"/>
        </w:rPr>
        <w:t>经本公司</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日第三届董事会第十三次（临时）会议审议通过，公司</w:t>
      </w:r>
      <w:r>
        <w:rPr>
          <w:rFonts w:ascii="宋体" w:hAnsi="宋体" w:cs="宋体" w:eastAsia="宋体" w:hint="default"/>
          <w:spacing w:val="-2"/>
        </w:rPr>
        <w:t>145</w:t>
      </w:r>
      <w:r>
        <w:rPr>
          <w:spacing w:val="-2"/>
        </w:rPr>
        <w:t>名激励对象行权资格合法、有效，满足</w:t>
      </w:r>
    </w:p>
    <w:p>
      <w:pPr>
        <w:pStyle w:val="BodyText"/>
        <w:spacing w:line="477" w:lineRule="auto" w:before="54"/>
        <w:ind w:right="0"/>
        <w:jc w:val="left"/>
      </w:pPr>
      <w:r>
        <w:rPr>
          <w:spacing w:val="-2"/>
        </w:rPr>
        <w:t>公司股权激励计划首次授予的股票期权第一个行权期行权条件，同意已获准行权的股票期权的激励对象在第一个行权期可行</w:t>
      </w:r>
      <w:r>
        <w:rPr>
          <w:spacing w:val="-64"/>
        </w:rPr>
        <w:t> </w:t>
      </w:r>
      <w:r>
        <w:rPr>
          <w:spacing w:val="-64"/>
        </w:rPr>
      </w:r>
      <w:r>
        <w:rPr/>
        <w:t>权股票期权数量为</w:t>
      </w:r>
      <w:r>
        <w:rPr>
          <w:rFonts w:ascii="宋体" w:hAnsi="宋体" w:cs="宋体" w:eastAsia="宋体" w:hint="default"/>
        </w:rPr>
        <w:t>2,421,360</w:t>
      </w:r>
      <w:r>
        <w:rPr/>
        <w:t>股，本次股票期权行权后，公司总股本为</w:t>
      </w:r>
      <w:r>
        <w:rPr>
          <w:rFonts w:ascii="宋体" w:hAnsi="宋体" w:cs="宋体" w:eastAsia="宋体" w:hint="default"/>
        </w:rPr>
        <w:t>231,021,360</w:t>
      </w:r>
      <w:r>
        <w:rPr/>
        <w:t>股。</w:t>
      </w:r>
    </w:p>
    <w:p>
      <w:pPr>
        <w:pStyle w:val="BodyText"/>
        <w:spacing w:line="477" w:lineRule="auto" w:before="54"/>
        <w:ind w:left="512" w:right="7074"/>
        <w:jc w:val="left"/>
      </w:pPr>
      <w:r>
        <w:rPr>
          <w:rFonts w:ascii="宋体" w:hAnsi="宋体" w:cs="宋体" w:eastAsia="宋体" w:hint="default"/>
        </w:rPr>
        <w:t>1.</w:t>
      </w:r>
      <w:r>
        <w:rPr/>
        <w:t>行业性质 本公司属电子设备制造行业。</w:t>
      </w:r>
    </w:p>
    <w:p>
      <w:pPr>
        <w:spacing w:after="0" w:line="477" w:lineRule="auto"/>
        <w:jc w:val="left"/>
        <w:sectPr>
          <w:footerReference w:type="default" r:id="rId27"/>
          <w:pgSz w:w="11910" w:h="16840"/>
          <w:pgMar w:footer="982" w:header="745" w:top="1060" w:bottom="1180" w:left="980" w:right="980"/>
          <w:pgNumType w:start="11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6174"/>
        <w:jc w:val="left"/>
      </w:pPr>
      <w:r>
        <w:rPr>
          <w:rFonts w:ascii="宋体" w:hAnsi="宋体" w:cs="宋体" w:eastAsia="宋体" w:hint="default"/>
        </w:rPr>
        <w:t>2.</w:t>
      </w:r>
      <w:r>
        <w:rPr/>
        <w:t>经营范围 一般经营项目：货物及技术进出口业务；</w:t>
      </w:r>
    </w:p>
    <w:p>
      <w:pPr>
        <w:pStyle w:val="BodyText"/>
        <w:spacing w:line="477" w:lineRule="auto" w:before="54"/>
        <w:ind w:right="155" w:firstLine="360"/>
        <w:jc w:val="both"/>
      </w:pPr>
      <w:r>
        <w:rPr/>
        <w:t>许可经营项目：银行卡电子支付终端产品（</w:t>
      </w:r>
      <w:r>
        <w:rPr>
          <w:rFonts w:ascii="宋体" w:hAnsi="宋体" w:cs="宋体" w:eastAsia="宋体" w:hint="default"/>
        </w:rPr>
        <w:t>POS</w:t>
      </w:r>
      <w:r>
        <w:rPr/>
        <w:t>机）、电子支付密码系统产品、计算机产品及电子产品的技术开发、生 </w:t>
      </w:r>
      <w:r>
        <w:rPr>
          <w:spacing w:val="-2"/>
        </w:rPr>
        <w:t>产（生产项目由分支机构经营）、销售、租赁及服务（不含专营、专控、专卖商品及限制项目）；移动支付业务的技术开发</w:t>
      </w:r>
      <w:r>
        <w:rPr>
          <w:spacing w:val="-70"/>
        </w:rPr>
        <w:t> </w:t>
      </w:r>
      <w:r>
        <w:rPr>
          <w:spacing w:val="-70"/>
        </w:rPr>
      </w:r>
      <w:r>
        <w:rPr/>
        <w:t>运营及服务（不含生产）；互联网信息业务。</w:t>
      </w:r>
    </w:p>
    <w:p>
      <w:pPr>
        <w:pStyle w:val="BodyText"/>
        <w:spacing w:line="477" w:lineRule="auto" w:before="54"/>
        <w:ind w:left="512" w:right="2394"/>
        <w:jc w:val="left"/>
      </w:pPr>
      <w:r>
        <w:rPr>
          <w:rFonts w:ascii="宋体" w:hAnsi="宋体" w:cs="宋体" w:eastAsia="宋体" w:hint="default"/>
        </w:rPr>
        <w:t>3.</w:t>
      </w:r>
      <w:r>
        <w:rPr/>
        <w:t>主要产品、劳务 银行卡电子支付终端</w:t>
      </w:r>
      <w:r>
        <w:rPr>
          <w:rFonts w:ascii="宋体" w:hAnsi="宋体" w:cs="宋体" w:eastAsia="宋体" w:hint="default"/>
        </w:rPr>
        <w:t>(POS)</w:t>
      </w:r>
      <w:r>
        <w:rPr/>
        <w:t>机的生产和销售，提供银行卡电子支付终端</w:t>
      </w:r>
      <w:r>
        <w:rPr>
          <w:rFonts w:ascii="宋体" w:hAnsi="宋体" w:cs="宋体" w:eastAsia="宋体" w:hint="default"/>
        </w:rPr>
        <w:t>(POS)</w:t>
      </w:r>
      <w:r>
        <w:rPr/>
        <w:t>机租赁劳务。 </w:t>
      </w:r>
      <w:r>
        <w:rPr>
          <w:rFonts w:ascii="宋体" w:hAnsi="宋体" w:cs="宋体" w:eastAsia="宋体" w:hint="default"/>
        </w:rPr>
        <w:t>4.</w:t>
      </w:r>
      <w:r>
        <w:rPr/>
        <w:t>公司基本架构</w:t>
      </w:r>
    </w:p>
    <w:p>
      <w:pPr>
        <w:pStyle w:val="BodyText"/>
        <w:spacing w:line="477" w:lineRule="auto" w:before="54"/>
        <w:ind w:right="155" w:firstLine="360"/>
        <w:jc w:val="both"/>
      </w:pPr>
      <w:r>
        <w:rPr/>
        <w:t>本公司最高权力机构是股东大会</w:t>
      </w:r>
      <w:r>
        <w:rPr>
          <w:rFonts w:ascii="宋体" w:hAnsi="宋体" w:cs="宋体" w:eastAsia="宋体" w:hint="default"/>
        </w:rPr>
        <w:t>,</w:t>
      </w:r>
      <w:r>
        <w:rPr/>
        <w:t>实行董事会领导下的总经理负责制。根据业务发展需要，设立行业客户部、产品管理 部、计划财务中心、制造中心、运营中心、营销中心、市场部、证券部、人力资源部、审计部、研发中心等职能部门。</w:t>
      </w:r>
    </w:p>
    <w:p>
      <w:pPr>
        <w:pStyle w:val="BodyText"/>
        <w:spacing w:line="240" w:lineRule="auto" w:before="54"/>
        <w:ind w:left="512" w:right="0"/>
        <w:jc w:val="left"/>
      </w:pPr>
      <w:r>
        <w:rPr/>
        <w:t>本期纳入合并财务报表范围的主体共</w:t>
      </w:r>
      <w:r>
        <w:rPr>
          <w:rFonts w:ascii="宋体" w:hAnsi="宋体" w:cs="宋体" w:eastAsia="宋体" w:hint="default"/>
        </w:rPr>
        <w:t>8</w:t>
      </w:r>
      <w:r>
        <w:rPr/>
        <w:t>户，具体包括：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96"/>
        <w:jc w:val="right"/>
      </w:pPr>
      <w:r>
        <w:rPr/>
        <w:pict>
          <v:shape style="position:absolute;margin-left:62.400002pt;margin-top:-129.488281pt;width:470.8pt;height:432.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0"/>
                    <w:gridCol w:w="1171"/>
                    <w:gridCol w:w="967"/>
                    <w:gridCol w:w="1399"/>
                    <w:gridCol w:w="1558"/>
                    <w:gridCol w:w="2448"/>
                  </w:tblGrid>
                  <w:tr>
                    <w:trPr>
                      <w:trHeight w:val="348" w:hRule="exact"/>
                    </w:trPr>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7"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658" w:hRule="exact"/>
                    </w:trPr>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深圳市易联技术有限公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8"/>
                          <w:jc w:val="left"/>
                          <w:rPr>
                            <w:rFonts w:ascii="宋体" w:hAnsi="宋体" w:cs="宋体" w:eastAsia="宋体" w:hint="default"/>
                            <w:sz w:val="18"/>
                            <w:szCs w:val="18"/>
                          </w:rPr>
                        </w:pPr>
                        <w:r>
                          <w:rPr>
                            <w:rFonts w:ascii="宋体" w:hAnsi="宋体" w:cs="宋体" w:eastAsia="宋体" w:hint="default"/>
                            <w:spacing w:val="16"/>
                            <w:sz w:val="18"/>
                            <w:szCs w:val="18"/>
                          </w:rPr>
                          <w:t>软件技术开发与</w:t>
                        </w:r>
                        <w:r>
                          <w:rPr>
                            <w:rFonts w:ascii="宋体" w:hAnsi="宋体" w:cs="宋体" w:eastAsia="宋体" w:hint="default"/>
                            <w:spacing w:val="-87"/>
                            <w:sz w:val="18"/>
                            <w:szCs w:val="18"/>
                          </w:rPr>
                          <w:t> </w:t>
                        </w:r>
                        <w:r>
                          <w:rPr>
                            <w:rFonts w:ascii="宋体" w:hAnsi="宋体" w:cs="宋体" w:eastAsia="宋体" w:hint="default"/>
                            <w:sz w:val="18"/>
                            <w:szCs w:val="18"/>
                          </w:rPr>
                          <w:t>销售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软件技术开发与销售，软件技 </w:t>
                        </w:r>
                        <w:r>
                          <w:rPr>
                            <w:rFonts w:ascii="宋体" w:hAnsi="宋体" w:cs="宋体" w:eastAsia="宋体" w:hint="default"/>
                            <w:sz w:val="18"/>
                            <w:szCs w:val="18"/>
                          </w:rPr>
                          <w:t>术咨询，计算机系统集成。</w:t>
                        </w:r>
                      </w:p>
                    </w:tc>
                  </w:tr>
                  <w:tr>
                    <w:trPr>
                      <w:trHeight w:val="334" w:hRule="exact"/>
                    </w:trPr>
                    <w:tc>
                      <w:tcPr>
                        <w:tcW w:w="18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南京市新国都技术有限</w:t>
                        </w:r>
                        <w:r>
                          <w:rPr>
                            <w:rFonts w:ascii="宋体" w:hAnsi="宋体" w:cs="宋体" w:eastAsia="宋体" w:hint="default"/>
                            <w:sz w:val="18"/>
                            <w:szCs w:val="18"/>
                          </w:rPr>
                        </w:r>
                      </w:p>
                    </w:tc>
                    <w:tc>
                      <w:tcPr>
                        <w:tcW w:w="11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3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18"/>
                          <w:jc w:val="left"/>
                          <w:rPr>
                            <w:rFonts w:ascii="宋体" w:hAnsi="宋体" w:cs="宋体" w:eastAsia="宋体" w:hint="default"/>
                            <w:sz w:val="18"/>
                            <w:szCs w:val="18"/>
                          </w:rPr>
                        </w:pPr>
                        <w:r>
                          <w:rPr>
                            <w:rFonts w:ascii="宋体" w:hAnsi="宋体" w:cs="宋体" w:eastAsia="宋体" w:hint="default"/>
                            <w:spacing w:val="16"/>
                            <w:sz w:val="18"/>
                            <w:szCs w:val="18"/>
                          </w:rPr>
                          <w:t>软件技术开发与</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宋体" w:hAnsi="宋体" w:cs="宋体" w:eastAsia="宋体" w:hint="default"/>
                            <w:sz w:val="18"/>
                            <w:szCs w:val="18"/>
                          </w:rPr>
                          <w:t>万元</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软件技术开发与销售、技术咨</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询和服务；计算机系统集成；</w:t>
                        </w:r>
                        <w:r>
                          <w:rPr>
                            <w:rFonts w:ascii="宋体" w:hAnsi="宋体" w:cs="宋体" w:eastAsia="宋体" w:hint="default"/>
                            <w:sz w:val="18"/>
                            <w:szCs w:val="18"/>
                          </w:rPr>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投资咨询服务；计算机产品及</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电子产品的技术开发、生产、</w:t>
                        </w:r>
                        <w:r>
                          <w:rPr>
                            <w:rFonts w:ascii="宋体" w:hAnsi="宋体" w:cs="宋体" w:eastAsia="宋体" w:hint="default"/>
                            <w:sz w:val="18"/>
                            <w:szCs w:val="18"/>
                          </w:rPr>
                        </w:r>
                      </w:p>
                    </w:tc>
                  </w:tr>
                  <w:tr>
                    <w:trPr>
                      <w:trHeight w:val="331" w:hRule="exact"/>
                    </w:trPr>
                    <w:tc>
                      <w:tcPr>
                        <w:tcW w:w="1850" w:type="dxa"/>
                        <w:tcBorders>
                          <w:top w:val="nil" w:sz="6" w:space="0" w:color="auto"/>
                          <w:left w:val="single" w:sz="6" w:space="0" w:color="000000"/>
                          <w:bottom w:val="single" w:sz="6" w:space="0" w:color="000000"/>
                          <w:right w:val="single" w:sz="6" w:space="0" w:color="000000"/>
                        </w:tcBorders>
                      </w:tcPr>
                      <w:p>
                        <w:pPr/>
                      </w:p>
                    </w:tc>
                    <w:tc>
                      <w:tcPr>
                        <w:tcW w:w="1171"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399" w:type="dxa"/>
                        <w:tcBorders>
                          <w:top w:val="nil" w:sz="6" w:space="0" w:color="auto"/>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销售、租赁及技术服务。</w:t>
                        </w:r>
                      </w:p>
                    </w:tc>
                  </w:tr>
                  <w:tr>
                    <w:trPr>
                      <w:trHeight w:val="331" w:hRule="exact"/>
                    </w:trPr>
                    <w:tc>
                      <w:tcPr>
                        <w:tcW w:w="18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广州市新国都信息科技</w:t>
                        </w:r>
                        <w:r>
                          <w:rPr>
                            <w:rFonts w:ascii="宋体" w:hAnsi="宋体" w:cs="宋体" w:eastAsia="宋体" w:hint="default"/>
                            <w:sz w:val="18"/>
                            <w:szCs w:val="18"/>
                          </w:rPr>
                        </w:r>
                      </w:p>
                    </w:tc>
                    <w:tc>
                      <w:tcPr>
                        <w:tcW w:w="11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3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pacing w:val="-8"/>
                            <w:sz w:val="18"/>
                            <w:szCs w:val="18"/>
                          </w:rPr>
                          <w:t>计算机软件、智能</w:t>
                        </w:r>
                      </w:p>
                    </w:tc>
                    <w:tc>
                      <w:tcPr>
                        <w:tcW w:w="1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计算机软件、智能设备的研究</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*3</w:t>
                        </w: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8"/>
                          <w:jc w:val="left"/>
                          <w:rPr>
                            <w:rFonts w:ascii="宋体" w:hAnsi="宋体" w:cs="宋体" w:eastAsia="宋体" w:hint="default"/>
                            <w:sz w:val="18"/>
                            <w:szCs w:val="18"/>
                          </w:rPr>
                        </w:pPr>
                        <w:r>
                          <w:rPr>
                            <w:rFonts w:ascii="宋体" w:hAnsi="宋体" w:cs="宋体" w:eastAsia="宋体" w:hint="default"/>
                            <w:spacing w:val="16"/>
                            <w:sz w:val="18"/>
                            <w:szCs w:val="18"/>
                          </w:rPr>
                          <w:t>设备的研究、开</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开发、销售、技术咨询、技术</w:t>
                        </w:r>
                        <w:r>
                          <w:rPr>
                            <w:rFonts w:ascii="宋体" w:hAnsi="宋体" w:cs="宋体" w:eastAsia="宋体" w:hint="default"/>
                            <w:sz w:val="18"/>
                            <w:szCs w:val="18"/>
                          </w:rPr>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服务；计算机系统集成技术服</w:t>
                        </w:r>
                        <w:r>
                          <w:rPr>
                            <w:rFonts w:ascii="宋体" w:hAnsi="宋体" w:cs="宋体" w:eastAsia="宋体" w:hint="default"/>
                            <w:sz w:val="18"/>
                            <w:szCs w:val="18"/>
                          </w:rPr>
                        </w:r>
                      </w:p>
                    </w:tc>
                  </w:tr>
                  <w:tr>
                    <w:trPr>
                      <w:trHeight w:val="331" w:hRule="exact"/>
                    </w:trPr>
                    <w:tc>
                      <w:tcPr>
                        <w:tcW w:w="1850" w:type="dxa"/>
                        <w:tcBorders>
                          <w:top w:val="nil" w:sz="6" w:space="0" w:color="auto"/>
                          <w:left w:val="single" w:sz="6" w:space="0" w:color="000000"/>
                          <w:bottom w:val="single" w:sz="6" w:space="0" w:color="000000"/>
                          <w:right w:val="single" w:sz="6" w:space="0" w:color="000000"/>
                        </w:tcBorders>
                      </w:tcPr>
                      <w:p>
                        <w:pPr/>
                      </w:p>
                    </w:tc>
                    <w:tc>
                      <w:tcPr>
                        <w:tcW w:w="1171"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399" w:type="dxa"/>
                        <w:tcBorders>
                          <w:top w:val="nil" w:sz="6" w:space="0" w:color="auto"/>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务。</w:t>
                        </w:r>
                      </w:p>
                    </w:tc>
                  </w:tr>
                  <w:tr>
                    <w:trPr>
                      <w:trHeight w:val="334" w:hRule="exact"/>
                    </w:trPr>
                    <w:tc>
                      <w:tcPr>
                        <w:tcW w:w="18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苏州新国都电子技术有</w:t>
                        </w:r>
                        <w:r>
                          <w:rPr>
                            <w:rFonts w:ascii="宋体" w:hAnsi="宋体" w:cs="宋体" w:eastAsia="宋体" w:hint="default"/>
                            <w:sz w:val="18"/>
                            <w:szCs w:val="18"/>
                          </w:rPr>
                        </w:r>
                      </w:p>
                    </w:tc>
                    <w:tc>
                      <w:tcPr>
                        <w:tcW w:w="11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6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苏州市</w:t>
                        </w:r>
                      </w:p>
                    </w:tc>
                    <w:tc>
                      <w:tcPr>
                        <w:tcW w:w="13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18"/>
                          <w:jc w:val="left"/>
                          <w:rPr>
                            <w:rFonts w:ascii="宋体" w:hAnsi="宋体" w:cs="宋体" w:eastAsia="宋体" w:hint="default"/>
                            <w:sz w:val="18"/>
                            <w:szCs w:val="18"/>
                          </w:rPr>
                        </w:pPr>
                        <w:r>
                          <w:rPr>
                            <w:rFonts w:ascii="宋体" w:hAnsi="宋体" w:cs="宋体" w:eastAsia="宋体" w:hint="default"/>
                            <w:spacing w:val="16"/>
                            <w:sz w:val="18"/>
                            <w:szCs w:val="18"/>
                          </w:rPr>
                          <w:t>电子产品及计算</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40,806</w:t>
                        </w:r>
                        <w:r>
                          <w:rPr>
                            <w:rFonts w:ascii="宋体" w:hAnsi="宋体" w:cs="宋体" w:eastAsia="宋体" w:hint="default"/>
                            <w:sz w:val="18"/>
                            <w:szCs w:val="18"/>
                          </w:rPr>
                          <w:t>万元</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19"/>
                          <w:jc w:val="left"/>
                          <w:rPr>
                            <w:rFonts w:ascii="宋体" w:hAnsi="宋体" w:cs="宋体" w:eastAsia="宋体" w:hint="default"/>
                            <w:sz w:val="18"/>
                            <w:szCs w:val="18"/>
                          </w:rPr>
                        </w:pPr>
                        <w:r>
                          <w:rPr>
                            <w:rFonts w:ascii="宋体" w:hAnsi="宋体" w:cs="宋体" w:eastAsia="宋体" w:hint="default"/>
                            <w:spacing w:val="21"/>
                            <w:sz w:val="18"/>
                            <w:szCs w:val="18"/>
                          </w:rPr>
                          <w:t>电子产品及计算机产品的开</w:t>
                        </w:r>
                        <w:r>
                          <w:rPr>
                            <w:rFonts w:ascii="宋体" w:hAnsi="宋体" w:cs="宋体" w:eastAsia="宋体" w:hint="default"/>
                            <w:spacing w:val="-67"/>
                            <w:sz w:val="18"/>
                            <w:szCs w:val="18"/>
                          </w:rPr>
                          <w:t> </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*4</w:t>
                        </w: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8"/>
                            <w:sz w:val="18"/>
                            <w:szCs w:val="18"/>
                          </w:rPr>
                          <w:t>机产品的开发、销</w:t>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发、销售、租赁及技术服务；</w:t>
                        </w:r>
                        <w:r>
                          <w:rPr>
                            <w:rFonts w:ascii="宋体" w:hAnsi="宋体" w:cs="宋体" w:eastAsia="宋体" w:hint="default"/>
                            <w:sz w:val="18"/>
                            <w:szCs w:val="18"/>
                          </w:rPr>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软件技术开发、销售、技术咨</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询及技术服务；计算机系统集</w:t>
                        </w:r>
                        <w:r>
                          <w:rPr>
                            <w:rFonts w:ascii="宋体" w:hAnsi="宋体" w:cs="宋体" w:eastAsia="宋体" w:hint="default"/>
                            <w:sz w:val="18"/>
                            <w:szCs w:val="18"/>
                          </w:rPr>
                        </w:r>
                      </w:p>
                    </w:tc>
                  </w:tr>
                  <w:tr>
                    <w:trPr>
                      <w:trHeight w:val="331" w:hRule="exact"/>
                    </w:trPr>
                    <w:tc>
                      <w:tcPr>
                        <w:tcW w:w="1850" w:type="dxa"/>
                        <w:tcBorders>
                          <w:top w:val="nil" w:sz="6" w:space="0" w:color="auto"/>
                          <w:left w:val="single" w:sz="6" w:space="0" w:color="000000"/>
                          <w:bottom w:val="single" w:sz="6" w:space="0" w:color="000000"/>
                          <w:right w:val="single" w:sz="6" w:space="0" w:color="000000"/>
                        </w:tcBorders>
                      </w:tcPr>
                      <w:p>
                        <w:pPr/>
                      </w:p>
                    </w:tc>
                    <w:tc>
                      <w:tcPr>
                        <w:tcW w:w="1171"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399" w:type="dxa"/>
                        <w:tcBorders>
                          <w:top w:val="nil" w:sz="6" w:space="0" w:color="auto"/>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成；投资咨询服务。</w:t>
                        </w:r>
                      </w:p>
                    </w:tc>
                  </w:tr>
                  <w:tr>
                    <w:trPr>
                      <w:trHeight w:val="331" w:hRule="exact"/>
                    </w:trPr>
                    <w:tc>
                      <w:tcPr>
                        <w:tcW w:w="18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浙江中正智能科技有限</w:t>
                        </w:r>
                        <w:r>
                          <w:rPr>
                            <w:rFonts w:ascii="宋体" w:hAnsi="宋体" w:cs="宋体" w:eastAsia="宋体" w:hint="default"/>
                            <w:sz w:val="18"/>
                            <w:szCs w:val="18"/>
                          </w:rPr>
                        </w:r>
                      </w:p>
                    </w:tc>
                    <w:tc>
                      <w:tcPr>
                        <w:tcW w:w="11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pacing w:val="-8"/>
                            <w:sz w:val="18"/>
                            <w:szCs w:val="18"/>
                          </w:rPr>
                          <w:t>网络安全认证、防</w:t>
                        </w:r>
                      </w:p>
                    </w:tc>
                    <w:tc>
                      <w:tcPr>
                        <w:tcW w:w="1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宋体" w:hAnsi="宋体" w:cs="宋体" w:eastAsia="宋体" w:hint="default"/>
                            <w:sz w:val="18"/>
                            <w:szCs w:val="18"/>
                          </w:rPr>
                          <w:t>万元</w:t>
                        </w:r>
                      </w:p>
                    </w:tc>
                    <w:tc>
                      <w:tcPr>
                        <w:tcW w:w="24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许可经营项目：生产：电信设</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伪、加密</w:t>
                        </w: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备、电子产品，指纹认证系统</w:t>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网络安全认证系统，信息设备</w:t>
                        </w:r>
                        <w:r>
                          <w:rPr>
                            <w:rFonts w:ascii="宋体" w:hAnsi="宋体" w:cs="宋体" w:eastAsia="宋体" w:hint="default"/>
                            <w:sz w:val="18"/>
                            <w:szCs w:val="18"/>
                          </w:rPr>
                        </w:r>
                      </w:p>
                    </w:tc>
                  </w:tr>
                  <w:tr>
                    <w:trPr>
                      <w:trHeight w:val="31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安全认证系统，集成电路（</w:t>
                        </w:r>
                        <w:r>
                          <w:rPr>
                            <w:rFonts w:ascii="Times New Roman" w:hAnsi="Times New Roman" w:cs="Times New Roman" w:eastAsia="Times New Roman" w:hint="default"/>
                            <w:sz w:val="18"/>
                            <w:szCs w:val="18"/>
                          </w:rPr>
                          <w:t>IC</w:t>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pacing w:val="7"/>
                            <w:sz w:val="18"/>
                            <w:szCs w:val="18"/>
                          </w:rPr>
                          <w:t>卡及读写机，防伪技术产品，</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安全技术防范产品，商用密码</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产品（涉及前置审批项目的，</w:t>
                        </w:r>
                        <w:r>
                          <w:rPr>
                            <w:rFonts w:ascii="宋体" w:hAnsi="宋体" w:cs="宋体" w:eastAsia="宋体" w:hint="default"/>
                            <w:sz w:val="18"/>
                            <w:szCs w:val="18"/>
                          </w:rPr>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在有效期内方可经营）；</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7" w:type="dxa"/>
                        <w:tcBorders>
                          <w:top w:val="nil" w:sz="6" w:space="0" w:color="auto"/>
                          <w:left w:val="single" w:sz="6" w:space="0" w:color="000000"/>
                          <w:bottom w:val="nil" w:sz="6" w:space="0" w:color="auto"/>
                          <w:right w:val="single" w:sz="6" w:space="0" w:color="000000"/>
                        </w:tcBorders>
                      </w:tcPr>
                      <w:p>
                        <w:pPr/>
                      </w:p>
                    </w:tc>
                    <w:tc>
                      <w:tcPr>
                        <w:tcW w:w="1399" w:type="dxa"/>
                        <w:tcBorders>
                          <w:top w:val="nil" w:sz="6" w:space="0" w:color="auto"/>
                          <w:left w:val="single" w:sz="6" w:space="0" w:color="000000"/>
                          <w:bottom w:val="nil" w:sz="6" w:space="0" w:color="auto"/>
                          <w:right w:val="single" w:sz="6" w:space="0" w:color="000000"/>
                        </w:tcBorders>
                      </w:tcPr>
                      <w:p>
                        <w:pPr/>
                      </w:p>
                    </w:tc>
                    <w:tc>
                      <w:tcPr>
                        <w:tcW w:w="1558" w:type="dxa"/>
                        <w:tcBorders>
                          <w:top w:val="nil" w:sz="6" w:space="0" w:color="auto"/>
                          <w:left w:val="single" w:sz="6" w:space="0" w:color="000000"/>
                          <w:bottom w:val="nil" w:sz="6" w:space="0" w:color="auto"/>
                          <w:right w:val="single" w:sz="6" w:space="0" w:color="000000"/>
                        </w:tcBorders>
                      </w:tcPr>
                      <w:p>
                        <w:pPr/>
                      </w:p>
                    </w:tc>
                    <w:tc>
                      <w:tcPr>
                        <w:tcW w:w="244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5"/>
                          <w:jc w:val="left"/>
                          <w:rPr>
                            <w:rFonts w:ascii="宋体" w:hAnsi="宋体" w:cs="宋体" w:eastAsia="宋体" w:hint="default"/>
                            <w:sz w:val="18"/>
                            <w:szCs w:val="18"/>
                          </w:rPr>
                        </w:pPr>
                        <w:r>
                          <w:rPr>
                            <w:rFonts w:ascii="宋体" w:hAnsi="宋体" w:cs="宋体" w:eastAsia="宋体" w:hint="default"/>
                            <w:spacing w:val="7"/>
                            <w:sz w:val="18"/>
                            <w:szCs w:val="18"/>
                          </w:rPr>
                          <w:t>一般经营项目：技术开发、技</w:t>
                        </w:r>
                        <w:r>
                          <w:rPr>
                            <w:rFonts w:ascii="宋体" w:hAnsi="宋体" w:cs="宋体" w:eastAsia="宋体" w:hint="default"/>
                            <w:sz w:val="18"/>
                            <w:szCs w:val="18"/>
                          </w:rPr>
                        </w:r>
                      </w:p>
                    </w:tc>
                  </w:tr>
                  <w:tr>
                    <w:trPr>
                      <w:trHeight w:val="333" w:hRule="exact"/>
                    </w:trPr>
                    <w:tc>
                      <w:tcPr>
                        <w:tcW w:w="1850" w:type="dxa"/>
                        <w:tcBorders>
                          <w:top w:val="nil" w:sz="6" w:space="0" w:color="auto"/>
                          <w:left w:val="single" w:sz="6" w:space="0" w:color="000000"/>
                          <w:bottom w:val="single" w:sz="6" w:space="0" w:color="000000"/>
                          <w:right w:val="single" w:sz="6" w:space="0" w:color="000000"/>
                        </w:tcBorders>
                      </w:tcPr>
                      <w:p>
                        <w:pPr/>
                      </w:p>
                    </w:tc>
                    <w:tc>
                      <w:tcPr>
                        <w:tcW w:w="1171"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399" w:type="dxa"/>
                        <w:tcBorders>
                          <w:top w:val="nil" w:sz="6" w:space="0" w:color="auto"/>
                          <w:left w:val="single" w:sz="6" w:space="0" w:color="000000"/>
                          <w:bottom w:val="single" w:sz="6" w:space="0" w:color="000000"/>
                          <w:right w:val="single" w:sz="6" w:space="0" w:color="000000"/>
                        </w:tcBorders>
                      </w:tcPr>
                      <w:p>
                        <w:pPr/>
                      </w:p>
                    </w:tc>
                    <w:tc>
                      <w:tcPr>
                        <w:tcW w:w="1558" w:type="dxa"/>
                        <w:tcBorders>
                          <w:top w:val="nil" w:sz="6" w:space="0" w:color="auto"/>
                          <w:left w:val="single" w:sz="6" w:space="0" w:color="000000"/>
                          <w:bottom w:val="single" w:sz="6" w:space="0" w:color="000000"/>
                          <w:right w:val="single" w:sz="6" w:space="0" w:color="000000"/>
                        </w:tcBorders>
                      </w:tcPr>
                      <w:p>
                        <w:pPr/>
                      </w:p>
                    </w:tc>
                    <w:tc>
                      <w:tcPr>
                        <w:tcW w:w="24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术咨询、技术服务、成果转让</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96"/>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9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96"/>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0" w:right="196"/>
        <w:jc w:val="right"/>
      </w:pPr>
      <w:r>
        <w:rPr/>
        <w:pict>
          <v:shape style="position:absolute;margin-left:62.400002pt;margin-top:-141.608307pt;width:470.8pt;height:335.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0"/>
                    <w:gridCol w:w="1171"/>
                    <w:gridCol w:w="967"/>
                    <w:gridCol w:w="1399"/>
                    <w:gridCol w:w="1558"/>
                    <w:gridCol w:w="2448"/>
                  </w:tblGrid>
                  <w:tr>
                    <w:trPr>
                      <w:trHeight w:val="1284" w:hRule="exact"/>
                    </w:trPr>
                    <w:tc>
                      <w:tcPr>
                        <w:tcW w:w="1850"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both"/>
                          <w:rPr>
                            <w:rFonts w:ascii="宋体" w:hAnsi="宋体" w:cs="宋体" w:eastAsia="宋体" w:hint="default"/>
                            <w:sz w:val="18"/>
                            <w:szCs w:val="18"/>
                          </w:rPr>
                        </w:pPr>
                        <w:r>
                          <w:rPr>
                            <w:rFonts w:ascii="宋体" w:hAnsi="宋体" w:cs="宋体" w:eastAsia="宋体" w:hint="default"/>
                            <w:spacing w:val="7"/>
                            <w:sz w:val="18"/>
                            <w:szCs w:val="18"/>
                          </w:rPr>
                          <w:t>应用：电子产品、指纹认证系 统，网络安全认证系统，计算 机加密技术，信息设备安全认 </w:t>
                        </w:r>
                        <w:r>
                          <w:rPr>
                            <w:rFonts w:ascii="宋体" w:hAnsi="宋体" w:cs="宋体" w:eastAsia="宋体" w:hint="default"/>
                            <w:sz w:val="18"/>
                            <w:szCs w:val="18"/>
                          </w:rPr>
                          <w:t>证系统；销售自产产品。</w:t>
                        </w:r>
                      </w:p>
                    </w:tc>
                  </w:tr>
                  <w:tr>
                    <w:trPr>
                      <w:trHeight w:val="2530" w:hRule="exact"/>
                    </w:trPr>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深圳市新国都支付技术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*6</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3"/>
                            <w:sz w:val="18"/>
                            <w:szCs w:val="18"/>
                          </w:rPr>
                          <w:t> </w:t>
                        </w:r>
                        <w:r>
                          <w:rPr>
                            <w:rFonts w:ascii="宋体" w:hAnsi="宋体" w:cs="宋体" w:eastAsia="宋体" w:hint="default"/>
                            <w:spacing w:val="14"/>
                            <w:sz w:val="18"/>
                            <w:szCs w:val="18"/>
                          </w:rPr>
                          <w:t>终端、固定 </w:t>
                        </w:r>
                        <w:r>
                          <w:rPr>
                            <w:rFonts w:ascii="宋体" w:hAnsi="宋体" w:cs="宋体" w:eastAsia="宋体" w:hint="default"/>
                            <w:spacing w:val="-8"/>
                            <w:sz w:val="18"/>
                            <w:szCs w:val="18"/>
                          </w:rPr>
                          <w:t>无线电话机、电子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支付设备、计算机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软硬件、电子产品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的技术开发、生产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宋体" w:hAnsi="宋体" w:cs="宋体" w:eastAsia="宋体" w:hint="default"/>
                            <w:sz w:val="18"/>
                            <w:szCs w:val="18"/>
                          </w:rPr>
                          <w:t>万元</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4" w:right="-5"/>
                          <w:jc w:val="left"/>
                          <w:rPr>
                            <w:rFonts w:ascii="宋体" w:hAnsi="宋体" w:cs="宋体" w:eastAsia="宋体" w:hint="default"/>
                            <w:sz w:val="18"/>
                            <w:szCs w:val="18"/>
                          </w:rPr>
                        </w:pPr>
                        <w:r>
                          <w:rPr>
                            <w:rFonts w:ascii="宋体" w:hAnsi="宋体" w:cs="宋体" w:eastAsia="宋体" w:hint="default"/>
                            <w:spacing w:val="2"/>
                            <w:sz w:val="18"/>
                            <w:szCs w:val="18"/>
                          </w:rPr>
                          <w:t>经营进出口业务；</w:t>
                        </w:r>
                        <w:r>
                          <w:rPr>
                            <w:rFonts w:ascii="Times New Roman" w:hAnsi="Times New Roman" w:cs="Times New Roman" w:eastAsia="Times New Roman" w:hint="default"/>
                            <w:spacing w:val="2"/>
                            <w:sz w:val="18"/>
                            <w:szCs w:val="18"/>
                          </w:rPr>
                          <w:t>POS</w:t>
                        </w:r>
                        <w:r>
                          <w:rPr>
                            <w:rFonts w:ascii="Times New Roman" w:hAnsi="Times New Roman" w:cs="Times New Roman" w:eastAsia="Times New Roman" w:hint="default"/>
                            <w:spacing w:val="34"/>
                            <w:sz w:val="18"/>
                            <w:szCs w:val="18"/>
                          </w:rPr>
                          <w:t> </w:t>
                        </w:r>
                        <w:r>
                          <w:rPr>
                            <w:rFonts w:ascii="宋体" w:hAnsi="宋体" w:cs="宋体" w:eastAsia="宋体" w:hint="default"/>
                            <w:spacing w:val="4"/>
                            <w:sz w:val="18"/>
                            <w:szCs w:val="18"/>
                          </w:rPr>
                          <w:t>终端、 </w:t>
                        </w:r>
                        <w:r>
                          <w:rPr>
                            <w:rFonts w:ascii="宋体" w:hAnsi="宋体" w:cs="宋体" w:eastAsia="宋体" w:hint="default"/>
                            <w:spacing w:val="7"/>
                            <w:sz w:val="18"/>
                            <w:szCs w:val="18"/>
                          </w:rPr>
                          <w:t>固定无线电话机、电子支付设</w:t>
                        </w:r>
                        <w:r>
                          <w:rPr>
                            <w:rFonts w:ascii="宋体" w:hAnsi="宋体" w:cs="宋体" w:eastAsia="宋体" w:hint="default"/>
                            <w:spacing w:val="7"/>
                            <w:sz w:val="18"/>
                            <w:szCs w:val="18"/>
                          </w:rPr>
                          <w:t> 备、计算机软硬件、电子产品 的技术开发、生产（生产项目 由分支机构经营，执照另行办 </w:t>
                        </w:r>
                        <w:r>
                          <w:rPr>
                            <w:rFonts w:ascii="宋体" w:hAnsi="宋体" w:cs="宋体" w:eastAsia="宋体" w:hint="default"/>
                            <w:sz w:val="18"/>
                            <w:szCs w:val="18"/>
                          </w:rPr>
                          <w:t>理）、销售、租赁及技术服务</w:t>
                        </w:r>
                        <w:r>
                          <w:rPr>
                            <w:rFonts w:ascii="宋体" w:hAnsi="宋体" w:cs="宋体" w:eastAsia="宋体" w:hint="default"/>
                            <w:sz w:val="18"/>
                            <w:szCs w:val="18"/>
                          </w:rPr>
                          <w:t> </w:t>
                        </w:r>
                        <w:r>
                          <w:rPr>
                            <w:rFonts w:ascii="宋体" w:hAnsi="宋体" w:cs="宋体" w:eastAsia="宋体" w:hint="default"/>
                            <w:spacing w:val="7"/>
                            <w:sz w:val="18"/>
                            <w:szCs w:val="18"/>
                          </w:rPr>
                          <w:t>移动支付设备的技术开发、技</w:t>
                        </w:r>
                        <w:r>
                          <w:rPr>
                            <w:rFonts w:ascii="宋体" w:hAnsi="宋体" w:cs="宋体" w:eastAsia="宋体" w:hint="default"/>
                            <w:spacing w:val="7"/>
                            <w:sz w:val="18"/>
                            <w:szCs w:val="18"/>
                          </w:rPr>
                          <w:t> </w:t>
                        </w:r>
                        <w:r>
                          <w:rPr>
                            <w:rFonts w:ascii="宋体" w:hAnsi="宋体" w:cs="宋体" w:eastAsia="宋体" w:hint="default"/>
                            <w:sz w:val="18"/>
                            <w:szCs w:val="18"/>
                          </w:rPr>
                          <w:t>术服务；互联网信息业务。</w:t>
                        </w:r>
                      </w:p>
                    </w:tc>
                  </w:tr>
                  <w:tr>
                    <w:trPr>
                      <w:trHeight w:val="1908" w:hRule="exact"/>
                    </w:trPr>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深圳市信联征信有限公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z w:val="18"/>
                            <w:szCs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征信业务的开发 </w:t>
                        </w:r>
                        <w:r>
                          <w:rPr>
                            <w:rFonts w:ascii="宋体" w:hAnsi="宋体" w:cs="宋体" w:eastAsia="宋体" w:hint="default"/>
                            <w:spacing w:val="-8"/>
                            <w:sz w:val="18"/>
                            <w:szCs w:val="18"/>
                          </w:rPr>
                          <w:t>运营、服务及相关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tabs>
                            <w:tab w:pos="775" w:val="left" w:leader="none"/>
                          </w:tabs>
                          <w:spacing w:line="240" w:lineRule="auto" w:before="20"/>
                          <w:ind w:left="-135" w:right="-1"/>
                          <w:jc w:val="righ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7"/>
                            <w:sz w:val="18"/>
                            <w:szCs w:val="18"/>
                          </w:rPr>
                          <w:t>征信业务的开发、运营、服务 及相关业务；计算机软件及网 络技术开发、咨询，系统运行 维护；管理咨询、信息咨询、 市场调查及研究；销售计算机 </w:t>
                        </w:r>
                        <w:r>
                          <w:rPr>
                            <w:rFonts w:ascii="宋体" w:hAnsi="宋体" w:cs="宋体" w:eastAsia="宋体" w:hint="default"/>
                            <w:sz w:val="18"/>
                            <w:szCs w:val="18"/>
                          </w:rPr>
                          <w:t>软硬件。</w:t>
                        </w:r>
                      </w:p>
                    </w:tc>
                  </w:tr>
                  <w:tr>
                    <w:trPr>
                      <w:trHeight w:val="972" w:hRule="exact"/>
                    </w:trPr>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ExaDigm,Inc*8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hanging="1"/>
                          <w:jc w:val="center"/>
                          <w:rPr>
                            <w:rFonts w:ascii="宋体" w:hAnsi="宋体" w:cs="宋体" w:eastAsia="宋体" w:hint="default"/>
                            <w:sz w:val="18"/>
                            <w:szCs w:val="18"/>
                          </w:rPr>
                        </w:pPr>
                        <w:r>
                          <w:rPr>
                            <w:rFonts w:ascii="宋体" w:hAnsi="宋体" w:cs="宋体" w:eastAsia="宋体" w:hint="default"/>
                            <w:sz w:val="18"/>
                            <w:szCs w:val="18"/>
                          </w:rPr>
                          <w:t>电子产品及计算 </w:t>
                        </w:r>
                        <w:r>
                          <w:rPr>
                            <w:rFonts w:ascii="宋体" w:hAnsi="宋体" w:cs="宋体" w:eastAsia="宋体" w:hint="default"/>
                            <w:spacing w:val="-8"/>
                            <w:sz w:val="18"/>
                            <w:szCs w:val="18"/>
                          </w:rPr>
                          <w:t>机产品的开发、销</w:t>
                        </w:r>
                        <w:r>
                          <w:rPr>
                            <w:rFonts w:ascii="宋体" w:hAnsi="宋体" w:cs="宋体" w:eastAsia="宋体" w:hint="default"/>
                            <w:sz w:val="18"/>
                            <w:szCs w:val="18"/>
                          </w:rPr>
                          <w:t> 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美元</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7" w:right="-1" w:hanging="44"/>
                          <w:jc w:val="both"/>
                          <w:rPr>
                            <w:rFonts w:ascii="宋体" w:hAnsi="宋体" w:cs="宋体" w:eastAsia="宋体" w:hint="default"/>
                            <w:sz w:val="18"/>
                            <w:szCs w:val="18"/>
                          </w:rPr>
                        </w:pPr>
                        <w:r>
                          <w:rPr>
                            <w:rFonts w:ascii="宋体" w:hAnsi="宋体" w:cs="宋体" w:eastAsia="宋体" w:hint="default"/>
                            <w:spacing w:val="-5"/>
                            <w:sz w:val="18"/>
                            <w:szCs w:val="18"/>
                          </w:rPr>
                          <w:t>金融</w:t>
                        </w:r>
                        <w:r>
                          <w:rPr>
                            <w:rFonts w:ascii="Times New Roman" w:hAnsi="Times New Roman" w:cs="Times New Roman" w:eastAsia="Times New Roman" w:hint="default"/>
                            <w:spacing w:val="-5"/>
                            <w:sz w:val="18"/>
                            <w:szCs w:val="18"/>
                          </w:rPr>
                          <w:t>POS</w:t>
                        </w:r>
                        <w:r>
                          <w:rPr>
                            <w:rFonts w:ascii="宋体" w:hAnsi="宋体" w:cs="宋体" w:eastAsia="宋体" w:hint="default"/>
                            <w:spacing w:val="-5"/>
                            <w:sz w:val="18"/>
                            <w:szCs w:val="18"/>
                          </w:rPr>
                          <w:t>设备的销售、研发和技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术服务；电子支付通信服务和 增值服务的整体解决方案。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44"/>
        <w:ind w:left="512" w:right="0"/>
        <w:jc w:val="left"/>
      </w:pPr>
      <w:r>
        <w:rPr/>
        <w:t>续：</w:t>
      </w:r>
    </w:p>
    <w:p>
      <w:pPr>
        <w:spacing w:line="240" w:lineRule="auto" w:before="1"/>
        <w:rPr>
          <w:rFonts w:ascii="宋体" w:hAnsi="宋体" w:cs="宋体" w:eastAsia="宋体" w:hint="default"/>
          <w:sz w:val="11"/>
          <w:szCs w:val="11"/>
        </w:rPr>
      </w:pPr>
    </w:p>
    <w:tbl>
      <w:tblPr>
        <w:tblW w:w="0" w:type="auto"/>
        <w:jc w:val="left"/>
        <w:tblInd w:w="450" w:type="dxa"/>
        <w:tblLayout w:type="fixed"/>
        <w:tblCellMar>
          <w:top w:w="0" w:type="dxa"/>
          <w:left w:w="0" w:type="dxa"/>
          <w:bottom w:w="0" w:type="dxa"/>
          <w:right w:w="0" w:type="dxa"/>
        </w:tblCellMar>
        <w:tblLook w:val="01E0"/>
      </w:tblPr>
      <w:tblGrid>
        <w:gridCol w:w="2995"/>
        <w:gridCol w:w="979"/>
        <w:gridCol w:w="799"/>
        <w:gridCol w:w="1615"/>
        <w:gridCol w:w="2023"/>
        <w:gridCol w:w="617"/>
      </w:tblGrid>
      <w:tr>
        <w:trPr>
          <w:trHeight w:val="65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2" w:right="29" w:hanging="269"/>
              <w:jc w:val="left"/>
              <w:rPr>
                <w:rFonts w:ascii="宋体" w:hAnsi="宋体" w:cs="宋体" w:eastAsia="宋体" w:hint="default"/>
                <w:sz w:val="18"/>
                <w:szCs w:val="18"/>
              </w:rPr>
            </w:pPr>
            <w:r>
              <w:rPr>
                <w:rFonts w:ascii="宋体" w:hAnsi="宋体" w:cs="宋体" w:eastAsia="宋体" w:hint="default"/>
                <w:sz w:val="18"/>
                <w:szCs w:val="18"/>
              </w:rPr>
              <w:t>表决权比 例</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期末实际出资额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83" w:right="12" w:hanging="269"/>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22" w:right="117"/>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深圳市易联技术有限公司</w:t>
            </w:r>
            <w:r>
              <w:rPr>
                <w:rFonts w:ascii="Times New Roman" w:hAnsi="Times New Roman" w:cs="Times New Roman" w:eastAsia="Times New Roman" w:hint="default"/>
                <w:sz w:val="18"/>
                <w:szCs w:val="18"/>
              </w:rPr>
              <w:t>*1</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6"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南京市新国都技术有限公司</w:t>
            </w:r>
            <w:r>
              <w:rPr>
                <w:rFonts w:ascii="Times New Roman" w:hAnsi="Times New Roman" w:cs="Times New Roman" w:eastAsia="Times New Roman" w:hint="default"/>
                <w:sz w:val="18"/>
                <w:szCs w:val="18"/>
              </w:rPr>
              <w:t>*2</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广州市新国都信息科技有限公司</w:t>
            </w:r>
            <w:r>
              <w:rPr>
                <w:rFonts w:ascii="Times New Roman" w:hAnsi="Times New Roman" w:cs="Times New Roman" w:eastAsia="Times New Roman" w:hint="default"/>
                <w:sz w:val="18"/>
                <w:szCs w:val="18"/>
              </w:rPr>
              <w:t>*3</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6"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苏州新国都电子技术有限公司</w:t>
            </w:r>
            <w:r>
              <w:rPr>
                <w:rFonts w:ascii="Times New Roman" w:hAnsi="Times New Roman" w:cs="Times New Roman" w:eastAsia="Times New Roman" w:hint="default"/>
                <w:sz w:val="18"/>
                <w:szCs w:val="18"/>
              </w:rPr>
              <w:t>*4</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96.32%</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96.32%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39,306</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浙江中正智能科技有限公司</w:t>
            </w:r>
            <w:r>
              <w:rPr>
                <w:rFonts w:ascii="Times New Roman" w:hAnsi="Times New Roman" w:cs="Times New Roman" w:eastAsia="Times New Roman" w:hint="default"/>
                <w:sz w:val="18"/>
                <w:szCs w:val="18"/>
              </w:rPr>
              <w:t>*5</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22,680</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深圳市新国都支付技术有限公司</w:t>
            </w:r>
            <w:r>
              <w:rPr>
                <w:rFonts w:ascii="Times New Roman" w:hAnsi="Times New Roman" w:cs="Times New Roman" w:eastAsia="Times New Roman" w:hint="default"/>
                <w:sz w:val="18"/>
                <w:szCs w:val="18"/>
              </w:rPr>
              <w:t>*6</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6"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深圳市信联征信有限公司</w:t>
            </w:r>
            <w:r>
              <w:rPr>
                <w:rFonts w:ascii="Times New Roman" w:hAnsi="Times New Roman" w:cs="Times New Roman" w:eastAsia="Times New Roman" w:hint="default"/>
                <w:sz w:val="18"/>
                <w:szCs w:val="18"/>
              </w:rPr>
              <w:t>*7</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宋体" w:hAnsi="宋体" w:cs="宋体" w:eastAsia="宋体" w:hint="default"/>
                <w:sz w:val="18"/>
                <w:szCs w:val="18"/>
              </w:rPr>
              <w:t>万元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ExaDigm,Inc*8</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33,511,865.25</w:t>
            </w:r>
            <w:r>
              <w:rPr>
                <w:rFonts w:ascii="宋体" w:hAnsi="宋体" w:cs="宋体" w:eastAsia="宋体" w:hint="default"/>
                <w:spacing w:val="-1"/>
                <w:sz w:val="18"/>
                <w:szCs w:val="18"/>
              </w:rPr>
              <w:t>元</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7"/>
        <w:ind w:left="512" w:right="0"/>
        <w:jc w:val="left"/>
      </w:pPr>
      <w:r>
        <w:rPr/>
        <w:t>续：</w:t>
      </w:r>
    </w:p>
    <w:p>
      <w:pPr>
        <w:spacing w:line="240" w:lineRule="auto" w:before="1"/>
        <w:rPr>
          <w:rFonts w:ascii="宋体" w:hAnsi="宋体" w:cs="宋体" w:eastAsia="宋体" w:hint="default"/>
          <w:sz w:val="11"/>
          <w:szCs w:val="11"/>
        </w:rPr>
      </w:pPr>
    </w:p>
    <w:tbl>
      <w:tblPr>
        <w:tblW w:w="0" w:type="auto"/>
        <w:jc w:val="left"/>
        <w:tblInd w:w="580" w:type="dxa"/>
        <w:tblLayout w:type="fixed"/>
        <w:tblCellMar>
          <w:top w:w="0" w:type="dxa"/>
          <w:left w:w="0" w:type="dxa"/>
          <w:bottom w:w="0" w:type="dxa"/>
          <w:right w:w="0" w:type="dxa"/>
        </w:tblCellMar>
        <w:tblLook w:val="01E0"/>
      </w:tblPr>
      <w:tblGrid>
        <w:gridCol w:w="2554"/>
        <w:gridCol w:w="994"/>
        <w:gridCol w:w="1440"/>
        <w:gridCol w:w="1596"/>
        <w:gridCol w:w="2184"/>
      </w:tblGrid>
      <w:tr>
        <w:trPr>
          <w:trHeight w:val="159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9" w:right="30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1" w:right="67"/>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从母公司所有者权益冲减子 公司少数股东分担的本期亏 损超过少数股东在该子公司 期初所有者权益中所享有份 额后的余额</w:t>
            </w:r>
          </w:p>
        </w:tc>
      </w:tr>
      <w:tr>
        <w:trPr>
          <w:trHeight w:val="34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深圳市易联技术有限公司</w:t>
            </w:r>
            <w:r>
              <w:rPr>
                <w:rFonts w:ascii="Times New Roman" w:hAnsi="Times New Roman" w:cs="Times New Roman" w:eastAsia="Times New Roman" w:hint="default"/>
                <w:sz w:val="18"/>
                <w:szCs w:val="18"/>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南京市新国都技术有限公司</w:t>
            </w:r>
            <w:r>
              <w:rPr>
                <w:rFonts w:ascii="Times New Roman" w:hAnsi="Times New Roman" w:cs="Times New Roman" w:eastAsia="Times New Roman" w:hint="default"/>
                <w:sz w:val="18"/>
                <w:szCs w:val="18"/>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580" w:type="dxa"/>
        <w:tblLayout w:type="fixed"/>
        <w:tblCellMar>
          <w:top w:w="0" w:type="dxa"/>
          <w:left w:w="0" w:type="dxa"/>
          <w:bottom w:w="0" w:type="dxa"/>
          <w:right w:w="0" w:type="dxa"/>
        </w:tblCellMar>
        <w:tblLook w:val="01E0"/>
      </w:tblPr>
      <w:tblGrid>
        <w:gridCol w:w="2554"/>
        <w:gridCol w:w="994"/>
        <w:gridCol w:w="1440"/>
        <w:gridCol w:w="1596"/>
        <w:gridCol w:w="2184"/>
      </w:tblGrid>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pacing w:val="-4"/>
                <w:sz w:val="18"/>
              </w:rPr>
              <w:t>*3</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苏州新国都电子技术有限公司</w:t>
            </w:r>
            <w:r>
              <w:rPr>
                <w:rFonts w:ascii="Times New Roman" w:hAnsi="Times New Roman" w:cs="Times New Roman" w:eastAsia="Times New Roman" w:hint="default"/>
                <w:sz w:val="18"/>
                <w:szCs w:val="18"/>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3,834,627.90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浙江中正智能科技有限公司</w:t>
            </w:r>
            <w:r>
              <w:rPr>
                <w:rFonts w:ascii="Times New Roman" w:hAnsi="Times New Roman" w:cs="Times New Roman" w:eastAsia="Times New Roman" w:hint="default"/>
                <w:sz w:val="18"/>
                <w:szCs w:val="18"/>
              </w:rPr>
              <w:t>*5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5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pacing w:val="-4"/>
                <w:sz w:val="18"/>
              </w:rPr>
              <w:t>*6</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深圳市信联征信有限公司</w:t>
            </w:r>
            <w:r>
              <w:rPr>
                <w:rFonts w:ascii="Times New Roman" w:hAnsi="Times New Roman" w:cs="Times New Roman" w:eastAsia="Times New Roman" w:hint="default"/>
                <w:sz w:val="18"/>
                <w:szCs w:val="18"/>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ExaDigm,Inc*8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2"/>
        <w:rPr>
          <w:rFonts w:ascii="宋体" w:hAnsi="宋体" w:cs="宋体" w:eastAsia="宋体" w:hint="default"/>
          <w:sz w:val="27"/>
          <w:szCs w:val="27"/>
        </w:rPr>
      </w:pPr>
    </w:p>
    <w:p>
      <w:pPr>
        <w:pStyle w:val="BodyText"/>
        <w:spacing w:line="451" w:lineRule="auto" w:before="44"/>
        <w:ind w:right="148" w:firstLine="359"/>
        <w:jc w:val="both"/>
      </w:pPr>
      <w:r>
        <w:rPr>
          <w:rFonts w:ascii="Times New Roman" w:hAnsi="Times New Roman" w:cs="Times New Roman" w:eastAsia="Times New Roman" w:hint="default"/>
        </w:rPr>
        <w:t>*1</w:t>
      </w:r>
      <w:r>
        <w:rPr/>
        <w:t>深圳市易联技术有限公司（以下简称</w:t>
      </w:r>
      <w:r>
        <w:rPr>
          <w:rFonts w:ascii="Times New Roman" w:hAnsi="Times New Roman" w:cs="Times New Roman" w:eastAsia="Times New Roman" w:hint="default"/>
        </w:rPr>
        <w:t>“</w:t>
      </w:r>
      <w:r>
        <w:rPr/>
        <w:t>易联技术</w:t>
      </w:r>
      <w:r>
        <w:rPr>
          <w:rFonts w:ascii="Times New Roman" w:hAnsi="Times New Roman" w:cs="Times New Roman" w:eastAsia="Times New Roman" w:hint="default"/>
        </w:rPr>
        <w:t>”</w:t>
      </w:r>
      <w:r>
        <w:rPr/>
        <w:t>）原名深圳市新国都软件技术有限公司，由本公司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月出资</w:t>
      </w:r>
      <w:r>
        <w:rPr>
          <w:spacing w:val="2"/>
        </w:rPr>
        <w:t> </w:t>
      </w:r>
      <w:r>
        <w:rPr>
          <w:rFonts w:ascii="Times New Roman" w:hAnsi="Times New Roman" w:cs="Times New Roman" w:eastAsia="Times New Roman" w:hint="default"/>
        </w:rPr>
        <w:t>50.00</w:t>
      </w:r>
      <w:r>
        <w:rPr/>
        <w:t>万元设立，投资比例</w:t>
      </w:r>
      <w:r>
        <w:rPr>
          <w:rFonts w:ascii="Times New Roman" w:hAnsi="Times New Roman" w:cs="Times New Roman" w:eastAsia="Times New Roman" w:hint="default"/>
        </w:rPr>
        <w:t>100%</w:t>
      </w:r>
      <w:r>
        <w:rPr/>
        <w:t>。该出资业经深圳恒平会计师事务所深恒平所</w:t>
      </w:r>
      <w:r>
        <w:rPr>
          <w:rFonts w:ascii="Times New Roman" w:hAnsi="Times New Roman" w:cs="Times New Roman" w:eastAsia="Times New Roman" w:hint="default"/>
        </w:rPr>
        <w:t>(</w:t>
      </w:r>
      <w:r>
        <w:rPr/>
        <w:t>内</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[2007]165</w:t>
      </w:r>
      <w:r>
        <w:rPr/>
        <w:t>号验资报告验证。</w:t>
      </w:r>
    </w:p>
    <w:p>
      <w:pPr>
        <w:pStyle w:val="BodyText"/>
        <w:spacing w:line="451" w:lineRule="auto" w:before="43"/>
        <w:ind w:right="153" w:firstLine="360"/>
        <w:jc w:val="both"/>
      </w:pPr>
      <w:r>
        <w:rPr>
          <w:spacing w:val="-2"/>
        </w:rPr>
        <w:t>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日以货币资金向易联技术增资</w:t>
      </w:r>
      <w:r>
        <w:rPr>
          <w:rFonts w:ascii="Times New Roman" w:hAnsi="Times New Roman" w:cs="Times New Roman" w:eastAsia="Times New Roman" w:hint="default"/>
          <w:spacing w:val="-2"/>
        </w:rPr>
        <w:t>950.00</w:t>
      </w:r>
      <w:r>
        <w:rPr>
          <w:spacing w:val="-2"/>
        </w:rPr>
        <w:t>万元，此次增资业经深圳恒平会计师事务所深恒平所</w:t>
      </w:r>
      <w:r>
        <w:rPr>
          <w:rFonts w:ascii="Times New Roman" w:hAnsi="Times New Roman" w:cs="Times New Roman" w:eastAsia="Times New Roman" w:hint="default"/>
          <w:spacing w:val="-2"/>
        </w:rPr>
        <w:t>(</w:t>
      </w:r>
      <w:r>
        <w:rPr>
          <w:spacing w:val="-2"/>
        </w:rPr>
        <w:t>内</w:t>
      </w:r>
      <w:r>
        <w:rPr>
          <w:rFonts w:ascii="Times New Roman" w:hAnsi="Times New Roman" w:cs="Times New Roman" w:eastAsia="Times New Roman" w:hint="default"/>
          <w:spacing w:val="-2"/>
        </w:rPr>
        <w:t>)</w:t>
      </w:r>
      <w:r>
        <w:rPr>
          <w:spacing w:val="-2"/>
        </w:rPr>
        <w:t>验字</w:t>
      </w:r>
      <w:r>
        <w:rPr/>
        <w:t> </w:t>
      </w:r>
      <w:r>
        <w:rPr>
          <w:rFonts w:ascii="Times New Roman" w:hAnsi="Times New Roman" w:cs="Times New Roman" w:eastAsia="Times New Roman" w:hint="default"/>
        </w:rPr>
        <w:t>[2009]22</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日完成工商变更手续，增资完成后本公司对易联技术投资额为</w:t>
      </w:r>
      <w:r>
        <w:rPr>
          <w:rFonts w:ascii="Times New Roman" w:hAnsi="Times New Roman" w:cs="Times New Roman" w:eastAsia="Times New Roman" w:hint="default"/>
        </w:rPr>
        <w:t>1,000.00</w:t>
      </w:r>
      <w:r>
        <w:rPr/>
        <w:t>万元，持</w:t>
      </w:r>
      <w:r>
        <w:rPr>
          <w:spacing w:val="-40"/>
        </w:rPr>
        <w:t> </w:t>
      </w:r>
      <w:r>
        <w:rPr>
          <w:spacing w:val="-40"/>
        </w:rPr>
      </w:r>
      <w:r>
        <w:rPr/>
        <w:t>股比例</w:t>
      </w:r>
      <w:r>
        <w:rPr>
          <w:rFonts w:ascii="Times New Roman" w:hAnsi="Times New Roman" w:cs="Times New Roman" w:eastAsia="Times New Roman" w:hint="default"/>
        </w:rPr>
        <w:t>100%</w:t>
      </w:r>
      <w:r>
        <w:rPr/>
        <w:t>。</w:t>
      </w:r>
    </w:p>
    <w:p>
      <w:pPr>
        <w:pStyle w:val="BodyText"/>
        <w:spacing w:line="451" w:lineRule="auto" w:before="43"/>
        <w:ind w:left="153" w:right="152" w:firstLine="359"/>
        <w:jc w:val="both"/>
      </w:pP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日以货币资金向易联技术增资</w:t>
      </w:r>
      <w:r>
        <w:rPr>
          <w:rFonts w:ascii="Times New Roman" w:hAnsi="Times New Roman" w:cs="Times New Roman" w:eastAsia="Times New Roman" w:hint="default"/>
          <w:spacing w:val="-2"/>
        </w:rPr>
        <w:t>10,000.00</w:t>
      </w:r>
      <w:r>
        <w:rPr>
          <w:spacing w:val="-2"/>
        </w:rPr>
        <w:t>万元，此次增资业经立信大华会计师事务所有限公司立信大</w:t>
      </w:r>
      <w:r>
        <w:rPr/>
        <w:t> 华验字</w:t>
      </w:r>
      <w:r>
        <w:rPr>
          <w:rFonts w:ascii="Times New Roman" w:hAnsi="Times New Roman" w:cs="Times New Roman" w:eastAsia="Times New Roman" w:hint="default"/>
        </w:rPr>
        <w:t>[2011]121</w:t>
      </w:r>
      <w:r>
        <w:rPr/>
        <w:t>号验资报告验证，增资完成后本公司对易联技术投资额为</w:t>
      </w:r>
      <w:r>
        <w:rPr>
          <w:rFonts w:ascii="Times New Roman" w:hAnsi="Times New Roman" w:cs="Times New Roman" w:eastAsia="Times New Roman" w:hint="default"/>
        </w:rPr>
        <w:t>11,000.00</w:t>
      </w:r>
      <w:r>
        <w:rPr/>
        <w:t>万元，持股比例</w:t>
      </w:r>
      <w:r>
        <w:rPr>
          <w:rFonts w:ascii="Times New Roman" w:hAnsi="Times New Roman" w:cs="Times New Roman" w:eastAsia="Times New Roman" w:hint="default"/>
        </w:rPr>
        <w:t>100%</w:t>
      </w:r>
      <w:r>
        <w:rPr/>
        <w:t>。</w:t>
      </w:r>
    </w:p>
    <w:p>
      <w:pPr>
        <w:pStyle w:val="BodyText"/>
        <w:spacing w:line="240" w:lineRule="auto" w:before="43"/>
        <w:ind w:left="51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日深圳市新国都软件技术有限公司更名为深圳市易联技术有限公司，并办理工商变更登记。</w:t>
      </w:r>
    </w:p>
    <w:p>
      <w:pPr>
        <w:spacing w:line="240" w:lineRule="auto" w:before="9"/>
        <w:rPr>
          <w:rFonts w:ascii="宋体" w:hAnsi="宋体" w:cs="宋体" w:eastAsia="宋体" w:hint="default"/>
          <w:sz w:val="16"/>
          <w:szCs w:val="16"/>
        </w:rPr>
      </w:pPr>
    </w:p>
    <w:p>
      <w:pPr>
        <w:pStyle w:val="BodyText"/>
        <w:spacing w:line="451" w:lineRule="auto"/>
        <w:ind w:left="153" w:right="152" w:firstLine="360"/>
        <w:jc w:val="both"/>
      </w:pPr>
      <w:r>
        <w:rPr>
          <w:rFonts w:ascii="Times New Roman" w:hAnsi="Times New Roman" w:cs="Times New Roman" w:eastAsia="Times New Roman" w:hint="default"/>
        </w:rPr>
        <w:t>*2</w:t>
      </w:r>
      <w:r>
        <w:rPr/>
        <w:t>南京市新国都技术有限公司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南京新国都公司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日出资</w:t>
      </w:r>
      <w:r>
        <w:rPr>
          <w:rFonts w:ascii="Times New Roman" w:hAnsi="Times New Roman" w:cs="Times New Roman" w:eastAsia="Times New Roman" w:hint="default"/>
        </w:rPr>
        <w:t>300.00</w:t>
      </w:r>
      <w:r>
        <w:rPr/>
        <w:t>万元设立，投资比例</w:t>
      </w:r>
      <w:r>
        <w:rPr>
          <w:spacing w:val="2"/>
        </w:rPr>
        <w:t> </w:t>
      </w:r>
      <w:r>
        <w:rPr>
          <w:rFonts w:ascii="Times New Roman" w:hAnsi="Times New Roman" w:cs="Times New Roman" w:eastAsia="Times New Roman" w:hint="default"/>
        </w:rPr>
        <w:t>100%</w:t>
      </w:r>
      <w:r>
        <w:rPr/>
        <w:t>，该出资业经南京天正会计师事务所有限公司天正内资验</w:t>
      </w:r>
      <w:r>
        <w:rPr>
          <w:rFonts w:ascii="Times New Roman" w:hAnsi="Times New Roman" w:cs="Times New Roman" w:eastAsia="Times New Roman" w:hint="default"/>
        </w:rPr>
        <w:t>(2009)5-024</w:t>
      </w:r>
      <w:r>
        <w:rPr/>
        <w:t>号验资报告验证。</w:t>
      </w:r>
    </w:p>
    <w:p>
      <w:pPr>
        <w:pStyle w:val="BodyText"/>
        <w:spacing w:line="451" w:lineRule="auto" w:before="43"/>
        <w:ind w:right="149" w:firstLine="360"/>
        <w:jc w:val="both"/>
      </w:pP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日以货币资金向南京新国都公司增资</w:t>
      </w:r>
      <w:r>
        <w:rPr>
          <w:rFonts w:ascii="Times New Roman" w:hAnsi="Times New Roman" w:cs="Times New Roman" w:eastAsia="Times New Roman" w:hint="default"/>
        </w:rPr>
        <w:t>1,000.00</w:t>
      </w:r>
      <w:r>
        <w:rPr/>
        <w:t>万元，此次增资业经江苏鼎信会计师事务所苏鼎验</w:t>
      </w:r>
      <w:r>
        <w:rPr>
          <w:spacing w:val="2"/>
        </w:rPr>
        <w:t> </w:t>
      </w:r>
      <w:r>
        <w:rPr>
          <w:rFonts w:ascii="Times New Roman" w:hAnsi="Times New Roman" w:cs="Times New Roman" w:eastAsia="Times New Roman" w:hint="default"/>
        </w:rPr>
        <w:t>(2009)196</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日完成工商变更，此次增资完成后本公司对南京新国都公司投资额为</w:t>
      </w:r>
      <w:r>
        <w:rPr>
          <w:rFonts w:ascii="Times New Roman" w:hAnsi="Times New Roman" w:cs="Times New Roman" w:eastAsia="Times New Roman" w:hint="default"/>
        </w:rPr>
        <w:t>1,300.00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万元，持股比例</w:t>
      </w:r>
      <w:r>
        <w:rPr>
          <w:rFonts w:ascii="Times New Roman" w:hAnsi="Times New Roman" w:cs="Times New Roman" w:eastAsia="Times New Roman" w:hint="default"/>
        </w:rPr>
        <w:t>100%</w:t>
      </w:r>
      <w:r>
        <w:rPr/>
        <w:t>。</w:t>
      </w:r>
    </w:p>
    <w:p>
      <w:pPr>
        <w:pStyle w:val="BodyText"/>
        <w:spacing w:line="451" w:lineRule="auto" w:before="43"/>
        <w:ind w:left="153" w:right="150" w:firstLine="360"/>
        <w:jc w:val="both"/>
      </w:pPr>
      <w:r>
        <w:rPr>
          <w:rFonts w:ascii="Times New Roman" w:hAnsi="Times New Roman" w:cs="Times New Roman" w:eastAsia="Times New Roman" w:hint="default"/>
        </w:rPr>
        <w:t>*3</w:t>
      </w:r>
      <w:r>
        <w:rPr/>
        <w:t>广州市新国都信息科技有限公司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广州新国都公司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日出资</w:t>
      </w:r>
      <w:r>
        <w:rPr>
          <w:rFonts w:ascii="Times New Roman" w:hAnsi="Times New Roman" w:cs="Times New Roman" w:eastAsia="Times New Roman" w:hint="default"/>
        </w:rPr>
        <w:t>300.00</w:t>
      </w:r>
      <w:r>
        <w:rPr/>
        <w:t>万元设立，投资比 </w:t>
      </w:r>
      <w:r>
        <w:rPr>
          <w:spacing w:val="-1"/>
        </w:rPr>
        <w:t>例</w:t>
      </w:r>
      <w:r>
        <w:rPr>
          <w:rFonts w:ascii="Times New Roman" w:hAnsi="Times New Roman" w:cs="Times New Roman" w:eastAsia="Times New Roman" w:hint="default"/>
          <w:spacing w:val="-1"/>
        </w:rPr>
        <w:t>100%</w:t>
      </w:r>
      <w:r>
        <w:rPr>
          <w:spacing w:val="-1"/>
        </w:rPr>
        <w:t>，该出资业经广州海正会计师事务所有限公司海会验字</w:t>
      </w:r>
      <w:r>
        <w:rPr>
          <w:rFonts w:ascii="Times New Roman" w:hAnsi="Times New Roman" w:cs="Times New Roman" w:eastAsia="Times New Roman" w:hint="default"/>
          <w:spacing w:val="-1"/>
        </w:rPr>
        <w:t>(2009)</w:t>
      </w:r>
      <w:r>
        <w:rPr>
          <w:spacing w:val="-1"/>
        </w:rPr>
        <w:t>第</w:t>
      </w:r>
      <w:r>
        <w:rPr>
          <w:rFonts w:ascii="Times New Roman" w:hAnsi="Times New Roman" w:cs="Times New Roman" w:eastAsia="Times New Roman" w:hint="default"/>
          <w:spacing w:val="-1"/>
        </w:rPr>
        <w:t>X044</w:t>
      </w:r>
      <w:r>
        <w:rPr>
          <w:spacing w:val="-1"/>
        </w:rPr>
        <w:t>号验资报告验证。</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月，广州新国都公司</w:t>
      </w:r>
      <w:r>
        <w:rPr>
          <w:spacing w:val="-68"/>
        </w:rPr>
        <w:t> </w:t>
      </w:r>
      <w:r>
        <w:rPr>
          <w:spacing w:val="-68"/>
        </w:rPr>
      </w:r>
      <w:r>
        <w:rPr/>
        <w:t>已清算注销。</w:t>
      </w:r>
    </w:p>
    <w:p>
      <w:pPr>
        <w:pStyle w:val="BodyText"/>
        <w:spacing w:line="451" w:lineRule="auto" w:before="74"/>
        <w:ind w:right="148" w:firstLine="360"/>
        <w:jc w:val="both"/>
      </w:pPr>
      <w:r>
        <w:rPr>
          <w:rFonts w:ascii="Times New Roman" w:hAnsi="Times New Roman" w:cs="Times New Roman" w:eastAsia="Times New Roman" w:hint="default"/>
        </w:rPr>
        <w:t>*4</w:t>
      </w:r>
      <w:r>
        <w:rPr/>
        <w:t>苏州新国都电子技术有限公司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苏州新国都公司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日与苏州君宝投资有限公司共同</w:t>
      </w:r>
      <w:r>
        <w:rPr>
          <w:spacing w:val="2"/>
        </w:rPr>
        <w:t> </w:t>
      </w:r>
      <w:r>
        <w:rPr>
          <w:spacing w:val="-1"/>
        </w:rPr>
        <w:t>出资设立，注册资本</w:t>
      </w:r>
      <w:r>
        <w:rPr>
          <w:rFonts w:ascii="Times New Roman" w:hAnsi="Times New Roman" w:cs="Times New Roman" w:eastAsia="Times New Roman" w:hint="default"/>
          <w:spacing w:val="-1"/>
        </w:rPr>
        <w:t>15,000.00</w:t>
      </w:r>
      <w:r>
        <w:rPr>
          <w:spacing w:val="-1"/>
        </w:rPr>
        <w:t>万元，实收资本人民币</w:t>
      </w:r>
      <w:r>
        <w:rPr>
          <w:rFonts w:ascii="Times New Roman" w:hAnsi="Times New Roman" w:cs="Times New Roman" w:eastAsia="Times New Roman" w:hint="default"/>
          <w:spacing w:val="-1"/>
        </w:rPr>
        <w:t>3,000.00</w:t>
      </w:r>
      <w:r>
        <w:rPr>
          <w:spacing w:val="-1"/>
        </w:rPr>
        <w:t>万元，本公司首期出资</w:t>
      </w:r>
      <w:r>
        <w:rPr>
          <w:rFonts w:ascii="Times New Roman" w:hAnsi="Times New Roman" w:cs="Times New Roman" w:eastAsia="Times New Roman" w:hint="default"/>
          <w:spacing w:val="-1"/>
        </w:rPr>
        <w:t>2,700</w:t>
      </w:r>
      <w:r>
        <w:rPr>
          <w:spacing w:val="-1"/>
        </w:rPr>
        <w:t>万元，持股比例</w:t>
      </w:r>
      <w:r>
        <w:rPr>
          <w:rFonts w:ascii="Times New Roman" w:hAnsi="Times New Roman" w:cs="Times New Roman" w:eastAsia="Times New Roman" w:hint="default"/>
          <w:spacing w:val="-1"/>
        </w:rPr>
        <w:t>90.00%</w:t>
      </w:r>
      <w:r>
        <w:rPr>
          <w:spacing w:val="-1"/>
        </w:rPr>
        <w:t>，该出资业</w:t>
      </w:r>
      <w:r>
        <w:rPr>
          <w:spacing w:val="-88"/>
        </w:rPr>
        <w:t> </w:t>
      </w:r>
      <w:r>
        <w:rPr>
          <w:spacing w:val="-88"/>
        </w:rPr>
      </w:r>
      <w:r>
        <w:rPr>
          <w:spacing w:val="-1"/>
        </w:rPr>
        <w:t>经江苏鼎信会计师事务所苏鼎验</w:t>
      </w:r>
      <w:r>
        <w:rPr>
          <w:rFonts w:ascii="Times New Roman" w:hAnsi="Times New Roman" w:cs="Times New Roman" w:eastAsia="Times New Roman" w:hint="default"/>
          <w:spacing w:val="-1"/>
        </w:rPr>
        <w:t>(2011)303</w:t>
      </w:r>
      <w:r>
        <w:rPr>
          <w:spacing w:val="-1"/>
        </w:rPr>
        <w:t>号验资报告验证。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日，本公司第二期出资</w:t>
      </w:r>
      <w:r>
        <w:rPr>
          <w:rFonts w:ascii="Times New Roman" w:hAnsi="Times New Roman" w:cs="Times New Roman" w:eastAsia="Times New Roman" w:hint="default"/>
          <w:spacing w:val="-1"/>
        </w:rPr>
        <w:t>10,800.00</w:t>
      </w:r>
      <w:r>
        <w:rPr>
          <w:spacing w:val="-1"/>
        </w:rPr>
        <w:t>万元，累计出资为</w:t>
      </w:r>
      <w:r>
        <w:rPr>
          <w:spacing w:val="-58"/>
        </w:rPr>
        <w:t> </w:t>
      </w:r>
      <w:r>
        <w:rPr>
          <w:spacing w:val="-58"/>
        </w:rPr>
      </w:r>
      <w:r>
        <w:rPr/>
        <w:t>人民币</w:t>
      </w:r>
      <w:r>
        <w:rPr>
          <w:rFonts w:ascii="Times New Roman" w:hAnsi="Times New Roman" w:cs="Times New Roman" w:eastAsia="Times New Roman" w:hint="default"/>
        </w:rPr>
        <w:t>13,800.00</w:t>
      </w:r>
      <w:r>
        <w:rPr/>
        <w:t>万元，该出资业经昆山公信会计师事务所有限公司昆公信验字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193</w:t>
      </w:r>
      <w:r>
        <w:rPr/>
        <w:t>号验资报告验证。</w:t>
      </w:r>
    </w:p>
    <w:p>
      <w:pPr>
        <w:pStyle w:val="BodyText"/>
        <w:spacing w:line="451" w:lineRule="auto" w:before="43"/>
        <w:ind w:right="15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日苏州新国都公司股东会决议，同意公司注册资本由人民币</w:t>
      </w:r>
      <w:r>
        <w:rPr>
          <w:rFonts w:ascii="Times New Roman" w:hAnsi="Times New Roman" w:cs="Times New Roman" w:eastAsia="Times New Roman" w:hint="default"/>
        </w:rPr>
        <w:t>15,000.00</w:t>
      </w:r>
      <w:r>
        <w:rPr/>
        <w:t>万元增加到人民币</w:t>
      </w:r>
      <w:r>
        <w:rPr>
          <w:rFonts w:ascii="Times New Roman" w:hAnsi="Times New Roman" w:cs="Times New Roman" w:eastAsia="Times New Roman" w:hint="default"/>
        </w:rPr>
        <w:t>27,806.00</w:t>
      </w:r>
      <w:r>
        <w:rPr/>
        <w:t>万元，所 </w:t>
      </w:r>
      <w:r>
        <w:rPr>
          <w:spacing w:val="-2"/>
        </w:rPr>
        <w:t>增注册资本</w:t>
      </w:r>
      <w:r>
        <w:rPr>
          <w:rFonts w:ascii="Times New Roman" w:hAnsi="Times New Roman" w:cs="Times New Roman" w:eastAsia="Times New Roman" w:hint="default"/>
          <w:spacing w:val="-2"/>
        </w:rPr>
        <w:t>12,806.00</w:t>
      </w:r>
      <w:r>
        <w:rPr>
          <w:spacing w:val="-2"/>
        </w:rPr>
        <w:t>万元全部由本公司认缴，本次增资后，苏州新国都公司累计实收资本为人民币</w:t>
      </w:r>
      <w:r>
        <w:rPr>
          <w:rFonts w:ascii="Times New Roman" w:hAnsi="Times New Roman" w:cs="Times New Roman" w:eastAsia="Times New Roman" w:hint="default"/>
          <w:spacing w:val="-2"/>
        </w:rPr>
        <w:t>26,606.00</w:t>
      </w:r>
      <w:r>
        <w:rPr>
          <w:spacing w:val="-2"/>
        </w:rPr>
        <w:t>万元，其中本公</w:t>
      </w:r>
      <w:r>
        <w:rPr>
          <w:spacing w:val="-53"/>
        </w:rPr>
        <w:t> </w:t>
      </w:r>
      <w:r>
        <w:rPr>
          <w:spacing w:val="-53"/>
        </w:rPr>
      </w:r>
      <w:r>
        <w:rPr/>
        <w:t>司出资人民币</w:t>
      </w:r>
      <w:r>
        <w:rPr>
          <w:rFonts w:ascii="Times New Roman" w:hAnsi="Times New Roman" w:cs="Times New Roman" w:eastAsia="Times New Roman" w:hint="default"/>
        </w:rPr>
        <w:t>26,306.00</w:t>
      </w:r>
      <w:r>
        <w:rPr/>
        <w:t>万元，该增资业经昆山公信会计师事务所有限公司昆公信验字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314</w:t>
      </w:r>
      <w:r>
        <w:rPr/>
        <w:t>号验资报告验证。</w:t>
      </w:r>
    </w:p>
    <w:p>
      <w:pPr>
        <w:pStyle w:val="BodyText"/>
        <w:spacing w:line="240" w:lineRule="auto" w:before="4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日董事会决议，同意苏州新国都公司的注册资本由人民币</w:t>
      </w:r>
      <w:r>
        <w:rPr>
          <w:rFonts w:ascii="Times New Roman" w:hAnsi="Times New Roman" w:cs="Times New Roman" w:eastAsia="Times New Roman" w:hint="default"/>
        </w:rPr>
        <w:t>27,806</w:t>
      </w:r>
      <w:r>
        <w:rPr/>
        <w:t>万元增加到人民币</w:t>
      </w:r>
      <w:r>
        <w:rPr>
          <w:rFonts w:ascii="Times New Roman" w:hAnsi="Times New Roman" w:cs="Times New Roman" w:eastAsia="Times New Roman" w:hint="default"/>
        </w:rPr>
        <w:t>40,806</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p>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51" w:lineRule="auto" w:before="44"/>
        <w:ind w:right="0"/>
        <w:jc w:val="left"/>
      </w:pPr>
      <w:r>
        <w:rPr>
          <w:spacing w:val="-2"/>
        </w:rPr>
        <w:t>日本公司出资</w:t>
      </w:r>
      <w:r>
        <w:rPr>
          <w:rFonts w:ascii="Times New Roman" w:hAnsi="Times New Roman" w:cs="Times New Roman" w:eastAsia="Times New Roman" w:hint="default"/>
          <w:spacing w:val="-2"/>
        </w:rPr>
        <w:t>13,000</w:t>
      </w:r>
      <w:r>
        <w:rPr>
          <w:spacing w:val="-2"/>
        </w:rPr>
        <w:t>万元，该出资业经昆山公信会计师事务所有限公司昆公信验字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028</w:t>
      </w:r>
      <w:r>
        <w:rPr>
          <w:spacing w:val="-2"/>
        </w:rPr>
        <w:t>号验资报告验证，本次增资后</w:t>
      </w:r>
      <w:r>
        <w:rPr>
          <w:spacing w:val="-41"/>
        </w:rPr>
        <w:t> </w:t>
      </w:r>
      <w:r>
        <w:rPr>
          <w:spacing w:val="-41"/>
        </w:rPr>
      </w:r>
      <w:r>
        <w:rPr/>
        <w:t>苏州新国都公司累计实收资本为人民币</w:t>
      </w:r>
      <w:r>
        <w:rPr>
          <w:rFonts w:ascii="Times New Roman" w:hAnsi="Times New Roman" w:cs="Times New Roman" w:eastAsia="Times New Roman" w:hint="default"/>
        </w:rPr>
        <w:t>39,606.00</w:t>
      </w:r>
      <w:r>
        <w:rPr/>
        <w:t>万元，其中本公司出资人民币</w:t>
      </w:r>
      <w:r>
        <w:rPr>
          <w:rFonts w:ascii="Times New Roman" w:hAnsi="Times New Roman" w:cs="Times New Roman" w:eastAsia="Times New Roman" w:hint="default"/>
        </w:rPr>
        <w:t>39,306.00</w:t>
      </w:r>
      <w:r>
        <w:rPr/>
        <w:t>万元。</w:t>
      </w:r>
    </w:p>
    <w:p>
      <w:pPr>
        <w:pStyle w:val="BodyText"/>
        <w:spacing w:line="451" w:lineRule="auto" w:before="43"/>
        <w:ind w:right="150"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日与浙江中正智能科技有限公司及其全体股东签署了《股权转让协议》，本公司以</w:t>
      </w:r>
      <w:r>
        <w:rPr>
          <w:rFonts w:ascii="Times New Roman" w:hAnsi="Times New Roman" w:cs="Times New Roman" w:eastAsia="Times New Roman" w:hint="default"/>
        </w:rPr>
        <w:t>25,200</w:t>
      </w:r>
      <w:r>
        <w:rPr/>
        <w:t>万元 </w:t>
      </w:r>
      <w:r>
        <w:rPr>
          <w:spacing w:val="-1"/>
        </w:rPr>
        <w:t>的价格收购浙江中正</w:t>
      </w:r>
      <w:r>
        <w:rPr>
          <w:rFonts w:ascii="Times New Roman" w:hAnsi="Times New Roman" w:cs="Times New Roman" w:eastAsia="Times New Roman" w:hint="default"/>
          <w:spacing w:val="-1"/>
        </w:rPr>
        <w:t>100%</w:t>
      </w:r>
      <w:r>
        <w:rPr>
          <w:spacing w:val="-1"/>
        </w:rPr>
        <w:t>的股权，浙江中正于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日完成工商变更，本次收购完成后，浙江中正成为本公司的全资</w:t>
      </w:r>
      <w:r>
        <w:rPr/>
        <w:t> </w:t>
      </w:r>
      <w:r>
        <w:rPr>
          <w:spacing w:val="-2"/>
        </w:rPr>
        <w:t>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日公司召开第三届董事会第十九次会议审议通过《关于向全资子公司浙江中正智能科技有限公司增资</w:t>
      </w:r>
      <w:r>
        <w:rPr>
          <w:spacing w:val="-60"/>
        </w:rPr>
        <w:t> </w:t>
      </w:r>
      <w:r>
        <w:rPr>
          <w:spacing w:val="-60"/>
        </w:rPr>
      </w:r>
      <w:r>
        <w:rPr/>
        <w:t>的议案》，公司以自有资金方式向浙江中正增资</w:t>
      </w:r>
      <w:r>
        <w:rPr>
          <w:rFonts w:ascii="Times New Roman" w:hAnsi="Times New Roman" w:cs="Times New Roman" w:eastAsia="Times New Roman" w:hint="default"/>
        </w:rPr>
        <w:t>2,866.74</w:t>
      </w:r>
      <w:r>
        <w:rPr/>
        <w:t>万元，增资完成后，浙江中正注册资本由</w:t>
      </w:r>
      <w:r>
        <w:rPr>
          <w:rFonts w:ascii="Times New Roman" w:hAnsi="Times New Roman" w:cs="Times New Roman" w:eastAsia="Times New Roman" w:hint="default"/>
        </w:rPr>
        <w:t>3,133.26</w:t>
      </w:r>
      <w:r>
        <w:rPr/>
        <w:t>万元增为</w:t>
      </w:r>
      <w:r>
        <w:rPr>
          <w:rFonts w:ascii="Times New Roman" w:hAnsi="Times New Roman" w:cs="Times New Roman" w:eastAsia="Times New Roman" w:hint="default"/>
        </w:rPr>
        <w:t>6,000</w:t>
      </w:r>
      <w:r>
        <w:rPr/>
        <w:t>万</w:t>
      </w:r>
      <w:r>
        <w:rPr>
          <w:spacing w:val="-50"/>
        </w:rPr>
        <w:t> </w:t>
      </w:r>
      <w:r>
        <w:rPr/>
        <w:t>元。</w:t>
      </w:r>
    </w:p>
    <w:p>
      <w:pPr>
        <w:pStyle w:val="BodyText"/>
        <w:spacing w:line="451" w:lineRule="auto" w:before="74"/>
        <w:ind w:right="150" w:firstLine="359"/>
        <w:jc w:val="both"/>
      </w:pPr>
      <w:r>
        <w:rPr>
          <w:rFonts w:ascii="Times New Roman" w:hAnsi="Times New Roman" w:cs="Times New Roman" w:eastAsia="Times New Roman" w:hint="default"/>
        </w:rPr>
        <w:t>*6</w:t>
      </w:r>
      <w:r>
        <w:rPr/>
        <w:t>深圳市新国都支付技术有限公司成立于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20,000</w:t>
      </w:r>
      <w:r>
        <w:rPr/>
        <w:t>万元，实收资本</w:t>
      </w:r>
      <w:r>
        <w:rPr>
          <w:rFonts w:ascii="Times New Roman" w:hAnsi="Times New Roman" w:cs="Times New Roman" w:eastAsia="Times New Roman" w:hint="default"/>
        </w:rPr>
        <w:t>1,000</w:t>
      </w:r>
      <w:r>
        <w:rPr/>
        <w:t>万元，系由本公司出资 设立，持股比例</w:t>
      </w:r>
      <w:r>
        <w:rPr>
          <w:rFonts w:ascii="Times New Roman" w:hAnsi="Times New Roman" w:cs="Times New Roman" w:eastAsia="Times New Roman" w:hint="default"/>
        </w:rPr>
        <w:t>100%</w:t>
      </w:r>
      <w:r>
        <w:rPr/>
        <w:t>。</w:t>
      </w:r>
    </w:p>
    <w:p>
      <w:pPr>
        <w:pStyle w:val="BodyText"/>
        <w:spacing w:line="451" w:lineRule="auto" w:before="43"/>
        <w:ind w:left="153" w:right="154" w:firstLine="360"/>
        <w:jc w:val="both"/>
      </w:pPr>
      <w:r>
        <w:rPr>
          <w:rFonts w:ascii="Times New Roman" w:hAnsi="Times New Roman" w:cs="Times New Roman" w:eastAsia="Times New Roman" w:hint="default"/>
          <w:spacing w:val="-2"/>
        </w:rPr>
        <w:t>*7</w:t>
      </w:r>
      <w:r>
        <w:rPr>
          <w:spacing w:val="-2"/>
        </w:rPr>
        <w:t>深圳市信联征信有限公司成立于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日，注册资本</w:t>
      </w:r>
      <w:r>
        <w:rPr>
          <w:rFonts w:ascii="Times New Roman" w:hAnsi="Times New Roman" w:cs="Times New Roman" w:eastAsia="Times New Roman" w:hint="default"/>
          <w:spacing w:val="-2"/>
        </w:rPr>
        <w:t>6,000</w:t>
      </w:r>
      <w:r>
        <w:rPr>
          <w:spacing w:val="-2"/>
        </w:rPr>
        <w:t>万元，实收资本</w:t>
      </w:r>
      <w:r>
        <w:rPr>
          <w:rFonts w:ascii="Times New Roman" w:hAnsi="Times New Roman" w:cs="Times New Roman" w:eastAsia="Times New Roman" w:hint="default"/>
          <w:spacing w:val="-2"/>
        </w:rPr>
        <w:t>6,000</w:t>
      </w:r>
      <w:r>
        <w:rPr>
          <w:spacing w:val="-2"/>
        </w:rPr>
        <w:t>万元，系由本公司出资设立，持</w:t>
      </w:r>
      <w:r>
        <w:rPr/>
        <w:t> 股比例</w:t>
      </w:r>
      <w:r>
        <w:rPr>
          <w:rFonts w:ascii="Times New Roman" w:hAnsi="Times New Roman" w:cs="Times New Roman" w:eastAsia="Times New Roman" w:hint="default"/>
        </w:rPr>
        <w:t>100%</w:t>
      </w:r>
      <w:r>
        <w:rPr/>
        <w:t>。</w:t>
      </w:r>
    </w:p>
    <w:p>
      <w:pPr>
        <w:pStyle w:val="BodyText"/>
        <w:spacing w:line="451" w:lineRule="auto" w:before="43"/>
        <w:ind w:left="153" w:right="150" w:firstLine="36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日与</w:t>
      </w:r>
      <w:r>
        <w:rPr>
          <w:spacing w:val="-28"/>
        </w:rPr>
        <w:t> </w:t>
      </w:r>
      <w:r>
        <w:rPr>
          <w:rFonts w:ascii="Times New Roman" w:hAnsi="Times New Roman" w:cs="Times New Roman" w:eastAsia="Times New Roman" w:hint="default"/>
        </w:rPr>
        <w:t>Xinguodu</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Exadigm,</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t>及</w:t>
      </w:r>
      <w:r>
        <w:rPr>
          <w:spacing w:val="-23"/>
        </w:rPr>
        <w:t> </w:t>
      </w:r>
      <w:r>
        <w:rPr>
          <w:rFonts w:ascii="Times New Roman" w:hAnsi="Times New Roman" w:cs="Times New Roman" w:eastAsia="Times New Roman" w:hint="default"/>
        </w:rPr>
        <w:t>Exadigm,</w:t>
      </w:r>
      <w:r>
        <w:rPr>
          <w:rFonts w:ascii="Times New Roman" w:hAnsi="Times New Roman" w:cs="Times New Roman" w:eastAsia="Times New Roman" w:hint="default"/>
          <w:spacing w:val="-13"/>
        </w:rPr>
        <w:t> </w:t>
      </w:r>
      <w:r>
        <w:rPr>
          <w:rFonts w:ascii="Times New Roman" w:hAnsi="Times New Roman" w:cs="Times New Roman" w:eastAsia="Times New Roman" w:hint="default"/>
        </w:rPr>
        <w:t>Inc.</w:t>
      </w:r>
      <w:r>
        <w:rPr/>
        <w:t>的股东代表四方签署了《并购协议》，本公 </w:t>
      </w:r>
      <w:r>
        <w:rPr>
          <w:spacing w:val="-1"/>
        </w:rPr>
        <w:t>司以</w:t>
      </w:r>
      <w:r>
        <w:rPr>
          <w:rFonts w:ascii="Times New Roman" w:hAnsi="Times New Roman" w:cs="Times New Roman" w:eastAsia="Times New Roman" w:hint="default"/>
          <w:spacing w:val="-1"/>
        </w:rPr>
        <w:t>470</w:t>
      </w:r>
      <w:r>
        <w:rPr>
          <w:spacing w:val="-1"/>
        </w:rPr>
        <w:t>万美元的价格收购</w:t>
      </w:r>
      <w:r>
        <w:rPr>
          <w:rFonts w:ascii="Times New Roman" w:hAnsi="Times New Roman" w:cs="Times New Roman" w:eastAsia="Times New Roman" w:hint="default"/>
          <w:spacing w:val="-1"/>
        </w:rPr>
        <w:t>ExaDigm,Inc.</w:t>
      </w:r>
      <w:r>
        <w:rPr>
          <w:spacing w:val="-1"/>
        </w:rPr>
        <w:t>的股权，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日上述股权收购事宜已完成并取得美国特拉华州出具的收购完</w:t>
      </w:r>
      <w:r>
        <w:rPr>
          <w:spacing w:val="-47"/>
        </w:rPr>
        <w:t> </w:t>
      </w:r>
      <w:r>
        <w:rPr/>
        <w:t>成确认函，收购完成后本公司持有</w:t>
      </w:r>
      <w:r>
        <w:rPr>
          <w:rFonts w:ascii="Times New Roman" w:hAnsi="Times New Roman" w:cs="Times New Roman" w:eastAsia="Times New Roman" w:hint="default"/>
        </w:rPr>
        <w:t>ExaDigm,Inc.</w:t>
      </w:r>
      <w:r>
        <w:rPr/>
        <w:t>的</w:t>
      </w:r>
      <w:r>
        <w:rPr>
          <w:rFonts w:ascii="Times New Roman" w:hAnsi="Times New Roman" w:cs="Times New Roman" w:eastAsia="Times New Roman" w:hint="default"/>
        </w:rPr>
        <w:t>100%</w:t>
      </w:r>
      <w:r>
        <w:rPr/>
        <w:t>股权。</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148"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进行确认和计量，在此基础上，结合中国证券 </w:t>
      </w:r>
      <w:r>
        <w:rPr>
          <w:spacing w:val="-1"/>
        </w:rPr>
        <w:t>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的规定，编制财务</w:t>
      </w:r>
      <w:r>
        <w:rPr>
          <w:spacing w:val="-53"/>
        </w:rPr>
        <w:t> </w:t>
      </w:r>
      <w:r>
        <w:rPr>
          <w:spacing w:val="-53"/>
        </w:rPr>
      </w:r>
      <w:r>
        <w:rPr/>
        <w:t>报表。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50" w:firstLine="360"/>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4"/>
        <w:rPr>
          <w:rFonts w:ascii="宋体" w:hAnsi="宋体" w:cs="宋体" w:eastAsia="宋体" w:hint="default"/>
          <w:b/>
          <w:bCs/>
          <w:sz w:val="32"/>
          <w:szCs w:val="32"/>
        </w:rPr>
      </w:pPr>
    </w:p>
    <w:p>
      <w:pPr>
        <w:pStyle w:val="BodyText"/>
        <w:spacing w:line="240" w:lineRule="auto"/>
        <w:ind w:left="512" w:right="0"/>
        <w:jc w:val="left"/>
      </w:pPr>
      <w:r>
        <w:rPr/>
        <w:t>具体会计政策和会计估计提示。</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360"/>
        <w:jc w:val="left"/>
      </w:pPr>
      <w:bookmarkStart w:name="1、遵循企业会计准则的声明" w:id="162"/>
      <w:bookmarkEnd w:id="162"/>
      <w:r>
        <w:rPr/>
      </w:r>
      <w:r>
        <w:rPr>
          <w:spacing w:val="-2"/>
        </w:rPr>
        <w:t>公司所编制的财务报表符合企业会计准则的要求，真实、完整地反映了报告期公司的财务状况、经营成果、现金流量等</w:t>
      </w:r>
      <w:r>
        <w:rPr/>
        <w:t> 有关信息。</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日止为一个营业周期。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0"/>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360"/>
        <w:jc w:val="left"/>
      </w:pPr>
      <w:r>
        <w:rPr>
          <w:spacing w:val="-2"/>
        </w:rPr>
        <w:t>分步实现企业合并过程中的各项交易的条款、条件以及经济影响符合以下一种或多种情况，将多次交易事项作为一揽子</w:t>
      </w:r>
      <w:r>
        <w:rPr/>
        <w:t> 交易进行会计处理：</w:t>
      </w:r>
    </w:p>
    <w:p>
      <w:pPr>
        <w:pStyle w:val="BodyText"/>
        <w:spacing w:line="240" w:lineRule="auto" w:before="54"/>
        <w:ind w:left="512" w:right="0"/>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3.</w:t>
      </w:r>
      <w:r>
        <w:rPr/>
        <w:t>一项交易的发生取决于其他至少一项交易的发生；</w:t>
      </w:r>
    </w:p>
    <w:p>
      <w:pPr>
        <w:spacing w:line="240" w:lineRule="auto" w:before="9"/>
        <w:rPr>
          <w:rFonts w:ascii="宋体" w:hAnsi="宋体" w:cs="宋体" w:eastAsia="宋体" w:hint="default"/>
          <w:sz w:val="16"/>
          <w:szCs w:val="16"/>
        </w:rPr>
      </w:pPr>
    </w:p>
    <w:p>
      <w:pPr>
        <w:pStyle w:val="BodyText"/>
        <w:spacing w:line="451" w:lineRule="auto"/>
        <w:ind w:left="512" w:right="3879"/>
        <w:jc w:val="left"/>
      </w:pPr>
      <w:r>
        <w:rPr>
          <w:rFonts w:ascii="Times New Roman" w:hAnsi="Times New Roman" w:cs="Times New Roman" w:eastAsia="Times New Roman" w:hint="default"/>
        </w:rPr>
        <w:t>4.</w:t>
      </w:r>
      <w:r>
        <w:rPr/>
        <w:t>一项交易单独看是不经济的，但是和其他交易一并考虑时是经济的。 同一控制下的企业合并：</w:t>
      </w:r>
    </w:p>
    <w:p>
      <w:pPr>
        <w:pStyle w:val="BodyText"/>
        <w:spacing w:line="477" w:lineRule="auto" w:before="74"/>
        <w:ind w:right="150" w:firstLine="360"/>
        <w:jc w:val="both"/>
      </w:pPr>
      <w:r>
        <w:rPr>
          <w:spacing w:val="-2"/>
        </w:rPr>
        <w:t>本公司在企业合并中取得的资产和负债，按照合并日在被合并方资产、负债（包括最终控制方收购被合并方而形成的商</w:t>
      </w:r>
      <w:r>
        <w:rPr/>
        <w:t> </w:t>
      </w: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54"/>
        <w:ind w:left="512" w:right="0"/>
        <w:jc w:val="left"/>
      </w:pPr>
      <w:r>
        <w:rPr/>
        <w:t>如果存在或有对价并需要确认预计负债或资产，该预计负债或资产金额与后续或有对价结算金额的差额，调整资本公积</w:t>
      </w:r>
    </w:p>
    <w:p>
      <w:pPr>
        <w:spacing w:line="240" w:lineRule="auto" w:before="10"/>
        <w:rPr>
          <w:rFonts w:ascii="宋体" w:hAnsi="宋体" w:cs="宋体" w:eastAsia="宋体" w:hint="default"/>
          <w:sz w:val="17"/>
          <w:szCs w:val="17"/>
        </w:rPr>
      </w:pPr>
    </w:p>
    <w:p>
      <w:pPr>
        <w:pStyle w:val="BodyText"/>
        <w:spacing w:line="477" w:lineRule="auto"/>
        <w:ind w:left="512" w:right="0"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477" w:lineRule="auto" w:before="54"/>
        <w:ind w:right="0"/>
        <w:jc w:val="left"/>
      </w:pP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p>
    <w:p>
      <w:pPr>
        <w:spacing w:after="0" w:line="47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04"/>
        <w:jc w:val="both"/>
      </w:pP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477" w:lineRule="auto" w:before="54"/>
        <w:ind w:left="512" w:right="94"/>
        <w:jc w:val="left"/>
      </w:pPr>
      <w:r>
        <w:rPr/>
        <w:t>非同一控制下的企业合并： </w:t>
      </w:r>
      <w:r>
        <w:rPr>
          <w:spacing w:val="-4"/>
        </w:rPr>
        <w:t>本公司在购买日对作为企业合并对价付出的资产、发生或承担的负债按照公允价值计量，公允价值与其账面价值的差额，</w:t>
      </w:r>
    </w:p>
    <w:p>
      <w:pPr>
        <w:pStyle w:val="BodyText"/>
        <w:spacing w:line="477" w:lineRule="auto" w:before="54"/>
        <w:ind w:left="512" w:right="94" w:hanging="360"/>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477" w:lineRule="auto" w:before="54"/>
        <w:ind w:left="512" w:right="94" w:hanging="360"/>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477" w:lineRule="auto" w:before="54"/>
        <w:ind w:right="190"/>
        <w:jc w:val="both"/>
      </w:pP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477" w:lineRule="auto" w:before="54"/>
        <w:ind w:left="512" w:right="94"/>
        <w:jc w:val="left"/>
      </w:pP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54"/>
        <w:ind w:right="0"/>
        <w:jc w:val="both"/>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both"/>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2" w:right="94"/>
        <w:jc w:val="left"/>
      </w:pPr>
      <w:r>
        <w:rPr/>
        <w:t>合并范围： </w:t>
      </w:r>
      <w:r>
        <w:rPr>
          <w:spacing w:val="-2"/>
        </w:rPr>
        <w:t>本公司以自身和各子公司的财务报表为基础，根据其他有关资料，编制合并财务报表。本公司编制合并财务报表，将整</w:t>
      </w:r>
    </w:p>
    <w:p>
      <w:pPr>
        <w:pStyle w:val="BodyText"/>
        <w:spacing w:line="477" w:lineRule="auto" w:before="54"/>
        <w:ind w:right="190"/>
        <w:jc w:val="both"/>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477" w:lineRule="auto" w:before="54"/>
        <w:ind w:left="512" w:right="94"/>
        <w:jc w:val="left"/>
      </w:pPr>
      <w:r>
        <w:rPr/>
        <w:t>合并程序： </w:t>
      </w:r>
      <w:r>
        <w:rPr>
          <w:spacing w:val="-2"/>
        </w:rPr>
        <w:t>本公司以自身和各子公司的财务报表为基础，根据其他有关资料，编制合并财务报表。本公司编制合并财务报表，将整</w:t>
      </w:r>
    </w:p>
    <w:p>
      <w:pPr>
        <w:pStyle w:val="BodyText"/>
        <w:spacing w:line="477" w:lineRule="auto" w:before="54"/>
        <w:ind w:right="190"/>
        <w:jc w:val="both"/>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477" w:lineRule="auto" w:before="54"/>
        <w:ind w:right="94" w:firstLine="360"/>
        <w:jc w:val="left"/>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50"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477" w:lineRule="auto" w:before="54"/>
        <w:ind w:right="153"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477" w:lineRule="auto" w:before="54"/>
        <w:ind w:right="15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463" w:lineRule="auto" w:before="54"/>
        <w:ind w:left="512" w:right="0"/>
        <w:jc w:val="left"/>
      </w:pPr>
      <w:r>
        <w:rPr/>
        <w:t>对于非同一控制下企业合并取得的子公司，以购买日可辨认净资产公允价值为基础对其财务报表进行调整。 </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477" w:lineRule="auto" w:before="65"/>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477" w:lineRule="auto" w:before="54"/>
        <w:ind w:right="153"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477" w:lineRule="auto" w:before="54"/>
        <w:ind w:right="15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477" w:lineRule="auto" w:before="54"/>
        <w:ind w:right="153"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4"/>
        <w:ind w:left="512" w:right="0"/>
        <w:jc w:val="left"/>
      </w:pPr>
      <w:r>
        <w:rPr>
          <w:rFonts w:ascii="Times New Roman" w:hAnsi="Times New Roman" w:cs="Times New Roman" w:eastAsia="Times New Roman" w:hint="default"/>
        </w:rPr>
        <w:t>2.</w:t>
      </w:r>
      <w:r>
        <w:rPr/>
        <w:t>处置子公司业务</w:t>
      </w:r>
    </w:p>
    <w:p>
      <w:pPr>
        <w:spacing w:line="240" w:lineRule="auto" w:before="9"/>
        <w:rPr>
          <w:rFonts w:ascii="宋体" w:hAnsi="宋体" w:cs="宋体" w:eastAsia="宋体" w:hint="default"/>
          <w:sz w:val="16"/>
          <w:szCs w:val="16"/>
        </w:rPr>
      </w:pPr>
    </w:p>
    <w:p>
      <w:pPr>
        <w:pStyle w:val="BodyText"/>
        <w:spacing w:line="451" w:lineRule="auto"/>
        <w:ind w:left="512" w:right="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477" w:lineRule="auto" w:before="74"/>
        <w:ind w:left="512"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spacing w:after="0" w:line="47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451" w:lineRule="auto" w:before="54"/>
        <w:ind w:left="512" w:right="94"/>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458" w:lineRule="auto" w:before="74"/>
        <w:ind w:left="512" w:right="2614"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477" w:lineRule="auto" w:before="37"/>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477" w:lineRule="auto" w:before="54"/>
        <w:ind w:right="193"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451" w:lineRule="auto" w:before="54"/>
        <w:ind w:left="512" w:right="94"/>
        <w:jc w:val="left"/>
      </w:pP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477" w:lineRule="auto" w:before="74"/>
        <w:ind w:right="94"/>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451" w:lineRule="auto" w:before="54"/>
        <w:ind w:left="512" w:right="94"/>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477" w:lineRule="auto" w:before="74"/>
        <w:ind w:right="94"/>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2" w:right="94"/>
        <w:jc w:val="left"/>
      </w:pPr>
      <w:r>
        <w:rPr/>
        <w:t>合营安排的分类： </w:t>
      </w:r>
      <w:r>
        <w:rPr>
          <w:spacing w:val="-2"/>
        </w:rPr>
        <w:t>本公司根据合营安排的结构、法律形式以及合营安排中约定的条款、其他相关事实和情况等因素，将合营安排分为共同</w:t>
      </w:r>
    </w:p>
    <w:p>
      <w:pPr>
        <w:pStyle w:val="BodyText"/>
        <w:spacing w:line="477" w:lineRule="auto" w:before="54"/>
        <w:ind w:left="512" w:right="94" w:hanging="360"/>
        <w:jc w:val="left"/>
      </w:pPr>
      <w:r>
        <w:rPr/>
        <w:t>经营和合营企业。 </w:t>
      </w:r>
      <w:r>
        <w:rPr>
          <w:spacing w:val="-2"/>
        </w:rPr>
        <w:t>未通过单独主体达成的合营安排，划分为共同经营；通过单独主体达成的合营安排，通常划分为合营企业；但有确凿证</w:t>
      </w:r>
    </w:p>
    <w:p>
      <w:pPr>
        <w:spacing w:after="0" w:line="477" w:lineRule="auto"/>
        <w:jc w:val="left"/>
        <w:sectPr>
          <w:footerReference w:type="default" r:id="rId28"/>
          <w:pgSz w:w="11910" w:h="16840"/>
          <w:pgMar w:footer="982" w:header="745" w:top="1060" w:bottom="1180" w:left="980" w:right="940"/>
          <w:pgNumType w:start="11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据表明满足下列任一条件并且符合相关法律法规规定的合营安排划分为共同经营：</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1.</w:t>
      </w:r>
      <w:r>
        <w:rPr/>
        <w:t>合营安排的法律形式表明，合营方对该安排中的相关资产和负债分别享有权利和承担义务。</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2.</w:t>
      </w:r>
      <w:r>
        <w:rPr/>
        <w:t>合营安排的合同条款约定，合营方对该安排中的相关资产和负债分别享有权利和承担义务。</w:t>
      </w:r>
    </w:p>
    <w:p>
      <w:pPr>
        <w:spacing w:line="240" w:lineRule="auto" w:before="9"/>
        <w:rPr>
          <w:rFonts w:ascii="宋体" w:hAnsi="宋体" w:cs="宋体" w:eastAsia="宋体" w:hint="default"/>
          <w:sz w:val="16"/>
          <w:szCs w:val="16"/>
        </w:rPr>
      </w:pPr>
    </w:p>
    <w:p>
      <w:pPr>
        <w:pStyle w:val="BodyText"/>
        <w:spacing w:line="451" w:lineRule="auto"/>
        <w:ind w:right="152" w:firstLine="360"/>
        <w:jc w:val="left"/>
      </w:pPr>
      <w:r>
        <w:rPr>
          <w:rFonts w:ascii="Times New Roman" w:hAnsi="Times New Roman" w:cs="Times New Roman" w:eastAsia="Times New Roman" w:hint="default"/>
          <w:spacing w:val="-1"/>
        </w:rPr>
        <w:t>3.</w:t>
      </w:r>
      <w:r>
        <w:rPr>
          <w:spacing w:val="-1"/>
        </w:rPr>
        <w:t>其他相关事实和情况表明，合营方对该安排中的相关资产和负债分别享有权利和承担义务，如合营方享有与合营安排</w:t>
      </w:r>
      <w:r>
        <w:rPr/>
        <w:t> 相关的几乎所有产出，并且该安排中负债的清偿持续依赖于合营方的支持。</w:t>
      </w:r>
    </w:p>
    <w:p>
      <w:pPr>
        <w:pStyle w:val="BodyText"/>
        <w:spacing w:line="477" w:lineRule="auto" w:before="74"/>
        <w:ind w:left="512" w:right="774"/>
        <w:jc w:val="left"/>
      </w:pPr>
      <w:r>
        <w:rPr/>
        <w:t>共同经营会计处理方法： 本公司确认共同经营中利益份额中与本公司相关的下列项目，并按照相关企业会计准则的规定进行会计处理：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512" w:right="0"/>
        <w:jc w:val="left"/>
      </w:pPr>
      <w:r>
        <w:rPr>
          <w:rFonts w:ascii="Times New Roman" w:hAnsi="Times New Roman" w:cs="Times New Roman" w:eastAsia="Times New Roman" w:hint="default"/>
        </w:rPr>
        <w:t>2.</w:t>
      </w:r>
      <w:r>
        <w:rPr/>
        <w:t>确认单独所承担的负债，以及按其份额确认共同承担的负债；</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3.</w:t>
      </w:r>
      <w:r>
        <w:rPr/>
        <w:t>确认出售其享有的共同经营产出份额所产生的收入；</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4.</w:t>
      </w:r>
      <w:r>
        <w:rPr/>
        <w:t>按其份额确认共同经营因出售产出所产生的收入；</w:t>
      </w:r>
    </w:p>
    <w:p>
      <w:pPr>
        <w:spacing w:line="240" w:lineRule="auto" w:before="9"/>
        <w:rPr>
          <w:rFonts w:ascii="宋体" w:hAnsi="宋体" w:cs="宋体" w:eastAsia="宋体" w:hint="default"/>
          <w:sz w:val="16"/>
          <w:szCs w:val="16"/>
        </w:rPr>
      </w:pPr>
    </w:p>
    <w:p>
      <w:pPr>
        <w:pStyle w:val="BodyText"/>
        <w:spacing w:line="451" w:lineRule="auto"/>
        <w:ind w:left="512" w:right="0"/>
        <w:jc w:val="left"/>
      </w:pP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451" w:lineRule="auto" w:before="74"/>
        <w:ind w:right="14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4"/>
        </w:rPr>
        <w:t> </w:t>
      </w:r>
      <w:r>
        <w:rPr/>
        <w:t>等规定的资产减值损失的，本公司全额确认该损失。</w:t>
      </w:r>
    </w:p>
    <w:p>
      <w:pPr>
        <w:pStyle w:val="BodyText"/>
        <w:spacing w:line="463" w:lineRule="auto" w:before="74"/>
        <w:ind w:right="153"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w:t>
      </w:r>
      <w:r>
        <w:rPr>
          <w:spacing w:val="-84"/>
        </w:rPr>
        <w:t> </w:t>
      </w:r>
      <w:r>
        <w:rPr>
          <w:spacing w:val="-84"/>
        </w:rPr>
      </w:r>
      <w:r>
        <w:rPr/>
        <w:t>的，本公司按承担的份额确认该部分损失。</w:t>
      </w:r>
    </w:p>
    <w:p>
      <w:pPr>
        <w:pStyle w:val="BodyText"/>
        <w:spacing w:line="477" w:lineRule="auto" w:before="65"/>
        <w:ind w:right="0" w:firstLine="360"/>
        <w:jc w:val="left"/>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360"/>
        <w:jc w:val="left"/>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2" w:right="2214"/>
        <w:jc w:val="left"/>
      </w:pPr>
      <w:r>
        <w:rPr>
          <w:rFonts w:ascii="Times New Roman" w:hAnsi="Times New Roman" w:cs="Times New Roman" w:eastAsia="Times New Roman" w:hint="default"/>
        </w:rPr>
        <w:t>1.</w:t>
      </w:r>
      <w:r>
        <w:rPr/>
        <w:t>外币业务 外币业务交易在初始确认时，采用交易发生日的即期汇率作为折算汇率折合成人民币记账。</w:t>
      </w:r>
    </w:p>
    <w:p>
      <w:pPr>
        <w:pStyle w:val="BodyText"/>
        <w:spacing w:line="477" w:lineRule="auto" w:before="74"/>
        <w:ind w:right="0" w:firstLine="360"/>
        <w:jc w:val="left"/>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p>
    <w:p>
      <w:pPr>
        <w:spacing w:after="0" w:line="477" w:lineRule="auto"/>
        <w:jc w:val="left"/>
        <w:sectPr>
          <w:footerReference w:type="default" r:id="rId29"/>
          <w:pgSz w:w="11910" w:h="16840"/>
          <w:pgMar w:footer="982" w:header="745" w:top="1060" w:bottom="1180" w:left="980" w:right="980"/>
          <w:pgNumType w:start="11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0" w:hanging="360"/>
        <w:jc w:val="left"/>
      </w:pPr>
      <w:r>
        <w:rPr/>
        <w:t>币性项目，仍采用交易发生日的即期汇率折算，不改变其记账本位币金额。 </w:t>
      </w:r>
      <w:r>
        <w:rPr>
          <w:spacing w:val="-2"/>
        </w:rPr>
        <w:t>以公允价值计量的外币非货币性项目，采用公允价值确定日的即期汇率折算，由此产生的汇兑差额作为公允价值变动损</w:t>
      </w:r>
    </w:p>
    <w:p>
      <w:pPr>
        <w:pStyle w:val="BodyText"/>
        <w:spacing w:line="240" w:lineRule="auto" w:before="54"/>
        <w:ind w:right="0"/>
        <w:jc w:val="left"/>
      </w:pPr>
      <w:r>
        <w:rPr/>
        <w:t>益计入当期损益。如属于可供出售外币非货币性项目的，形成的汇兑差额计入其他综合收益。</w:t>
      </w:r>
    </w:p>
    <w:p>
      <w:pPr>
        <w:spacing w:line="240" w:lineRule="auto" w:before="10"/>
        <w:rPr>
          <w:rFonts w:ascii="宋体" w:hAnsi="宋体" w:cs="宋体" w:eastAsia="宋体" w:hint="default"/>
          <w:sz w:val="17"/>
          <w:szCs w:val="17"/>
        </w:rPr>
      </w:pPr>
    </w:p>
    <w:p>
      <w:pPr>
        <w:pStyle w:val="BodyText"/>
        <w:spacing w:line="451" w:lineRule="auto"/>
        <w:ind w:left="512" w:right="0"/>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477" w:lineRule="auto" w:before="43"/>
        <w:ind w:right="0"/>
        <w:jc w:val="left"/>
      </w:pP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务报表折算差额计入其他综合收益。</w:t>
      </w:r>
    </w:p>
    <w:p>
      <w:pPr>
        <w:pStyle w:val="BodyText"/>
        <w:spacing w:line="477" w:lineRule="auto" w:before="54"/>
        <w:ind w:right="15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3"/>
        </w:rPr>
        <w:t> </w:t>
      </w:r>
      <w:r>
        <w:rPr>
          <w:spacing w:val="-63"/>
        </w:rPr>
      </w:r>
      <w:r>
        <w:rPr/>
        <w:t>或合营企业的部分股权时，与该境外经营相关的外币报表折算差额，按处置该境外经营的比例转入处置当期损益。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2" w:right="5634"/>
        <w:jc w:val="left"/>
      </w:pPr>
      <w:r>
        <w:rPr/>
        <w:t>金融工具包括金融资产、金融负债和权益工具。 一．金融工具的分类</w:t>
      </w:r>
    </w:p>
    <w:p>
      <w:pPr>
        <w:pStyle w:val="BodyText"/>
        <w:spacing w:line="475" w:lineRule="auto" w:before="54"/>
        <w:ind w:right="152" w:firstLine="360"/>
        <w:jc w:val="both"/>
      </w:pPr>
      <w:r>
        <w:rPr>
          <w:spacing w:val="-2"/>
        </w:rPr>
        <w:t>管理层根据所发行金融工具的合同条款及其所反映的经济实质而非仅以法律形式，结合取得持有金融资产和承担金融负</w:t>
      </w:r>
      <w:r>
        <w:rPr/>
        <w:t> </w:t>
      </w:r>
      <w:r>
        <w:rPr>
          <w:spacing w:val="-2"/>
        </w:rPr>
        <w:t>债的目的，将金融资产和金融负债分为不同类别：以公允价值计量且其变动计入当期损益的金融资产（或金融负债）；持有</w:t>
      </w:r>
      <w:r>
        <w:rPr>
          <w:spacing w:val="-65"/>
        </w:rPr>
        <w:t> </w:t>
      </w:r>
      <w:r>
        <w:rPr>
          <w:spacing w:val="-65"/>
        </w:rPr>
      </w:r>
      <w:r>
        <w:rPr/>
        <w:t>至到期投资；应收款项；可供出售金融资产；其他金融负债等。</w:t>
      </w:r>
    </w:p>
    <w:p>
      <w:pPr>
        <w:pStyle w:val="BodyText"/>
        <w:spacing w:line="240" w:lineRule="auto" w:before="56"/>
        <w:ind w:left="512" w:right="0"/>
        <w:jc w:val="left"/>
      </w:pPr>
      <w:r>
        <w:rPr/>
        <w:t>二．金融工具的确认依据和计量方法</w:t>
      </w:r>
    </w:p>
    <w:p>
      <w:pPr>
        <w:spacing w:line="240" w:lineRule="auto" w:before="10"/>
        <w:rPr>
          <w:rFonts w:ascii="宋体" w:hAnsi="宋体" w:cs="宋体" w:eastAsia="宋体" w:hint="default"/>
          <w:sz w:val="17"/>
          <w:szCs w:val="17"/>
        </w:rPr>
      </w:pPr>
    </w:p>
    <w:p>
      <w:pPr>
        <w:pStyle w:val="BodyText"/>
        <w:spacing w:line="451" w:lineRule="auto"/>
        <w:ind w:left="512" w:right="0"/>
        <w:jc w:val="left"/>
      </w:pP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477" w:lineRule="auto" w:before="74"/>
        <w:ind w:left="512" w:right="3474"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451" w:lineRule="auto" w:before="21"/>
        <w:ind w:right="153" w:firstLine="36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451" w:lineRule="auto" w:before="74"/>
        <w:ind w:right="153" w:firstLine="360"/>
        <w:jc w:val="both"/>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477" w:lineRule="auto" w:before="74"/>
        <w:ind w:right="153" w:firstLine="360"/>
        <w:jc w:val="both"/>
      </w:pPr>
      <w:r>
        <w:rPr>
          <w:spacing w:val="-2"/>
        </w:rPr>
        <w:t>只有符合以下条件之一，金融资产或金融负债才可在初始计量时指定为以公允价值计量且其变动计入损益的金融资产或</w:t>
      </w:r>
      <w:r>
        <w:rPr/>
        <w:t> 金融负债：</w:t>
      </w:r>
    </w:p>
    <w:p>
      <w:pPr>
        <w:spacing w:after="0" w:line="477" w:lineRule="auto"/>
        <w:jc w:val="both"/>
        <w:sectPr>
          <w:footerReference w:type="default" r:id="rId30"/>
          <w:pgSz w:w="11910" w:h="16840"/>
          <w:pgMar w:footer="982" w:header="745" w:top="1060" w:bottom="1180" w:left="980" w:right="980"/>
          <w:pgNumType w:start="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84" w:firstLine="36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451" w:lineRule="auto" w:before="74"/>
        <w:ind w:right="184" w:firstLine="36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451" w:lineRule="auto" w:before="74"/>
        <w:ind w:right="184" w:firstLine="36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451" w:lineRule="auto" w:before="74"/>
        <w:ind w:left="512" w:right="94"/>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477" w:lineRule="auto" w:before="74"/>
        <w:ind w:right="190"/>
        <w:jc w:val="both"/>
      </w:pPr>
      <w:r>
        <w:rPr>
          <w:spacing w:val="-2"/>
        </w:rPr>
        <w:t>的现金股利或已到付息期但尚未领取的债券利息）作为初始确认金额，相关的交易费用计入当期损益。持有期间将取得的利</w:t>
      </w:r>
      <w:r>
        <w:rPr>
          <w:spacing w:val="-63"/>
        </w:rPr>
        <w:t> </w:t>
      </w:r>
      <w:r>
        <w:rPr>
          <w:spacing w:val="-63"/>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451" w:lineRule="auto" w:before="54"/>
        <w:ind w:left="512" w:right="94"/>
        <w:jc w:val="left"/>
      </w:pPr>
      <w:r>
        <w:rPr>
          <w:rFonts w:ascii="Times New Roman" w:hAnsi="Times New Roman" w:cs="Times New Roman" w:eastAsia="Times New Roman"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477" w:lineRule="auto" w:before="74"/>
        <w:ind w:right="193"/>
        <w:jc w:val="both"/>
      </w:pPr>
      <w:r>
        <w:rPr>
          <w:spacing w:val="-2"/>
        </w:rPr>
        <w:t>债权，包括应收账款、其他应收款、应收票据、预付款项等，以向购货方应收的合同或协议价款作为初始确认金额；具有融</w:t>
      </w:r>
      <w:r>
        <w:rPr>
          <w:spacing w:val="-68"/>
        </w:rPr>
        <w:t> </w:t>
      </w:r>
      <w:r>
        <w:rPr>
          <w:spacing w:val="-68"/>
        </w:rPr>
      </w:r>
      <w:r>
        <w:rPr/>
        <w:t>资性质的，按其现值进行初始确认。</w:t>
      </w:r>
    </w:p>
    <w:p>
      <w:pPr>
        <w:pStyle w:val="BodyText"/>
        <w:spacing w:line="240" w:lineRule="auto" w:before="54"/>
        <w:ind w:left="512" w:right="94"/>
        <w:jc w:val="left"/>
      </w:pPr>
      <w:r>
        <w:rPr/>
        <w:t>收回或处置时，将取得的价款与该应收款项账面价值之间的差额计入当期损益。</w:t>
      </w:r>
    </w:p>
    <w:p>
      <w:pPr>
        <w:spacing w:line="240" w:lineRule="auto" w:before="10"/>
        <w:rPr>
          <w:rFonts w:ascii="宋体" w:hAnsi="宋体" w:cs="宋体" w:eastAsia="宋体" w:hint="default"/>
          <w:sz w:val="17"/>
          <w:szCs w:val="17"/>
        </w:rPr>
      </w:pPr>
    </w:p>
    <w:p>
      <w:pPr>
        <w:pStyle w:val="BodyText"/>
        <w:spacing w:line="463" w:lineRule="auto"/>
        <w:ind w:left="512" w:right="94"/>
        <w:jc w:val="left"/>
      </w:pP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spacing w:val="-52"/>
        </w:rPr>
        <w:t> </w:t>
      </w:r>
      <w:r>
        <w:rPr>
          <w:spacing w:val="-52"/>
        </w:rPr>
      </w:r>
      <w:r>
        <w:rPr>
          <w:spacing w:val="-2"/>
        </w:rPr>
        <w:t>本公司对持有至到期投资，在取得时按公允价值（扣除已到付息期但尚未领取的债券利息）和相关交易费用之和作为初</w:t>
      </w:r>
    </w:p>
    <w:p>
      <w:pPr>
        <w:pStyle w:val="BodyText"/>
        <w:spacing w:line="477" w:lineRule="auto" w:before="65"/>
        <w:ind w:right="190"/>
        <w:jc w:val="both"/>
      </w:pPr>
      <w:r>
        <w:rPr>
          <w:spacing w:val="-2"/>
        </w:rPr>
        <w:t>始确认金额。持有期间按照摊余成本和实际利率计算确认利息收入，计入投资收益。实际利率在取得时确定，在该预期存续</w:t>
      </w:r>
      <w:r>
        <w:rPr>
          <w:spacing w:val="-64"/>
        </w:rPr>
        <w:t> </w:t>
      </w:r>
      <w:r>
        <w:rPr>
          <w:spacing w:val="-64"/>
        </w:rPr>
      </w:r>
      <w:r>
        <w:rPr/>
        <w:t>期间或适用的更短期间内保持不变。处置时，将所取得价款与该投资账面价值之间的差额计入投资收益。</w:t>
      </w:r>
    </w:p>
    <w:p>
      <w:pPr>
        <w:pStyle w:val="BodyText"/>
        <w:spacing w:line="477" w:lineRule="auto" w:before="54"/>
        <w:ind w:right="193"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451" w:lineRule="auto" w:before="54"/>
        <w:ind w:right="94"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w:t>
      </w:r>
      <w:r>
        <w:rPr>
          <w:spacing w:val="2"/>
        </w:rPr>
        <w:t> </w:t>
      </w:r>
      <w:r>
        <w:rPr/>
        <w:t>没有显著影响。</w:t>
      </w:r>
    </w:p>
    <w:p>
      <w:pPr>
        <w:pStyle w:val="BodyText"/>
        <w:spacing w:line="240" w:lineRule="auto" w:before="74"/>
        <w:ind w:left="512" w:right="94"/>
        <w:jc w:val="left"/>
      </w:pPr>
      <w:r>
        <w:rPr>
          <w:rFonts w:ascii="Times New Roman" w:hAnsi="Times New Roman" w:cs="Times New Roman" w:eastAsia="Times New Roman" w:hint="default"/>
        </w:rPr>
        <w:t>2</w:t>
      </w:r>
      <w:r>
        <w:rPr/>
        <w:t>）根据合同约定的偿付方式，企业已收回几乎所有初始本金。</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jc w:val="left"/>
      </w:pPr>
      <w:r>
        <w:rPr/>
        <w:t>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477" w:lineRule="auto" w:before="54"/>
        <w:ind w:right="190"/>
        <w:jc w:val="both"/>
      </w:pPr>
      <w:r>
        <w:rPr>
          <w:spacing w:val="-2"/>
        </w:rPr>
        <w:t>利息）和相关交易费用之和作为初始确认金额。持有期间将取得的利息或现金股利确认为投资收益。可供出售金融资产的公</w:t>
      </w:r>
      <w:r>
        <w:rPr>
          <w:spacing w:val="-63"/>
        </w:rPr>
        <w:t> </w:t>
      </w:r>
      <w:r>
        <w:rPr>
          <w:spacing w:val="-63"/>
        </w:rPr>
      </w:r>
      <w:r>
        <w:rPr>
          <w:spacing w:val="-2"/>
        </w:rPr>
        <w:t>允价值变动形成的利得或损失，除减值损失和外币货币性金融资产形成的汇兑差额外，直接计入其他综合收益。处置可供出</w:t>
      </w:r>
      <w:r>
        <w:rPr>
          <w:spacing w:val="-63"/>
        </w:rPr>
        <w:t> </w:t>
      </w:r>
      <w:r>
        <w:rPr>
          <w:spacing w:val="-63"/>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477" w:lineRule="auto" w:before="54"/>
        <w:ind w:right="193" w:firstLine="360"/>
        <w:jc w:val="both"/>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463" w:lineRule="auto" w:before="54"/>
        <w:ind w:left="512" w:right="2794"/>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 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金融资产转移的确认依据和计量方法</w:t>
      </w:r>
    </w:p>
    <w:p>
      <w:pPr>
        <w:pStyle w:val="BodyText"/>
        <w:spacing w:line="477" w:lineRule="auto" w:before="33"/>
        <w:ind w:right="190" w:firstLine="360"/>
        <w:jc w:val="both"/>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477" w:lineRule="auto" w:before="54"/>
        <w:ind w:right="193" w:firstLine="360"/>
        <w:jc w:val="both"/>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4"/>
        <w:ind w:left="512" w:right="94"/>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451" w:lineRule="auto"/>
        <w:ind w:right="193" w:firstLine="36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477" w:lineRule="auto" w:before="74"/>
        <w:ind w:right="111"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left="512" w:right="94"/>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451" w:lineRule="auto"/>
        <w:ind w:right="193" w:firstLine="36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477" w:lineRule="auto" w:before="74"/>
        <w:ind w:left="512" w:right="1714"/>
        <w:jc w:val="left"/>
      </w:pPr>
      <w:r>
        <w:rPr/>
        <w:t>金融资产转移不满足终止确认条件的，继续确认该金融资产，所收到的对价确认为一项金融负债。 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金融负债终止确认条件</w:t>
      </w:r>
    </w:p>
    <w:p>
      <w:pPr>
        <w:pStyle w:val="BodyText"/>
        <w:spacing w:line="477" w:lineRule="auto" w:before="21"/>
        <w:ind w:right="19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477" w:lineRule="auto" w:before="54"/>
        <w:ind w:right="193"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4"/>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451" w:lineRule="auto" w:before="54"/>
        <w:ind w:left="512" w:right="94"/>
        <w:jc w:val="left"/>
      </w:pP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金融资产和金融负债公允价值的确定方法 </w:t>
      </w:r>
      <w:r>
        <w:rPr>
          <w:spacing w:val="-2"/>
        </w:rPr>
        <w:t>本公司采用公允价值计量的金融资产和金融负债存在活跃市场的金融资产或金融负债，以活跃市场的报价确定其公允价</w:t>
      </w:r>
    </w:p>
    <w:p>
      <w:pPr>
        <w:pStyle w:val="BodyText"/>
        <w:spacing w:line="477" w:lineRule="auto" w:before="74"/>
        <w:ind w:right="190"/>
        <w:jc w:val="both"/>
      </w:pPr>
      <w:r>
        <w:rPr>
          <w:spacing w:val="-2"/>
        </w:rPr>
        <w:t>值；初始取得或衍生的金融资产或承担的金融负债，以市场交易价格作为确定其公允价值的基础；不存在活跃市场的金融资</w:t>
      </w:r>
      <w:r>
        <w:rPr>
          <w:spacing w:val="-63"/>
        </w:rPr>
        <w:t> </w:t>
      </w:r>
      <w:r>
        <w:rPr>
          <w:spacing w:val="-63"/>
        </w:rPr>
      </w:r>
      <w:r>
        <w:rPr>
          <w:spacing w:val="-2"/>
        </w:rPr>
        <w:t>产或金融负债，采用估值技术确定其公允价值。在估值时，本公司采用在当前情况下适用并且有足够可利用数据和其他信息</w:t>
      </w:r>
      <w:r>
        <w:rPr>
          <w:spacing w:val="-65"/>
        </w:rPr>
        <w:t> </w:t>
      </w:r>
      <w:r>
        <w:rPr>
          <w:spacing w:val="-65"/>
        </w:rPr>
      </w:r>
      <w:r>
        <w:rPr>
          <w:spacing w:val="-2"/>
        </w:rPr>
        <w:t>支持的估值技术，选择与市场参与者在相关资产或负债的交易中所考虑的资产或负债特征相一致的输入值，并尽可能优先使</w:t>
      </w:r>
      <w:r>
        <w:rPr>
          <w:spacing w:val="-64"/>
        </w:rPr>
        <w:t> </w:t>
      </w:r>
      <w:r>
        <w:rPr>
          <w:spacing w:val="-64"/>
        </w:rPr>
      </w:r>
      <w:r>
        <w:rPr/>
        <w:t>用相关可观察输入值。在相关可观察输入值无法取得或取得不切实可行的情况下，使用不可观察输入值。</w:t>
      </w:r>
    </w:p>
    <w:p>
      <w:pPr>
        <w:pStyle w:val="BodyText"/>
        <w:spacing w:line="451" w:lineRule="auto" w:before="54"/>
        <w:ind w:left="512" w:right="94"/>
        <w:jc w:val="left"/>
      </w:pP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477" w:lineRule="auto" w:before="74"/>
        <w:ind w:left="512" w:right="5674" w:hanging="360"/>
        <w:jc w:val="left"/>
      </w:pPr>
      <w:r>
        <w:rPr/>
        <w:t>表明该金融资产发生减值的，计提减值准备。 金融资产发生减值的客观证据，包括但不限于： </w:t>
      </w:r>
      <w:r>
        <w:rPr>
          <w:rFonts w:ascii="Times New Roman" w:hAnsi="Times New Roman" w:cs="Times New Roman" w:eastAsia="Times New Roman" w:hint="default"/>
        </w:rPr>
        <w:t>1.</w:t>
      </w:r>
      <w:r>
        <w:rPr/>
        <w:t>发行方或债务人发生严重财务困难；</w:t>
      </w:r>
    </w:p>
    <w:p>
      <w:pPr>
        <w:pStyle w:val="BodyText"/>
        <w:spacing w:line="240" w:lineRule="auto" w:before="21"/>
        <w:ind w:left="512" w:right="94"/>
        <w:jc w:val="left"/>
      </w:pPr>
      <w:r>
        <w:rPr>
          <w:rFonts w:ascii="Times New Roman" w:hAnsi="Times New Roman" w:cs="Times New Roman" w:eastAsia="Times New Roman" w:hint="default"/>
        </w:rPr>
        <w:t>2.</w:t>
      </w:r>
      <w:r>
        <w:rPr/>
        <w:t>债务人违反了合同条款，如偿付利息或本金发生违约或逾期等；</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3.</w:t>
      </w:r>
      <w:r>
        <w:rPr/>
        <w:t>债权人出于经济或法律等方面因素的考虑，对发生财务困难的债务人作出让步；</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4.</w:t>
      </w:r>
      <w:r>
        <w:rPr/>
        <w:t>债务人很可能倒闭或进行其他财务重组；</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5.</w:t>
      </w:r>
      <w:r>
        <w:rPr/>
        <w:t>因发行方发生重大财务困难，该金融资产无法在活跃市场继续交易；</w:t>
      </w:r>
    </w:p>
    <w:p>
      <w:pPr>
        <w:spacing w:line="240" w:lineRule="auto" w:before="9"/>
        <w:rPr>
          <w:rFonts w:ascii="宋体" w:hAnsi="宋体" w:cs="宋体" w:eastAsia="宋体" w:hint="default"/>
          <w:sz w:val="16"/>
          <w:szCs w:val="16"/>
        </w:rPr>
      </w:pPr>
    </w:p>
    <w:p>
      <w:pPr>
        <w:pStyle w:val="BodyText"/>
        <w:spacing w:line="463" w:lineRule="auto"/>
        <w:ind w:right="193" w:firstLine="360"/>
        <w:jc w:val="both"/>
      </w:pP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无法辨认一组金融资产中的某项资产的现金流量是否已经减少，但根据公开的数据对其进行总体评价后发现，该组金</w:t>
      </w:r>
      <w:r>
        <w:rPr/>
        <w:t> </w:t>
      </w:r>
      <w:r>
        <w:rPr>
          <w:spacing w:val="-2"/>
        </w:rPr>
        <w:t>融资产自初始确认以来的预计未来现金流量确已减少且可计量，如该组金融资产的债务人支付能力逐步恶化，或债务人所在</w:t>
      </w:r>
      <w:r>
        <w:rPr>
          <w:spacing w:val="-64"/>
        </w:rPr>
        <w:t> </w:t>
      </w:r>
      <w:r>
        <w:rPr>
          <w:spacing w:val="-64"/>
        </w:rPr>
      </w:r>
      <w:r>
        <w:rPr/>
        <w:t>国家或地区失业率提高、担保物在其所在地区的价格明显下降、所处行业不景气等；</w:t>
      </w:r>
    </w:p>
    <w:p>
      <w:pPr>
        <w:pStyle w:val="BodyText"/>
        <w:spacing w:line="451" w:lineRule="auto" w:before="65"/>
        <w:ind w:right="192" w:firstLine="360"/>
        <w:jc w:val="left"/>
      </w:pP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权益工具发行方经营所处的技术、市场、经济或法律环境等发生重大不利变化，使权益工具投资人可能无法收回投资</w:t>
      </w:r>
      <w:r>
        <w:rPr/>
        <w:t> 成本；</w:t>
      </w:r>
    </w:p>
    <w:p>
      <w:pPr>
        <w:pStyle w:val="BodyText"/>
        <w:spacing w:line="451" w:lineRule="auto" w:before="74"/>
        <w:ind w:left="512" w:right="5179"/>
        <w:jc w:val="left"/>
      </w:pP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451" w:lineRule="auto" w:before="74"/>
        <w:ind w:left="512" w:right="94"/>
        <w:jc w:val="left"/>
      </w:pPr>
      <w:r>
        <w:rPr/>
        <w:t>（</w:t>
      </w:r>
      <w:r>
        <w:rPr>
          <w:rFonts w:ascii="Times New Roman" w:hAnsi="Times New Roman" w:cs="Times New Roman" w:eastAsia="Times New Roman" w:hint="default"/>
        </w:rPr>
        <w:t>1</w:t>
      </w:r>
      <w:r>
        <w:rPr/>
        <w:t>）可供出售金融资产的减值准备 </w:t>
      </w:r>
      <w:r>
        <w:rPr>
          <w:spacing w:val="-2"/>
        </w:rPr>
        <w:t>对于可供出售金融资产采用个别认定的方式评估减值损失，其中：表明可供出售权益工具投资发生减值的客观证据包括</w:t>
      </w:r>
    </w:p>
    <w:p>
      <w:pPr>
        <w:pStyle w:val="BodyText"/>
        <w:spacing w:line="240" w:lineRule="auto" w:before="74"/>
        <w:ind w:right="0"/>
        <w:jc w:val="left"/>
      </w:pPr>
      <w:r>
        <w:rPr/>
        <w:t>权益工具投资的公允价值发生严重或非暂时性下跌，具体量化标准为：本公司于资产负债表日对各项可供出售权益工具投资</w:t>
      </w:r>
    </w:p>
    <w:p>
      <w:pPr>
        <w:spacing w:after="0" w:line="240" w:lineRule="auto"/>
        <w:jc w:val="left"/>
        <w:sectPr>
          <w:footerReference w:type="default" r:id="rId31"/>
          <w:pgSz w:w="11910" w:h="16840"/>
          <w:pgMar w:footer="982" w:header="745" w:top="1060" w:bottom="1180" w:left="980" w:right="940"/>
          <w:pgNumType w:start="123"/>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8" w:lineRule="auto"/>
        <w:ind w:right="153"/>
        <w:jc w:val="both"/>
      </w:pPr>
      <w:r>
        <w:rPr>
          <w:spacing w:val="-1"/>
        </w:rPr>
        <w:t>单独进行检查，若该权益工具投资于资产负债表日的公允价值低于其初始投资成本超过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）或低于其初始投资成</w:t>
      </w:r>
      <w:r>
        <w:rPr>
          <w:spacing w:val="-60"/>
        </w:rPr>
        <w:t> </w:t>
      </w:r>
      <w:r>
        <w:rPr>
          <w:spacing w:val="-60"/>
        </w:rPr>
      </w:r>
      <w:r>
        <w:rPr>
          <w:spacing w:val="-2"/>
        </w:rPr>
        <w:t>本持续时间超过一年（含一年）的，则表明其发生减值；若该权益工具投资于资产负债表日的公允价值低于其初始投资成本</w:t>
      </w:r>
      <w:r>
        <w:rPr>
          <w:spacing w:val="-66"/>
        </w:rPr>
        <w:t> </w:t>
      </w:r>
      <w:r>
        <w:rPr>
          <w:spacing w:val="-66"/>
        </w:rPr>
      </w:r>
      <w:r>
        <w:rPr/>
        <w:t>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的，本公司会综合考虑其他相关因素诸如价格波动率等，判断该权益工具投资是否发生</w:t>
      </w:r>
      <w:r>
        <w:rPr>
          <w:spacing w:val="-86"/>
        </w:rPr>
        <w:t> </w:t>
      </w:r>
      <w:r>
        <w:rPr>
          <w:spacing w:val="-86"/>
        </w:rPr>
      </w:r>
      <w:r>
        <w:rPr/>
        <w:t>减值。</w:t>
      </w:r>
    </w:p>
    <w:p>
      <w:pPr>
        <w:pStyle w:val="BodyText"/>
        <w:spacing w:line="477" w:lineRule="auto" w:before="68"/>
        <w:ind w:right="153"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477" w:lineRule="auto" w:before="54"/>
        <w:ind w:right="150"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3"/>
        </w:rPr>
        <w:t> </w:t>
      </w:r>
      <w:r>
        <w:rPr>
          <w:spacing w:val="-63"/>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451" w:lineRule="auto" w:before="54"/>
        <w:ind w:left="512" w:right="0"/>
        <w:jc w:val="left"/>
      </w:pPr>
      <w:r>
        <w:rPr/>
        <w:t>（</w:t>
      </w:r>
      <w:r>
        <w:rPr>
          <w:rFonts w:ascii="Times New Roman" w:hAnsi="Times New Roman" w:cs="Times New Roman" w:eastAsia="Times New Roman"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477" w:lineRule="auto" w:before="74"/>
        <w:ind w:right="150"/>
        <w:jc w:val="both"/>
      </w:pPr>
      <w:r>
        <w:rPr>
          <w:spacing w:val="-2"/>
        </w:rPr>
        <w:t>值损失；计提后如有证据表明其价值已恢复，原确认的减值损失可予以转回，记入当期损益，但该转回的账面价值不超过假</w:t>
      </w:r>
      <w:r>
        <w:rPr>
          <w:spacing w:val="-65"/>
        </w:rPr>
        <w:t> </w:t>
      </w:r>
      <w:r>
        <w:rPr>
          <w:spacing w:val="-65"/>
        </w:rPr>
      </w:r>
      <w:r>
        <w:rPr/>
        <w:t>定不计提减值准备情况下该金融资产在转回日的摊余成本。</w:t>
      </w:r>
    </w:p>
    <w:p>
      <w:pPr>
        <w:pStyle w:val="BodyText"/>
        <w:spacing w:line="451" w:lineRule="auto" w:before="54"/>
        <w:ind w:left="512" w:right="0"/>
        <w:jc w:val="left"/>
      </w:pPr>
      <w:r>
        <w:rPr/>
        <w:t>七</w:t>
      </w:r>
      <w:r>
        <w:rPr>
          <w:rFonts w:ascii="Times New Roman" w:hAnsi="Times New Roman" w:cs="Times New Roman" w:eastAsia="Times New Roman" w:hint="default"/>
        </w:rPr>
        <w:t>.</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74"/>
        <w:ind w:right="0"/>
        <w:jc w:val="both"/>
      </w:pPr>
      <w:r>
        <w:rPr/>
        <w:t>产负债表内列示：</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both"/>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单项金额重大并单独计提坏账准备的应收款项" w:id="173"/>
      <w:bookmarkEnd w:id="1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按信用风险特征组合计提坏账准备的应收款项"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3"/>
        <w:gridCol w:w="4786"/>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6"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left="112" w:right="0"/>
        <w:jc w:val="left"/>
      </w:pPr>
      <w:r>
        <w:rPr/>
        <w:t>组合中，采用账龄分析法计提坏账准备的：</w:t>
      </w:r>
    </w:p>
    <w:p>
      <w:pPr>
        <w:pStyle w:val="BodyText"/>
        <w:spacing w:line="240" w:lineRule="auto" w:before="115"/>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112" w:right="0"/>
        <w:jc w:val="left"/>
      </w:pPr>
      <w:r>
        <w:rPr/>
        <w:t>组合中，采用余额百分比法计提坏账准备的：</w:t>
      </w:r>
    </w:p>
    <w:p>
      <w:pPr>
        <w:pStyle w:val="BodyText"/>
        <w:spacing w:line="338" w:lineRule="auto" w:before="117"/>
        <w:ind w:left="112" w:right="64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12"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spacing w:before="36"/>
        <w:ind w:left="112" w:right="0" w:firstLine="0"/>
        <w:jc w:val="left"/>
        <w:rPr>
          <w:rFonts w:ascii="宋体" w:hAnsi="宋体" w:cs="宋体" w:eastAsia="宋体" w:hint="default"/>
          <w:sz w:val="21"/>
          <w:szCs w:val="21"/>
        </w:rPr>
      </w:pPr>
      <w:bookmarkStart w:name="12、存货" w:id="176"/>
      <w:bookmarkEnd w:id="176"/>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29"/>
          <w:sz w:val="21"/>
          <w:szCs w:val="21"/>
        </w:rPr>
        <w:t> </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477" w:lineRule="auto" w:before="121"/>
        <w:ind w:left="112" w:right="113" w:firstLine="360"/>
        <w:jc w:val="both"/>
      </w:pPr>
      <w:r>
        <w:rPr>
          <w:spacing w:val="-2"/>
        </w:rPr>
        <w:t>存货是指本公司在日常活动中持有以备出售的产成品或商品、处在生产过程中的在产品、在生产过程或提供劳务过程中</w:t>
      </w:r>
      <w:r>
        <w:rPr/>
        <w:t> 耗用的材料和物料等。主要包括原材料、委托加工物资、在产品、自制半成品、发出商品、库存商品等。</w:t>
      </w:r>
    </w:p>
    <w:p>
      <w:pPr>
        <w:pStyle w:val="Heading3"/>
        <w:spacing w:line="229" w:lineRule="exact"/>
        <w:ind w:left="112" w:right="0"/>
        <w:jc w:val="left"/>
        <w:rPr>
          <w:b w:val="0"/>
          <w:bCs w:val="0"/>
        </w:rPr>
      </w:pPr>
      <w:r>
        <w:rPr>
          <w:rFonts w:ascii="宋体" w:hAnsi="宋体" w:cs="宋体" w:eastAsia="宋体" w:hint="default"/>
        </w:rPr>
        <w:t>2)</w:t>
      </w:r>
      <w:r>
        <w:rPr>
          <w:rFonts w:ascii="宋体" w:hAnsi="宋体" w:cs="宋体" w:eastAsia="宋体" w:hint="default"/>
          <w:spacing w:val="44"/>
        </w:rPr>
        <w:t> </w:t>
      </w:r>
      <w:r>
        <w:rPr/>
        <w:t>存货的计价方法</w:t>
      </w:r>
      <w:r>
        <w:rPr>
          <w:b w:val="0"/>
          <w:bCs w:val="0"/>
        </w:rPr>
      </w:r>
    </w:p>
    <w:p>
      <w:pPr>
        <w:pStyle w:val="BodyText"/>
        <w:spacing w:line="240" w:lineRule="auto" w:before="137"/>
        <w:ind w:left="472" w:right="0"/>
        <w:jc w:val="left"/>
      </w:pPr>
      <w:r>
        <w:rPr/>
        <w:t>存货在取得时，按成本进行初始计量，包括采购成本、加工成本和其他成本。存货发出时按加权平均法计价。</w:t>
      </w:r>
    </w:p>
    <w:p>
      <w:pPr>
        <w:pStyle w:val="Heading3"/>
        <w:spacing w:line="240" w:lineRule="auto" w:before="132"/>
        <w:ind w:left="112" w:right="0"/>
        <w:jc w:val="left"/>
        <w:rPr>
          <w:b w:val="0"/>
          <w:bCs w:val="0"/>
        </w:rPr>
      </w:pPr>
      <w:r>
        <w:rPr>
          <w:rFonts w:ascii="宋体" w:hAnsi="宋体" w:cs="宋体" w:eastAsia="宋体" w:hint="default"/>
        </w:rPr>
        <w:t>3)</w:t>
      </w:r>
      <w:r>
        <w:rPr>
          <w:rFonts w:ascii="宋体" w:hAnsi="宋体" w:cs="宋体" w:eastAsia="宋体" w:hint="default"/>
          <w:spacing w:val="38"/>
        </w:rPr>
        <w:t> </w:t>
      </w:r>
      <w:r>
        <w:rPr/>
        <w:t>存货可变现净值的确定依据及存货跌价准备的计提方法</w:t>
      </w:r>
      <w:r>
        <w:rPr>
          <w:b w:val="0"/>
          <w:bCs w:val="0"/>
        </w:rPr>
      </w:r>
    </w:p>
    <w:p>
      <w:pPr>
        <w:pStyle w:val="BodyText"/>
        <w:spacing w:line="477" w:lineRule="auto" w:before="137"/>
        <w:ind w:left="112" w:right="110" w:firstLine="360"/>
        <w:jc w:val="both"/>
      </w:pPr>
      <w:r>
        <w:rPr>
          <w:spacing w:val="-2"/>
        </w:rPr>
        <w:t>期末对存货进行全面清查后，按存货的成本与可变现净值孰低提取或调整存货跌价准备。库存商品和用于出售的材料等</w:t>
      </w:r>
      <w:r>
        <w:rPr/>
        <w:t> </w:t>
      </w:r>
      <w:r>
        <w:rPr>
          <w:spacing w:val="-2"/>
        </w:rPr>
        <w:t>直接用于出售的商品存货，在正常生产经营过程中，以该存货的估计售价减去估计的销售费用和相关税费后的金额，确定其</w:t>
      </w:r>
      <w:r>
        <w:rPr>
          <w:spacing w:val="-63"/>
        </w:rPr>
        <w:t> </w:t>
      </w:r>
      <w:r>
        <w:rPr>
          <w:spacing w:val="-63"/>
        </w:rPr>
      </w:r>
      <w:r>
        <w:rPr>
          <w:spacing w:val="-2"/>
        </w:rPr>
        <w:t>可变现净值；需要经过加工的材料存货，在正常生产经营过程中，以所生产的产成品的估计售价减去至完工时估计将要发生</w:t>
      </w:r>
      <w:r>
        <w:rPr>
          <w:spacing w:val="-63"/>
        </w:rPr>
        <w:t> </w:t>
      </w:r>
      <w:r>
        <w:rPr>
          <w:spacing w:val="-63"/>
        </w:rPr>
      </w:r>
      <w:r>
        <w:rPr>
          <w:spacing w:val="-2"/>
        </w:rPr>
        <w:t>的成本、估计的销售费用和相关税费后的金额，确定其可变现净值；为执行销售合同或者劳务合同而持有的存货，其可变现</w:t>
      </w:r>
      <w:r>
        <w:rPr>
          <w:spacing w:val="-65"/>
        </w:rPr>
        <w:t> </w:t>
      </w:r>
      <w:r>
        <w:rPr>
          <w:spacing w:val="-65"/>
        </w:rPr>
      </w:r>
      <w:r>
        <w:rPr>
          <w:spacing w:val="-2"/>
        </w:rPr>
        <w:t>净值以合同价格为基础计算，若持有存货的数量多于销售合同订购数量的，超出部分的存货的可变现净值以一般销售价格为</w:t>
      </w:r>
      <w:r>
        <w:rPr>
          <w:spacing w:val="-64"/>
        </w:rPr>
        <w:t> </w:t>
      </w:r>
      <w:r>
        <w:rPr>
          <w:spacing w:val="-64"/>
        </w:rPr>
      </w:r>
      <w:r>
        <w:rPr/>
        <w:t>基础计算。</w:t>
      </w:r>
    </w:p>
    <w:p>
      <w:pPr>
        <w:pStyle w:val="BodyText"/>
        <w:spacing w:line="477" w:lineRule="auto" w:before="54"/>
        <w:ind w:left="112" w:right="11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p>
    <w:p>
      <w:pPr>
        <w:spacing w:after="0" w:line="477" w:lineRule="auto"/>
        <w:jc w:val="both"/>
        <w:sectPr>
          <w:pgSz w:w="11910" w:h="16840"/>
          <w:pgMar w:header="745" w:footer="982" w:top="1060" w:bottom="11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7"/>
          <w:szCs w:val="27"/>
        </w:rPr>
      </w:pPr>
    </w:p>
    <w:p>
      <w:pPr>
        <w:pStyle w:val="BodyText"/>
        <w:spacing w:line="240" w:lineRule="auto" w:before="44"/>
        <w:ind w:right="0"/>
        <w:jc w:val="left"/>
      </w:pPr>
      <w:r>
        <w:rPr/>
        <w:t>货跌价准备。</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spacing w:val="-2"/>
        </w:rPr>
        <w:t>以前减记存货价值的影响因素已经消失的，减记的金额予以恢复，并在原已计提的存货跌价准备金额内转回，转回的金</w:t>
      </w:r>
      <w:r>
        <w:rPr/>
        <w:t> 额计入当期损益。</w:t>
      </w:r>
    </w:p>
    <w:p>
      <w:pPr>
        <w:pStyle w:val="Heading3"/>
        <w:spacing w:line="229" w:lineRule="exact"/>
        <w:ind w:left="512" w:right="0" w:hanging="360"/>
        <w:jc w:val="left"/>
        <w:rPr>
          <w:b w:val="0"/>
          <w:bCs w:val="0"/>
        </w:rPr>
      </w:pPr>
      <w:r>
        <w:rPr>
          <w:rFonts w:ascii="宋体" w:hAnsi="宋体" w:cs="宋体" w:eastAsia="宋体" w:hint="default"/>
        </w:rPr>
        <w:t>4)</w:t>
      </w:r>
      <w:r>
        <w:rPr>
          <w:rFonts w:ascii="宋体" w:hAnsi="宋体" w:cs="宋体" w:eastAsia="宋体" w:hint="default"/>
          <w:spacing w:val="44"/>
        </w:rPr>
        <w:t> </w:t>
      </w:r>
      <w:r>
        <w:rPr/>
        <w:t>存货的盘存制度</w:t>
      </w:r>
      <w:r>
        <w:rPr>
          <w:b w:val="0"/>
          <w:bCs w:val="0"/>
        </w:rPr>
      </w:r>
    </w:p>
    <w:p>
      <w:pPr>
        <w:pStyle w:val="BodyText"/>
        <w:spacing w:line="240" w:lineRule="auto" w:before="137"/>
        <w:ind w:left="512" w:right="0"/>
        <w:jc w:val="left"/>
      </w:pPr>
      <w:r>
        <w:rPr/>
        <w:t>采用永续盘存制。</w:t>
      </w:r>
    </w:p>
    <w:p>
      <w:pPr>
        <w:pStyle w:val="Heading3"/>
        <w:spacing w:line="240" w:lineRule="auto" w:before="132"/>
        <w:ind w:right="0"/>
        <w:jc w:val="left"/>
        <w:rPr>
          <w:b w:val="0"/>
          <w:bCs w:val="0"/>
        </w:rPr>
      </w:pPr>
      <w:r>
        <w:rPr>
          <w:rFonts w:ascii="宋体" w:hAnsi="宋体" w:cs="宋体" w:eastAsia="宋体" w:hint="default"/>
        </w:rPr>
        <w:t>5)</w:t>
      </w:r>
      <w:r>
        <w:rPr>
          <w:rFonts w:ascii="宋体" w:hAnsi="宋体" w:cs="宋体" w:eastAsia="宋体" w:hint="default"/>
          <w:spacing w:val="40"/>
        </w:rPr>
        <w:t> </w:t>
      </w:r>
      <w:r>
        <w:rPr/>
        <w:t>低值易耗品和包装物的摊销方法</w:t>
      </w:r>
      <w:r>
        <w:rPr>
          <w:b w:val="0"/>
          <w:bCs w:val="0"/>
        </w:rPr>
      </w:r>
    </w:p>
    <w:p>
      <w:pPr>
        <w:pStyle w:val="BodyText"/>
        <w:spacing w:line="240" w:lineRule="auto" w:before="137"/>
        <w:ind w:left="512" w:right="0"/>
        <w:jc w:val="left"/>
      </w:pPr>
      <w:r>
        <w:rPr/>
        <w:t>（</w:t>
      </w:r>
      <w:r>
        <w:rPr>
          <w:rFonts w:ascii="Times New Roman" w:hAnsi="Times New Roman" w:cs="Times New Roman" w:eastAsia="Times New Roman" w:hint="default"/>
        </w:rPr>
        <w:t>1</w:t>
      </w:r>
      <w:r>
        <w:rPr/>
        <w:t>）低值易耗品采用一次转销法；</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t>（</w:t>
      </w:r>
      <w:r>
        <w:rPr>
          <w:rFonts w:ascii="Times New Roman" w:hAnsi="Times New Roman" w:cs="Times New Roman" w:eastAsia="Times New Roman" w:hint="default"/>
        </w:rPr>
        <w:t>2</w:t>
      </w:r>
      <w:r>
        <w:rPr/>
        <w:t>）包装物采用一次转销法；</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t>（</w:t>
      </w:r>
      <w:r>
        <w:rPr>
          <w:rFonts w:ascii="Times New Roman" w:hAnsi="Times New Roman" w:cs="Times New Roman" w:eastAsia="Times New Roman" w:hint="default"/>
        </w:rPr>
        <w:t>3</w:t>
      </w:r>
      <w:r>
        <w:rPr/>
        <w:t>）其他周转材料采用一次转销法。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2" w:right="0"/>
        <w:jc w:val="left"/>
      </w:pP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0"/>
        <w:jc w:val="left"/>
      </w:pPr>
      <w:r>
        <w:rPr>
          <w:rFonts w:ascii="Times New Roman" w:hAnsi="Times New Roman" w:cs="Times New Roman" w:eastAsia="Times New Roman" w:hint="default"/>
        </w:rPr>
        <w:t>1.</w:t>
      </w:r>
      <w:r>
        <w:rPr/>
        <w:t>投资成本的确定</w:t>
      </w:r>
    </w:p>
    <w:p>
      <w:pPr>
        <w:spacing w:line="240" w:lineRule="auto" w:before="9"/>
        <w:rPr>
          <w:rFonts w:ascii="宋体" w:hAnsi="宋体" w:cs="宋体" w:eastAsia="宋体" w:hint="default"/>
          <w:sz w:val="16"/>
          <w:szCs w:val="16"/>
        </w:rPr>
      </w:pPr>
    </w:p>
    <w:p>
      <w:pPr>
        <w:pStyle w:val="BodyText"/>
        <w:spacing w:line="451" w:lineRule="auto"/>
        <w:ind w:right="146" w:firstLine="360"/>
        <w:jc w:val="left"/>
      </w:pPr>
      <w:r>
        <w:rPr/>
        <w:t>（</w:t>
      </w:r>
      <w:r>
        <w:rPr>
          <w:rFonts w:ascii="Times New Roman" w:hAnsi="Times New Roman" w:cs="Times New Roman" w:eastAsia="Times New Roman" w:hint="default"/>
        </w:rPr>
        <w:t>1</w:t>
      </w:r>
      <w:r>
        <w:rPr/>
        <w:t>）企业合并形成的长期股权投资，具体会计政策详见本附注四、（四）</w:t>
      </w:r>
      <w:r>
        <w:rPr>
          <w:spacing w:val="-2"/>
        </w:rPr>
        <w:t> </w:t>
      </w:r>
      <w:r>
        <w:rPr>
          <w:spacing w:val="5"/>
        </w:rPr>
        <w:t>同一控制下和非同一控制下企业合并的会</w:t>
      </w:r>
      <w:r>
        <w:rPr>
          <w:spacing w:val="4"/>
        </w:rPr>
        <w:t> </w:t>
      </w:r>
      <w:r>
        <w:rPr/>
        <w:t>计处理方法。</w:t>
      </w:r>
    </w:p>
    <w:p>
      <w:pPr>
        <w:pStyle w:val="BodyText"/>
        <w:spacing w:line="451" w:lineRule="auto" w:before="74"/>
        <w:ind w:left="512"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477" w:lineRule="auto" w:before="74"/>
        <w:ind w:left="512" w:right="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477" w:lineRule="auto" w:before="54"/>
        <w:ind w:left="512" w:right="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477" w:lineRule="auto" w:before="54"/>
        <w:ind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54"/>
        <w:ind w:left="512"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2.</w:t>
      </w:r>
      <w:r>
        <w:rPr/>
        <w:t>后续计量及损益确认</w:t>
      </w:r>
    </w:p>
    <w:p>
      <w:pPr>
        <w:spacing w:line="240" w:lineRule="auto" w:before="9"/>
        <w:rPr>
          <w:rFonts w:ascii="宋体" w:hAnsi="宋体" w:cs="宋体" w:eastAsia="宋体" w:hint="default"/>
          <w:sz w:val="16"/>
          <w:szCs w:val="16"/>
        </w:rPr>
      </w:pPr>
    </w:p>
    <w:p>
      <w:pPr>
        <w:pStyle w:val="BodyText"/>
        <w:spacing w:line="451" w:lineRule="auto"/>
        <w:ind w:left="512" w:right="0"/>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240" w:lineRule="auto" w:before="74"/>
        <w:ind w:right="0"/>
        <w:jc w:val="left"/>
      </w:pPr>
      <w:r>
        <w:rPr/>
        <w:t>期股权投资的成本。</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firstLine="360"/>
        <w:jc w:val="left"/>
      </w:pPr>
      <w:r>
        <w:rPr>
          <w:spacing w:val="-2"/>
        </w:rPr>
        <w:t>除取得投资时实际支付的价款或对价中包含的已宣告但尚未发放的现金股利或利润外，本公司按照享有被投资单位宣告</w:t>
      </w:r>
      <w:r>
        <w:rPr/>
        <w:t> 分派的现金股利或利润确认为当期投资收益。</w:t>
      </w:r>
    </w:p>
    <w:p>
      <w:pPr>
        <w:pStyle w:val="BodyText"/>
        <w:spacing w:line="451" w:lineRule="auto" w:before="54"/>
        <w:ind w:left="512" w:right="94"/>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477" w:lineRule="auto" w:before="74"/>
        <w:ind w:left="512" w:right="94"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477" w:lineRule="auto" w:before="54"/>
        <w:ind w:left="512" w:right="94"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477" w:lineRule="auto" w:before="54"/>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477" w:lineRule="auto" w:before="54"/>
        <w:ind w:right="193"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477" w:lineRule="auto" w:before="54"/>
        <w:ind w:right="9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477" w:lineRule="auto" w:before="54"/>
        <w:ind w:right="94"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before="54"/>
        <w:ind w:left="512" w:right="94"/>
        <w:jc w:val="left"/>
      </w:pPr>
      <w:r>
        <w:rPr>
          <w:rFonts w:ascii="Times New Roman" w:hAnsi="Times New Roman" w:cs="Times New Roman" w:eastAsia="Times New Roman" w:hint="default"/>
        </w:rPr>
        <w:t>3.</w:t>
      </w:r>
      <w:r>
        <w:rPr/>
        <w:t>长期股权投资核算方法的转换</w:t>
      </w:r>
    </w:p>
    <w:p>
      <w:pPr>
        <w:spacing w:line="240" w:lineRule="auto" w:before="9"/>
        <w:rPr>
          <w:rFonts w:ascii="宋体" w:hAnsi="宋体" w:cs="宋体" w:eastAsia="宋体" w:hint="default"/>
          <w:sz w:val="16"/>
          <w:szCs w:val="16"/>
        </w:rPr>
      </w:pPr>
    </w:p>
    <w:p>
      <w:pPr>
        <w:pStyle w:val="BodyText"/>
        <w:spacing w:line="451" w:lineRule="auto"/>
        <w:ind w:left="512" w:right="94"/>
        <w:jc w:val="left"/>
      </w:pP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451" w:lineRule="auto" w:before="74"/>
        <w:ind w:right="94"/>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2"/>
        </w:rPr>
        <w:t> </w:t>
      </w:r>
      <w:r>
        <w:rPr/>
        <w:t>融工具确认和计量》确定的原持有的股权投资的公允价值加上新增投资成本之和，作为改按权益法核算的初始投资成本。</w:t>
      </w:r>
    </w:p>
    <w:p>
      <w:pPr>
        <w:pStyle w:val="BodyText"/>
        <w:spacing w:line="477" w:lineRule="auto" w:before="74"/>
        <w:ind w:right="94"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477" w:lineRule="auto" w:before="54"/>
        <w:ind w:right="94" w:firstLine="360"/>
        <w:jc w:val="left"/>
      </w:pPr>
      <w:r>
        <w:rPr/>
        <w:t>按权益法核算的初始投资成本小于按照追加投资后全新的持股比例计算确定的应享有被投资单位在追加投资日可辨认</w:t>
      </w:r>
      <w:r>
        <w:rPr>
          <w:spacing w:val="2"/>
        </w:rPr>
        <w:t> </w:t>
      </w:r>
      <w:r>
        <w:rPr/>
        <w:t>净资产公允价值份额之间的差额，调整长期股权投资的账面价值，并计入当期营业外收入。</w:t>
      </w:r>
    </w:p>
    <w:p>
      <w:pPr>
        <w:pStyle w:val="BodyText"/>
        <w:spacing w:line="240" w:lineRule="auto" w:before="54"/>
        <w:ind w:left="512" w:right="94"/>
        <w:jc w:val="left"/>
      </w:pPr>
      <w:r>
        <w:rPr>
          <w:rFonts w:ascii="Times New Roman" w:hAnsi="Times New Roman" w:cs="Times New Roman" w:eastAsia="Times New Roman" w:hint="default"/>
        </w:rPr>
        <w:t>2</w:t>
      </w:r>
      <w:r>
        <w:rPr/>
        <w:t>）公允价值计量或权益法核算转成本法核算</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3" w:firstLine="360"/>
        <w:jc w:val="both"/>
      </w:pPr>
      <w:r>
        <w:rPr>
          <w:spacing w:val="-2"/>
        </w:rPr>
        <w:t>本公司原持有的对被投资单位不具有控制、共同控制或重大影响的按金融工具确认和计量准则进行会计处理的权益性投</w:t>
      </w:r>
      <w:r>
        <w:rPr/>
        <w:t> </w:t>
      </w: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477" w:lineRule="auto" w:before="54"/>
        <w:ind w:right="94"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451" w:lineRule="auto" w:before="54"/>
        <w:ind w:right="94"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451" w:lineRule="auto" w:before="74"/>
        <w:ind w:left="512" w:right="94"/>
        <w:jc w:val="left"/>
      </w:pP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451" w:lineRule="auto" w:before="74"/>
        <w:ind w:right="94"/>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3"/>
        </w:rPr>
        <w:t> </w:t>
      </w:r>
      <w:r>
        <w:rPr>
          <w:spacing w:val="-63"/>
        </w:rPr>
      </w:r>
      <w:r>
        <w:rPr/>
        <w:t>益。</w:t>
      </w:r>
    </w:p>
    <w:p>
      <w:pPr>
        <w:pStyle w:val="BodyText"/>
        <w:spacing w:line="477" w:lineRule="auto" w:before="74"/>
        <w:ind w:right="94"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451" w:lineRule="auto" w:before="54"/>
        <w:ind w:left="512" w:right="94"/>
        <w:jc w:val="left"/>
      </w:pP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463" w:lineRule="auto" w:before="74"/>
        <w:ind w:left="512" w:right="94" w:hanging="360"/>
        <w:jc w:val="left"/>
      </w:pPr>
      <w:r>
        <w:rPr/>
        <w:t>被投资单位实施共同控制或施加重大影响的，改按权益法核算，并对该剩余股权视同自取得时即采用权益法核算进行调整。 </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451" w:lineRule="auto" w:before="65"/>
        <w:ind w:right="94"/>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5"/>
        </w:rPr>
        <w:t> </w:t>
      </w:r>
      <w:r>
        <w:rPr>
          <w:spacing w:val="-65"/>
        </w:rPr>
      </w:r>
      <w:r>
        <w:rPr/>
        <w:t>理，其在丧失控制之日的公允价值与账面价值间的差额计入当期损益。</w:t>
      </w:r>
    </w:p>
    <w:p>
      <w:pPr>
        <w:pStyle w:val="BodyText"/>
        <w:spacing w:line="451" w:lineRule="auto" w:before="74"/>
        <w:ind w:left="512" w:right="94"/>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477" w:lineRule="auto" w:before="74"/>
        <w:ind w:right="94"/>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477" w:lineRule="auto" w:before="54"/>
        <w:ind w:right="94"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54"/>
        <w:ind w:left="512" w:right="94"/>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2</w:t>
      </w:r>
      <w:r>
        <w:rPr/>
        <w:t>）这些交易整体才能达成一项完整的商业结果；</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3</w:t>
      </w:r>
      <w:r>
        <w:rPr/>
        <w:t>）一项交易的发生取决于其他至少一项交易的发生；</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rFonts w:ascii="Times New Roman" w:hAnsi="Times New Roman" w:cs="Times New Roman" w:eastAsia="Times New Roman" w:hint="default"/>
        </w:rPr>
        <w:t>4</w:t>
      </w:r>
      <w:r>
        <w:rPr/>
        <w:t>）一项交易单独看是不经济的，但是和其他交易一并考虑时是经济的。</w:t>
      </w:r>
    </w:p>
    <w:p>
      <w:pPr>
        <w:spacing w:after="0" w:line="240" w:lineRule="auto"/>
        <w:jc w:val="left"/>
        <w:sectPr>
          <w:footerReference w:type="default" r:id="rId32"/>
          <w:pgSz w:w="11910" w:h="16840"/>
          <w:pgMar w:footer="982" w:header="745" w:top="1060" w:bottom="1180" w:left="980" w:right="940"/>
          <w:pgNumType w:start="12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3" w:firstLine="360"/>
        <w:jc w:val="both"/>
      </w:pPr>
      <w:r>
        <w:rPr>
          <w:spacing w:val="-2"/>
        </w:rPr>
        <w:t>因处置部分股权投资或其他原因丧失了对原有子公司控制权的，不属于一揽子交易的，区分个别财务报表和合并财务报</w:t>
      </w:r>
      <w:r>
        <w:rPr/>
        <w:t> 表进行相关会计处理：</w:t>
      </w:r>
    </w:p>
    <w:p>
      <w:pPr>
        <w:pStyle w:val="BodyText"/>
        <w:spacing w:line="458" w:lineRule="auto" w:before="54"/>
        <w:ind w:right="193"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5"/>
        </w:rPr>
        <w:t> </w:t>
      </w:r>
      <w:r>
        <w:rPr>
          <w:spacing w:val="-65"/>
        </w:rPr>
      </w:r>
      <w:r>
        <w:rPr/>
        <w:t>和计量》的有关规定进行会计处理，其在丧失控制之日的公允价值与账面价值间的差额计入当期损益。</w:t>
      </w:r>
    </w:p>
    <w:p>
      <w:pPr>
        <w:pStyle w:val="BodyText"/>
        <w:spacing w:line="472" w:lineRule="auto" w:before="68"/>
        <w:ind w:right="19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477" w:lineRule="auto" w:before="58"/>
        <w:ind w:right="193"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451" w:lineRule="auto" w:before="54"/>
        <w:ind w:right="193"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451" w:lineRule="auto" w:before="74"/>
        <w:ind w:right="193"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451" w:lineRule="auto" w:before="74"/>
        <w:ind w:left="512" w:right="94"/>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477" w:lineRule="auto" w:before="74"/>
        <w:ind w:left="512" w:right="94"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477" w:lineRule="auto" w:before="54"/>
        <w:ind w:right="94"/>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458" w:lineRule="auto" w:before="54"/>
        <w:ind w:right="94"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4"/>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after="0" w:line="458"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bookmarkStart w:name="15、投资性房地产" w:id="179"/>
      <w:bookmarkEnd w:id="179"/>
      <w:r>
        <w:rPr/>
      </w: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1）确认条件"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463" w:lineRule="auto"/>
        <w:ind w:right="193"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）该固定资产的成本能够可靠地计</w:t>
      </w:r>
      <w:r>
        <w:rPr>
          <w:spacing w:val="-66"/>
        </w:rPr>
        <w:t> </w:t>
      </w:r>
      <w:r>
        <w:rPr>
          <w:spacing w:val="-66"/>
        </w:rPr>
      </w:r>
      <w:r>
        <w:rPr/>
        <w:t>量。</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bookmarkStart w:name="（3）融资租入固定资产的认定依据、计价和折旧方法"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2" w:right="94"/>
        <w:jc w:val="left"/>
      </w:pPr>
      <w:r>
        <w:rPr>
          <w:rFonts w:ascii="Times New Roman" w:hAnsi="Times New Roman" w:cs="Times New Roman" w:eastAsia="Times New Roman" w:hint="default"/>
        </w:rPr>
        <w:t>1</w:t>
      </w:r>
      <w:r>
        <w:rPr/>
        <w:t>）在建工程的类别 本公司自行建造的在建工程按实际成本计价，实际成本由建造该项资产达到预定可使用状态前所发生的必要支出构成。</w:t>
      </w:r>
    </w:p>
    <w:p>
      <w:pPr>
        <w:pStyle w:val="BodyText"/>
        <w:spacing w:line="240" w:lineRule="auto" w:before="74"/>
        <w:ind w:right="94"/>
        <w:jc w:val="left"/>
      </w:pPr>
      <w:r>
        <w:rPr/>
        <w:t>本公司的在建工程以项目分类核算。</w:t>
      </w:r>
    </w:p>
    <w:p>
      <w:pPr>
        <w:spacing w:line="240" w:lineRule="auto" w:before="10"/>
        <w:rPr>
          <w:rFonts w:ascii="宋体" w:hAnsi="宋体" w:cs="宋体" w:eastAsia="宋体" w:hint="default"/>
          <w:sz w:val="17"/>
          <w:szCs w:val="17"/>
        </w:rPr>
      </w:pPr>
    </w:p>
    <w:p>
      <w:pPr>
        <w:pStyle w:val="BodyText"/>
        <w:spacing w:line="451" w:lineRule="auto"/>
        <w:ind w:left="512" w:right="94"/>
        <w:jc w:val="left"/>
      </w:pP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477" w:lineRule="auto" w:before="74"/>
        <w:ind w:right="94"/>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after="0" w:line="477"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2" w:right="94"/>
        <w:jc w:val="left"/>
      </w:pPr>
      <w:bookmarkStart w:name="18、借款费用" w:id="185"/>
      <w:bookmarkEnd w:id="185"/>
      <w:r>
        <w:rPr/>
      </w:r>
      <w:r>
        <w:rPr>
          <w:rFonts w:ascii="Times New Roman" w:hAnsi="Times New Roman" w:cs="Times New Roman" w:eastAsia="Times New Roman" w:hint="default"/>
        </w:rPr>
        <w:t>1</w:t>
      </w:r>
      <w:r>
        <w:rPr/>
        <w:t>）借款费用资本化的确认原则 </w:t>
      </w:r>
      <w:r>
        <w:rPr>
          <w:spacing w:val="-4"/>
        </w:rPr>
        <w:t>公司发生的借款费用，可直接归属于符合资本化条件的资产的购建或者生产的，在符合资本化条件的情况下开始资本化，</w:t>
      </w:r>
    </w:p>
    <w:p>
      <w:pPr>
        <w:pStyle w:val="BodyText"/>
        <w:spacing w:line="477" w:lineRule="auto" w:before="74"/>
        <w:ind w:left="512" w:right="94" w:hanging="360"/>
        <w:jc w:val="left"/>
      </w:pPr>
      <w:r>
        <w:rPr/>
        <w:t>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477" w:lineRule="auto" w:before="54"/>
        <w:ind w:left="512" w:right="6034" w:hanging="360"/>
        <w:jc w:val="left"/>
      </w:pPr>
      <w:r>
        <w:rPr/>
        <w:t>产、投资性房地产和存货等资产。 借款费用同时满足下列条件时开始资本化：</w:t>
      </w:r>
    </w:p>
    <w:p>
      <w:pPr>
        <w:pStyle w:val="BodyText"/>
        <w:spacing w:line="451" w:lineRule="auto" w:before="54"/>
        <w:ind w:right="18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4"/>
        <w:ind w:left="512" w:right="94"/>
        <w:jc w:val="left"/>
      </w:pPr>
      <w:r>
        <w:rPr/>
        <w:t>（</w:t>
      </w:r>
      <w:r>
        <w:rPr>
          <w:rFonts w:ascii="Times New Roman" w:hAnsi="Times New Roman" w:cs="Times New Roman" w:eastAsia="Times New Roman" w:hint="default"/>
        </w:rPr>
        <w:t>2</w:t>
      </w:r>
      <w:r>
        <w:rPr/>
        <w:t>）借款费用已经发生；</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9"/>
        <w:rPr>
          <w:rFonts w:ascii="宋体" w:hAnsi="宋体" w:cs="宋体" w:eastAsia="宋体" w:hint="default"/>
          <w:sz w:val="16"/>
          <w:szCs w:val="16"/>
        </w:rPr>
      </w:pPr>
    </w:p>
    <w:p>
      <w:pPr>
        <w:pStyle w:val="BodyText"/>
        <w:spacing w:line="470" w:lineRule="auto"/>
        <w:ind w:left="512" w:right="94"/>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57"/>
        <w:ind w:right="94"/>
        <w:jc w:val="left"/>
      </w:pPr>
      <w:r>
        <w:rPr/>
        <w:t>款费用资本化。</w:t>
      </w:r>
    </w:p>
    <w:p>
      <w:pPr>
        <w:spacing w:line="240" w:lineRule="auto" w:before="10"/>
        <w:rPr>
          <w:rFonts w:ascii="宋体" w:hAnsi="宋体" w:cs="宋体" w:eastAsia="宋体" w:hint="default"/>
          <w:sz w:val="17"/>
          <w:szCs w:val="17"/>
        </w:rPr>
      </w:pPr>
    </w:p>
    <w:p>
      <w:pPr>
        <w:pStyle w:val="BodyText"/>
        <w:spacing w:line="451" w:lineRule="auto"/>
        <w:ind w:left="512" w:right="94"/>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477" w:lineRule="auto" w:before="43"/>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451" w:lineRule="auto" w:before="54"/>
        <w:ind w:left="512" w:right="94"/>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477" w:lineRule="auto" w:before="74"/>
        <w:ind w:left="512" w:right="94"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477" w:lineRule="auto" w:before="54"/>
        <w:ind w:left="512" w:right="634"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after="0" w:line="477"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19、生物资产" w:id="186"/>
      <w:bookmarkEnd w:id="186"/>
      <w:r>
        <w:rPr/>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0、油气资产" w:id="187"/>
      <w:bookmarkEnd w:id="18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1、无形资产" w:id="188"/>
      <w:bookmarkEnd w:id="18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5"/>
        <w:rPr>
          <w:rFonts w:ascii="宋体" w:hAnsi="宋体" w:cs="宋体" w:eastAsia="宋体" w:hint="default"/>
          <w:b/>
          <w:bCs/>
          <w:sz w:val="32"/>
          <w:szCs w:val="32"/>
        </w:rPr>
      </w:pPr>
    </w:p>
    <w:p>
      <w:pPr>
        <w:pStyle w:val="BodyText"/>
        <w:spacing w:line="458" w:lineRule="auto"/>
        <w:ind w:left="512" w:right="0"/>
        <w:jc w:val="left"/>
      </w:pPr>
      <w:r>
        <w:rPr/>
        <w:t>（</w:t>
      </w:r>
      <w:r>
        <w:rPr>
          <w:rFonts w:ascii="Times New Roman" w:hAnsi="Times New Roman" w:cs="Times New Roman" w:eastAsia="Times New Roman" w:hint="default"/>
        </w:rPr>
        <w:t>1</w:t>
      </w:r>
      <w:r>
        <w:rPr/>
        <w:t>）计价方法、使用寿命、减值测试 无形资产是指本公司拥有或者控制的没有实物形态的可辨认非货币性资产，包括土地使用权和软件等。 </w:t>
      </w:r>
      <w:r>
        <w:rPr>
          <w:rFonts w:ascii="Times New Roman" w:hAnsi="Times New Roman" w:cs="Times New Roman" w:eastAsia="Times New Roman" w:hint="default"/>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477" w:lineRule="auto" w:before="68"/>
        <w:ind w:left="512"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477" w:lineRule="auto" w:before="54"/>
        <w:ind w:left="512"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54"/>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77" w:lineRule="auto" w:before="54"/>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477" w:lineRule="auto" w:before="54"/>
        <w:ind w:right="0"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458" w:lineRule="auto" w:before="54"/>
        <w:ind w:left="512" w:right="0"/>
        <w:jc w:val="left"/>
      </w:pP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 </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68"/>
        <w:ind w:right="0"/>
        <w:jc w:val="left"/>
      </w:pPr>
      <w:r>
        <w:rPr/>
        <w:t>据如下：</w:t>
      </w:r>
    </w:p>
    <w:p>
      <w:pPr>
        <w:spacing w:line="240" w:lineRule="auto" w:before="1"/>
        <w:rPr>
          <w:rFonts w:ascii="宋体" w:hAnsi="宋体" w:cs="宋体" w:eastAsia="宋体" w:hint="default"/>
          <w:sz w:val="11"/>
          <w:szCs w:val="11"/>
        </w:rPr>
      </w:pPr>
    </w:p>
    <w:tbl>
      <w:tblPr>
        <w:tblW w:w="0" w:type="auto"/>
        <w:jc w:val="left"/>
        <w:tblInd w:w="601" w:type="dxa"/>
        <w:tblLayout w:type="fixed"/>
        <w:tblCellMar>
          <w:top w:w="0" w:type="dxa"/>
          <w:left w:w="0" w:type="dxa"/>
          <w:bottom w:w="0" w:type="dxa"/>
          <w:right w:w="0" w:type="dxa"/>
        </w:tblCellMar>
        <w:tblLook w:val="01E0"/>
      </w:tblPr>
      <w:tblGrid>
        <w:gridCol w:w="2309"/>
        <w:gridCol w:w="3091"/>
        <w:gridCol w:w="3324"/>
      </w:tblGrid>
      <w:tr>
        <w:trPr>
          <w:trHeight w:val="346"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按合同规定的使用年限</w:t>
            </w:r>
          </w:p>
        </w:tc>
      </w:tr>
      <w:tr>
        <w:trPr>
          <w:trHeight w:val="346"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专利及著作权</w:t>
            </w:r>
          </w:p>
        </w:tc>
        <w:tc>
          <w:tcPr>
            <w:tcW w:w="3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非同一控制企业合并带入</w:t>
            </w:r>
          </w:p>
        </w:tc>
      </w:tr>
      <w:tr>
        <w:trPr>
          <w:trHeight w:val="34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3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非同一控下企业合并带入</w:t>
            </w:r>
          </w:p>
        </w:tc>
      </w:tr>
      <w:tr>
        <w:trPr>
          <w:trHeight w:val="34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468" w:lineRule="auto" w:before="54"/>
        <w:ind w:left="512" w:right="2974"/>
        <w:jc w:val="left"/>
      </w:pP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每期末，对使用寿命不确定的无形资产的使用寿命进行复核。 经复核，本公司无使用寿命不确定的无形资产。</w:t>
      </w:r>
    </w:p>
    <w:p>
      <w:pPr>
        <w:spacing w:line="240" w:lineRule="auto" w:before="13"/>
        <w:rPr>
          <w:rFonts w:ascii="宋体" w:hAnsi="宋体" w:cs="宋体" w:eastAsia="宋体" w:hint="default"/>
          <w:sz w:val="19"/>
          <w:szCs w:val="19"/>
        </w:rPr>
      </w:pPr>
    </w:p>
    <w:p>
      <w:pPr>
        <w:pStyle w:val="Heading3"/>
        <w:spacing w:line="240" w:lineRule="auto"/>
        <w:ind w:right="94"/>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left="512" w:right="94"/>
        <w:jc w:val="left"/>
      </w:pPr>
      <w:r>
        <w:rPr>
          <w:rFonts w:ascii="Times New Roman" w:hAnsi="Times New Roman" w:cs="Times New Roman" w:eastAsia="Times New Roman"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468" w:lineRule="auto" w:before="65"/>
        <w:ind w:left="512" w:right="3514" w:hanging="360"/>
        <w:jc w:val="left"/>
      </w:pPr>
      <w:r>
        <w:rPr/>
        <w:t>进的材料、装置、产品等活动的阶段。 内部研究开发项目研究阶段的支出，在发生时计入当期损益。 </w:t>
      </w: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61"/>
        <w:ind w:left="512" w:right="94"/>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7"/>
        <w:rPr>
          <w:rFonts w:ascii="宋体" w:hAnsi="宋体" w:cs="宋体" w:eastAsia="宋体" w:hint="default"/>
          <w:sz w:val="16"/>
          <w:szCs w:val="16"/>
        </w:rPr>
      </w:pPr>
    </w:p>
    <w:p>
      <w:pPr>
        <w:pStyle w:val="BodyText"/>
        <w:spacing w:line="451" w:lineRule="auto"/>
        <w:ind w:right="18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74"/>
        <w:ind w:left="512" w:right="9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9"/>
        <w:rPr>
          <w:rFonts w:ascii="宋体" w:hAnsi="宋体" w:cs="宋体" w:eastAsia="宋体" w:hint="default"/>
          <w:sz w:val="16"/>
          <w:szCs w:val="16"/>
        </w:rPr>
      </w:pPr>
    </w:p>
    <w:p>
      <w:pPr>
        <w:pStyle w:val="BodyText"/>
        <w:spacing w:line="451" w:lineRule="auto"/>
        <w:ind w:left="512" w:right="94"/>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74"/>
        <w:ind w:right="94"/>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22、长期资产减值" w:id="190"/>
      <w:bookmarkEnd w:id="19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94" w:firstLine="360"/>
        <w:jc w:val="left"/>
      </w:pPr>
      <w:r>
        <w:rPr>
          <w:spacing w:val="-2"/>
        </w:rPr>
        <w:t>公司在资产负债表日判断长期资产是否存在可能发生减值的迹象。如果长期资产存在减值迹象的，以单项资产为基础估</w:t>
      </w:r>
      <w:r>
        <w:rPr/>
        <w:t> 计其可收回金额；难以对单项资产的可收回金额进行估计的，以该资产所属的资产组为基础确定资产组的可收回金额。</w:t>
      </w:r>
    </w:p>
    <w:p>
      <w:pPr>
        <w:pStyle w:val="BodyText"/>
        <w:spacing w:line="477" w:lineRule="auto" w:before="54"/>
        <w:ind w:left="512" w:right="94"/>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240" w:lineRule="auto" w:before="54"/>
        <w:ind w:right="0"/>
        <w:jc w:val="left"/>
      </w:pPr>
      <w:r>
        <w:rPr/>
        <w:t>记的金额确认为资产减值损失，计入当期损益，同时计提相应的资产减值准备。资产减值损失一经确认，在以后会计期间不</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得转回。</w:t>
      </w:r>
    </w:p>
    <w:p>
      <w:pPr>
        <w:spacing w:line="240" w:lineRule="auto" w:before="10"/>
        <w:rPr>
          <w:rFonts w:ascii="宋体" w:hAnsi="宋体" w:cs="宋体" w:eastAsia="宋体" w:hint="default"/>
          <w:sz w:val="17"/>
          <w:szCs w:val="17"/>
        </w:rPr>
      </w:pPr>
    </w:p>
    <w:p>
      <w:pPr>
        <w:pStyle w:val="BodyText"/>
        <w:spacing w:line="477" w:lineRule="auto"/>
        <w:ind w:right="94"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477" w:lineRule="auto" w:before="54"/>
        <w:ind w:left="512" w:right="94"/>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477" w:lineRule="auto" w:before="54"/>
        <w:ind w:right="190"/>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23、长期待摊费用" w:id="191"/>
      <w:bookmarkEnd w:id="19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spacing w:before="0"/>
        <w:ind w:left="57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sz w:val="21"/>
          <w:szCs w:val="21"/>
        </w:rPr>
      </w:r>
    </w:p>
    <w:p>
      <w:pPr>
        <w:pStyle w:val="BodyText"/>
        <w:spacing w:line="451" w:lineRule="auto" w:before="121"/>
        <w:ind w:right="184"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pStyle w:val="Heading3"/>
        <w:spacing w:line="265" w:lineRule="exact"/>
        <w:ind w:left="575" w:right="94"/>
        <w:jc w:val="left"/>
        <w:rPr>
          <w:b w:val="0"/>
          <w:bCs w:val="0"/>
        </w:rPr>
      </w:pPr>
      <w:r>
        <w:rPr>
          <w:rFonts w:ascii="Times New Roman" w:hAnsi="Times New Roman" w:cs="Times New Roman" w:eastAsia="Times New Roman" w:hint="default"/>
        </w:rPr>
        <w:t>2</w:t>
      </w:r>
      <w:r>
        <w:rPr/>
        <w:t>、摊销期限</w:t>
      </w:r>
      <w:r>
        <w:rPr>
          <w:b w:val="0"/>
          <w:bCs w:val="0"/>
        </w:rPr>
      </w:r>
    </w:p>
    <w:p>
      <w:pPr>
        <w:spacing w:line="240" w:lineRule="auto" w:before="8"/>
        <w:rPr>
          <w:rFonts w:ascii="宋体" w:hAnsi="宋体" w:cs="宋体" w:eastAsia="宋体" w:hint="default"/>
          <w:b/>
          <w:bCs/>
          <w:sz w:val="2"/>
          <w:szCs w:val="2"/>
        </w:rPr>
      </w:pPr>
    </w:p>
    <w:tbl>
      <w:tblPr>
        <w:tblW w:w="0" w:type="auto"/>
        <w:jc w:val="left"/>
        <w:tblInd w:w="678" w:type="dxa"/>
        <w:tblLayout w:type="fixed"/>
        <w:tblCellMar>
          <w:top w:w="0" w:type="dxa"/>
          <w:left w:w="0" w:type="dxa"/>
          <w:bottom w:w="0" w:type="dxa"/>
          <w:right w:w="0" w:type="dxa"/>
        </w:tblCellMar>
        <w:tblLook w:val="01E0"/>
      </w:tblPr>
      <w:tblGrid>
        <w:gridCol w:w="4219"/>
        <w:gridCol w:w="4354"/>
      </w:tblGrid>
      <w:tr>
        <w:trPr>
          <w:trHeight w:val="346" w:hRule="exact"/>
        </w:trPr>
        <w:tc>
          <w:tcPr>
            <w:tcW w:w="4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8" w:hRule="exact"/>
        </w:trPr>
        <w:tc>
          <w:tcPr>
            <w:tcW w:w="4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6" w:hRule="exact"/>
        </w:trPr>
        <w:tc>
          <w:tcPr>
            <w:tcW w:w="4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48" w:hRule="exact"/>
        </w:trPr>
        <w:tc>
          <w:tcPr>
            <w:tcW w:w="4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4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94" w:firstLine="0"/>
        <w:jc w:val="left"/>
        <w:rPr>
          <w:rFonts w:ascii="宋体" w:hAnsi="宋体" w:cs="宋体" w:eastAsia="宋体" w:hint="default"/>
          <w:sz w:val="21"/>
          <w:szCs w:val="21"/>
        </w:rPr>
      </w:pPr>
      <w:bookmarkStart w:name="24、职工薪酬" w:id="192"/>
      <w:bookmarkEnd w:id="192"/>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1）短期薪酬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477" w:lineRule="auto"/>
        <w:ind w:right="104" w:firstLine="360"/>
        <w:jc w:val="both"/>
      </w:pPr>
      <w:r>
        <w:rPr>
          <w:spacing w:val="-4"/>
        </w:rPr>
        <w:t>职工薪酬，是指本公司为获得职工提供的服务或解除劳动关系而给予的各种形式的报酬或补偿。职工薪酬包括短期薪酬、</w:t>
      </w:r>
      <w:r>
        <w:rPr/>
        <w:t> 离职后福利、辞退福利和其他长期职工福利。</w:t>
      </w:r>
    </w:p>
    <w:p>
      <w:pPr>
        <w:pStyle w:val="BodyText"/>
        <w:spacing w:line="477" w:lineRule="auto" w:before="54"/>
        <w:ind w:right="19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2）离职后福利的会计处理方法" w:id="194"/>
      <w:bookmarkEnd w:id="19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2" w:right="0"/>
        <w:jc w:val="left"/>
      </w:pPr>
      <w:r>
        <w:rPr/>
        <w:t>离职后福利是指本公司为获得职工提供的服务而在职工退休或与企业解除劳动关系后，提供的各种形式的报酬和福利，</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hanging="360"/>
        <w:jc w:val="left"/>
      </w:pPr>
      <w:r>
        <w:rPr/>
        <w:t>短期薪酬和辞退福利除外。离职后福利计划分类为设定提存计划和设定受益计划。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477" w:lineRule="auto" w:before="54"/>
        <w:ind w:left="512" w:right="634" w:hanging="360"/>
        <w:jc w:val="left"/>
      </w:pPr>
      <w:r>
        <w:rPr/>
        <w:t>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88" w:firstLine="360"/>
        <w:jc w:val="both"/>
      </w:pPr>
      <w:r>
        <w:rPr/>
        <w:t>辞退福利是指本公司在职工劳动合同到期之前解除与职工的劳动关系，或者为鼓励职工自愿接受裁减而给予职工的补</w:t>
      </w:r>
      <w:r>
        <w:rPr>
          <w:spacing w:val="2"/>
        </w:rPr>
        <w:t>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477" w:lineRule="auto" w:before="54"/>
        <w:ind w:right="94"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4）其他长期职工福利的会计处理方法" w:id="196"/>
      <w:bookmarkEnd w:id="19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94"/>
        <w:jc w:val="left"/>
      </w:pPr>
      <w:r>
        <w:rPr/>
        <w:t>其他长期职工福利是指除短期薪酬、离职后福利、辞退福利之外的其他所有职工福利。</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25、预计负债" w:id="197"/>
      <w:bookmarkEnd w:id="19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32"/>
          <w:szCs w:val="32"/>
        </w:rPr>
      </w:pPr>
    </w:p>
    <w:p>
      <w:pPr>
        <w:pStyle w:val="BodyText"/>
        <w:spacing w:line="470" w:lineRule="auto"/>
        <w:ind w:left="512" w:right="3874"/>
        <w:jc w:val="left"/>
      </w:pPr>
      <w:r>
        <w:rPr>
          <w:rFonts w:ascii="Times New Roman" w:hAnsi="Times New Roman" w:cs="Times New Roman" w:eastAsia="Times New Roman"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451" w:lineRule="auto" w:before="59"/>
        <w:ind w:left="512" w:right="3334"/>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477" w:lineRule="auto" w:before="74"/>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477" w:lineRule="auto" w:before="54"/>
        <w:ind w:left="512" w:right="94"/>
        <w:jc w:val="left"/>
      </w:pPr>
      <w:r>
        <w:rPr/>
        <w:t>最佳估计数分别以下情况处理： </w:t>
      </w:r>
      <w:r>
        <w:rPr>
          <w:spacing w:val="-2"/>
        </w:rPr>
        <w:t>所需支出存在一个连续范围（或区间），且该范围内各种结果发生的可能性相同的，则最佳估计数按照该范围的中间值</w:t>
      </w:r>
    </w:p>
    <w:p>
      <w:pPr>
        <w:spacing w:after="0" w:line="477"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2" w:right="94"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477" w:lineRule="auto" w:before="54"/>
        <w:ind w:right="190"/>
        <w:jc w:val="both"/>
      </w:pP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477" w:lineRule="auto" w:before="54"/>
        <w:ind w:right="11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26、股份支付" w:id="198"/>
      <w:bookmarkEnd w:id="19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left="512" w:right="3694"/>
        <w:jc w:val="left"/>
      </w:pPr>
      <w:r>
        <w:rPr>
          <w:rFonts w:ascii="Times New Roman" w:hAnsi="Times New Roman" w:cs="Times New Roman" w:eastAsia="Times New Roman" w:hint="default"/>
        </w:rPr>
        <w:t>1</w:t>
      </w:r>
      <w:r>
        <w:rPr/>
        <w:t>）股份支付的种类 本公司的股份支付分为以权益结算的股份支付和以现金结算的股份支付。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463" w:lineRule="auto" w:before="33"/>
        <w:ind w:right="101"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4"/>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477" w:lineRule="auto" w:before="33"/>
        <w:ind w:right="190"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4"/>
        </w:rPr>
        <w:t> </w:t>
      </w:r>
      <w:r>
        <w:rPr>
          <w:spacing w:val="-64"/>
        </w:rPr>
      </w:r>
      <w:r>
        <w:rPr/>
        <w:t>相对应的成本费用。</w:t>
      </w:r>
    </w:p>
    <w:p>
      <w:pPr>
        <w:pStyle w:val="BodyText"/>
        <w:spacing w:line="451" w:lineRule="auto" w:before="52"/>
        <w:ind w:left="512" w:right="94"/>
        <w:jc w:val="left"/>
      </w:pPr>
      <w:r>
        <w:rPr>
          <w:rFonts w:ascii="Times New Roman" w:hAnsi="Times New Roman" w:cs="Times New Roman" w:eastAsia="Times New Roman"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463" w:lineRule="auto" w:before="74"/>
        <w:ind w:left="512" w:right="94" w:hanging="360"/>
        <w:jc w:val="left"/>
      </w:pPr>
      <w:r>
        <w:rPr/>
        <w:t>具数量。在可行权日，最终预计可行权权益工具的数量与实际可行权数量一致。 </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w:t>
      </w:r>
    </w:p>
    <w:p>
      <w:pPr>
        <w:pStyle w:val="BodyText"/>
        <w:spacing w:line="477" w:lineRule="auto" w:before="65"/>
        <w:ind w:right="190"/>
        <w:jc w:val="both"/>
      </w:pPr>
      <w:r>
        <w:rPr>
          <w:spacing w:val="-2"/>
        </w:rPr>
        <w:t>值计入相关成本或费用，相应增加资本公积。在完成等待期内的服务或达到规定业绩条件才可行权的，在等待期内的每个资</w:t>
      </w:r>
      <w:r>
        <w:rPr>
          <w:spacing w:val="-63"/>
        </w:rPr>
        <w:t> </w:t>
      </w:r>
      <w:r>
        <w:rPr>
          <w:spacing w:val="-63"/>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477" w:lineRule="auto" w:before="54"/>
        <w:ind w:right="190"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3"/>
        </w:rPr>
        <w:t> </w:t>
      </w:r>
      <w:r>
        <w:rPr>
          <w:spacing w:val="-63"/>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left="512" w:right="94"/>
        <w:jc w:val="left"/>
      </w:pPr>
      <w:r>
        <w:rPr>
          <w:rFonts w:ascii="Times New Roman" w:hAnsi="Times New Roman" w:cs="Times New Roman" w:eastAsia="Times New Roman" w:hint="default"/>
        </w:rPr>
        <w:t>5</w:t>
      </w:r>
      <w:r>
        <w:rPr/>
        <w:t>）对于存在修改条款和条件的情况的，本期的修改情况及相关会计处理 </w:t>
      </w:r>
      <w:r>
        <w:rPr>
          <w:spacing w:val="-2"/>
        </w:rPr>
        <w:t>若在等待期内取消了授予的权益工具，本公司对取消所授予的权益性工具作为加速行权处理，将剩余等待期内应确认的</w:t>
      </w:r>
    </w:p>
    <w:p>
      <w:pPr>
        <w:pStyle w:val="BodyText"/>
        <w:spacing w:line="477" w:lineRule="auto" w:before="74"/>
        <w:ind w:right="94"/>
        <w:jc w:val="left"/>
      </w:pP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27、优先股、永续债等其他金融工具" w:id="199"/>
      <w:bookmarkEnd w:id="19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28、收入" w:id="200"/>
      <w:bookmarkEnd w:id="200"/>
      <w:r>
        <w:rPr>
          <w:b w:val="0"/>
          <w:bCs w:val="0"/>
        </w:rPr>
      </w: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left="512" w:right="94"/>
        <w:jc w:val="left"/>
      </w:pP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477" w:lineRule="auto" w:before="74"/>
        <w:ind w:right="9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451" w:lineRule="auto" w:before="54"/>
        <w:ind w:right="94" w:firstLine="360"/>
        <w:jc w:val="left"/>
      </w:pPr>
      <w:r>
        <w:rPr>
          <w:spacing w:val="-2"/>
        </w:rPr>
        <w:t>具体确认标准：本公司对于客户以签订</w:t>
      </w:r>
      <w:r>
        <w:rPr>
          <w:rFonts w:ascii="Times New Roman" w:hAnsi="Times New Roman" w:cs="Times New Roman" w:eastAsia="Times New Roman" w:hint="default"/>
          <w:spacing w:val="-2"/>
        </w:rPr>
        <w:t>POS</w:t>
      </w:r>
      <w:r>
        <w:rPr>
          <w:spacing w:val="-2"/>
        </w:rPr>
        <w:t>机销售协议、发货单、客户对产品的验收确认单和增值税专用发票四项销售</w:t>
      </w:r>
      <w:r>
        <w:rPr/>
        <w:t> 协议约定的文件齐备后确认收入。</w:t>
      </w:r>
    </w:p>
    <w:p>
      <w:pPr>
        <w:pStyle w:val="BodyText"/>
        <w:spacing w:line="451" w:lineRule="auto" w:before="74"/>
        <w:ind w:left="512" w:right="94"/>
        <w:jc w:val="left"/>
      </w:pP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74"/>
        <w:ind w:left="512" w:right="9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4"/>
        <w:jc w:val="left"/>
        <w:rPr>
          <w:b w:val="0"/>
          <w:bCs w:val="0"/>
        </w:rPr>
      </w:pPr>
      <w:bookmarkStart w:name="29、政府补助" w:id="201"/>
      <w:bookmarkEnd w:id="20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1）与资产相关的政府补助判断依据及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477" w:lineRule="auto"/>
        <w:ind w:right="94" w:firstLine="360"/>
        <w:jc w:val="left"/>
      </w:pPr>
      <w:r>
        <w:rPr>
          <w:spacing w:val="-2"/>
        </w:rPr>
        <w:t>政府补助，是本公司从政府无偿取得的货币性资产与非货币性资产，但不包括政府作为企业所有者投入的资本。根据相</w:t>
      </w:r>
      <w:r>
        <w:rPr/>
        <w:t> 关政府文件规定的补助对象，将政府补助划分为与资产相关的政府补助和与收益相关的政府补助。</w:t>
      </w:r>
    </w:p>
    <w:p>
      <w:pPr>
        <w:pStyle w:val="BodyText"/>
        <w:spacing w:line="477" w:lineRule="auto" w:before="54"/>
        <w:ind w:left="512" w:right="94"/>
        <w:jc w:val="left"/>
      </w:pPr>
      <w:r>
        <w:rPr/>
        <w:t>与资产相关的政府补助，是指本公司取得的、用于购建或以其他方式形成长期资产的政府补助。 </w:t>
      </w:r>
      <w:r>
        <w:rPr>
          <w:spacing w:val="-2"/>
        </w:rPr>
        <w:t>对期末有证据表明公司能够符合财政扶持政策规定的相关条件且预计能够收到财政扶持资金的，按应收金额确认政府补</w:t>
      </w:r>
    </w:p>
    <w:p>
      <w:pPr>
        <w:pStyle w:val="BodyText"/>
        <w:spacing w:line="240" w:lineRule="auto" w:before="54"/>
        <w:ind w:right="94"/>
        <w:jc w:val="left"/>
      </w:pPr>
      <w:r>
        <w:rPr/>
        <w:t>助。</w:t>
      </w:r>
    </w:p>
    <w:p>
      <w:pPr>
        <w:spacing w:line="240" w:lineRule="auto" w:before="10"/>
        <w:rPr>
          <w:rFonts w:ascii="宋体" w:hAnsi="宋体" w:cs="宋体" w:eastAsia="宋体" w:hint="default"/>
          <w:sz w:val="17"/>
          <w:szCs w:val="17"/>
        </w:rPr>
      </w:pPr>
    </w:p>
    <w:p>
      <w:pPr>
        <w:pStyle w:val="BodyText"/>
        <w:spacing w:line="240" w:lineRule="auto"/>
        <w:ind w:left="512" w:right="94"/>
        <w:jc w:val="left"/>
      </w:pPr>
      <w:r>
        <w:rPr/>
        <w:t>与资产相关的政府补助，确认为递延收益，按照所建造或购买的资产使用年限分期计入营业外收入。</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2" w:right="94"/>
        <w:jc w:val="left"/>
      </w:pPr>
      <w:bookmarkStart w:name="（2）与收益相关的政府补助判断依据及会计处理方法" w:id="203"/>
      <w:bookmarkEnd w:id="203"/>
      <w:r>
        <w:rPr/>
      </w:r>
      <w:r>
        <w:rPr/>
        <w:t>与收益相关的政府补助，是指除与资产相关的政府补助之外的政府补助。 </w:t>
      </w:r>
      <w:r>
        <w:rPr>
          <w:spacing w:val="-2"/>
        </w:rPr>
        <w:t>政府补助为货币性资产的，按照收到或应收的金额计量。政府补助为非货币性资产的，按照公允价值计量；公允价值不</w:t>
      </w:r>
    </w:p>
    <w:p>
      <w:pPr>
        <w:pStyle w:val="BodyText"/>
        <w:spacing w:line="451" w:lineRule="auto" w:before="54"/>
        <w:ind w:left="512" w:right="94" w:hanging="360"/>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 </w:t>
      </w:r>
      <w:r>
        <w:rPr>
          <w:spacing w:val="-2"/>
        </w:rPr>
        <w:t>与收益相关的政府补助，用于补偿企业以后期间的相关费用或损失的，确认为递延收益，在确认相关费用的期间计入当</w:t>
      </w:r>
    </w:p>
    <w:p>
      <w:pPr>
        <w:pStyle w:val="BodyText"/>
        <w:spacing w:line="477" w:lineRule="auto" w:before="74"/>
        <w:ind w:left="512" w:right="94" w:hanging="360"/>
        <w:jc w:val="left"/>
      </w:pPr>
      <w:r>
        <w:rPr/>
        <w:t>期营业外收入；用于补偿企业已发生的相关费用或损失的，取得时直接计入当期营业外收入。 </w:t>
      </w:r>
      <w:r>
        <w:rPr>
          <w:spacing w:val="-2"/>
        </w:rPr>
        <w:t>已确认的政府补助需要返还时，存在相关递延收益余额的，冲减相关递延收益账面余额，超出部分计入当期损益；不存</w:t>
      </w:r>
    </w:p>
    <w:p>
      <w:pPr>
        <w:pStyle w:val="BodyText"/>
        <w:spacing w:line="240" w:lineRule="auto" w:before="54"/>
        <w:ind w:right="94"/>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30、递延所得税资产/递延所得税负债" w:id="204"/>
      <w:bookmarkEnd w:id="20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94"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451" w:lineRule="auto" w:before="74"/>
        <w:ind w:left="512" w:right="94"/>
        <w:jc w:val="left"/>
      </w:pPr>
      <w:r>
        <w:rPr>
          <w:rFonts w:ascii="Times New Roman" w:hAnsi="Times New Roman" w:cs="Times New Roman" w:eastAsia="Times New Roman"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477" w:lineRule="auto" w:before="74"/>
        <w:ind w:right="9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477" w:lineRule="auto" w:before="21"/>
        <w:ind w:right="94"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pStyle w:val="BodyText"/>
        <w:spacing w:line="451" w:lineRule="auto" w:before="54"/>
        <w:ind w:left="512" w:right="2434"/>
        <w:jc w:val="left"/>
      </w:pP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pStyle w:val="BodyText"/>
        <w:spacing w:line="240" w:lineRule="auto" w:before="74"/>
        <w:ind w:left="512" w:right="94"/>
        <w:jc w:val="left"/>
      </w:pPr>
      <w:r>
        <w:rPr/>
        <w:t>（</w:t>
      </w:r>
      <w:r>
        <w:rPr>
          <w:rFonts w:ascii="Times New Roman" w:hAnsi="Times New Roman" w:cs="Times New Roman" w:eastAsia="Times New Roman" w:hint="default"/>
        </w:rPr>
        <w:t>1</w:t>
      </w:r>
      <w:r>
        <w:rPr/>
        <w:t>）商誉的初始确认所形成的暂时性差异；</w:t>
      </w:r>
    </w:p>
    <w:p>
      <w:pPr>
        <w:spacing w:line="240" w:lineRule="auto" w:before="9"/>
        <w:rPr>
          <w:rFonts w:ascii="宋体" w:hAnsi="宋体" w:cs="宋体" w:eastAsia="宋体" w:hint="default"/>
          <w:sz w:val="16"/>
          <w:szCs w:val="16"/>
        </w:rPr>
      </w:pPr>
    </w:p>
    <w:p>
      <w:pPr>
        <w:pStyle w:val="BodyText"/>
        <w:spacing w:line="451" w:lineRule="auto"/>
        <w:ind w:right="18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451" w:lineRule="auto" w:before="74"/>
        <w:ind w:right="18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BodyText"/>
        <w:spacing w:line="240" w:lineRule="auto" w:before="74"/>
        <w:ind w:left="512" w:right="94"/>
        <w:jc w:val="left"/>
      </w:pPr>
      <w:r>
        <w:rPr>
          <w:rFonts w:ascii="Times New Roman" w:hAnsi="Times New Roman" w:cs="Times New Roman" w:eastAsia="Times New Roman" w:hint="default"/>
        </w:rPr>
        <w:t>3</w:t>
      </w:r>
      <w:r>
        <w:rPr/>
        <w:t>）同时满足下列条件时，将递延所得税资产及递延所得税负债以抵销后的净额列示</w:t>
      </w:r>
    </w:p>
    <w:p>
      <w:pPr>
        <w:spacing w:line="240" w:lineRule="auto" w:before="9"/>
        <w:rPr>
          <w:rFonts w:ascii="宋体" w:hAnsi="宋体" w:cs="宋体" w:eastAsia="宋体" w:hint="default"/>
          <w:sz w:val="16"/>
          <w:szCs w:val="16"/>
        </w:rPr>
      </w:pPr>
    </w:p>
    <w:p>
      <w:pPr>
        <w:pStyle w:val="BodyText"/>
        <w:spacing w:line="240" w:lineRule="auto"/>
        <w:ind w:left="512" w:right="94"/>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spacing w:line="240" w:lineRule="auto" w:before="9"/>
        <w:rPr>
          <w:rFonts w:ascii="宋体" w:hAnsi="宋体" w:cs="宋体" w:eastAsia="宋体" w:hint="default"/>
          <w:sz w:val="16"/>
          <w:szCs w:val="16"/>
        </w:rPr>
      </w:pPr>
    </w:p>
    <w:p>
      <w:pPr>
        <w:pStyle w:val="BodyText"/>
        <w:spacing w:line="451" w:lineRule="auto"/>
        <w:ind w:right="184" w:firstLine="360"/>
        <w:jc w:val="left"/>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p>
    <w:p>
      <w:pPr>
        <w:spacing w:after="0" w:line="451"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94"/>
        <w:jc w:val="left"/>
      </w:pPr>
      <w:r>
        <w:rPr/>
        <w:t>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31、租赁" w:id="205"/>
      <w:bookmarkEnd w:id="205"/>
      <w:r>
        <w:rPr>
          <w:b w:val="0"/>
          <w:bCs w:val="0"/>
        </w:rPr>
      </w:r>
      <w:r>
        <w:rPr>
          <w:rFonts w:ascii="Times New Roman" w:hAnsi="Times New Roman" w:cs="Times New Roman" w:eastAsia="Times New Roman" w:hint="default"/>
        </w:rPr>
        <w:t>31</w:t>
      </w:r>
      <w:r>
        <w:rPr/>
        <w:t>、租赁</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2" w:right="94"/>
        <w:jc w:val="left"/>
      </w:pPr>
      <w:r>
        <w:rPr/>
        <w:t>（</w:t>
      </w:r>
      <w:r>
        <w:rPr>
          <w:rFonts w:ascii="Times New Roman" w:hAnsi="Times New Roman" w:cs="Times New Roman" w:eastAsia="Times New Roman" w:hint="default"/>
        </w:rPr>
        <w:t>1</w:t>
      </w:r>
      <w:r>
        <w:rPr/>
        <w:t>）经营租赁的会计处理方法 </w:t>
      </w:r>
      <w:r>
        <w:rPr>
          <w:spacing w:val="-2"/>
        </w:rPr>
        <w:t>如果租赁条款在实质上将与租赁资产所有权有关的全部风险和报酬转移给承租人，该租赁为融资租赁，其他租赁则为经</w:t>
      </w:r>
    </w:p>
    <w:p>
      <w:pPr>
        <w:pStyle w:val="BodyText"/>
        <w:spacing w:line="240" w:lineRule="auto" w:before="74"/>
        <w:ind w:right="94"/>
        <w:jc w:val="left"/>
      </w:pPr>
      <w:r>
        <w:rPr/>
        <w:t>营租赁。</w:t>
      </w:r>
    </w:p>
    <w:p>
      <w:pPr>
        <w:spacing w:line="240" w:lineRule="auto" w:before="10"/>
        <w:rPr>
          <w:rFonts w:ascii="宋体" w:hAnsi="宋体" w:cs="宋体" w:eastAsia="宋体" w:hint="default"/>
          <w:sz w:val="17"/>
          <w:szCs w:val="17"/>
        </w:rPr>
      </w:pPr>
    </w:p>
    <w:p>
      <w:pPr>
        <w:pStyle w:val="BodyText"/>
        <w:spacing w:line="240" w:lineRule="auto"/>
        <w:ind w:left="512" w:right="94"/>
        <w:jc w:val="left"/>
      </w:pPr>
      <w:r>
        <w:rPr/>
        <w:t>（</w:t>
      </w:r>
      <w:r>
        <w:rPr>
          <w:rFonts w:ascii="Times New Roman" w:hAnsi="Times New Roman" w:cs="Times New Roman" w:eastAsia="Times New Roman" w:hint="default"/>
        </w:rPr>
        <w:t>2</w:t>
      </w:r>
      <w:r>
        <w:rPr/>
        <w:t>）经营租赁会计处理</w:t>
      </w:r>
    </w:p>
    <w:p>
      <w:pPr>
        <w:spacing w:line="240" w:lineRule="auto" w:before="9"/>
        <w:rPr>
          <w:rFonts w:ascii="宋体" w:hAnsi="宋体" w:cs="宋体" w:eastAsia="宋体" w:hint="default"/>
          <w:sz w:val="16"/>
          <w:szCs w:val="16"/>
        </w:rPr>
      </w:pPr>
    </w:p>
    <w:p>
      <w:pPr>
        <w:pStyle w:val="BodyText"/>
        <w:spacing w:line="451" w:lineRule="auto"/>
        <w:ind w:right="184" w:firstLine="360"/>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477" w:lineRule="auto" w:before="74"/>
        <w:ind w:right="94"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463" w:lineRule="auto" w:before="54"/>
        <w:ind w:right="193" w:firstLine="360"/>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 </w:t>
      </w:r>
      <w:r>
        <w:rPr>
          <w:spacing w:val="-2"/>
        </w:rPr>
        <w:t>的与租赁交易相关的初始直接费用，计入当期费用；如金额较大的，则予以资本化，在整个租赁期间内按照与租赁收入确认</w:t>
      </w:r>
      <w:r>
        <w:rPr>
          <w:spacing w:val="-66"/>
        </w:rPr>
        <w:t> </w:t>
      </w:r>
      <w:r>
        <w:rPr>
          <w:spacing w:val="-66"/>
        </w:rPr>
      </w:r>
      <w:r>
        <w:rPr/>
        <w:t>相同的基础分期计入当期收益。</w:t>
      </w:r>
    </w:p>
    <w:p>
      <w:pPr>
        <w:pStyle w:val="BodyText"/>
        <w:spacing w:line="477" w:lineRule="auto" w:before="65"/>
        <w:ind w:right="94"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2" w:right="94"/>
        <w:jc w:val="left"/>
      </w:pPr>
      <w:r>
        <w:rPr/>
        <w:t>融资租赁会计处理</w:t>
      </w:r>
    </w:p>
    <w:p>
      <w:pPr>
        <w:spacing w:line="240" w:lineRule="auto" w:before="10"/>
        <w:rPr>
          <w:rFonts w:ascii="宋体" w:hAnsi="宋体" w:cs="宋体" w:eastAsia="宋体" w:hint="default"/>
          <w:sz w:val="17"/>
          <w:szCs w:val="17"/>
        </w:rPr>
      </w:pPr>
    </w:p>
    <w:p>
      <w:pPr>
        <w:pStyle w:val="BodyText"/>
        <w:spacing w:line="451" w:lineRule="auto"/>
        <w:ind w:right="184" w:firstLine="36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74"/>
        <w:ind w:left="512" w:right="94"/>
        <w:jc w:val="left"/>
      </w:pPr>
      <w:r>
        <w:rPr/>
        <w:t>公司采用实际利率法对未确认的融资费用，在资产租赁期间内摊销，计入财务费用。</w:t>
      </w:r>
    </w:p>
    <w:p>
      <w:pPr>
        <w:spacing w:line="240" w:lineRule="auto" w:before="10"/>
        <w:rPr>
          <w:rFonts w:ascii="宋体" w:hAnsi="宋体" w:cs="宋体" w:eastAsia="宋体" w:hint="default"/>
          <w:sz w:val="17"/>
          <w:szCs w:val="17"/>
        </w:rPr>
      </w:pPr>
    </w:p>
    <w:p>
      <w:pPr>
        <w:pStyle w:val="BodyText"/>
        <w:spacing w:line="463" w:lineRule="auto"/>
        <w:ind w:right="94"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bookmarkStart w:name="32、其他重要的会计政策和会计估计" w:id="207"/>
      <w:bookmarkEnd w:id="20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2" w:right="94"/>
        <w:jc w:val="left"/>
      </w:pPr>
      <w:r>
        <w:rPr/>
        <w:t>不适用</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33、重要会计政策和会计估计变更" w:id="208"/>
      <w:bookmarkEnd w:id="208"/>
      <w:r>
        <w:rPr/>
      </w:r>
      <w:bookmarkStart w:name="（1）重要会计政策变更"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8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34、其他" w:id="211"/>
      <w:bookmarkEnd w:id="211"/>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2"/>
        <w:spacing w:line="240" w:lineRule="auto" w:before="101"/>
        <w:ind w:right="0"/>
        <w:jc w:val="left"/>
        <w:rPr>
          <w:b w:val="0"/>
          <w:bCs w:val="0"/>
        </w:rPr>
      </w:pPr>
      <w:bookmarkStart w:name="六、税项" w:id="212"/>
      <w:bookmarkEnd w:id="212"/>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销售货物、应税劳务收入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为纳税基准；或以 租金收入为纳税基准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ExaDigm,Inc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512" w:right="94"/>
        <w:jc w:val="left"/>
      </w:pPr>
      <w:bookmarkStart w:name="2、税收优惠" w:id="214"/>
      <w:bookmarkEnd w:id="214"/>
      <w:r>
        <w:rPr/>
      </w:r>
      <w:r>
        <w:rPr>
          <w:rFonts w:ascii="Times New Roman" w:hAnsi="Times New Roman" w:cs="Times New Roman" w:eastAsia="Times New Roman" w:hint="default"/>
        </w:rPr>
        <w:t>(1)</w:t>
      </w:r>
      <w:r>
        <w:rPr/>
        <w:t>增值税</w:t>
      </w:r>
      <w:r>
        <w:rPr>
          <w:w w:val="99"/>
        </w:rPr>
        <w:t> </w:t>
      </w:r>
      <w:r>
        <w:rPr/>
        <w:t>根据国发</w:t>
      </w:r>
      <w:r>
        <w:rPr>
          <w:rFonts w:ascii="Times New Roman" w:hAnsi="Times New Roman" w:cs="Times New Roman" w:eastAsia="Times New Roman" w:hint="default"/>
        </w:rPr>
        <w:t>[2011]4</w:t>
      </w:r>
      <w:r>
        <w:rPr/>
        <w:t>号《国务院关于印发进一步鼓励软件产业和集成电路产业发展若干政策的通知》的规定，对增值税一</w:t>
      </w:r>
    </w:p>
    <w:p>
      <w:pPr>
        <w:pStyle w:val="BodyText"/>
        <w:spacing w:line="451" w:lineRule="auto" w:before="43"/>
        <w:ind w:right="184"/>
        <w:jc w:val="left"/>
      </w:pPr>
      <w:r>
        <w:rPr/>
        <w:t>般纳税人销售其自行开发的软件产品，按</w:t>
      </w:r>
      <w:r>
        <w:rPr>
          <w:rFonts w:ascii="Times New Roman" w:hAnsi="Times New Roman" w:cs="Times New Roman" w:eastAsia="Times New Roman" w:hint="default"/>
        </w:rPr>
        <w:t>17</w:t>
      </w:r>
      <w:r>
        <w:rPr/>
        <w:t>％的法定税率征收增值税，对其增值税实际税负超过</w:t>
      </w:r>
      <w:r>
        <w:rPr>
          <w:rFonts w:ascii="Times New Roman" w:hAnsi="Times New Roman" w:cs="Times New Roman" w:eastAsia="Times New Roman" w:hint="default"/>
        </w:rPr>
        <w:t>3</w:t>
      </w:r>
      <w:r>
        <w:rPr/>
        <w:t>％的部分即征即退，由企</w:t>
      </w:r>
      <w:r>
        <w:rPr>
          <w:spacing w:val="-84"/>
        </w:rPr>
        <w:t> </w:t>
      </w:r>
      <w:r>
        <w:rPr/>
        <w:t>业用于研究开发软件产品和扩大再生产，不作为企业所得税应征收入，不予征收企业所得税。</w:t>
      </w:r>
    </w:p>
    <w:p>
      <w:pPr>
        <w:pStyle w:val="BodyText"/>
        <w:spacing w:line="451" w:lineRule="auto" w:before="74"/>
        <w:ind w:left="153" w:right="190" w:firstLine="359"/>
        <w:jc w:val="both"/>
      </w:pPr>
      <w:r>
        <w:rPr/>
        <w:t>本公司于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月通过软件企业认证</w:t>
      </w:r>
      <w:r>
        <w:rPr>
          <w:rFonts w:ascii="Times New Roman" w:hAnsi="Times New Roman" w:cs="Times New Roman" w:eastAsia="Times New Roman" w:hint="default"/>
        </w:rPr>
        <w:t>(</w:t>
      </w:r>
      <w:r>
        <w:rPr/>
        <w:t>证书号码深</w:t>
      </w:r>
      <w:r>
        <w:rPr>
          <w:rFonts w:ascii="Times New Roman" w:hAnsi="Times New Roman" w:cs="Times New Roman" w:eastAsia="Times New Roman" w:hint="default"/>
        </w:rPr>
        <w:t>R-2001-0043)</w:t>
      </w:r>
      <w:r>
        <w:rPr/>
        <w:t>，本公司的软件产品新国都</w:t>
      </w:r>
      <w:r>
        <w:rPr>
          <w:rFonts w:ascii="Times New Roman" w:hAnsi="Times New Roman" w:cs="Times New Roman" w:eastAsia="Times New Roman" w:hint="default"/>
        </w:rPr>
        <w:t>POS</w:t>
      </w:r>
      <w:r>
        <w:rPr/>
        <w:t>软件</w:t>
      </w:r>
      <w:r>
        <w:rPr>
          <w:rFonts w:ascii="Times New Roman" w:hAnsi="Times New Roman" w:cs="Times New Roman" w:eastAsia="Times New Roman" w:hint="default"/>
        </w:rPr>
        <w:t>V2.0</w:t>
      </w:r>
      <w:r>
        <w:rPr/>
        <w:t>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 </w:t>
      </w:r>
      <w:r>
        <w:rPr>
          <w:spacing w:val="-2"/>
          <w:w w:val="99"/>
        </w:rPr>
        <w:t>通过了深圳市科技局的软件产品认证</w:t>
      </w:r>
      <w:r>
        <w:rPr>
          <w:rFonts w:ascii="Times New Roman" w:hAnsi="Times New Roman" w:cs="Times New Roman" w:eastAsia="Times New Roman" w:hint="default"/>
          <w:spacing w:val="-2"/>
          <w:w w:val="99"/>
        </w:rPr>
        <w:t>(</w:t>
      </w:r>
      <w:r>
        <w:rPr>
          <w:spacing w:val="-2"/>
          <w:w w:val="99"/>
        </w:rPr>
        <w:t>证书号码深</w:t>
      </w:r>
      <w:r>
        <w:rPr>
          <w:rFonts w:ascii="Times New Roman" w:hAnsi="Times New Roman" w:cs="Times New Roman" w:eastAsia="Times New Roman" w:hint="default"/>
          <w:spacing w:val="-2"/>
          <w:w w:val="99"/>
        </w:rPr>
        <w:t>DGY-2007-1230)</w:t>
      </w:r>
      <w:r>
        <w:rPr>
          <w:spacing w:val="-2"/>
          <w:w w:val="99"/>
        </w:rPr>
        <w:t>。本公司自</w:t>
      </w:r>
      <w:r>
        <w:rPr>
          <w:rFonts w:ascii="Times New Roman" w:hAnsi="Times New Roman" w:cs="Times New Roman" w:eastAsia="Times New Roman" w:hint="default"/>
          <w:spacing w:val="-2"/>
          <w:w w:val="99"/>
        </w:rPr>
        <w:t>2008</w:t>
      </w:r>
      <w:r>
        <w:rPr>
          <w:spacing w:val="-2"/>
          <w:w w:val="99"/>
        </w:rPr>
        <w:t>年</w:t>
      </w:r>
      <w:r>
        <w:rPr>
          <w:rFonts w:ascii="Times New Roman" w:hAnsi="Times New Roman" w:cs="Times New Roman" w:eastAsia="Times New Roman" w:hint="default"/>
          <w:spacing w:val="-2"/>
          <w:w w:val="99"/>
        </w:rPr>
        <w:t>4</w:t>
      </w:r>
      <w:r>
        <w:rPr>
          <w:spacing w:val="-2"/>
          <w:w w:val="99"/>
        </w:rPr>
        <w:t>月起对于销售的产品实行软硬件产品价</w:t>
      </w:r>
      <w:r>
        <w:rPr>
          <w:spacing w:val="-55"/>
          <w:w w:val="99"/>
        </w:rPr>
        <w:t> </w:t>
      </w:r>
      <w:r>
        <w:rPr>
          <w:spacing w:val="-55"/>
          <w:w w:val="99"/>
        </w:rPr>
      </w:r>
      <w:r>
        <w:rPr/>
        <w:t>格在合同中单独列示，并分别开具销售发票，单独核算软硬件产品收入</w:t>
      </w:r>
      <w:r>
        <w:rPr>
          <w:rFonts w:ascii="Times New Roman" w:hAnsi="Times New Roman" w:cs="Times New Roman" w:eastAsia="Times New Roman" w:hint="default"/>
        </w:rPr>
        <w:t>,</w:t>
      </w:r>
      <w:r>
        <w:rPr/>
        <w:t>并开始享受软件产品的增值税税收优惠政策。</w:t>
      </w:r>
    </w:p>
    <w:p>
      <w:pPr>
        <w:pStyle w:val="BodyText"/>
        <w:spacing w:line="451" w:lineRule="auto" w:before="43"/>
        <w:ind w:left="153" w:right="190" w:firstLine="360"/>
        <w:jc w:val="both"/>
      </w:pPr>
      <w:r>
        <w:rPr>
          <w:spacing w:val="-1"/>
        </w:rPr>
        <w:t>深圳市易联技术有限公司的软件产品：</w:t>
      </w:r>
      <w:r>
        <w:rPr>
          <w:rFonts w:ascii="Times New Roman" w:hAnsi="Times New Roman" w:cs="Times New Roman" w:eastAsia="Times New Roman" w:hint="default"/>
          <w:spacing w:val="-1"/>
        </w:rPr>
        <w:t>“</w:t>
      </w:r>
      <w:r>
        <w:rPr>
          <w:spacing w:val="-1"/>
        </w:rPr>
        <w:t>新国都移动终端应用软件</w:t>
      </w:r>
      <w:r>
        <w:rPr>
          <w:rFonts w:ascii="Times New Roman" w:hAnsi="Times New Roman" w:cs="Times New Roman" w:eastAsia="Times New Roman" w:hint="default"/>
          <w:spacing w:val="-1"/>
        </w:rPr>
        <w:t>V1.0”</w:t>
      </w:r>
      <w:r>
        <w:rPr>
          <w:spacing w:val="-1"/>
        </w:rPr>
        <w:t>和</w:t>
      </w:r>
      <w:r>
        <w:rPr>
          <w:rFonts w:ascii="Times New Roman" w:hAnsi="Times New Roman" w:cs="Times New Roman" w:eastAsia="Times New Roman" w:hint="default"/>
          <w:spacing w:val="-1"/>
        </w:rPr>
        <w:t>“</w:t>
      </w:r>
      <w:r>
        <w:rPr>
          <w:spacing w:val="-1"/>
        </w:rPr>
        <w:t>新国都</w:t>
      </w:r>
      <w:r>
        <w:rPr>
          <w:rFonts w:ascii="Times New Roman" w:hAnsi="Times New Roman" w:cs="Times New Roman" w:eastAsia="Times New Roman" w:hint="default"/>
          <w:spacing w:val="-1"/>
        </w:rPr>
        <w:t>SZM11</w:t>
      </w:r>
      <w:r>
        <w:rPr>
          <w:spacing w:val="-1"/>
        </w:rPr>
        <w:t>电子支付密码软件</w:t>
      </w:r>
      <w:r>
        <w:rPr>
          <w:rFonts w:ascii="Times New Roman" w:hAnsi="Times New Roman" w:cs="Times New Roman" w:eastAsia="Times New Roman" w:hint="default"/>
          <w:spacing w:val="-1"/>
        </w:rPr>
        <w:t>V4.0”</w:t>
      </w:r>
      <w:r>
        <w:rPr>
          <w:spacing w:val="-1"/>
        </w:rPr>
        <w:t>符合深</w:t>
      </w:r>
      <w:r>
        <w:rPr/>
        <w:t> </w:t>
      </w:r>
      <w:r>
        <w:rPr>
          <w:spacing w:val="-4"/>
        </w:rPr>
        <w:t>圳市人民政府《关于鼓励软件产业发展的若干政策》</w:t>
      </w:r>
      <w:r>
        <w:rPr>
          <w:rFonts w:ascii="Times New Roman" w:hAnsi="Times New Roman" w:cs="Times New Roman" w:eastAsia="Times New Roman" w:hint="default"/>
          <w:spacing w:val="-4"/>
        </w:rPr>
        <w:t>(2001-1-19)</w:t>
      </w:r>
      <w:r>
        <w:rPr>
          <w:spacing w:val="-4"/>
        </w:rPr>
        <w:t>的规定，并于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日获得上述两款软件的登记证书</w:t>
      </w:r>
      <w:r>
        <w:rPr>
          <w:rFonts w:ascii="Times New Roman" w:hAnsi="Times New Roman" w:cs="Times New Roman" w:eastAsia="Times New Roman" w:hint="default"/>
          <w:spacing w:val="-4"/>
        </w:rPr>
        <w:t>(</w:t>
      </w:r>
      <w:r>
        <w:rPr>
          <w:spacing w:val="-4"/>
        </w:rPr>
        <w:t>证</w:t>
      </w:r>
      <w:r>
        <w:rPr>
          <w:spacing w:val="-41"/>
        </w:rPr>
        <w:t> </w:t>
      </w:r>
      <w:r>
        <w:rPr>
          <w:spacing w:val="-2"/>
          <w:w w:val="99"/>
        </w:rPr>
        <w:t>书号码深</w:t>
      </w:r>
      <w:r>
        <w:rPr>
          <w:rFonts w:ascii="Times New Roman" w:hAnsi="Times New Roman" w:cs="Times New Roman" w:eastAsia="Times New Roman" w:hint="default"/>
          <w:spacing w:val="-2"/>
          <w:w w:val="99"/>
        </w:rPr>
        <w:t>DGY-2008-0172</w:t>
      </w:r>
      <w:r>
        <w:rPr>
          <w:spacing w:val="-2"/>
          <w:w w:val="99"/>
        </w:rPr>
        <w:t>和深</w:t>
      </w:r>
      <w:r>
        <w:rPr>
          <w:rFonts w:ascii="Times New Roman" w:hAnsi="Times New Roman" w:cs="Times New Roman" w:eastAsia="Times New Roman" w:hint="default"/>
          <w:spacing w:val="-2"/>
          <w:w w:val="99"/>
        </w:rPr>
        <w:t>DGY-2008-0173)</w:t>
      </w:r>
      <w:r>
        <w:rPr>
          <w:spacing w:val="-2"/>
          <w:w w:val="99"/>
        </w:rPr>
        <w:t>，深圳市易联技术有限公司自</w:t>
      </w:r>
      <w:r>
        <w:rPr>
          <w:rFonts w:ascii="Times New Roman" w:hAnsi="Times New Roman" w:cs="Times New Roman" w:eastAsia="Times New Roman" w:hint="default"/>
          <w:spacing w:val="-2"/>
          <w:w w:val="99"/>
        </w:rPr>
        <w:t>2008</w:t>
      </w:r>
      <w:r>
        <w:rPr>
          <w:spacing w:val="-2"/>
          <w:w w:val="99"/>
        </w:rPr>
        <w:t>年</w:t>
      </w:r>
      <w:r>
        <w:rPr>
          <w:rFonts w:ascii="Times New Roman" w:hAnsi="Times New Roman" w:cs="Times New Roman" w:eastAsia="Times New Roman" w:hint="default"/>
          <w:spacing w:val="-2"/>
          <w:w w:val="99"/>
        </w:rPr>
        <w:t>11</w:t>
      </w:r>
      <w:r>
        <w:rPr>
          <w:spacing w:val="-2"/>
          <w:w w:val="99"/>
        </w:rPr>
        <w:t>月开始享受软件产品的增值税税收优惠</w:t>
      </w:r>
      <w:r>
        <w:rPr>
          <w:spacing w:val="-44"/>
          <w:w w:val="99"/>
        </w:rPr>
        <w:t> </w:t>
      </w:r>
      <w:r>
        <w:rPr>
          <w:spacing w:val="-44"/>
          <w:w w:val="99"/>
        </w:rPr>
      </w:r>
      <w:r>
        <w:rPr/>
        <w:t>政策。</w:t>
      </w:r>
    </w:p>
    <w:p>
      <w:pPr>
        <w:pStyle w:val="BodyText"/>
        <w:spacing w:line="451" w:lineRule="auto" w:before="74"/>
        <w:ind w:left="153" w:right="192" w:firstLine="360"/>
        <w:jc w:val="both"/>
      </w:pPr>
      <w:r>
        <w:rPr>
          <w:spacing w:val="-4"/>
        </w:rPr>
        <w:t>根据</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日起执行的财税</w:t>
      </w:r>
      <w:r>
        <w:rPr>
          <w:rFonts w:ascii="Times New Roman" w:hAnsi="Times New Roman" w:cs="Times New Roman" w:eastAsia="Times New Roman" w:hint="default"/>
          <w:spacing w:val="-4"/>
        </w:rPr>
        <w:t>[2011]100</w:t>
      </w:r>
      <w:r>
        <w:rPr>
          <w:spacing w:val="-4"/>
        </w:rPr>
        <w:t>号《财政部、国家税务总局关于软件产品增值税政策的通知》的有关规定，</w:t>
      </w:r>
      <w:r>
        <w:rPr>
          <w:rFonts w:ascii="Times New Roman" w:hAnsi="Times New Roman" w:cs="Times New Roman" w:eastAsia="Times New Roman" w:hint="default"/>
          <w:spacing w:val="-4"/>
        </w:rPr>
        <w:t>“</w:t>
      </w:r>
      <w:r>
        <w:rPr>
          <w:spacing w:val="-4"/>
        </w:rPr>
        <w:t>增</w:t>
      </w:r>
      <w:r>
        <w:rPr/>
        <w:t> 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w:t>
      </w:r>
      <w:r>
        <w:rPr>
          <w:spacing w:val="-37"/>
        </w:rPr>
        <w:t> </w:t>
      </w:r>
      <w:r>
        <w:rPr>
          <w:spacing w:val="-37"/>
        </w:rPr>
      </w:r>
      <w:r>
        <w:rPr/>
        <w:t>即退政策</w:t>
      </w:r>
      <w:r>
        <w:rPr>
          <w:rFonts w:ascii="Times New Roman" w:hAnsi="Times New Roman" w:cs="Times New Roman" w:eastAsia="Times New Roman" w:hint="default"/>
        </w:rPr>
        <w:t>”</w:t>
      </w:r>
      <w:r>
        <w:rPr/>
        <w:t>，浙江中正智能科技有限公司于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日通过软件企业认证</w:t>
      </w:r>
      <w:r>
        <w:rPr>
          <w:rFonts w:ascii="Times New Roman" w:hAnsi="Times New Roman" w:cs="Times New Roman" w:eastAsia="Times New Roman" w:hint="default"/>
        </w:rPr>
        <w:t>(</w:t>
      </w:r>
      <w:r>
        <w:rPr/>
        <w:t>证书号码浙</w:t>
      </w:r>
      <w:r>
        <w:rPr>
          <w:rFonts w:ascii="Times New Roman" w:hAnsi="Times New Roman" w:cs="Times New Roman" w:eastAsia="Times New Roman" w:hint="default"/>
        </w:rPr>
        <w:t>R-2002-0057)</w:t>
      </w:r>
      <w:r>
        <w:rPr/>
        <w:t>，据此浙江中正科技</w:t>
      </w:r>
      <w:r>
        <w:rPr>
          <w:spacing w:val="-81"/>
        </w:rPr>
        <w:t> </w:t>
      </w:r>
      <w:r>
        <w:rPr/>
        <w:t>有限公司销售其自行开发生产的软件产品享受增值税退税优惠。</w:t>
      </w:r>
    </w:p>
    <w:p>
      <w:pPr>
        <w:pStyle w:val="BodyText"/>
        <w:spacing w:line="451" w:lineRule="auto" w:before="71"/>
        <w:ind w:left="513" w:right="94"/>
        <w:jc w:val="left"/>
      </w:pPr>
      <w:r>
        <w:rPr>
          <w:rFonts w:ascii="Times New Roman" w:hAnsi="Times New Roman" w:cs="Times New Roman" w:eastAsia="Times New Roman" w:hint="default"/>
        </w:rPr>
        <w:t>(2)</w:t>
      </w:r>
      <w:r>
        <w:rPr/>
        <w:t>企业所得税</w:t>
      </w:r>
      <w:r>
        <w:rPr>
          <w:w w:val="99"/>
        </w:rPr>
        <w:t> </w:t>
      </w:r>
      <w:r>
        <w:rPr>
          <w:spacing w:val="-1"/>
        </w:rPr>
        <w:t>本公司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日取得国家级高新技术企业证书，证书编号：</w:t>
      </w:r>
      <w:r>
        <w:rPr>
          <w:rFonts w:ascii="Times New Roman" w:hAnsi="Times New Roman" w:cs="Times New Roman" w:eastAsia="Times New Roman" w:hint="default"/>
          <w:spacing w:val="-1"/>
        </w:rPr>
        <w:t>GF201144200147</w:t>
      </w:r>
      <w:r>
        <w:rPr>
          <w:spacing w:val="-1"/>
        </w:rPr>
        <w:t>，有效期三年；</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日经复</w:t>
      </w:r>
    </w:p>
    <w:p>
      <w:pPr>
        <w:pStyle w:val="BodyText"/>
        <w:spacing w:line="451" w:lineRule="auto" w:before="43"/>
        <w:ind w:left="153" w:right="94"/>
        <w:jc w:val="left"/>
      </w:pPr>
      <w:r>
        <w:rPr/>
        <w:t>审后重新取得国家高新技术企业证书，证书编号：</w:t>
      </w:r>
      <w:r>
        <w:rPr>
          <w:rFonts w:ascii="Times New Roman" w:hAnsi="Times New Roman" w:cs="Times New Roman" w:eastAsia="Times New Roman" w:hint="default"/>
        </w:rPr>
        <w:t>GF201444201725</w:t>
      </w:r>
      <w:r>
        <w:rPr/>
        <w:t>，有效三年，</w:t>
      </w:r>
      <w:r>
        <w:rPr>
          <w:rFonts w:ascii="Times New Roman" w:hAnsi="Times New Roman" w:cs="Times New Roman" w:eastAsia="Times New Roman" w:hint="default"/>
        </w:rPr>
        <w:t>2015</w:t>
      </w:r>
      <w:r>
        <w:rPr/>
        <w:t>年度本公司企业所得税税率减按</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执行。</w:t>
      </w:r>
    </w:p>
    <w:p>
      <w:pPr>
        <w:pStyle w:val="BodyText"/>
        <w:spacing w:line="451" w:lineRule="auto" w:before="74"/>
        <w:ind w:left="153" w:right="192" w:firstLine="360"/>
        <w:jc w:val="both"/>
      </w:pPr>
      <w:r>
        <w:rPr/>
        <w:t>深圳市易联技术有限公司取得证书编号为</w:t>
      </w:r>
      <w:r>
        <w:rPr>
          <w:rFonts w:ascii="Times New Roman" w:hAnsi="Times New Roman" w:cs="Times New Roman" w:eastAsia="Times New Roman" w:hint="default"/>
        </w:rPr>
        <w:t>GR201444201682</w:t>
      </w:r>
      <w:r>
        <w:rPr/>
        <w:t>的国家高新企业证书，根据深圳市国家税务局深国税南减免 备案</w:t>
      </w:r>
      <w:r>
        <w:rPr>
          <w:rFonts w:ascii="Times New Roman" w:hAnsi="Times New Roman" w:cs="Times New Roman" w:eastAsia="Times New Roman" w:hint="default"/>
        </w:rPr>
        <w:t>[2015]890</w:t>
      </w:r>
      <w:r>
        <w:rPr/>
        <w:t>号的税务事项通知书，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的税率征收企业所得税。</w:t>
      </w:r>
    </w:p>
    <w:p>
      <w:pPr>
        <w:pStyle w:val="BodyText"/>
        <w:spacing w:line="451" w:lineRule="auto" w:before="43"/>
        <w:ind w:left="153" w:right="192" w:firstLine="360"/>
        <w:jc w:val="both"/>
      </w:pPr>
      <w:r>
        <w:rPr>
          <w:spacing w:val="-1"/>
        </w:rPr>
        <w:t>根据财税</w:t>
      </w:r>
      <w:r>
        <w:rPr>
          <w:rFonts w:ascii="Times New Roman" w:hAnsi="Times New Roman" w:cs="Times New Roman" w:eastAsia="Times New Roman" w:hint="default"/>
          <w:spacing w:val="-1"/>
        </w:rPr>
        <w:t>[2012]27</w:t>
      </w:r>
      <w:r>
        <w:rPr>
          <w:spacing w:val="-1"/>
        </w:rPr>
        <w:t>号《财政部、国家税务总局关于进一步鼓励软件产业和集成电路产业发展企业所得税政策的通知》和</w:t>
      </w:r>
      <w:r>
        <w:rPr/>
        <w:t> 南京市栖霞区国家税务局减免备案信息，南京市新国都技术有限公司</w:t>
      </w:r>
      <w:r>
        <w:rPr>
          <w:rFonts w:ascii="Times New Roman" w:hAnsi="Times New Roman" w:cs="Times New Roman" w:eastAsia="Times New Roman" w:hint="default"/>
        </w:rPr>
        <w:t>2015</w:t>
      </w:r>
      <w:r>
        <w:rPr/>
        <w:t>年度减半按</w:t>
      </w:r>
      <w:r>
        <w:rPr>
          <w:rFonts w:ascii="Times New Roman" w:hAnsi="Times New Roman" w:cs="Times New Roman" w:eastAsia="Times New Roman" w:hint="default"/>
        </w:rPr>
        <w:t>12.5%</w:t>
      </w:r>
      <w:r>
        <w:rPr/>
        <w:t>征收企业所得税。</w:t>
      </w:r>
    </w:p>
    <w:p>
      <w:pPr>
        <w:pStyle w:val="BodyText"/>
        <w:spacing w:line="451" w:lineRule="auto" w:before="43"/>
        <w:ind w:left="153" w:right="192" w:firstLine="360"/>
        <w:jc w:val="both"/>
      </w:pPr>
      <w:r>
        <w:rPr>
          <w:spacing w:val="-4"/>
        </w:rPr>
        <w:t>浙江中正智能科技有限公司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29</w:t>
      </w:r>
      <w:r>
        <w:rPr>
          <w:spacing w:val="-4"/>
        </w:rPr>
        <w:t>日取得国家高新技术企业证书，证书编号：</w:t>
      </w:r>
      <w:r>
        <w:rPr>
          <w:rFonts w:ascii="Times New Roman" w:hAnsi="Times New Roman" w:cs="Times New Roman" w:eastAsia="Times New Roman" w:hint="default"/>
          <w:spacing w:val="-4"/>
        </w:rPr>
        <w:t>GR201433000480</w:t>
      </w:r>
      <w:r>
        <w:rPr>
          <w:spacing w:val="-4"/>
        </w:rPr>
        <w:t>，有效期三年，</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2"/>
        </w:rPr>
        <w:t> </w:t>
      </w:r>
      <w:r>
        <w:rPr/>
        <w:t>年度企业所得税税率减按</w:t>
      </w:r>
      <w:r>
        <w:rPr>
          <w:rFonts w:ascii="Times New Roman" w:hAnsi="Times New Roman" w:cs="Times New Roman" w:eastAsia="Times New Roman" w:hint="default"/>
        </w:rPr>
        <w:t>15%</w:t>
      </w:r>
      <w:r>
        <w:rPr/>
        <w:t>执行。</w:t>
      </w:r>
    </w:p>
    <w:p>
      <w:pPr>
        <w:pStyle w:val="BodyText"/>
        <w:spacing w:line="451" w:lineRule="auto" w:before="43"/>
        <w:ind w:left="153" w:right="93" w:firstLine="360"/>
        <w:jc w:val="left"/>
      </w:pPr>
      <w:r>
        <w:rPr/>
        <w:t>苏州新国都公司取得编号为苏</w:t>
      </w:r>
      <w:r>
        <w:rPr>
          <w:rFonts w:ascii="Times New Roman" w:hAnsi="Times New Roman" w:cs="Times New Roman" w:eastAsia="Times New Roman" w:hint="default"/>
        </w:rPr>
        <w:t>R-2015-E0088</w:t>
      </w:r>
      <w:r>
        <w:rPr/>
        <w:t>号的软件企业证书，根据财税（</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001</w:t>
      </w:r>
      <w:r>
        <w:rPr/>
        <w:t>号，财税（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号以及国 家税务总局</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43</w:t>
      </w:r>
      <w:r>
        <w:rPr/>
        <w:t>号公告文件的规定，苏州新国都公司符合软件企业的认定条件，可以享受两免三减半的所得税优惠， </w:t>
      </w:r>
      <w:r>
        <w:rPr>
          <w:rFonts w:ascii="Times New Roman" w:hAnsi="Times New Roman" w:cs="Times New Roman" w:eastAsia="Times New Roman" w:hint="default"/>
        </w:rPr>
        <w:t>2015</w:t>
      </w:r>
      <w:r>
        <w:rPr/>
        <w:t>年度免征企业所得税。</w:t>
      </w:r>
    </w:p>
    <w:p>
      <w:pPr>
        <w:spacing w:after="0" w:line="451"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spacing w:line="487" w:lineRule="auto" w:before="36"/>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3、其他" w:id="215"/>
      <w:bookmarkEnd w:id="215"/>
      <w:r>
        <w:rPr>
          <w:rFonts w:ascii="宋体" w:hAnsi="宋体" w:cs="宋体" w:eastAsia="宋体" w:hint="default"/>
          <w:b/>
          <w:bCs/>
          <w:w w:val="100"/>
          <w:sz w:val="21"/>
          <w:szCs w:val="21"/>
        </w:rPr>
      </w:r>
      <w:bookmarkStart w:name="七、合并财务报表项目注释" w:id="216"/>
      <w:bookmarkEnd w:id="216"/>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7"/>
      <w:bookmarkEnd w:id="2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99,745.11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388,801,519.89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496,643,593.64</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39,330,241.88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19,226,665.98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428,153,435.05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515,970,004.73</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2,737,189.03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以公允价值计量且其变动计入当期损益的金融资产" w:id="218"/>
      <w:bookmarkEnd w:id="21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714"/>
        <w:jc w:val="left"/>
      </w:pPr>
      <w:r>
        <w:rPr/>
        <w:t>其他说明： 此金额为年底计提的结构性存款收益。</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19"/>
      <w:bookmarkEnd w:id="21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应收票据" w:id="220"/>
      <w:bookmarkEnd w:id="22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票据分类列示"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56,279,381.02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75,755,288.58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56,779,381.02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75,755,288.58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期末公司已质押的应收票据" w:id="222"/>
      <w:bookmarkEnd w:id="22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w:id="223"/>
      <w:bookmarkEnd w:id="22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因出票人未履约而将其转应收账款的票据" w:id="224"/>
      <w:bookmarkEnd w:id="22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应收账款" w:id="225"/>
      <w:bookmarkEnd w:id="22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账款分类披露"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387,864,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836.89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29,567,3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82.05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358,297,4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54.84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319,187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,964.41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20,082,00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3.95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299,105,96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0.46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387,864,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836.89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29,567,3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82.05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358,297,4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54.84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319,187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,964.41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20,082,00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3.95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299,105,96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0.46</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7"/>
        <w:gridCol w:w="2393"/>
        <w:gridCol w:w="2380"/>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170"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4D4D4"/>
          </w:tcPr>
          <w:p>
            <w:pPr/>
          </w:p>
        </w:tc>
        <w:tc>
          <w:tcPr>
            <w:tcW w:w="2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7"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8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4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32" w:right="0"/>
              <w:jc w:val="left"/>
              <w:rPr>
                <w:rFonts w:ascii="Times New Roman" w:hAnsi="Times New Roman" w:cs="Times New Roman" w:eastAsia="Times New Roman" w:hint="default"/>
                <w:sz w:val="18"/>
                <w:szCs w:val="18"/>
              </w:rPr>
            </w:pPr>
            <w:r>
              <w:rPr>
                <w:rFonts w:ascii="Times New Roman"/>
                <w:sz w:val="18"/>
              </w:rPr>
              <w:t>355,285,323.82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17,764,266.20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23,845,893.16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4,769,178.63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3,399,365.38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1,699,682.69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5,334,254.53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5,334,254.53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387,864,836.89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29,567,382.05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7.60%</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13"/>
        <w:jc w:val="left"/>
      </w:pPr>
      <w:r>
        <w:rPr/>
        <w:t>本期计提坏账准备金额</w:t>
      </w:r>
      <w:r>
        <w:rPr>
          <w:spacing w:val="-48"/>
        </w:rPr>
        <w:t> </w:t>
      </w:r>
      <w:r>
        <w:rPr>
          <w:rFonts w:ascii="Times New Roman" w:hAnsi="Times New Roman" w:cs="Times New Roman" w:eastAsia="Times New Roman" w:hint="default"/>
        </w:rPr>
        <w:t>9,485,378.10</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321,530.00</w:t>
            </w:r>
          </w:p>
        </w:tc>
      </w:tr>
    </w:tbl>
    <w:p>
      <w:pPr>
        <w:pStyle w:val="BodyText"/>
        <w:spacing w:line="240" w:lineRule="auto" w:before="49"/>
        <w:ind w:right="0"/>
        <w:jc w:val="left"/>
      </w:pPr>
      <w:r>
        <w:rPr/>
        <w:t>其中重要的应收账款核销情况：</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武汉鑫邦诚消费科 技服务有限公司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上海和付信息技术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江苏吴江农村商业 银行股份有限公司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达州市邮政局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0"/>
              <w:jc w:val="right"/>
              <w:rPr>
                <w:rFonts w:ascii="宋体" w:hAnsi="宋体" w:cs="宋体" w:eastAsia="宋体" w:hint="default"/>
                <w:sz w:val="18"/>
                <w:szCs w:val="18"/>
              </w:rPr>
            </w:pPr>
            <w:r>
              <w:rPr>
                <w:rFonts w:ascii="宋体" w:hAnsi="宋体" w:cs="宋体" w:eastAsia="宋体" w:hint="default"/>
                <w:sz w:val="18"/>
                <w:szCs w:val="18"/>
              </w:rPr>
              <w:t>孝感市邮政局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悦得通信科技（上 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0"/>
              <w:jc w:val="right"/>
              <w:rPr>
                <w:rFonts w:ascii="宋体" w:hAnsi="宋体" w:cs="宋体" w:eastAsia="宋体" w:hint="default"/>
                <w:sz w:val="18"/>
                <w:szCs w:val="18"/>
              </w:rPr>
            </w:pPr>
            <w:r>
              <w:rPr>
                <w:rFonts w:ascii="宋体" w:hAnsi="宋体" w:cs="宋体" w:eastAsia="宋体" w:hint="default"/>
                <w:sz w:val="18"/>
                <w:szCs w:val="18"/>
              </w:rPr>
              <w:t>承德市邮政局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中国邮政邮储银行 保定市分行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顺联万利商业广场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广州兆达网络技术 上海分公司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深圳市快捷通智能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中国邮政邮储银行 乌海市分行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中国邮政邮储银行 兴安盟分行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江西乐安县供电有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321,530.00</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按欠款方归集的期末余额前五名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352" w:type="dxa"/>
        <w:tblLayout w:type="fixed"/>
        <w:tblCellMar>
          <w:top w:w="0" w:type="dxa"/>
          <w:left w:w="0" w:type="dxa"/>
          <w:bottom w:w="0" w:type="dxa"/>
          <w:right w:w="0" w:type="dxa"/>
        </w:tblCellMar>
        <w:tblLook w:val="01E0"/>
      </w:tblPr>
      <w:tblGrid>
        <w:gridCol w:w="3118"/>
        <w:gridCol w:w="1442"/>
        <w:gridCol w:w="1726"/>
        <w:gridCol w:w="1176"/>
        <w:gridCol w:w="1764"/>
      </w:tblGrid>
      <w:tr>
        <w:trPr>
          <w:trHeight w:val="65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84" w:right="62" w:hanging="720"/>
              <w:jc w:val="left"/>
              <w:rPr>
                <w:rFonts w:ascii="宋体" w:hAnsi="宋体" w:cs="宋体" w:eastAsia="宋体" w:hint="default"/>
                <w:sz w:val="18"/>
                <w:szCs w:val="18"/>
              </w:rPr>
            </w:pPr>
            <w:r>
              <w:rPr>
                <w:rFonts w:ascii="宋体" w:hAnsi="宋体" w:cs="宋体" w:eastAsia="宋体" w:hint="default"/>
                <w:sz w:val="18"/>
                <w:szCs w:val="18"/>
              </w:rPr>
              <w:t>占应收账款总额的比 例</w:t>
            </w:r>
          </w:p>
        </w:tc>
      </w:tr>
      <w:tr>
        <w:trPr>
          <w:trHeight w:val="348"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108,530,299.87</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27.98%</w:t>
            </w:r>
          </w:p>
        </w:tc>
      </w:tr>
      <w:tr>
        <w:trPr>
          <w:trHeight w:val="348"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3,774,934.02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0.97%</w:t>
            </w:r>
          </w:p>
        </w:tc>
      </w:tr>
      <w:tr>
        <w:trPr>
          <w:trHeight w:val="346"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87,250,688.09</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22.50%</w:t>
            </w:r>
          </w:p>
        </w:tc>
      </w:tr>
      <w:tr>
        <w:trPr>
          <w:trHeight w:val="348"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8,111,341.95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2.09%</w:t>
            </w:r>
          </w:p>
        </w:tc>
      </w:tr>
      <w:tr>
        <w:trPr>
          <w:trHeight w:val="346"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123,160.00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0.03%</w:t>
            </w:r>
          </w:p>
        </w:tc>
      </w:tr>
      <w:tr>
        <w:trPr>
          <w:trHeight w:val="348"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24,400.00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0.01%</w:t>
            </w:r>
          </w:p>
        </w:tc>
      </w:tr>
      <w:tr>
        <w:trPr>
          <w:trHeight w:val="34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61,823,014.96</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15.94%</w:t>
            </w:r>
          </w:p>
        </w:tc>
      </w:tr>
      <w:tr>
        <w:trPr>
          <w:trHeight w:val="346"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11,703,436.40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3.02%</w:t>
            </w:r>
          </w:p>
        </w:tc>
      </w:tr>
      <w:tr>
        <w:trPr>
          <w:trHeight w:val="348"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9,071,419.55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2.34%</w:t>
            </w:r>
          </w:p>
        </w:tc>
      </w:tr>
      <w:tr>
        <w:trPr>
          <w:trHeight w:val="346"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1,374,907.17</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0.35%</w:t>
            </w:r>
          </w:p>
        </w:tc>
      </w:tr>
      <w:tr>
        <w:trPr>
          <w:trHeight w:val="348"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845.40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0.00%</w:t>
            </w:r>
          </w:p>
        </w:tc>
      </w:tr>
      <w:tr>
        <w:trPr>
          <w:trHeight w:val="346"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195,872.00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0.05%</w:t>
            </w:r>
          </w:p>
        </w:tc>
      </w:tr>
      <w:tr>
        <w:trPr>
          <w:trHeight w:val="34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291,984,319.41</w:t>
            </w:r>
          </w:p>
        </w:tc>
        <w:tc>
          <w:tcPr>
            <w:tcW w:w="1176"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75.28%</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5）因金融资产转移而终止确认的应收账款"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转移应收账款且继续涉入形成的资产、负债金额"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6、预付款项" w:id="232"/>
      <w:bookmarkEnd w:id="23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预付款项按账龄列示"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4,058,759.39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2,860,158.14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332,677.65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353,228.22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4,466,437.04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3,213,386.36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435" w:type="dxa"/>
        <w:tblLayout w:type="fixed"/>
        <w:tblCellMar>
          <w:top w:w="0" w:type="dxa"/>
          <w:left w:w="0" w:type="dxa"/>
          <w:bottom w:w="0" w:type="dxa"/>
          <w:right w:w="0" w:type="dxa"/>
        </w:tblCellMar>
        <w:tblLook w:val="01E0"/>
      </w:tblPr>
      <w:tblGrid>
        <w:gridCol w:w="2681"/>
        <w:gridCol w:w="1366"/>
        <w:gridCol w:w="1301"/>
        <w:gridCol w:w="1375"/>
        <w:gridCol w:w="2335"/>
      </w:tblGrid>
      <w:tr>
        <w:trPr>
          <w:trHeight w:val="348"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6"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1,741,561.25</w:t>
            </w:r>
            <w:r>
              <w:rPr>
                <w:rFonts w:ascii="Times New Roman"/>
                <w:sz w:val="18"/>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8"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220,214.00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6"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217,139.99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8"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198,558.83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8"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179,555.00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6" w:hRule="exact"/>
        </w:trPr>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2,557,029.07</w:t>
            </w:r>
            <w:r>
              <w:rPr>
                <w:rFonts w:ascii="Times New Roman"/>
                <w:sz w:val="18"/>
              </w:rPr>
            </w:r>
          </w:p>
        </w:tc>
        <w:tc>
          <w:tcPr>
            <w:tcW w:w="1375" w:type="dxa"/>
            <w:tcBorders>
              <w:top w:val="single" w:sz="6" w:space="0" w:color="000000"/>
              <w:left w:val="single" w:sz="6" w:space="0" w:color="000000"/>
              <w:bottom w:val="single" w:sz="6" w:space="0" w:color="000000"/>
              <w:right w:val="single" w:sz="6" w:space="0" w:color="000000"/>
            </w:tcBorders>
          </w:tcPr>
          <w:p>
            <w:pPr/>
          </w:p>
        </w:tc>
        <w:tc>
          <w:tcPr>
            <w:tcW w:w="23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应收利息" w:id="235"/>
      <w:bookmarkEnd w:id="23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利息分类"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65,670.45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1,856,222.19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1,856,222.19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逾期利息" w:id="237"/>
      <w:bookmarkEnd w:id="23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8、应收股利" w:id="238"/>
      <w:bookmarkEnd w:id="23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股利"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240"/>
      <w:bookmarkEnd w:id="240"/>
      <w:r>
        <w:rPr>
          <w:b w:val="0"/>
          <w:bCs w:val="0"/>
        </w:rPr>
      </w: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9、其他应收款" w:id="241"/>
      <w:bookmarkEnd w:id="24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其他应收款分类披露"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8,566,10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3,314,25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38.69%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5,251,857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7,854,9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47.82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1,765,382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6,089,565.6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9,066,10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8.46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3,814,25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42.07%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5,251,857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7,854,9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47.82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1,765,382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22.47%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6,089,565.6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9"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6" w:right="0"/>
              <w:jc w:val="left"/>
              <w:rPr>
                <w:rFonts w:ascii="Times New Roman" w:hAnsi="Times New Roman" w:cs="Times New Roman" w:eastAsia="Times New Roman" w:hint="default"/>
                <w:sz w:val="18"/>
                <w:szCs w:val="18"/>
              </w:rPr>
            </w:pPr>
            <w:r>
              <w:rPr>
                <w:rFonts w:ascii="Times New Roman"/>
                <w:sz w:val="18"/>
              </w:rPr>
              <w:t>3,943,921.66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7" w:right="0"/>
              <w:jc w:val="left"/>
              <w:rPr>
                <w:rFonts w:ascii="Times New Roman" w:hAnsi="Times New Roman" w:cs="Times New Roman" w:eastAsia="Times New Roman" w:hint="default"/>
                <w:sz w:val="18"/>
                <w:szCs w:val="18"/>
              </w:rPr>
            </w:pPr>
            <w:r>
              <w:rPr>
                <w:rFonts w:ascii="Times New Roman"/>
                <w:sz w:val="18"/>
              </w:rPr>
              <w:t>197,196.09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3,943,921.66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197,196.09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1,114,498.83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222,899.76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1,227,065.08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613,532.54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2,280,622.89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2,280,622.89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8,566,108.46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3,314,251.28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38.69%</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566,405.09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244"/>
      <w:bookmarkEnd w:id="24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245"/>
      <w:bookmarkEnd w:id="2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1,910,529.40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1,552,679.61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5,998,327.84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6,177,186.26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639,920.22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125,081.95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517,331.00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9,066,108.46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7,854,947.82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按欠款方归集的期末余额前五名的其他应收款情况" w:id="246"/>
      <w:bookmarkEnd w:id="24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北京市海淀区人民 法院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1,159,920.00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1,159,920.00</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昆山财政局花桥支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昆山财政局花桥支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北京瑞天启明科技 发展有限责任公司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深圳高新区开发建 设公司管理处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1,093.01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深圳高新区开发建 设公司管理处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437,079.57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87,415.91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深圳高新区开发建 设公司管理处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9,435.69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4,397,295.50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1,831,314.61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47"/>
      <w:bookmarkEnd w:id="24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248"/>
      <w:bookmarkEnd w:id="24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转移其他应收款且继续涉入形成的资产、负债金额"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0、存货" w:id="250"/>
      <w:bookmarkEnd w:id="250"/>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存货分类"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27,079,296.25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922,031.67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26,157,264.58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26,264,411.71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1,156,324.92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25,108,086.79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5,213,657.72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5,213,657.72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3,170,718.70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3,170,718.70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16,503,255.09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2,663,330.27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13,839,924.82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5,049,967.93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98,688.36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4,951,279.57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27,206,162.34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27,206,162.34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3,854,858.07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3,854,858.07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71,998,270.40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5,199,498.40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66,798,772.00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56,568,148.38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2,625,590.37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53,942,558.01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58,970,149.28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58,970,149.28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36,473,280.71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93,675.85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36,379,604.86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206,970,791.08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8,784,860.34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198,185,930.74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131,381,385.50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3,974,279.50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127,407,106.00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1,156,324.92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74,856.40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290,107.32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80,285.69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518,971.28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922,031.67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98,688.36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2,502,633.94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114,709.30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200,826.32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2,663,330.27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2,625,590.37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2,774,734.35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52,701.33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5,199,498.40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93,675.85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93,675.85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3,974,279.50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5,352,224.69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404,816.62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132,987.02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813,473.45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8,784,860.34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期末建造合同形成的已完工未结算资产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1、划分为持有待售的资产" w:id="255"/>
      <w:bookmarkEnd w:id="255"/>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2、一年内到期的非流动资产" w:id="256"/>
      <w:bookmarkEnd w:id="25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3、其他流动资产" w:id="257"/>
      <w:bookmarkEnd w:id="25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871,991.00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871,991.00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待抵扣的进项税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9,670,285.73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6,621,820.49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136,569.43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66,678,846.16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7,493,811.49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4、可供出售金融资产" w:id="258"/>
      <w:bookmarkEnd w:id="25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可供出售金融资产情况"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4"/>
        <w:gridCol w:w="1198"/>
        <w:gridCol w:w="1195"/>
        <w:gridCol w:w="1248"/>
        <w:gridCol w:w="1368"/>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3,121,250.00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60"/>
      <w:bookmarkEnd w:id="26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按成本计量的可供出售金融资产" w:id="261"/>
      <w:bookmarkEnd w:id="26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杭州磐联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240,000.00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报告期内可供出售金融资产减值的变动情况" w:id="262"/>
      <w:bookmarkEnd w:id="26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可供出售权益工具期末公允价值严重下跌或非暂时性下跌但未计提减值准备的相关说" w:id="263"/>
      <w:bookmarkEnd w:id="26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49"/>
        <w:ind w:right="6174"/>
        <w:jc w:val="left"/>
      </w:pPr>
      <w:r>
        <w:rPr/>
        <w:t>其他说明 本期增加为非同一控制下收购浙江中正带入。</w:t>
      </w:r>
    </w:p>
    <w:p>
      <w:pPr>
        <w:pStyle w:val="BodyText"/>
        <w:spacing w:line="237" w:lineRule="exact"/>
        <w:ind w:right="0"/>
        <w:jc w:val="left"/>
      </w:pPr>
      <w:r>
        <w:rPr/>
        <w:t>本期减少为非同一控制下收购</w:t>
      </w:r>
      <w:r>
        <w:rPr>
          <w:rFonts w:ascii="Times New Roman" w:hAnsi="Times New Roman" w:cs="Times New Roman" w:eastAsia="Times New Roman" w:hint="default"/>
        </w:rPr>
        <w:t>Exadigm,Inc.</w:t>
      </w:r>
      <w:r>
        <w:rPr/>
        <w:t>剩余全部股权后转出。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bookmarkStart w:name="15、持有至到期投资" w:id="264"/>
      <w:bookmarkEnd w:id="26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持有至到期投资情况"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重要的持有至到期投资" w:id="266"/>
      <w:bookmarkEnd w:id="26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重分类的持有至到期投资" w:id="267"/>
      <w:bookmarkEnd w:id="26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应收款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因金融资产转移而终止确认的长期应收款" w:id="270"/>
      <w:bookmarkEnd w:id="270"/>
      <w:r>
        <w:rPr/>
      </w:r>
      <w:bookmarkStart w:name="（3）转移长期应收款且继续涉入形成的资产、负债金额"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7、长期股权投资" w:id="272"/>
      <w:bookmarkEnd w:id="27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深圳市瑞 柏泰电子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3,934,689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28,461,29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深圳市大 拿科技有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-2,750,45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47,249,54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75,710,83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75,710,83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7"/>
        <w:ind w:right="150"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日，本公司与深圳市瑞柏泰电子有限公司股东蔡敏签署了《关于受让深圳市瑞柏泰电子有限公司</w:t>
      </w:r>
      <w:r>
        <w:rPr>
          <w:rFonts w:ascii="Times New Roman" w:hAnsi="Times New Roman" w:cs="Times New Roman" w:eastAsia="Times New Roman" w:hint="default"/>
          <w:spacing w:val="-1"/>
        </w:rPr>
        <w:t>20%</w:t>
      </w:r>
      <w:r>
        <w:rPr>
          <w:spacing w:val="-1"/>
        </w:rPr>
        <w:t>股权</w:t>
      </w:r>
      <w:r>
        <w:rPr/>
        <w:t> </w:t>
      </w:r>
      <w:r>
        <w:rPr>
          <w:spacing w:val="-1"/>
        </w:rPr>
        <w:t>的股权受让合同》，本公司以人民币</w:t>
      </w:r>
      <w:r>
        <w:rPr>
          <w:rFonts w:ascii="Times New Roman" w:hAnsi="Times New Roman" w:cs="Times New Roman" w:eastAsia="Times New Roman" w:hint="default"/>
          <w:spacing w:val="-1"/>
        </w:rPr>
        <w:t>2,000.00</w:t>
      </w:r>
      <w:r>
        <w:rPr>
          <w:spacing w:val="-1"/>
        </w:rPr>
        <w:t>万元的价格受让深圳市瑞柏泰电子有限公司</w:t>
      </w:r>
      <w:r>
        <w:rPr>
          <w:rFonts w:ascii="Times New Roman" w:hAnsi="Times New Roman" w:cs="Times New Roman" w:eastAsia="Times New Roman" w:hint="default"/>
          <w:spacing w:val="-1"/>
        </w:rPr>
        <w:t>20%</w:t>
      </w:r>
      <w:r>
        <w:rPr>
          <w:spacing w:val="-1"/>
        </w:rPr>
        <w:t>的股权，</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日深圳市</w:t>
      </w:r>
      <w:r>
        <w:rPr>
          <w:spacing w:val="-85"/>
        </w:rPr>
        <w:t> </w:t>
      </w:r>
      <w:r>
        <w:rPr>
          <w:spacing w:val="-85"/>
        </w:rPr>
      </w:r>
      <w:r>
        <w:rPr/>
        <w:t>瑞柏泰电子有限公司完成工商变更。</w:t>
      </w:r>
    </w:p>
    <w:p>
      <w:pPr>
        <w:pStyle w:val="BodyText"/>
        <w:spacing w:line="300" w:lineRule="auto" w:before="31"/>
        <w:ind w:right="150" w:firstLine="35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日，本公司与深圳市大拿科技有限公司（以下简称</w:t>
      </w:r>
      <w:r>
        <w:rPr>
          <w:rFonts w:ascii="Times New Roman" w:hAnsi="Times New Roman" w:cs="Times New Roman" w:eastAsia="Times New Roman" w:hint="default"/>
          <w:spacing w:val="-2"/>
        </w:rPr>
        <w:t>“</w:t>
      </w:r>
      <w:r>
        <w:rPr>
          <w:spacing w:val="-2"/>
        </w:rPr>
        <w:t>大拿科技</w:t>
      </w:r>
      <w:r>
        <w:rPr>
          <w:rFonts w:ascii="Times New Roman" w:hAnsi="Times New Roman" w:cs="Times New Roman" w:eastAsia="Times New Roman" w:hint="default"/>
          <w:spacing w:val="-2"/>
        </w:rPr>
        <w:t>”</w:t>
      </w:r>
      <w:r>
        <w:rPr>
          <w:spacing w:val="-2"/>
        </w:rPr>
        <w:t>）及其全体股东签署了《增资协议书》，本公</w:t>
      </w:r>
      <w:r>
        <w:rPr/>
        <w:t> 司以人民币</w:t>
      </w:r>
      <w:r>
        <w:rPr>
          <w:rFonts w:ascii="Times New Roman" w:hAnsi="Times New Roman" w:cs="Times New Roman" w:eastAsia="Times New Roman" w:hint="default"/>
        </w:rPr>
        <w:t>5,000.00</w:t>
      </w:r>
      <w:r>
        <w:rPr/>
        <w:t>万元向大拿科技增资，增资完成后本公司持有大拿科技</w:t>
      </w:r>
      <w:r>
        <w:rPr>
          <w:rFonts w:ascii="Times New Roman" w:hAnsi="Times New Roman" w:cs="Times New Roman" w:eastAsia="Times New Roman" w:hint="default"/>
        </w:rPr>
        <w:t>30%</w:t>
      </w:r>
      <w:r>
        <w:rPr/>
        <w:t>的股权。</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8、投资性房地产" w:id="273"/>
      <w:bookmarkEnd w:id="27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采用成本计量模式的投资性房地产"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75"/>
      <w:bookmarkEnd w:id="27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未办妥产权证书的投资性房地产情况" w:id="276"/>
      <w:bookmarkEnd w:id="27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9、固定资产" w:id="277"/>
      <w:bookmarkEnd w:id="27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固定资产情况"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4" w:space="0" w:color="000000"/>
              <w:left w:val="single" w:sz="10" w:space="0" w:color="E1FFFF"/>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2,061,404.85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2,153,082.75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4,069,394.70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21,680,497.59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13,438,118.08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43,402,497.97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914,662.00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11,965.82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89,376.02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26,752,848.16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4,751,772.72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32,520,624.72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3,402,582.40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1,099,028.81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6,866,449.97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11,368,061.18</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462,625.00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13,208,331.47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13,726,239.66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2,976,066.85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2,165,048.57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7,098,728.12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36,324,043.09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25,001,057.58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73,564,944.21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218,198.51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1,229,152.93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2,826,376.67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5,060,918.43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7,086,556.61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16,421,203.15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68,105.77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299,858.56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768,976.86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4,148,835.38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2,362,878.29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7,648,654.86</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2,123,935.97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270,887.02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6,047,782.14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8,442,605.13</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371,031.60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2,076,662.27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52,519.03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2,500,212.90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286,304.28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1,529,011.49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5,348,257.90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7,403,978.56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15,444,698.01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30,012,250.24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2,689,762.57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636,037.08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1,750,470.22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28,920,064.53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9,556,359.57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43,552,693.97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1,843,206.34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923,929.82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1,243,018.03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16,619,579.16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6,351,561.47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26,981,294.82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暂时闲置的固定资产情况" w:id="279"/>
      <w:bookmarkEnd w:id="27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280"/>
      <w:bookmarkEnd w:id="28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81"/>
      <w:bookmarkEnd w:id="28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29,024,300.75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办妥产权证书的固定资产情况" w:id="282"/>
      <w:bookmarkEnd w:id="28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0、在建工程" w:id="283"/>
      <w:bookmarkEnd w:id="28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在建工程情况"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苏州电子支付研 发基地项目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296,925,757.82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296,925,757.82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230,792,939.85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230,792,939.85</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296,925,757.82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296,925,757.82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230,792,939.85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230,792,939.85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85"/>
      <w:bookmarkEnd w:id="28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电子支 付研发 苏州基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307,992,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944.25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230,792,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939.85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66,132,8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296,925,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757.82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96.41%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96.41%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307,992,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944.25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230,792,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939.85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66,132,8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296,925,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757.82</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86"/>
      <w:bookmarkEnd w:id="28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1、工程物资" w:id="287"/>
      <w:bookmarkEnd w:id="28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2、固定资产清理" w:id="288"/>
      <w:bookmarkEnd w:id="28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3、生产性生物资产" w:id="289"/>
      <w:bookmarkEnd w:id="28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采用成本计量模式的生产性生物资产"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1"/>
      <w:bookmarkEnd w:id="29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4、油气资产" w:id="292"/>
      <w:bookmarkEnd w:id="29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5、无形资产" w:id="293"/>
      <w:bookmarkEnd w:id="29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无形资产情况"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2"/>
        <w:gridCol w:w="1208"/>
        <w:gridCol w:w="1195"/>
        <w:gridCol w:w="1195"/>
        <w:gridCol w:w="1198"/>
        <w:gridCol w:w="1195"/>
        <w:gridCol w:w="1195"/>
        <w:gridCol w:w="1198"/>
      </w:tblGrid>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软件</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33,376,838.80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3,269,778.13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36,646,616.93</w:t>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1,813,516.38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1,813,516.38</w:t>
            </w:r>
            <w:r>
              <w:rPr>
                <w:rFonts w:ascii="Times New Roman"/>
                <w:sz w:val="18"/>
              </w:rPr>
            </w:r>
          </w:p>
        </w:tc>
      </w:tr>
      <w:tr>
        <w:trPr>
          <w:trHeight w:val="71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20"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20"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44,943,157.89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837,161.90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30,557.36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147,917.71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45,958,794.86</w:t>
            </w:r>
          </w:p>
        </w:tc>
      </w:tr>
      <w:tr>
        <w:trPr>
          <w:trHeight w:val="401" w:hRule="exact"/>
        </w:trPr>
        <w:tc>
          <w:tcPr>
            <w:tcW w:w="117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tc>
        <w:tc>
          <w:tcPr>
            <w:tcW w:w="120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33,376,838.80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44,943,157.89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5,920,456.41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30,557.36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147,917.71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84,418,928.17</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2,655,188.81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1,445,159.67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4,100,348.48</w:t>
            </w:r>
            <w:r>
              <w:rPr>
                <w:rFonts w:ascii="Times New Roman"/>
                <w:sz w:val="18"/>
              </w:rPr>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633,280.20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4,993,684.21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807,533.27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3,395.26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6,437,892.94</w:t>
            </w:r>
            <w:r>
              <w:rPr>
                <w:rFonts w:ascii="Times New Roman"/>
                <w:sz w:val="18"/>
              </w:rPr>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371,547.38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371,547.38</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3,288,469.01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4,993,684.21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2,624,240.32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3,395.26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10,909,788.80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30,088,369.79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39,949,473.68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3,296,216.09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27,162.10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147,917.71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73,509,139.37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30,721,649.99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1,824,618.46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32,546,268.45</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95"/>
      <w:bookmarkEnd w:id="29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6、开发支出" w:id="296"/>
      <w:bookmarkEnd w:id="29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7"/>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商誉" w:id="297"/>
      <w:bookmarkEnd w:id="29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商誉账面原值"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139,753,563.89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139,753,563.89</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ExaDigm,Inc</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36,293,613.94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176,047,177.83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176,047,177.83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99"/>
      <w:bookmarkEnd w:id="29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ExaDigm,Inc</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说明商誉减值测试过程、参数及商誉减值损失的确认方法：</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其他说明：</w:t>
      </w:r>
    </w:p>
    <w:p>
      <w:pPr>
        <w:spacing w:line="240" w:lineRule="auto" w:before="10"/>
        <w:rPr>
          <w:rFonts w:ascii="宋体" w:hAnsi="宋体" w:cs="宋体" w:eastAsia="宋体" w:hint="default"/>
          <w:sz w:val="17"/>
          <w:szCs w:val="17"/>
        </w:rPr>
      </w:pPr>
    </w:p>
    <w:p>
      <w:pPr>
        <w:pStyle w:val="BodyText"/>
        <w:spacing w:line="458" w:lineRule="auto"/>
        <w:ind w:left="424" w:right="150" w:hanging="272"/>
        <w:jc w:val="left"/>
      </w:pPr>
      <w:r>
        <w:rPr>
          <w:rFonts w:ascii="宋体" w:hAnsi="宋体" w:cs="宋体" w:eastAsia="宋体" w:hint="default"/>
        </w:rPr>
        <w:t>1. </w:t>
      </w:r>
      <w:r>
        <w:rPr/>
        <w:t>本公司对企业合并取得的对浙江中正智能科技有限公司的商誉进行了减值测试，将与减值测试相关的浙江中正智能科技 </w:t>
      </w:r>
      <w:r>
        <w:rPr>
          <w:spacing w:val="-2"/>
        </w:rPr>
        <w:t>有限公司的流动资产、非流动资产确定为资产组，采用现金流折现方法确定其可收回金额。预测期间为</w:t>
      </w:r>
      <w:r>
        <w:rPr>
          <w:rFonts w:ascii="Times New Roman" w:hAnsi="Times New Roman" w:cs="Times New Roman" w:eastAsia="Times New Roman" w:hint="default"/>
          <w:spacing w:val="-2"/>
        </w:rPr>
        <w:t>5</w:t>
      </w:r>
      <w:r>
        <w:rPr>
          <w:spacing w:val="-2"/>
        </w:rPr>
        <w:t>年，预测期后的</w:t>
      </w:r>
      <w:r>
        <w:rPr/>
        <w:t> 现金流按预测期最后一年计算。计算浙江中正智能科技有限公司于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日的预计未来现金流量现值采用了关键 假设。以下详述了管理层为进行商誉的减值测试，在确定现金流量预测时作出的关键假设。折现率</w:t>
      </w:r>
      <w:r>
        <w:rPr>
          <w:rFonts w:ascii="Times New Roman" w:hAnsi="Times New Roman" w:cs="Times New Roman" w:eastAsia="Times New Roman" w:hint="default"/>
        </w:rPr>
        <w:t>=</w:t>
      </w:r>
      <w:r>
        <w:rPr/>
        <w:t>企业加权平均资金 成本</w:t>
      </w:r>
      <w:r>
        <w:rPr>
          <w:rFonts w:ascii="Times New Roman" w:hAnsi="Times New Roman" w:cs="Times New Roman" w:eastAsia="Times New Roman" w:hint="default"/>
        </w:rPr>
        <w:t>/(1-</w:t>
      </w:r>
      <w:r>
        <w:rPr/>
        <w:t>适用的所得税率</w:t>
      </w:r>
      <w:r>
        <w:rPr>
          <w:rFonts w:ascii="Times New Roman" w:hAnsi="Times New Roman" w:cs="Times New Roman" w:eastAsia="Times New Roman" w:hint="default"/>
        </w:rPr>
        <w:t>)</w:t>
      </w:r>
      <w:r>
        <w:rPr/>
        <w:t>。</w:t>
      </w:r>
    </w:p>
    <w:p>
      <w:pPr>
        <w:pStyle w:val="BodyText"/>
        <w:spacing w:line="477" w:lineRule="auto" w:before="37"/>
        <w:ind w:left="424" w:right="148" w:hanging="272"/>
        <w:jc w:val="both"/>
      </w:pPr>
      <w:r>
        <w:rPr>
          <w:rFonts w:ascii="宋体" w:hAnsi="宋体" w:cs="宋体" w:eastAsia="宋体" w:hint="default"/>
        </w:rPr>
        <w:t>2.</w:t>
      </w:r>
      <w:r>
        <w:rPr>
          <w:rFonts w:ascii="宋体" w:hAnsi="宋体" w:cs="宋体" w:eastAsia="宋体" w:hint="default"/>
          <w:spacing w:val="-6"/>
        </w:rPr>
        <w:t> </w:t>
      </w:r>
      <w:r>
        <w:rPr/>
        <w:t>本公司对企业合并取得的</w:t>
      </w:r>
      <w:r>
        <w:rPr>
          <w:rFonts w:ascii="宋体" w:hAnsi="宋体" w:cs="宋体" w:eastAsia="宋体" w:hint="default"/>
        </w:rPr>
        <w:t>ExaDigm,Inc</w:t>
      </w:r>
      <w:r>
        <w:rPr/>
        <w:t>的商誉进行了减值测试，</w:t>
      </w:r>
      <w:r>
        <w:rPr>
          <w:rFonts w:ascii="宋体" w:hAnsi="宋体" w:cs="宋体" w:eastAsia="宋体" w:hint="default"/>
        </w:rPr>
        <w:t>ExaDigm,Inc</w:t>
      </w:r>
      <w:r>
        <w:rPr/>
        <w:t>的可回收金额按照预计未来现金流量的现值 </w:t>
      </w:r>
      <w:r>
        <w:rPr>
          <w:spacing w:val="-2"/>
        </w:rPr>
        <w:t>确定，其预计未来现金流量根据管理层批准的</w:t>
      </w:r>
      <w:r>
        <w:rPr>
          <w:rFonts w:ascii="宋体" w:hAnsi="宋体" w:cs="宋体" w:eastAsia="宋体" w:hint="default"/>
          <w:spacing w:val="-2"/>
        </w:rPr>
        <w:t>5</w:t>
      </w:r>
      <w:r>
        <w:rPr>
          <w:spacing w:val="-2"/>
        </w:rPr>
        <w:t>年期财务预算为基础的现金流量来确定，现金流量预测所用的税前折现率</w:t>
      </w:r>
      <w:r>
        <w:rPr/>
        <w:t> 为</w:t>
      </w:r>
      <w:r>
        <w:rPr>
          <w:rFonts w:ascii="宋体" w:hAnsi="宋体" w:cs="宋体" w:eastAsia="宋体" w:hint="default"/>
        </w:rPr>
        <w:t>13.11%</w:t>
      </w:r>
      <w:r>
        <w:rPr/>
        <w:t>，</w:t>
      </w:r>
      <w:r>
        <w:rPr>
          <w:rFonts w:ascii="宋体" w:hAnsi="宋体" w:cs="宋体" w:eastAsia="宋体" w:hint="default"/>
        </w:rPr>
        <w:t>5</w:t>
      </w:r>
      <w:r>
        <w:rPr/>
        <w:t>年期后的现金流量以增长率为零推算。计算</w:t>
      </w:r>
      <w:r>
        <w:rPr>
          <w:rFonts w:ascii="宋体" w:hAnsi="宋体" w:cs="宋体" w:eastAsia="宋体" w:hint="default"/>
        </w:rPr>
        <w:t>ExaDigm,Inc</w:t>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日的预计未来现金流量现值采用了 </w:t>
      </w:r>
      <w:r>
        <w:rPr>
          <w:spacing w:val="-2"/>
        </w:rPr>
        <w:t>关键假设。以下详述了管理层为进行商誉的减值测试，在确定现金流量预测时作出的关键假设。折现率</w:t>
      </w:r>
      <w:r>
        <w:rPr>
          <w:rFonts w:ascii="宋体" w:hAnsi="宋体" w:cs="宋体" w:eastAsia="宋体" w:hint="default"/>
          <w:spacing w:val="-2"/>
        </w:rPr>
        <w:t>=</w:t>
      </w:r>
      <w:r>
        <w:rPr>
          <w:spacing w:val="-2"/>
        </w:rPr>
        <w:t>企业加权平均资</w:t>
      </w:r>
      <w:r>
        <w:rPr/>
        <w:t> 金成本</w:t>
      </w:r>
      <w:r>
        <w:rPr>
          <w:rFonts w:ascii="宋体" w:hAnsi="宋体" w:cs="宋体" w:eastAsia="宋体" w:hint="default"/>
        </w:rPr>
        <w:t>/(1-</w:t>
      </w:r>
      <w:r>
        <w:rPr/>
        <w:t>适用的所得税率</w:t>
      </w:r>
      <w:r>
        <w:rPr>
          <w:rFonts w:ascii="宋体" w:hAnsi="宋体" w:cs="宋体" w:eastAsia="宋体" w:hint="default"/>
        </w:rPr>
        <w:t>)</w:t>
      </w:r>
      <w:r>
        <w:rPr/>
        <w:t>。</w:t>
      </w:r>
    </w:p>
    <w:p>
      <w:pPr>
        <w:pStyle w:val="BodyText"/>
        <w:spacing w:line="240" w:lineRule="auto" w:before="54"/>
        <w:ind w:left="513" w:right="0"/>
        <w:jc w:val="left"/>
      </w:pPr>
      <w:r>
        <w:rPr/>
        <w:t>管理层经过上述商誉减值测试，判断期末的商誉无需计提减值。</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28、长期待摊费用" w:id="300"/>
      <w:bookmarkEnd w:id="300"/>
      <w:r>
        <w:rPr>
          <w:b w:val="0"/>
          <w:bCs w:val="0"/>
        </w:rPr>
      </w:r>
      <w:r>
        <w:rPr>
          <w:rFonts w:ascii="宋体" w:hAnsi="宋体" w:cs="宋体" w:eastAsia="宋体" w:hint="default"/>
        </w:rPr>
        <w:t>28</w:t>
      </w:r>
      <w:r>
        <w:rPr/>
        <w:t>、长期待摊费用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2,864,525.00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2,292,412.47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1,017,894.88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4,139,042.59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45,000.02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35,000.06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2,456,448.00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320,658.00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2,135,790.00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1,202,193.05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279,369.03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922,824.02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247,921.51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110,292.87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137,628.64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5,365,973.02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3,742,527.03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1,738,214.74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7,370,285.31</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9、递延所得税资产/递延所得税负债" w:id="301"/>
      <w:bookmarkEnd w:id="30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未经抵销的递延所得税资产"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41,124,038.65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6,168,539.83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25,601,457.11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3,809,038.97</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8,302,057.21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1,245,308.58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6,902,254.30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1,035,338.15</w:t>
            </w:r>
            <w:r>
              <w:rPr>
                <w:rFonts w:ascii="Times New Roman"/>
                <w:sz w:val="18"/>
              </w:rPr>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13,155,833.33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1,973,375.00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40,198,396.62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6,029,759.49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26,076,142.01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3,899,621.95</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102,780,325.81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15,416,982.90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69,899,853.42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10,441,999.07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303"/>
      <w:bookmarkEnd w:id="30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41,587,531.47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6,238,129.72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41,587,531.47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6,238,129.72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04"/>
      <w:bookmarkEnd w:id="30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15,416,982.90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10,441,999.07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6,238,129.72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305"/>
      <w:bookmarkEnd w:id="30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1,042,455.02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220,208.55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749,283.84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1,791,738.86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220,208.55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306"/>
      <w:bookmarkEnd w:id="30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0、其他非流动资产" w:id="307"/>
      <w:bookmarkEnd w:id="30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15,207,188.00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10,592,314.00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预付的设备采购款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498,020.00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15,705,208.00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10,592,314.00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1、短期借款" w:id="308"/>
      <w:bookmarkEnd w:id="30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短期借款分类"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51,558,464.00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51,558,464.00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已逾期未偿还的短期借款情况" w:id="310"/>
      <w:bookmarkEnd w:id="31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2、以公允价值计量且其变动计入当期损益的金融负债" w:id="311"/>
      <w:bookmarkEnd w:id="31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3、衍生金融负债" w:id="312"/>
      <w:bookmarkEnd w:id="31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4、应付票据" w:id="313"/>
      <w:bookmarkEnd w:id="31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288,008.11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113,296,534.05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48,847,926.39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113,584,542.16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5、应付账款" w:id="314"/>
      <w:bookmarkEnd w:id="31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账款列示"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240,471,366.44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115,584,733.05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1,834,727.57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152,572.21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147,559.55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332,436.71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185,824.00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156,015.29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242,639,477.56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116,225,757.26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16"/>
      <w:bookmarkEnd w:id="316"/>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right="147" w:firstLine="360"/>
        <w:jc w:val="left"/>
      </w:pPr>
      <w:r>
        <w:rPr>
          <w:spacing w:val="-1"/>
        </w:rPr>
        <w:t>应付账款期末余额较期初增加</w:t>
      </w:r>
      <w:r>
        <w:rPr>
          <w:rFonts w:ascii="Times New Roman" w:hAnsi="Times New Roman" w:cs="Times New Roman" w:eastAsia="Times New Roman" w:hint="default"/>
          <w:spacing w:val="-1"/>
        </w:rPr>
        <w:t>126,413,720.30</w:t>
      </w:r>
      <w:r>
        <w:rPr>
          <w:spacing w:val="-1"/>
        </w:rPr>
        <w:t>元，增加比例</w:t>
      </w:r>
      <w:r>
        <w:rPr>
          <w:rFonts w:ascii="Times New Roman" w:hAnsi="Times New Roman" w:cs="Times New Roman" w:eastAsia="Times New Roman" w:hint="default"/>
          <w:spacing w:val="-1"/>
        </w:rPr>
        <w:t>108.77%</w:t>
      </w:r>
      <w:r>
        <w:rPr>
          <w:spacing w:val="-1"/>
        </w:rPr>
        <w:t>，主要原因系①本期销售收入较上年有较大增长，为</w:t>
      </w:r>
      <w:r>
        <w:rPr/>
        <w:t> 保证供货增加了存货的采购；②本期非同一控制下企业合并美国</w:t>
      </w:r>
      <w:r>
        <w:rPr>
          <w:rFonts w:ascii="Times New Roman" w:hAnsi="Times New Roman" w:cs="Times New Roman" w:eastAsia="Times New Roman" w:hint="default"/>
        </w:rPr>
        <w:t>ExaDigm,Inc</w:t>
      </w:r>
      <w:r>
        <w:rPr/>
        <w:t>公司和浙江中正。</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bookmarkStart w:name="36、预收款项" w:id="317"/>
      <w:bookmarkEnd w:id="31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预收款项列示"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39,161,795.99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24,170,404.98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5,913,964.63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5,076,979.00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2,438,838.00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2,142,930.00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1,587,204.75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750,276.00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49,101,803.37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32,140,589.98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19"/>
      <w:bookmarkEnd w:id="31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期末建造合同形成的已结算未完工项目情况" w:id="320"/>
      <w:bookmarkEnd w:id="32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14"/>
          <w:szCs w:val="14"/>
        </w:rPr>
      </w:pPr>
    </w:p>
    <w:p>
      <w:pPr>
        <w:pStyle w:val="BodyText"/>
        <w:spacing w:line="477" w:lineRule="auto"/>
        <w:ind w:right="144" w:firstLine="360"/>
        <w:jc w:val="left"/>
      </w:pPr>
      <w:r>
        <w:rPr/>
        <w:t>预收款项期末余额较期初增加</w:t>
      </w:r>
      <w:r>
        <w:rPr>
          <w:rFonts w:ascii="宋体" w:hAnsi="宋体" w:cs="宋体" w:eastAsia="宋体" w:hint="default"/>
        </w:rPr>
        <w:t>16,961,213.39</w:t>
      </w:r>
      <w:r>
        <w:rPr/>
        <w:t>元，增加比例</w:t>
      </w:r>
      <w:r>
        <w:rPr>
          <w:rFonts w:ascii="宋体" w:hAnsi="宋体" w:cs="宋体" w:eastAsia="宋体" w:hint="default"/>
        </w:rPr>
        <w:t>52.77%</w:t>
      </w:r>
      <w:r>
        <w:rPr/>
        <w:t>，主要原因系①本期销售收入较上年有较大增长，预 收货款增加所致；②本期非同一控制下企业合并美国</w:t>
      </w:r>
      <w:r>
        <w:rPr>
          <w:rFonts w:ascii="宋体" w:hAnsi="宋体" w:cs="宋体" w:eastAsia="宋体" w:hint="default"/>
        </w:rPr>
        <w:t>ExaDigm,Inc</w:t>
      </w:r>
      <w:r>
        <w:rPr/>
        <w:t>公司和浙江中正。</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37、应付职工薪酬" w:id="321"/>
      <w:bookmarkEnd w:id="32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职工薪酬列示"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25,200,414.74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165,940,873.70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160,029,940.00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31,111,348.44</w:t>
            </w:r>
            <w:r>
              <w:rPr>
                <w:rFonts w:ascii="Times New Roman"/>
                <w:sz w:val="18"/>
              </w:rPr>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6,758,740.52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6,632,772.71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125,967.81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25,200,414.74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172,699,614.22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166,662,712.71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31,237,316.25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323"/>
      <w:bookmarkEnd w:id="32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25,200,414.74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155,842,421.70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150,121,041.59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30,921,794.85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3,471,676.49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3,471,676.49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3,638,905.12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3,541,757.39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97,147.73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3,044,604.42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2,954,905.49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89,698.93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141,273.81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138,153.84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3,119.97</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453,026.89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448,698.06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4,328.83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2,804,320.12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2,733,244.12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71,076.00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183,550.27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162,220.41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21,329.86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25,200,414.74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165,940,873.70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160,029,940.00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31,111,348.44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324"/>
      <w:bookmarkEnd w:id="32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6,188,943.13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6,079,744.44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109,198.69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569,797.39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553,028.27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6,758,740.52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6,632,772.71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125,967.81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8、应交税费" w:id="325"/>
      <w:bookmarkEnd w:id="32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8,725,100.77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9,974,535.01</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5,221,533.07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1,334,510.57</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735,376.92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530,995.96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601,203.34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666,917.71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429,436.30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476,375.15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308,108.70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335,862.29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16,020,759.10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13,319,196.69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9、应付利息" w:id="326"/>
      <w:bookmarkEnd w:id="32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0、应付股利" w:id="327"/>
      <w:bookmarkEnd w:id="32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28"/>
      <w:bookmarkEnd w:id="32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按款项性质列示其他应付款"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2,182,338.81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476,148.31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428,262.24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4,261,433.12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31,714,321.93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904,410.55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30"/>
      <w:bookmarkEnd w:id="33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87"/>
        <w:ind w:right="0"/>
        <w:jc w:val="left"/>
      </w:pPr>
      <w:r>
        <w:rPr/>
        <w:t>其他说明：</w:t>
      </w:r>
    </w:p>
    <w:p>
      <w:pPr>
        <w:spacing w:line="240" w:lineRule="auto" w:before="10"/>
        <w:rPr>
          <w:rFonts w:ascii="宋体" w:hAnsi="宋体" w:cs="宋体" w:eastAsia="宋体" w:hint="default"/>
          <w:sz w:val="17"/>
          <w:szCs w:val="17"/>
        </w:rPr>
      </w:pPr>
    </w:p>
    <w:p>
      <w:pPr>
        <w:pStyle w:val="BodyText"/>
        <w:spacing w:line="477" w:lineRule="auto"/>
        <w:ind w:right="0" w:firstLine="359"/>
        <w:jc w:val="left"/>
      </w:pPr>
      <w:r>
        <w:rPr>
          <w:spacing w:val="-3"/>
        </w:rPr>
        <w:t>其他应付款期末余额较期初增加</w:t>
      </w:r>
      <w:r>
        <w:rPr>
          <w:rFonts w:ascii="宋体" w:hAnsi="宋体" w:cs="宋体" w:eastAsia="宋体" w:hint="default"/>
          <w:spacing w:val="-3"/>
        </w:rPr>
        <w:t>30,809,911.38</w:t>
      </w:r>
      <w:r>
        <w:rPr>
          <w:spacing w:val="-3"/>
        </w:rPr>
        <w:t>元，增加比例</w:t>
      </w:r>
      <w:r>
        <w:rPr>
          <w:rFonts w:ascii="宋体" w:hAnsi="宋体" w:cs="宋体" w:eastAsia="宋体" w:hint="default"/>
          <w:spacing w:val="-3"/>
        </w:rPr>
        <w:t>3,406.63%</w:t>
      </w:r>
      <w:r>
        <w:rPr>
          <w:spacing w:val="-3"/>
        </w:rPr>
        <w:t>，主要原因系本期应付股权转让款</w:t>
      </w:r>
      <w:r>
        <w:rPr>
          <w:rFonts w:ascii="宋体" w:hAnsi="宋体" w:cs="宋体" w:eastAsia="宋体" w:hint="default"/>
          <w:spacing w:val="-3"/>
        </w:rPr>
        <w:t>25,200,000.00</w:t>
      </w:r>
      <w:r>
        <w:rPr>
          <w:rFonts w:ascii="宋体" w:hAnsi="宋体" w:cs="宋体" w:eastAsia="宋体" w:hint="default"/>
          <w:spacing w:val="1"/>
        </w:rPr>
        <w:t> </w:t>
      </w:r>
      <w:r>
        <w:rPr/>
        <w:t>元所致。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42、划分为持有待售的负债" w:id="331"/>
      <w:bookmarkEnd w:id="33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3、一年内到期的非流动负债" w:id="332"/>
      <w:bookmarkEnd w:id="33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4、其他流动负债" w:id="333"/>
      <w:bookmarkEnd w:id="33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5、长期借款" w:id="334"/>
      <w:bookmarkEnd w:id="33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借款分类"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1,038,783.85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1,038,783.85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长期借款分类的说明：</w:t>
      </w:r>
    </w:p>
    <w:p>
      <w:pPr>
        <w:pStyle w:val="Heading3"/>
        <w:spacing w:line="240" w:lineRule="auto" w:before="96"/>
        <w:ind w:right="0"/>
        <w:jc w:val="left"/>
        <w:rPr>
          <w:b w:val="0"/>
          <w:bCs w:val="0"/>
        </w:rPr>
      </w:pPr>
      <w:r>
        <w:rPr/>
        <w:t>期末长期借款系本期非同一控制下企业合并美国</w:t>
      </w:r>
      <w:r>
        <w:rPr>
          <w:rFonts w:ascii="Times New Roman" w:hAnsi="Times New Roman" w:cs="Times New Roman" w:eastAsia="Times New Roman" w:hint="default"/>
        </w:rPr>
        <w:t>ExaDigm,Inc</w:t>
      </w:r>
      <w:r>
        <w:rPr/>
        <w:t>公司借款。</w:t>
      </w:r>
      <w:r>
        <w:rPr>
          <w:b w:val="0"/>
          <w:bCs w:val="0"/>
        </w:rPr>
      </w:r>
    </w:p>
    <w:p>
      <w:pPr>
        <w:spacing w:line="240" w:lineRule="auto" w:before="2"/>
        <w:rPr>
          <w:rFonts w:ascii="宋体" w:hAnsi="宋体" w:cs="宋体" w:eastAsia="宋体" w:hint="default"/>
          <w:b/>
          <w:bCs/>
          <w:sz w:val="30"/>
          <w:szCs w:val="30"/>
        </w:rPr>
      </w:pPr>
    </w:p>
    <w:p>
      <w:pPr>
        <w:pStyle w:val="BodyText"/>
        <w:spacing w:line="240" w:lineRule="auto"/>
        <w:ind w:right="0"/>
        <w:jc w:val="left"/>
      </w:pPr>
      <w:r>
        <w:rPr/>
        <w:t>其他说明，包括利率区间：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6、应付债券" w:id="336"/>
      <w:bookmarkEnd w:id="33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债券"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债券的增减变动（不包括划分为金融负债的优先股、永续债等其他金融工具）" w:id="338"/>
      <w:bookmarkEnd w:id="33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bookmarkStart w:name="（3）可转换公司债券的转股条件、转股时间说明" w:id="339"/>
      <w:bookmarkEnd w:id="33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划分为金融负债的其他金融工具说明"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653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41"/>
      <w:bookmarkEnd w:id="34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按款项性质列示长期应付款"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8、长期应付职工薪酬" w:id="343"/>
      <w:bookmarkEnd w:id="34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应付职工薪酬表"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设定受益计划变动情况" w:id="345"/>
      <w:bookmarkEnd w:id="34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设定受益计划义务现值：</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专项应付款" w:id="346"/>
      <w:bookmarkEnd w:id="34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0、预计负债" w:id="347"/>
      <w:bookmarkEnd w:id="34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递延收益" w:id="348"/>
      <w:bookmarkEnd w:id="34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11,320,000.00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9,129,200.53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13,155,833.33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9,129,200.53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13,155,833.33</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爱用</w:t>
            </w:r>
            <w:r>
              <w:rPr>
                <w:rFonts w:ascii="Times New Roman" w:hAnsi="Times New Roman" w:cs="Times New Roman" w:eastAsia="Times New Roman" w:hint="default"/>
                <w:sz w:val="18"/>
                <w:szCs w:val="18"/>
              </w:rPr>
              <w:t>'</w:t>
            </w:r>
            <w:r>
              <w:rPr>
                <w:rFonts w:ascii="宋体" w:hAnsi="宋体" w:cs="宋体" w:eastAsia="宋体" w:hint="default"/>
                <w:sz w:val="18"/>
                <w:szCs w:val="18"/>
              </w:rPr>
              <w:t>网银宝</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联网支付系统研 发项目资金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国际科技合作计 划资助项目资金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深圳市发改委</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国密算法安全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机具研产一 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资助 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1,837,500.00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基于</w:t>
            </w:r>
            <w:r>
              <w:rPr>
                <w:rFonts w:ascii="Times New Roman" w:hAnsi="Times New Roman" w:cs="Times New Roman" w:eastAsia="Times New Roman" w:hint="default"/>
                <w:spacing w:val="2"/>
                <w:sz w:val="18"/>
                <w:szCs w:val="18"/>
              </w:rPr>
              <w:t>PCP4.0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的电 子支付信息安全 关键技术研发资 助款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666,666.67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3,333,333.33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科技型中小企业 技术创新基金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易联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电子签 名技术研发项目 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国密算法安全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机具产研一 体化项目的政府 资助资金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1,425,000.00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市场监督管理局 政府资助款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市场监督管理局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年第一批专 利申请资助周转 金拨款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市场监督管理局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年第一批境 外商标注册申请 资助拨款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福田产业发展专 项资金福田区产 业发展专项资金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年第二批支 持企业</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 权优势企业奖励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福田区知识产权 专项奖励资金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深圳市新一代信 息技术产业发展 专项资金（基于 移动互联网的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系列支付终端产 业化）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2,160,000.00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产业技术研究与 开发高技术产业 发展项目资金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基于云计算应用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S-POS </w:t>
            </w:r>
            <w:r>
              <w:rPr>
                <w:rFonts w:ascii="宋体" w:hAnsi="宋体" w:cs="宋体" w:eastAsia="宋体" w:hint="default"/>
                <w:sz w:val="18"/>
                <w:szCs w:val="18"/>
              </w:rPr>
              <w:t>平台软 件研发及产业化 项目资金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年深圳市第 四批计算机软件 著作权登记资助 拨款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软件产品补贴款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年昆山市版 权登记费资助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江苏省建筑节能 与绿色环保示范 区专项引导资金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杭州市滨江区财 政局</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年区标 准奖励</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杭州市生产力促 进中心专利补助 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杭州市就业管理 服务局社保补贴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111,500.53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111,500.53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11,320,000.00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9,129,200.53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13,155,833.33</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14"/>
          <w:szCs w:val="14"/>
        </w:rPr>
      </w:pPr>
    </w:p>
    <w:p>
      <w:pPr>
        <w:pStyle w:val="BodyText"/>
        <w:spacing w:line="477" w:lineRule="auto"/>
        <w:ind w:right="144"/>
        <w:jc w:val="left"/>
      </w:pPr>
      <w:r>
        <w:rPr/>
        <w:t>（</w:t>
      </w:r>
      <w:r>
        <w:rPr>
          <w:rFonts w:ascii="宋体" w:hAnsi="宋体" w:cs="宋体" w:eastAsia="宋体" w:hint="default"/>
        </w:rPr>
        <w:t>1</w:t>
      </w:r>
      <w:r>
        <w:rPr/>
        <w:t>）本公司之子公司易联技术与深圳市科技工贸和信息化委员会签订了《深圳市互联网产业发展专项资金项目合同书》， 收到了项目专项补助资金</w:t>
      </w:r>
      <w:r>
        <w:rPr>
          <w:rFonts w:ascii="宋体" w:hAnsi="宋体" w:cs="宋体" w:eastAsia="宋体" w:hint="default"/>
        </w:rPr>
        <w:t>100.00</w:t>
      </w:r>
      <w:r>
        <w:rPr/>
        <w:t>万元用于</w:t>
      </w:r>
      <w:r>
        <w:rPr>
          <w:rFonts w:ascii="宋体" w:hAnsi="宋体" w:cs="宋体" w:eastAsia="宋体" w:hint="default"/>
        </w:rPr>
        <w:t>“</w:t>
      </w:r>
      <w:r>
        <w:rPr/>
        <w:t>爱用</w:t>
      </w:r>
      <w:r>
        <w:rPr>
          <w:rFonts w:ascii="宋体" w:hAnsi="宋体" w:cs="宋体" w:eastAsia="宋体" w:hint="default"/>
        </w:rPr>
        <w:t>‘</w:t>
      </w:r>
      <w:r>
        <w:rPr/>
        <w:t>网银宝</w:t>
      </w:r>
      <w:r>
        <w:rPr>
          <w:rFonts w:ascii="宋体" w:hAnsi="宋体" w:cs="宋体" w:eastAsia="宋体" w:hint="default"/>
        </w:rPr>
        <w:t>’</w:t>
      </w:r>
      <w:r>
        <w:rPr/>
        <w:t>互联网支付系统研发项目</w:t>
      </w:r>
      <w:r>
        <w:rPr>
          <w:rFonts w:ascii="宋体" w:hAnsi="宋体" w:cs="宋体" w:eastAsia="宋体" w:hint="default"/>
        </w:rPr>
        <w:t>”</w:t>
      </w:r>
      <w:r>
        <w:rPr/>
        <w:t>。</w:t>
      </w:r>
    </w:p>
    <w:p>
      <w:pPr>
        <w:pStyle w:val="BodyText"/>
        <w:spacing w:line="240" w:lineRule="auto" w:before="54"/>
        <w:ind w:right="0"/>
        <w:jc w:val="left"/>
      </w:pPr>
      <w:r>
        <w:rPr/>
        <w:t>（</w:t>
      </w:r>
      <w:r>
        <w:rPr>
          <w:rFonts w:ascii="宋体" w:hAnsi="宋体" w:cs="宋体" w:eastAsia="宋体" w:hint="default"/>
        </w:rPr>
        <w:t>2</w:t>
      </w:r>
      <w:r>
        <w:rPr/>
        <w:t>）本公司之子公司易联技术收到深圳市战略性新兴产业发展专项资金</w:t>
      </w:r>
      <w:r>
        <w:rPr>
          <w:rFonts w:ascii="宋体" w:hAnsi="宋体" w:cs="宋体" w:eastAsia="宋体" w:hint="default"/>
        </w:rPr>
        <w:t>80.00</w:t>
      </w:r>
      <w:r>
        <w:rPr/>
        <w:t>万元。</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宋体" w:hAnsi="宋体" w:cs="宋体" w:eastAsia="宋体" w:hint="default"/>
        </w:rPr>
        <w:t>3</w:t>
      </w:r>
      <w:r>
        <w:rPr/>
        <w:t>）本公司收到国际科技合作计划资助项目补助资金</w:t>
      </w:r>
      <w:r>
        <w:rPr>
          <w:rFonts w:ascii="宋体" w:hAnsi="宋体" w:cs="宋体" w:eastAsia="宋体" w:hint="default"/>
        </w:rPr>
        <w:t>40.00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4</w:t>
      </w:r>
      <w:r>
        <w:rPr/>
        <w:t>）本公司收到深圳市发改委</w:t>
      </w:r>
      <w:r>
        <w:rPr>
          <w:rFonts w:ascii="宋体" w:hAnsi="宋体" w:cs="宋体" w:eastAsia="宋体" w:hint="default"/>
        </w:rPr>
        <w:t>"</w:t>
      </w:r>
      <w:r>
        <w:rPr/>
        <w:t>国密算法安全</w:t>
      </w:r>
      <w:r>
        <w:rPr>
          <w:rFonts w:ascii="宋体" w:hAnsi="宋体" w:cs="宋体" w:eastAsia="宋体" w:hint="default"/>
        </w:rPr>
        <w:t>POS</w:t>
      </w:r>
      <w:r>
        <w:rPr/>
        <w:t>机具研产一体化项目</w:t>
      </w:r>
      <w:r>
        <w:rPr>
          <w:rFonts w:ascii="宋体" w:hAnsi="宋体" w:cs="宋体" w:eastAsia="宋体" w:hint="default"/>
        </w:rPr>
        <w:t>"</w:t>
      </w:r>
      <w:r>
        <w:rPr/>
        <w:t>资助款</w:t>
      </w:r>
      <w:r>
        <w:rPr>
          <w:rFonts w:ascii="宋体" w:hAnsi="宋体" w:cs="宋体" w:eastAsia="宋体" w:hint="default"/>
        </w:rPr>
        <w:t>2,250,000.00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5</w:t>
      </w:r>
      <w:r>
        <w:rPr/>
        <w:t>）本公司收到基于</w:t>
      </w:r>
      <w:r>
        <w:rPr>
          <w:rFonts w:ascii="宋体" w:hAnsi="宋体" w:cs="宋体" w:eastAsia="宋体" w:hint="default"/>
        </w:rPr>
        <w:t>PCP4.0</w:t>
      </w:r>
      <w:r>
        <w:rPr/>
        <w:t>的电子支付信息安全关键技术研发资助款</w:t>
      </w:r>
      <w:r>
        <w:rPr>
          <w:rFonts w:ascii="宋体" w:hAnsi="宋体" w:cs="宋体" w:eastAsia="宋体" w:hint="default"/>
        </w:rPr>
        <w:t>400.00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6</w:t>
      </w:r>
      <w:r>
        <w:rPr/>
        <w:t>）本公司之子公司易联技术收到科技型中小企业技术创新基金</w:t>
      </w:r>
      <w:r>
        <w:rPr>
          <w:rFonts w:ascii="宋体" w:hAnsi="宋体" w:cs="宋体" w:eastAsia="宋体" w:hint="default"/>
        </w:rPr>
        <w:t>420,000.00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7</w:t>
      </w:r>
      <w:r>
        <w:rPr/>
        <w:t>）</w:t>
      </w:r>
      <w:r>
        <w:rPr>
          <w:spacing w:val="-4"/>
        </w:rPr>
        <w:t> </w:t>
      </w:r>
      <w:r>
        <w:rPr/>
        <w:t>本公司之子公司易联技术收到易联</w:t>
      </w:r>
      <w:r>
        <w:rPr>
          <w:rFonts w:ascii="宋体" w:hAnsi="宋体" w:cs="宋体" w:eastAsia="宋体" w:hint="default"/>
        </w:rPr>
        <w:t>pos</w:t>
      </w:r>
      <w:r>
        <w:rPr/>
        <w:t>电子签名技术研发项目资金</w:t>
      </w:r>
      <w:r>
        <w:rPr>
          <w:rFonts w:ascii="宋体" w:hAnsi="宋体" w:cs="宋体" w:eastAsia="宋体" w:hint="default"/>
        </w:rPr>
        <w:t>1,500,000.00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8</w:t>
      </w:r>
      <w:r>
        <w:rPr/>
        <w:t>）本公司收到国密算法安全</w:t>
      </w:r>
      <w:r>
        <w:rPr>
          <w:rFonts w:ascii="宋体" w:hAnsi="宋体" w:cs="宋体" w:eastAsia="宋体" w:hint="default"/>
        </w:rPr>
        <w:t>POS</w:t>
      </w:r>
      <w:r>
        <w:rPr/>
        <w:t>机具产研一体化项目的政府资助资金</w:t>
      </w:r>
      <w:r>
        <w:rPr>
          <w:rFonts w:ascii="宋体" w:hAnsi="宋体" w:cs="宋体" w:eastAsia="宋体" w:hint="default"/>
        </w:rPr>
        <w:t>150.00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9</w:t>
      </w:r>
      <w:r>
        <w:rPr/>
        <w:t>）本公司收到市场监督管理局政府资助款</w:t>
      </w:r>
      <w:r>
        <w:rPr>
          <w:rFonts w:ascii="宋体" w:hAnsi="宋体" w:cs="宋体" w:eastAsia="宋体" w:hint="default"/>
        </w:rPr>
        <w:t>9,000.00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10</w:t>
      </w:r>
      <w:r>
        <w:rPr/>
        <w:t>）本公司收到市场监督管理局</w:t>
      </w:r>
      <w:r>
        <w:rPr>
          <w:rFonts w:ascii="宋体" w:hAnsi="宋体" w:cs="宋体" w:eastAsia="宋体" w:hint="default"/>
        </w:rPr>
        <w:t>2015</w:t>
      </w:r>
      <w:r>
        <w:rPr/>
        <w:t>年第一批专利申请资助周转金拨款</w:t>
      </w:r>
      <w:r>
        <w:rPr>
          <w:rFonts w:ascii="宋体" w:hAnsi="宋体" w:cs="宋体" w:eastAsia="宋体" w:hint="default"/>
        </w:rPr>
        <w:t>2.00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11</w:t>
      </w:r>
      <w:r>
        <w:rPr/>
        <w:t>）本公司收到市场监督管理局</w:t>
      </w:r>
      <w:r>
        <w:rPr>
          <w:rFonts w:ascii="宋体" w:hAnsi="宋体" w:cs="宋体" w:eastAsia="宋体" w:hint="default"/>
        </w:rPr>
        <w:t>2015</w:t>
      </w:r>
      <w:r>
        <w:rPr/>
        <w:t>年第一批境外商标注册申请资助拨款</w:t>
      </w:r>
      <w:r>
        <w:rPr>
          <w:rFonts w:ascii="宋体" w:hAnsi="宋体" w:cs="宋体" w:eastAsia="宋体" w:hint="default"/>
        </w:rPr>
        <w:t>28,000.00</w:t>
      </w:r>
      <w:r>
        <w:rPr/>
        <w:t>元。</w:t>
      </w:r>
    </w:p>
    <w:p>
      <w:pPr>
        <w:spacing w:line="240" w:lineRule="auto" w:before="10"/>
        <w:rPr>
          <w:rFonts w:ascii="宋体" w:hAnsi="宋体" w:cs="宋体" w:eastAsia="宋体" w:hint="default"/>
          <w:sz w:val="17"/>
          <w:szCs w:val="17"/>
        </w:rPr>
      </w:pPr>
    </w:p>
    <w:p>
      <w:pPr>
        <w:pStyle w:val="BodyText"/>
        <w:spacing w:line="477" w:lineRule="auto"/>
        <w:ind w:left="153" w:right="233"/>
        <w:jc w:val="left"/>
      </w:pPr>
      <w:r>
        <w:rPr/>
        <w:t>（</w:t>
      </w:r>
      <w:r>
        <w:rPr>
          <w:rFonts w:ascii="宋体" w:hAnsi="宋体" w:cs="宋体" w:eastAsia="宋体" w:hint="default"/>
        </w:rPr>
        <w:t>12</w:t>
      </w:r>
      <w:r>
        <w:rPr/>
        <w:t>）本公司收到福田产业发展专项资金福田区产业发展专项资金</w:t>
      </w:r>
      <w:r>
        <w:rPr>
          <w:rFonts w:ascii="宋体" w:hAnsi="宋体" w:cs="宋体" w:eastAsia="宋体" w:hint="default"/>
        </w:rPr>
        <w:t>2015</w:t>
      </w:r>
      <w:r>
        <w:rPr/>
        <w:t>年第二批支持企业</w:t>
      </w:r>
      <w:r>
        <w:rPr>
          <w:rFonts w:ascii="宋体" w:hAnsi="宋体" w:cs="宋体" w:eastAsia="宋体" w:hint="default"/>
        </w:rPr>
        <w:t>-</w:t>
      </w:r>
      <w:r>
        <w:rPr/>
        <w:t>知识产权优势企业奖励</w:t>
      </w:r>
      <w:r>
        <w:rPr>
          <w:rFonts w:ascii="宋体" w:hAnsi="宋体" w:cs="宋体" w:eastAsia="宋体" w:hint="default"/>
        </w:rPr>
        <w:t>20.00</w:t>
      </w:r>
      <w:r>
        <w:rPr/>
        <w:t>万 元。</w:t>
      </w:r>
    </w:p>
    <w:p>
      <w:pPr>
        <w:pStyle w:val="BodyText"/>
        <w:spacing w:line="240" w:lineRule="auto" w:before="54"/>
        <w:ind w:left="153" w:right="0"/>
        <w:jc w:val="left"/>
      </w:pPr>
      <w:r>
        <w:rPr/>
        <w:t>（</w:t>
      </w:r>
      <w:r>
        <w:rPr>
          <w:rFonts w:ascii="宋体" w:hAnsi="宋体" w:cs="宋体" w:eastAsia="宋体" w:hint="default"/>
        </w:rPr>
        <w:t>13</w:t>
      </w:r>
      <w:r>
        <w:rPr/>
        <w:t>）本公司收到福田区知识产权专项奖励资金</w:t>
      </w:r>
      <w:r>
        <w:rPr>
          <w:rFonts w:ascii="宋体" w:hAnsi="宋体" w:cs="宋体" w:eastAsia="宋体" w:hint="default"/>
        </w:rPr>
        <w:t>24,400.00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14</w:t>
      </w:r>
      <w:r>
        <w:rPr/>
        <w:t>）本公司收到深圳市新一代信息技术产业发展专项资金（基于移动互联网的</w:t>
      </w:r>
      <w:r>
        <w:rPr>
          <w:rFonts w:ascii="宋体" w:hAnsi="宋体" w:cs="宋体" w:eastAsia="宋体" w:hint="default"/>
        </w:rPr>
        <w:t>G</w:t>
      </w:r>
      <w:r>
        <w:rPr/>
        <w:t>系列支付终端产业化）</w:t>
      </w:r>
      <w:r>
        <w:rPr>
          <w:rFonts w:ascii="宋体" w:hAnsi="宋体" w:cs="宋体" w:eastAsia="宋体" w:hint="default"/>
        </w:rPr>
        <w:t>2,700,000.00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15</w:t>
      </w:r>
      <w:r>
        <w:rPr/>
        <w:t>）本公司收到产业技术研究与开发高技术产业发展项目资金</w:t>
      </w:r>
      <w:r>
        <w:rPr>
          <w:rFonts w:ascii="宋体" w:hAnsi="宋体" w:cs="宋体" w:eastAsia="宋体" w:hint="default"/>
        </w:rPr>
        <w:t>3,000,000.00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16</w:t>
      </w:r>
      <w:r>
        <w:rPr/>
        <w:t>）本公司之子公司易联技术收到基于云计算应用的</w:t>
      </w:r>
      <w:r>
        <w:rPr>
          <w:rFonts w:ascii="宋体" w:hAnsi="宋体" w:cs="宋体" w:eastAsia="宋体" w:hint="default"/>
        </w:rPr>
        <w:t>S-POS</w:t>
      </w:r>
      <w:r>
        <w:rPr/>
        <w:t>平台软件研发及产业化项目资金</w:t>
      </w:r>
      <w:r>
        <w:rPr>
          <w:rFonts w:ascii="宋体" w:hAnsi="宋体" w:cs="宋体" w:eastAsia="宋体" w:hint="default"/>
        </w:rPr>
        <w:t>1,500,000.00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17</w:t>
      </w:r>
      <w:r>
        <w:rPr/>
        <w:t>）本公司之子公司易联技术收到</w:t>
      </w:r>
      <w:r>
        <w:rPr>
          <w:rFonts w:ascii="宋体" w:hAnsi="宋体" w:cs="宋体" w:eastAsia="宋体" w:hint="default"/>
        </w:rPr>
        <w:t>2015</w:t>
      </w:r>
      <w:r>
        <w:rPr/>
        <w:t>年深圳市第四批计算机软件著作权登记资助拨款</w:t>
      </w:r>
      <w:r>
        <w:rPr>
          <w:rFonts w:ascii="宋体" w:hAnsi="宋体" w:cs="宋体" w:eastAsia="宋体" w:hint="default"/>
        </w:rPr>
        <w:t>4,200.00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18</w:t>
      </w:r>
      <w:r>
        <w:rPr/>
        <w:t>）本公司之子公司南京新国都公司收到软件产品补贴款</w:t>
      </w:r>
      <w:r>
        <w:rPr>
          <w:rFonts w:ascii="宋体" w:hAnsi="宋体" w:cs="宋体" w:eastAsia="宋体" w:hint="default"/>
        </w:rPr>
        <w:t>7,500.00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19</w:t>
      </w:r>
      <w:r>
        <w:rPr/>
        <w:t>）本公司之子公司苏州新国都公司收到</w:t>
      </w:r>
      <w:r>
        <w:rPr>
          <w:rFonts w:ascii="宋体" w:hAnsi="宋体" w:cs="宋体" w:eastAsia="宋体" w:hint="default"/>
        </w:rPr>
        <w:t>2013</w:t>
      </w:r>
      <w:r>
        <w:rPr/>
        <w:t>年昆山市版权登记费资助</w:t>
      </w:r>
      <w:r>
        <w:rPr>
          <w:rFonts w:ascii="宋体" w:hAnsi="宋体" w:cs="宋体" w:eastAsia="宋体" w:hint="default"/>
        </w:rPr>
        <w:t>20,600.00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20</w:t>
      </w:r>
      <w:r>
        <w:rPr/>
        <w:t>）本公司之子公司苏州新国都公司收到江苏省建筑节能与绿色环保示范区专项引导资金</w:t>
      </w:r>
      <w:r>
        <w:rPr>
          <w:rFonts w:ascii="宋体" w:hAnsi="宋体" w:cs="宋体" w:eastAsia="宋体" w:hint="default"/>
        </w:rPr>
        <w:t>75.00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21</w:t>
      </w:r>
      <w:r>
        <w:rPr/>
        <w:t>）本公司之子公司浙江中正收到杭州市滨江区财政局</w:t>
      </w:r>
      <w:r>
        <w:rPr>
          <w:rFonts w:ascii="宋体" w:hAnsi="宋体" w:cs="宋体" w:eastAsia="宋体" w:hint="default"/>
        </w:rPr>
        <w:t>2014</w:t>
      </w:r>
      <w:r>
        <w:rPr/>
        <w:t>年区标准奖励</w:t>
      </w:r>
      <w:r>
        <w:rPr>
          <w:rFonts w:ascii="宋体" w:hAnsi="宋体" w:cs="宋体" w:eastAsia="宋体" w:hint="default"/>
        </w:rPr>
        <w:t>20.00</w:t>
      </w:r>
      <w:r>
        <w:rPr/>
        <w:t>万元。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22</w:t>
      </w:r>
      <w:r>
        <w:rPr/>
        <w:t>）本公司之子公司浙江中正收到杭州市生产力促进中心专利补助款</w:t>
      </w:r>
      <w:r>
        <w:rPr>
          <w:rFonts w:ascii="宋体" w:hAnsi="宋体" w:cs="宋体" w:eastAsia="宋体" w:hint="default"/>
        </w:rPr>
        <w:t>4,000.00</w:t>
      </w:r>
      <w:r>
        <w:rPr/>
        <w:t>元。</w:t>
      </w:r>
    </w:p>
    <w:p>
      <w:pPr>
        <w:spacing w:line="240" w:lineRule="auto" w:before="10"/>
        <w:rPr>
          <w:rFonts w:ascii="宋体" w:hAnsi="宋体" w:cs="宋体" w:eastAsia="宋体" w:hint="default"/>
          <w:sz w:val="17"/>
          <w:szCs w:val="17"/>
        </w:rPr>
      </w:pPr>
    </w:p>
    <w:p>
      <w:pPr>
        <w:pStyle w:val="BodyText"/>
        <w:spacing w:line="240" w:lineRule="auto"/>
        <w:ind w:left="153" w:right="0"/>
        <w:jc w:val="left"/>
      </w:pPr>
      <w:r>
        <w:rPr/>
        <w:t>（</w:t>
      </w:r>
      <w:r>
        <w:rPr>
          <w:rFonts w:ascii="宋体" w:hAnsi="宋体" w:cs="宋体" w:eastAsia="宋体" w:hint="default"/>
        </w:rPr>
        <w:t>23</w:t>
      </w:r>
      <w:r>
        <w:rPr/>
        <w:t>）本公司之子公司浙江中正收到杭州市就业管理服务局社保补贴</w:t>
      </w:r>
      <w:r>
        <w:rPr>
          <w:rFonts w:ascii="宋体" w:hAnsi="宋体" w:cs="宋体" w:eastAsia="宋体" w:hint="default"/>
        </w:rPr>
        <w:t>111,500.53</w:t>
      </w:r>
      <w:r>
        <w:rPr/>
        <w:t>元。</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2、其他非流动负债" w:id="349"/>
      <w:bookmarkEnd w:id="349"/>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3、股本" w:id="350"/>
      <w:bookmarkEnd w:id="350"/>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114,300,000.00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2,421,360.00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114,300,000.00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116,721,360.00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231,021,360.00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4、其他权益工具" w:id="351"/>
      <w:bookmarkEnd w:id="35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期末发行在外的优先股、永续债等其他金融工具基本情况"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期末发行在外的优先股、永续债等金融工具变动情况表"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365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5、资本公积" w:id="354"/>
      <w:bookmarkEnd w:id="35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641,920,393.65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32,192,555.60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559,812,949.25</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29,224,700.01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16,247,900.00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46,893,600.01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671,145,093.66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66,109,355.60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130,547,900.00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606,706,549.26</w:t>
            </w:r>
            <w:r>
              <w:rPr>
                <w:rFonts w:ascii="Times New Roman"/>
                <w:sz w:val="18"/>
              </w:rPr>
            </w:r>
          </w:p>
        </w:tc>
      </w:tr>
    </w:tbl>
    <w:p>
      <w:pPr>
        <w:pStyle w:val="BodyText"/>
        <w:spacing w:line="240" w:lineRule="auto" w:before="87"/>
        <w:ind w:right="0"/>
        <w:jc w:val="left"/>
      </w:pPr>
      <w:r>
        <w:rPr/>
        <w:t>其他说明，包括本期增减变动情况、变动原因说明：</w:t>
      </w:r>
    </w:p>
    <w:p>
      <w:pPr>
        <w:spacing w:line="240" w:lineRule="auto" w:before="10"/>
        <w:rPr>
          <w:rFonts w:ascii="宋体" w:hAnsi="宋体" w:cs="宋体" w:eastAsia="宋体" w:hint="default"/>
          <w:sz w:val="17"/>
          <w:szCs w:val="17"/>
        </w:rPr>
      </w:pPr>
    </w:p>
    <w:p>
      <w:pPr>
        <w:pStyle w:val="BodyText"/>
        <w:tabs>
          <w:tab w:pos="855" w:val="left" w:leader="none"/>
        </w:tabs>
        <w:spacing w:line="240" w:lineRule="auto"/>
        <w:ind w:left="435" w:right="0"/>
        <w:jc w:val="left"/>
      </w:pPr>
      <w:r>
        <w:rPr>
          <w:rFonts w:ascii="宋体" w:hAnsi="宋体" w:cs="宋体" w:eastAsia="宋体" w:hint="default"/>
        </w:rPr>
        <w:t>1.</w:t>
        <w:tab/>
      </w:r>
      <w:r>
        <w:rPr/>
        <w:t>其他资本公积本期增加系由于股份支付所形成。</w:t>
      </w:r>
    </w:p>
    <w:p>
      <w:pPr>
        <w:spacing w:line="240" w:lineRule="auto" w:before="10"/>
        <w:rPr>
          <w:rFonts w:ascii="宋体" w:hAnsi="宋体" w:cs="宋体" w:eastAsia="宋体" w:hint="default"/>
          <w:sz w:val="17"/>
          <w:szCs w:val="17"/>
        </w:rPr>
      </w:pPr>
    </w:p>
    <w:p>
      <w:pPr>
        <w:pStyle w:val="BodyText"/>
        <w:tabs>
          <w:tab w:pos="855" w:val="left" w:leader="none"/>
        </w:tabs>
        <w:spacing w:line="240" w:lineRule="auto"/>
        <w:ind w:left="435" w:right="0"/>
        <w:jc w:val="left"/>
      </w:pPr>
      <w:r>
        <w:rPr>
          <w:rFonts w:ascii="宋体" w:hAnsi="宋体" w:cs="宋体" w:eastAsia="宋体" w:hint="default"/>
        </w:rPr>
        <w:t>2.</w:t>
        <w:tab/>
      </w:r>
      <w:r>
        <w:rPr/>
        <w:t>其他资本公积本期减少系由于股权激励行权所致。</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6、库存股" w:id="355"/>
      <w:bookmarkEnd w:id="35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7、其他综合收益" w:id="356"/>
      <w:bookmarkEnd w:id="35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2"/>
        <w:gridCol w:w="934"/>
        <w:gridCol w:w="936"/>
        <w:gridCol w:w="936"/>
        <w:gridCol w:w="797"/>
      </w:tblGrid>
      <w:tr>
        <w:trPr>
          <w:trHeight w:val="396"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22" w:hRule="exact"/>
        </w:trPr>
        <w:tc>
          <w:tcPr>
            <w:tcW w:w="2798"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70"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70"/>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8" w:type="dxa"/>
            <w:vMerge w:val="restart"/>
            <w:tcBorders>
              <w:top w:val="nil" w:sz="6" w:space="0" w:color="auto"/>
              <w:left w:val="single" w:sz="4" w:space="0" w:color="000000"/>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-87,737.42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-87,737.42</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-87,737.42</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-87,737.42</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4"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-87,737.42</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-87,737.42</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8、专项储备" w:id="357"/>
      <w:bookmarkEnd w:id="35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9、盈余公积" w:id="358"/>
      <w:bookmarkEnd w:id="35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17,440,475.56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7,245,289.06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24,685,764.62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17,440,475.56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7,245,289.06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24,685,764.62</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0、未分配利润" w:id="359"/>
      <w:bookmarkEnd w:id="35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696"/>
        <w:gridCol w:w="2934"/>
        <w:gridCol w:w="291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98"/>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327,492,908.55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262,587,027.37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327,492,908.55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262,587,027.37</w:t>
            </w:r>
            <w:r>
              <w:rPr>
                <w:rFonts w:ascii="Times New Roman"/>
                <w:sz w:val="18"/>
              </w:rPr>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85,495,853.97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79,581,385.94</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7,245,289.06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3,245,504.76</w:t>
            </w:r>
            <w:r>
              <w:rPr>
                <w:rFonts w:ascii="Times New Roman"/>
                <w:sz w:val="18"/>
              </w:rPr>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5,715,000.00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11,430,000.00</w:t>
            </w:r>
            <w:r>
              <w:rPr>
                <w:rFonts w:ascii="Times New Roman"/>
                <w:sz w:val="18"/>
              </w:rPr>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400,028,473.46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327,492,908.55</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0"/>
      <w:bookmarkEnd w:id="36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388,957,724.06</w:t>
            </w:r>
            <w:r>
              <w:rPr>
                <w:rFonts w:ascii="Times New Roman"/>
                <w:sz w:val="18"/>
              </w:rPr>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977,566,389.51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608,664,489.99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678,200,326.93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388,957,724.06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2、营业税金及附加" w:id="361"/>
      <w:bookmarkEnd w:id="36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2,891.05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5,089,330.08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2,990,075.10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3,692,202.82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2,136,805.85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8,781,532.90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5,129,772.00</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3、销售费用" w:id="362"/>
      <w:bookmarkEnd w:id="36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32,611,062.15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30,671,905.45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6,011,007.97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6,891,765.75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7,164,886.00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5,913,426.02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10,572,379.21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7,445,241.41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16,894,432.62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14,507,597.89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24,044,819.76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25,080,961.03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7,549,445.10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5,268,484.37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2,131,920.08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2,125,064.71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1,195,967.64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391,077.68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108,175,920.53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98,295,524.31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4、管理费用" w:id="363"/>
      <w:bookmarkEnd w:id="36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131,493,087.64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104,188,634.52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44,871,957.13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28,891,225.91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8,070,383.00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7,399,065.44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1,695,643.21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818,339.78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1,453,299.81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1,430,527.90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9,147,587.79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8,168,736.20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1,821,184.07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845,653.41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13,158,509.88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5,202,879.43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211,711,652.53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156,945,062.59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5、财务费用" w:id="364"/>
      <w:bookmarkEnd w:id="36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8,109,006.23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3,586,317.95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12,994,246.85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37,600.31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6,842.53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357,628.69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269,674.45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4,917,917.28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-12,717,729.87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6、资产减值损失" w:id="365"/>
      <w:bookmarkEnd w:id="36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4,524,123.88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5,968,740.96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5,352,224.69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2,421,544.14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9,876,348.57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8,390,285.10</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7、公允价值变动收益" w:id="366"/>
      <w:bookmarkEnd w:id="36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0"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121,378.09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8、投资收益" w:id="367"/>
      <w:bookmarkEnd w:id="36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1,186,040.87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2,632,356.73</w:t>
            </w:r>
            <w:r>
              <w:rPr>
                <w:rFonts w:ascii="Times New Roman"/>
                <w:sz w:val="18"/>
              </w:rPr>
            </w:r>
          </w:p>
        </w:tc>
      </w:tr>
      <w:tr>
        <w:trPr>
          <w:trHeight w:val="715"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2,912,824.66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4,098,865.53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2,632,356.73</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9、营业外收入" w:id="368"/>
      <w:bookmarkEnd w:id="36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5"/>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27,187.92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27,187.92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27,187.92</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50,546,421.35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31,536,423.39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481,095.94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481,095.94</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58,348,072.41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42,382,710.90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7,801,651.06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计入当期损益的政府补助：</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4" w:right="66"/>
              <w:jc w:val="left"/>
              <w:rPr>
                <w:rFonts w:ascii="宋体" w:hAnsi="宋体" w:cs="宋体" w:eastAsia="宋体" w:hint="default"/>
                <w:sz w:val="18"/>
                <w:szCs w:val="18"/>
              </w:rPr>
            </w:pPr>
            <w:r>
              <w:rPr>
                <w:rFonts w:ascii="宋体" w:hAnsi="宋体" w:cs="宋体" w:eastAsia="宋体" w:hint="default"/>
                <w:sz w:val="18"/>
                <w:szCs w:val="18"/>
              </w:rPr>
              <w:t>爱用</w:t>
            </w:r>
            <w:r>
              <w:rPr>
                <w:rFonts w:ascii="Times New Roman" w:hAnsi="Times New Roman" w:cs="Times New Roman" w:eastAsia="Times New Roman" w:hint="default"/>
                <w:sz w:val="18"/>
                <w:szCs w:val="18"/>
              </w:rPr>
              <w:t>'</w:t>
            </w:r>
            <w:r>
              <w:rPr>
                <w:rFonts w:ascii="宋体" w:hAnsi="宋体" w:cs="宋体" w:eastAsia="宋体" w:hint="default"/>
                <w:sz w:val="18"/>
                <w:szCs w:val="18"/>
              </w:rPr>
              <w:t>网银宝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互联网支付 系统研发项 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国际科技合 作计划资助 项目资金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4" w:right="59"/>
              <w:jc w:val="left"/>
              <w:rPr>
                <w:rFonts w:ascii="宋体" w:hAnsi="宋体" w:cs="宋体" w:eastAsia="宋体" w:hint="default"/>
                <w:sz w:val="18"/>
                <w:szCs w:val="18"/>
              </w:rPr>
            </w:pPr>
            <w:r>
              <w:rPr>
                <w:rFonts w:ascii="宋体" w:hAnsi="宋体" w:cs="宋体" w:eastAsia="宋体" w:hint="default"/>
                <w:sz w:val="18"/>
                <w:szCs w:val="18"/>
              </w:rPr>
              <w:t>深圳市发改 委</w:t>
            </w:r>
            <w:r>
              <w:rPr>
                <w:rFonts w:ascii="Times New Roman" w:hAnsi="Times New Roman" w:cs="Times New Roman" w:eastAsia="Times New Roman" w:hint="default"/>
                <w:sz w:val="18"/>
                <w:szCs w:val="18"/>
              </w:rPr>
              <w:t>"</w:t>
            </w:r>
            <w:r>
              <w:rPr>
                <w:rFonts w:ascii="宋体" w:hAnsi="宋体" w:cs="宋体" w:eastAsia="宋体" w:hint="default"/>
                <w:sz w:val="18"/>
                <w:szCs w:val="18"/>
              </w:rPr>
              <w:t>国密算法 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 具研产一体 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资助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PCP4.0</w:t>
            </w:r>
          </w:p>
          <w:p>
            <w:pPr>
              <w:pStyle w:val="TableParagraph"/>
              <w:spacing w:line="316" w:lineRule="auto" w:before="63"/>
              <w:ind w:left="24" w:right="131"/>
              <w:jc w:val="both"/>
              <w:rPr>
                <w:rFonts w:ascii="宋体" w:hAnsi="宋体" w:cs="宋体" w:eastAsia="宋体" w:hint="default"/>
                <w:sz w:val="18"/>
                <w:szCs w:val="18"/>
              </w:rPr>
            </w:pPr>
            <w:r>
              <w:rPr>
                <w:rFonts w:ascii="宋体" w:hAnsi="宋体" w:cs="宋体" w:eastAsia="宋体" w:hint="default"/>
                <w:sz w:val="18"/>
                <w:szCs w:val="18"/>
              </w:rPr>
              <w:t>的电子支付 信息安全关 键技术研发 资助款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科技型中小 企业技术创 新基金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131"/>
              <w:jc w:val="both"/>
              <w:rPr>
                <w:rFonts w:ascii="宋体" w:hAnsi="宋体" w:cs="宋体" w:eastAsia="宋体" w:hint="default"/>
                <w:sz w:val="18"/>
                <w:szCs w:val="18"/>
              </w:rPr>
            </w:pPr>
            <w:r>
              <w:rPr>
                <w:rFonts w:ascii="宋体" w:hAnsi="宋体" w:cs="宋体" w:eastAsia="宋体" w:hint="default"/>
                <w:sz w:val="18"/>
                <w:szCs w:val="18"/>
              </w:rPr>
              <w:t>易联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电 子签名技术 研发项目资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67"/>
              <w:jc w:val="left"/>
              <w:rPr>
                <w:rFonts w:ascii="宋体" w:hAnsi="宋体" w:cs="宋体" w:eastAsia="宋体" w:hint="default"/>
                <w:sz w:val="18"/>
                <w:szCs w:val="18"/>
              </w:rPr>
            </w:pPr>
            <w:r>
              <w:rPr>
                <w:rFonts w:ascii="宋体" w:hAnsi="宋体" w:cs="宋体" w:eastAsia="宋体" w:hint="default"/>
                <w:sz w:val="18"/>
                <w:szCs w:val="18"/>
              </w:rPr>
              <w:t>国密算法安 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 产研一体化 项目的政府 资助资金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市场监督管 理局政府资 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36"/>
              <w:jc w:val="left"/>
              <w:rPr>
                <w:rFonts w:ascii="宋体" w:hAnsi="宋体" w:cs="宋体" w:eastAsia="宋体" w:hint="default"/>
                <w:sz w:val="18"/>
                <w:szCs w:val="18"/>
              </w:rPr>
            </w:pPr>
            <w:r>
              <w:rPr>
                <w:rFonts w:ascii="宋体" w:hAnsi="宋体" w:cs="宋体" w:eastAsia="宋体" w:hint="default"/>
                <w:sz w:val="18"/>
                <w:szCs w:val="18"/>
              </w:rPr>
              <w:t>市场监督管 理局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第一批专利 申请资助周 转金拨款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36"/>
              <w:jc w:val="left"/>
              <w:rPr>
                <w:rFonts w:ascii="宋体" w:hAnsi="宋体" w:cs="宋体" w:eastAsia="宋体" w:hint="default"/>
                <w:sz w:val="18"/>
                <w:szCs w:val="18"/>
              </w:rPr>
            </w:pPr>
            <w:r>
              <w:rPr>
                <w:rFonts w:ascii="宋体" w:hAnsi="宋体" w:cs="宋体" w:eastAsia="宋体" w:hint="default"/>
                <w:sz w:val="18"/>
                <w:szCs w:val="18"/>
              </w:rPr>
              <w:t>市场监督管 理局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第一批境外 商标注册申 请资助拨款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福田产业发 展专项资金 福田区产业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36"/>
              <w:jc w:val="left"/>
              <w:rPr>
                <w:rFonts w:ascii="宋体" w:hAnsi="宋体" w:cs="宋体" w:eastAsia="宋体" w:hint="default"/>
                <w:sz w:val="18"/>
                <w:szCs w:val="18"/>
              </w:rPr>
            </w:pPr>
            <w:r>
              <w:rPr>
                <w:rFonts w:ascii="宋体" w:hAnsi="宋体" w:cs="宋体" w:eastAsia="宋体" w:hint="default"/>
                <w:sz w:val="18"/>
                <w:szCs w:val="18"/>
              </w:rPr>
              <w:t>发展专项资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二批支持企 业</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 优势企业奖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福田区知识 产权专项奖 励资金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深圳市新一 代信息技术 产业发展专 </w:t>
            </w:r>
            <w:r>
              <w:rPr>
                <w:rFonts w:ascii="宋体" w:hAnsi="宋体" w:cs="宋体" w:eastAsia="宋体" w:hint="default"/>
                <w:spacing w:val="-12"/>
                <w:sz w:val="18"/>
                <w:szCs w:val="18"/>
              </w:rPr>
              <w:t>项资金（基于</w:t>
            </w:r>
            <w:r>
              <w:rPr>
                <w:rFonts w:ascii="宋体" w:hAnsi="宋体" w:cs="宋体" w:eastAsia="宋体" w:hint="default"/>
                <w:sz w:val="18"/>
                <w:szCs w:val="18"/>
              </w:rPr>
              <w:t> 移动互联网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系列支 付终端产业 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540,000.00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产业技术研 究与开发高 技术产业发 展项目资金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基于云计算 应用的</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S-POS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p>
            <w:pPr>
              <w:pStyle w:val="TableParagraph"/>
              <w:spacing w:line="316" w:lineRule="auto" w:before="63"/>
              <w:ind w:left="24" w:right="131"/>
              <w:jc w:val="both"/>
              <w:rPr>
                <w:rFonts w:ascii="宋体" w:hAnsi="宋体" w:cs="宋体" w:eastAsia="宋体" w:hint="default"/>
                <w:sz w:val="18"/>
                <w:szCs w:val="18"/>
              </w:rPr>
            </w:pPr>
            <w:r>
              <w:rPr>
                <w:rFonts w:ascii="宋体" w:hAnsi="宋体" w:cs="宋体" w:eastAsia="宋体" w:hint="default"/>
                <w:sz w:val="18"/>
                <w:szCs w:val="18"/>
              </w:rPr>
              <w:t>软件研发及 产业化项目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市第四批计 算机软件著 作权登记资 助拨款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1"/>
              <w:jc w:val="left"/>
              <w:rPr>
                <w:rFonts w:ascii="宋体" w:hAnsi="宋体" w:cs="宋体" w:eastAsia="宋体" w:hint="default"/>
                <w:sz w:val="18"/>
                <w:szCs w:val="18"/>
              </w:rPr>
            </w:pPr>
            <w:r>
              <w:rPr>
                <w:rFonts w:ascii="宋体" w:hAnsi="宋体" w:cs="宋体" w:eastAsia="宋体" w:hint="default"/>
                <w:sz w:val="18"/>
                <w:szCs w:val="18"/>
              </w:rPr>
              <w:t>软件产品补 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年昆山 市版权登记 费资助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1"/>
              <w:jc w:val="both"/>
              <w:rPr>
                <w:rFonts w:ascii="宋体" w:hAnsi="宋体" w:cs="宋体" w:eastAsia="宋体" w:hint="default"/>
                <w:sz w:val="18"/>
                <w:szCs w:val="18"/>
              </w:rPr>
            </w:pPr>
            <w:r>
              <w:rPr>
                <w:rFonts w:ascii="宋体" w:hAnsi="宋体" w:cs="宋体" w:eastAsia="宋体" w:hint="default"/>
                <w:sz w:val="18"/>
                <w:szCs w:val="18"/>
              </w:rPr>
              <w:t>江苏省建筑 节能与绿色 环保示范区 专项引导资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4" w:right="81"/>
              <w:jc w:val="left"/>
              <w:rPr>
                <w:rFonts w:ascii="宋体" w:hAnsi="宋体" w:cs="宋体" w:eastAsia="宋体" w:hint="default"/>
                <w:sz w:val="18"/>
                <w:szCs w:val="18"/>
              </w:rPr>
            </w:pPr>
            <w:r>
              <w:rPr>
                <w:rFonts w:ascii="宋体" w:hAnsi="宋体" w:cs="宋体" w:eastAsia="宋体" w:hint="default"/>
                <w:sz w:val="18"/>
                <w:szCs w:val="18"/>
              </w:rPr>
              <w:t>杭州市滨江 区财政局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年区标 准奖励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杭州市生产 力促进中心 专利补助款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3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杭州市就业 管理服务局 社保补贴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111,500.53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1"/>
              <w:jc w:val="both"/>
              <w:rPr>
                <w:rFonts w:ascii="宋体" w:hAnsi="宋体" w:cs="宋体" w:eastAsia="宋体" w:hint="default"/>
                <w:sz w:val="18"/>
                <w:szCs w:val="18"/>
              </w:rPr>
            </w:pPr>
            <w:r>
              <w:rPr>
                <w:rFonts w:ascii="宋体" w:hAnsi="宋体" w:cs="宋体" w:eastAsia="宋体" w:hint="default"/>
                <w:sz w:val="18"/>
                <w:szCs w:val="18"/>
              </w:rPr>
              <w:t>电子信息产 业发展基金 工业和信息 化部发展资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PCI2.X </w:t>
            </w:r>
            <w:r>
              <w:rPr>
                <w:rFonts w:ascii="宋体" w:hAnsi="宋体" w:cs="宋体" w:eastAsia="宋体" w:hint="default"/>
                <w:sz w:val="18"/>
                <w:szCs w:val="18"/>
              </w:rPr>
              <w:t>的金</w:t>
            </w:r>
          </w:p>
          <w:p>
            <w:pPr>
              <w:pStyle w:val="TableParagraph"/>
              <w:spacing w:line="312"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 方案国际科 技合作研发 项目资金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银行卡身份 认证管理安 全系统项目 资助资金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城市一卡通 小额射频电 子支付受理 设备的研发、 应用示范及 推广项目资</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3" w:type="dxa"/>
            <w:tcBorders>
              <w:top w:val="single" w:sz="4" w:space="0" w:color="000000"/>
              <w:left w:val="single" w:sz="10" w:space="0" w:color="FF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114"/>
              <w:jc w:val="both"/>
              <w:rPr>
                <w:rFonts w:ascii="宋体" w:hAnsi="宋体" w:cs="宋体" w:eastAsia="宋体" w:hint="default"/>
                <w:sz w:val="18"/>
                <w:szCs w:val="18"/>
              </w:rPr>
            </w:pPr>
            <w:r>
              <w:rPr>
                <w:rFonts w:ascii="宋体" w:hAnsi="宋体" w:cs="宋体" w:eastAsia="宋体" w:hint="default"/>
                <w:sz w:val="18"/>
                <w:szCs w:val="18"/>
              </w:rPr>
              <w:t>脚本化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支撑系统设 计及推广项 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电子支付综 合平台产业 化项目资金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技术创新计 划技术开发 </w:t>
            </w:r>
            <w:r>
              <w:rPr>
                <w:rFonts w:ascii="宋体" w:hAnsi="宋体" w:cs="宋体" w:eastAsia="宋体" w:hint="default"/>
                <w:spacing w:val="-12"/>
                <w:sz w:val="18"/>
                <w:szCs w:val="18"/>
              </w:rPr>
              <w:t>项目（电子信</w:t>
            </w:r>
            <w:r>
              <w:rPr>
                <w:rFonts w:ascii="宋体" w:hAnsi="宋体" w:cs="宋体" w:eastAsia="宋体" w:hint="default"/>
                <w:sz w:val="18"/>
                <w:szCs w:val="18"/>
              </w:rPr>
              <w:t> </w:t>
            </w:r>
            <w:r>
              <w:rPr>
                <w:rFonts w:ascii="宋体" w:hAnsi="宋体" w:cs="宋体" w:eastAsia="宋体" w:hint="default"/>
                <w:spacing w:val="-12"/>
                <w:sz w:val="18"/>
                <w:szCs w:val="18"/>
              </w:rPr>
              <w:t>息领域）资金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23"/>
              <w:jc w:val="left"/>
              <w:rPr>
                <w:rFonts w:ascii="宋体" w:hAnsi="宋体" w:cs="宋体" w:eastAsia="宋体" w:hint="default"/>
                <w:sz w:val="18"/>
                <w:szCs w:val="18"/>
              </w:rPr>
            </w:pPr>
            <w:r>
              <w:rPr>
                <w:rFonts w:ascii="宋体" w:hAnsi="宋体" w:cs="宋体" w:eastAsia="宋体" w:hint="default"/>
                <w:sz w:val="18"/>
                <w:szCs w:val="18"/>
              </w:rPr>
              <w:t>新国都公司 金融 </w:t>
            </w:r>
            <w:r>
              <w:rPr>
                <w:rFonts w:ascii="Times New Roman" w:hAnsi="Times New Roman" w:cs="Times New Roman" w:eastAsia="Times New Roman" w:hint="default"/>
                <w:sz w:val="18"/>
                <w:szCs w:val="18"/>
              </w:rPr>
              <w:t>POS </w:t>
            </w:r>
            <w:r>
              <w:rPr>
                <w:rFonts w:ascii="宋体" w:hAnsi="宋体" w:cs="宋体" w:eastAsia="宋体" w:hint="default"/>
                <w:sz w:val="18"/>
                <w:szCs w:val="18"/>
              </w:rPr>
              <w:t>品 牌培育项目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收到福田区 产业发展专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福田区科学 技术奖配套 支持资金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深圳市市场 监督管理局 资助资金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度第二批）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马群地区重 点税源企业 奖金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 权优势企业 认定资助款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深圳市高新 技术产业研 发专项补助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1,101,800.00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深圳市基层 党组织教育 活动经费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而获得的补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7,293,367.20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10,833,200.0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0、营业外支出" w:id="369"/>
      <w:bookmarkEnd w:id="36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5,756.16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479,361.17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5,756.16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5,756.16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479,361.17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5,756.16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429,883.42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335,297.13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429,883.42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295,688.64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67,160.56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295,688.64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731,328.22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881,818.86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731,328.22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1、所得税费用" w:id="370"/>
      <w:bookmarkEnd w:id="37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所得税费用表"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6,341,782.08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1,559,923.77</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-5,473,535.88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-3,798,955.97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868,246.20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-2,239,032.20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72"/>
      <w:bookmarkEnd w:id="3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87,275,515.52</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21,818,878.88</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-12,286,692.39</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-268,956.57</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-1,440,065.27</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-687,257.93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7,333,790.02</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-9,343,316.44</w:t>
            </w:r>
            <w:r>
              <w:rPr>
                <w:rFonts w:ascii="Times New Roman"/>
                <w:sz w:val="18"/>
              </w:rPr>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-5,473,535.88</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1,215,401.78</w:t>
            </w:r>
            <w:r>
              <w:rPr>
                <w:rFonts w:ascii="Times New Roman"/>
                <w:sz w:val="18"/>
              </w:rPr>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868,246.20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2、其他综合收益" w:id="373"/>
      <w:bookmarkEnd w:id="373"/>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3、现金流量表项目" w:id="374"/>
      <w:bookmarkEnd w:id="374"/>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收到的其他与经营活动有关的现金"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5,880,479.95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9,581,945.75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2,104,942.96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776,618.83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1,379,200.53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2,083,200.00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7,590,936.51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104,550.19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16,955,559.95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12,546,314.77</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376"/>
      <w:bookmarkEnd w:id="3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16,330,821.65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3,797,207.42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106,773,681.16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100,552,820.47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287,961.48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7,013,665.88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123,392,464.29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111,363,693.77</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收到的其他与投资活动有关的现金" w:id="377"/>
      <w:bookmarkEnd w:id="3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结构性存款本金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2,912,824.66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394,662,824.66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7,200,000.00</w:t>
            </w:r>
            <w:r>
              <w:rPr>
                <w:rFonts w:ascii="Times New Roman"/>
                <w:sz w:val="18"/>
              </w:rPr>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支付的其他与投资活动有关的现金" w:id="378"/>
      <w:bookmarkEnd w:id="3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结构性存款本金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79"/>
      <w:bookmarkEnd w:id="3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3,271,926.73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12,217,628.02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与原股东的往来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1,694,603.00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4,966,529.73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12,302,628.02</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支付的其他与筹资活动有关的现金" w:id="380"/>
      <w:bookmarkEnd w:id="3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27,117,241.78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27,117,241.78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4、现金流量表补充资料" w:id="381"/>
      <w:bookmarkEnd w:id="381"/>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现金流量表补充资料"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304.139984pt;width:151.2pt;height:40.8pt;mso-position-horizontal-relative:page;mso-position-vertical-relative:page;z-index:-1073656" coordorigin="4466,6083" coordsize="3024,816">
            <v:group style="position:absolute;left:4477;top:6094;width:2;height:392" coordorigin="4477,6094" coordsize="2,392">
              <v:shape style="position:absolute;left:4477;top:6094;width:2;height:392" coordorigin="4477,6094" coordsize="0,392" path="m4477,6094l4477,6485e" filled="false" stroked="true" strokeweight="1.08pt" strokecolor="#ffffff">
                <v:path arrowok="t"/>
              </v:shape>
            </v:group>
            <v:group style="position:absolute;left:4488;top:6094;width:3003;height:392" coordorigin="4488,6094" coordsize="3003,392">
              <v:shape style="position:absolute;left:4488;top:6094;width:3003;height:392" coordorigin="4488,6094" coordsize="3003,392" path="m4488,6485l7490,6485,7490,6094,4488,6094,4488,6485xe" filled="true" fillcolor="#ffffff" stroked="false">
                <v:path arrowok="t"/>
                <v:fill type="solid"/>
              </v:shape>
            </v:group>
            <v:group style="position:absolute;left:4477;top:6497;width:2;height:392" coordorigin="4477,6497" coordsize="2,392">
              <v:shape style="position:absolute;left:4477;top:6497;width:2;height:392" coordorigin="4477,6497" coordsize="0,392" path="m4477,6497l4477,6888e" filled="false" stroked="true" strokeweight="1.08pt" strokecolor="#ffffff">
                <v:path arrowok="t"/>
              </v:shape>
            </v:group>
            <v:group style="position:absolute;left:4488;top:6497;width:3003;height:392" coordorigin="4488,6497" coordsize="3003,392">
              <v:shape style="position:absolute;left:4488;top:6497;width:3003;height:392" coordorigin="4488,6497" coordsize="3003,392" path="m4488,6888l7490,6888,7490,6497,4488,6497,4488,688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0"/>
        <w:gridCol w:w="1057"/>
        <w:gridCol w:w="2015"/>
        <w:gridCol w:w="3185"/>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6" w:right="0"/>
              <w:jc w:val="left"/>
              <w:rPr>
                <w:rFonts w:ascii="Times New Roman" w:hAnsi="Times New Roman" w:cs="Times New Roman" w:eastAsia="Times New Roman" w:hint="default"/>
                <w:sz w:val="18"/>
                <w:szCs w:val="18"/>
              </w:rPr>
            </w:pPr>
            <w:r>
              <w:rPr>
                <w:rFonts w:ascii="Times New Roman"/>
                <w:sz w:val="18"/>
              </w:rPr>
              <w:t>86,407,269.32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79,571,969.71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9,876,348.57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8,390,285.10</w:t>
            </w:r>
            <w:r>
              <w:rPr>
                <w:rFonts w:ascii="Times New Roman"/>
                <w:sz w:val="18"/>
              </w:rPr>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7,648,654.86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5,226,034.88</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6,437,892.94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1,274,675.96</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1,738,214.74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913,382.29</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-21,431.76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479,361.17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-121,378.09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6,627,631.24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-10,378,624.59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25" w:right="0"/>
              <w:jc w:val="left"/>
              <w:rPr>
                <w:rFonts w:ascii="Times New Roman" w:hAnsi="Times New Roman" w:cs="Times New Roman" w:eastAsia="Times New Roman" w:hint="default"/>
                <w:sz w:val="18"/>
                <w:szCs w:val="18"/>
              </w:rPr>
            </w:pPr>
            <w:r>
              <w:rPr>
                <w:rFonts w:ascii="Times New Roman"/>
                <w:sz w:val="18"/>
              </w:rPr>
              <w:t>-4,097,056.68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-2,632,356.73</w:t>
            </w:r>
            <w:r>
              <w:rPr>
                <w:rFonts w:ascii="Times New Roman"/>
                <w:sz w:val="18"/>
              </w:rPr>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-3,854,809.40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-3,798,955.97</w:t>
            </w:r>
            <w:r>
              <w:rPr>
                <w:rFonts w:ascii="Times New Roman"/>
                <w:sz w:val="18"/>
              </w:rPr>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0"/>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-1,618,726.48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-35,623,453.94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-15,768,909.34</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6" w:right="0"/>
              <w:jc w:val="left"/>
              <w:rPr>
                <w:rFonts w:ascii="Times New Roman" w:hAnsi="Times New Roman" w:cs="Times New Roman" w:eastAsia="Times New Roman" w:hint="default"/>
                <w:sz w:val="18"/>
                <w:szCs w:val="18"/>
              </w:rPr>
            </w:pPr>
            <w:r>
              <w:rPr>
                <w:rFonts w:ascii="Times New Roman"/>
                <w:sz w:val="18"/>
              </w:rPr>
              <w:t>-18,581,791.91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-131,085,141.05</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175,666,683.96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34,716,265.99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6" w:right="0"/>
              <w:jc w:val="left"/>
              <w:rPr>
                <w:rFonts w:ascii="Times New Roman" w:hAnsi="Times New Roman" w:cs="Times New Roman" w:eastAsia="Times New Roman" w:hint="default"/>
                <w:sz w:val="18"/>
                <w:szCs w:val="18"/>
              </w:rPr>
            </w:pPr>
            <w:r>
              <w:rPr>
                <w:rFonts w:ascii="Times New Roman"/>
                <w:sz w:val="18"/>
              </w:rPr>
              <w:t>33,916,800.00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29,224,700.01</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264,400,847.37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-3,867,312.57</w:t>
            </w:r>
            <w:r>
              <w:rPr>
                <w:rFonts w:ascii="Times New Roman"/>
                <w:sz w:val="18"/>
              </w:rPr>
            </w:r>
          </w:p>
        </w:tc>
      </w:tr>
      <w:tr>
        <w:trPr>
          <w:trHeight w:val="162" w:hRule="exact"/>
        </w:trPr>
        <w:tc>
          <w:tcPr>
            <w:tcW w:w="3300" w:type="dxa"/>
            <w:vMerge w:val="restart"/>
            <w:tcBorders>
              <w:top w:val="single" w:sz="4" w:space="0" w:color="000000"/>
              <w:left w:val="single" w:sz="4" w:space="0" w:color="000000"/>
              <w:right w:val="single" w:sz="4" w:space="0" w:color="000000"/>
            </w:tcBorders>
            <w:shd w:val="clear" w:color="auto" w:fill="D4D4D4"/>
          </w:tcPr>
          <w:p>
            <w:pPr>
              <w:pStyle w:val="TableParagraph"/>
              <w:spacing w:line="297" w:lineRule="auto" w:before="50"/>
              <w:ind w:left="1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0" w:type="dxa"/>
            <w:vMerge/>
            <w:tcBorders>
              <w:left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0" w:type="dxa"/>
            <w:vMerge/>
            <w:tcBorders>
              <w:left w:val="single" w:sz="4" w:space="0" w:color="000000"/>
              <w:bottom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05" w:right="0"/>
              <w:jc w:val="left"/>
              <w:rPr>
                <w:rFonts w:ascii="Times New Roman" w:hAnsi="Times New Roman" w:cs="Times New Roman" w:eastAsia="Times New Roman" w:hint="default"/>
                <w:sz w:val="18"/>
                <w:szCs w:val="18"/>
              </w:rPr>
            </w:pPr>
            <w:r>
              <w:rPr>
                <w:rFonts w:ascii="Times New Roman"/>
                <w:sz w:val="18"/>
              </w:rPr>
              <w:t>388,823,193.17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496,743,338.75</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496,743,338.75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670,754,556.20</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845" w:right="0"/>
              <w:jc w:val="left"/>
              <w:rPr>
                <w:rFonts w:ascii="Times New Roman" w:hAnsi="Times New Roman" w:cs="Times New Roman" w:eastAsia="Times New Roman" w:hint="default"/>
                <w:sz w:val="18"/>
                <w:szCs w:val="18"/>
              </w:rPr>
            </w:pPr>
            <w:r>
              <w:rPr>
                <w:rFonts w:ascii="Times New Roman"/>
                <w:sz w:val="18"/>
              </w:rPr>
              <w:t>-107,920,145.58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-174,011,217.45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83"/>
      <w:bookmarkEnd w:id="3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256,839,110.00</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浙江中正</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226,800,000.00</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ExaDigm,Inc.</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30,039,110.00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22,671,467.84</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浙江中正</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20,332,640.22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ExaDigm,Inc.</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2,338,827.62</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234,167,642.16</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84"/>
      <w:bookmarkEnd w:id="38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5"/>
        <w:gridCol w:w="4582"/>
      </w:tblGrid>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499,600.00</w:t>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广州新国都</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499,600.00</w:t>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499,600.00</w:t>
            </w:r>
          </w:p>
        </w:tc>
      </w:tr>
      <w:tr>
        <w:trPr>
          <w:trHeight w:val="401"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广州新国都</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499,600.00</w:t>
            </w:r>
          </w:p>
        </w:tc>
      </w:tr>
      <w:tr>
        <w:trPr>
          <w:trHeight w:val="401"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现金和现金等价物的构成" w:id="385"/>
      <w:bookmarkEnd w:id="38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388,823,193.17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496,743,338.75</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99,745.11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388,801,519.89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496,643,593.64</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388,823,193.17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496,743,338.75</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5、所有者权益变动表项目注释" w:id="386"/>
      <w:bookmarkEnd w:id="386"/>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76、所有权或使用权受到限制的资产" w:id="387"/>
      <w:bookmarkEnd w:id="387"/>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7、外币货币性项目" w:id="388"/>
      <w:bookmarkEnd w:id="38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外币货币性项目"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421,756.97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2,738,630.96</w:t>
            </w:r>
            <w:r>
              <w:rPr>
                <w:rFonts w:ascii="Times New Roman"/>
                <w:sz w:val="18"/>
              </w:rPr>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436,402.00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2,833,820.03</w:t>
            </w:r>
            <w:r>
              <w:rPr>
                <w:rFonts w:ascii="Times New Roman"/>
                <w:sz w:val="18"/>
              </w:rPr>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159,970.41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1,038,783.85</w:t>
            </w:r>
            <w:r>
              <w:rPr>
                <w:rFonts w:ascii="Times New Roman"/>
                <w:sz w:val="18"/>
              </w:rPr>
            </w:r>
          </w:p>
        </w:tc>
      </w:tr>
    </w:tbl>
    <w:p>
      <w:pPr>
        <w:pStyle w:val="BodyText"/>
        <w:spacing w:line="360" w:lineRule="auto" w:before="49"/>
        <w:ind w:right="5362"/>
        <w:jc w:val="left"/>
      </w:pPr>
      <w:r>
        <w:rPr/>
        <w:t>其他说明： 主要为非同一控制下企业合并美国</w:t>
      </w:r>
      <w:r>
        <w:rPr>
          <w:rFonts w:ascii="Times New Roman" w:hAnsi="Times New Roman" w:cs="Times New Roman" w:eastAsia="Times New Roman" w:hint="default"/>
        </w:rPr>
        <w:t>Exadigm,Inc</w:t>
      </w:r>
      <w:r>
        <w:rPr>
          <w:rFonts w:ascii="Times New Roman" w:hAnsi="Times New Roman" w:cs="Times New Roman" w:eastAsia="Times New Roman" w:hint="default"/>
          <w:spacing w:val="22"/>
        </w:rPr>
        <w:t> </w:t>
      </w:r>
      <w:r>
        <w:rPr/>
        <w:t>公司带入</w:t>
      </w:r>
    </w:p>
    <w:p>
      <w:pPr>
        <w:spacing w:line="240" w:lineRule="auto" w:before="7"/>
        <w:rPr>
          <w:rFonts w:ascii="宋体" w:hAnsi="宋体" w:cs="宋体" w:eastAsia="宋体" w:hint="default"/>
          <w:sz w:val="18"/>
          <w:szCs w:val="18"/>
        </w:rPr>
      </w:pPr>
    </w:p>
    <w:p>
      <w:pPr>
        <w:pStyle w:val="Heading3"/>
        <w:spacing w:line="256" w:lineRule="auto"/>
        <w:ind w:right="0"/>
        <w:jc w:val="left"/>
        <w:rPr>
          <w:b w:val="0"/>
          <w:bCs w:val="0"/>
        </w:rPr>
      </w:pPr>
      <w:bookmarkStart w:name="（2）境外经营实体说明，包括对于重要的境外经营实体，应披露其境外主要经营地、记账" w:id="390"/>
      <w:bookmarkEnd w:id="39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78、套期" w:id="391"/>
      <w:bookmarkEnd w:id="391"/>
      <w:r>
        <w:rPr>
          <w:b w:val="0"/>
          <w:bCs w:val="0"/>
        </w:rPr>
      </w:r>
      <w:r>
        <w:rPr>
          <w:rFonts w:ascii="Times New Roman" w:hAnsi="Times New Roman" w:cs="Times New Roman" w:eastAsia="Times New Roman" w:hint="default"/>
        </w:rPr>
        <w:t>78</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20"/>
        <w:ind w:left="152" w:right="7350" w:firstLine="0"/>
        <w:jc w:val="left"/>
        <w:rPr>
          <w:rFonts w:ascii="宋体" w:hAnsi="宋体" w:cs="宋体" w:eastAsia="宋体" w:hint="default"/>
          <w:sz w:val="21"/>
          <w:szCs w:val="21"/>
        </w:rPr>
      </w:pPr>
      <w:bookmarkStart w:name="79、其他" w:id="392"/>
      <w:bookmarkEnd w:id="392"/>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93"/>
      <w:bookmarkEnd w:id="393"/>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浙江中正智 能科技有限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252,000,000.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23" w:right="105"/>
              <w:jc w:val="both"/>
              <w:rPr>
                <w:rFonts w:ascii="宋体" w:hAnsi="宋体" w:cs="宋体" w:eastAsia="宋体" w:hint="default"/>
                <w:sz w:val="18"/>
                <w:szCs w:val="18"/>
              </w:rPr>
            </w:pPr>
            <w:r>
              <w:rPr>
                <w:rFonts w:ascii="宋体" w:hAnsi="宋体" w:cs="宋体" w:eastAsia="宋体" w:hint="default"/>
                <w:sz w:val="18"/>
                <w:szCs w:val="18"/>
              </w:rPr>
              <w:t>股权转让款 已支付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已办理完毕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70" w:lineRule="exact"/>
              <w:ind w:right="20"/>
              <w:jc w:val="right"/>
              <w:rPr>
                <w:rFonts w:ascii="Times New Roman" w:hAnsi="Times New Roman" w:cs="Times New Roman" w:eastAsia="Times New Roman" w:hint="default"/>
                <w:sz w:val="18"/>
                <w:szCs w:val="18"/>
              </w:rPr>
            </w:pPr>
            <w:r>
              <w:rPr>
                <w:rFonts w:ascii="Times New Roman"/>
                <w:spacing w:val="-1"/>
                <w:sz w:val="18"/>
              </w:rPr>
              <w:t>72,433,534.4</w:t>
            </w:r>
          </w:p>
          <w:p>
            <w:pPr>
              <w:pStyle w:val="TableParagraph"/>
              <w:spacing w:line="170"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9" w:lineRule="exact"/>
              <w:ind w:right="23"/>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6,805,533.18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ExaDigm,Inc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33,511,865.2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股权转让款 </w:t>
            </w:r>
            <w:r>
              <w:rPr>
                <w:rFonts w:ascii="宋体" w:hAnsi="宋体" w:cs="宋体" w:eastAsia="宋体" w:hint="default"/>
                <w:spacing w:val="-13"/>
                <w:sz w:val="18"/>
                <w:szCs w:val="18"/>
              </w:rPr>
              <w:t>已支付，取得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被收购方所 在地的政府 批文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6,085,853.72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-1,253,942.50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ExaDigm,Inc</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226,800,000.00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33,511,865.25</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25,200,000.00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33,511,865.25</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112,246,436.11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-2,781,748.69</w:t>
            </w:r>
            <w:r>
              <w:rPr>
                <w:rFonts w:ascii="Times New Roman"/>
                <w:sz w:val="18"/>
              </w:rPr>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139,753,563.89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36,293,613.94</w:t>
            </w:r>
          </w:p>
        </w:tc>
      </w:tr>
    </w:tbl>
    <w:p>
      <w:pPr>
        <w:pStyle w:val="BodyText"/>
        <w:spacing w:line="357" w:lineRule="auto" w:before="49"/>
        <w:ind w:right="5094"/>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401" w:hRule="exact"/>
        </w:trPr>
        <w:tc>
          <w:tcPr>
            <w:tcW w:w="1902" w:type="dxa"/>
            <w:tcBorders>
              <w:top w:val="single" w:sz="4" w:space="0" w:color="000000"/>
              <w:left w:val="single" w:sz="4" w:space="0" w:color="000000"/>
              <w:bottom w:val="single" w:sz="4" w:space="0" w:color="000000"/>
              <w:right w:val="single" w:sz="13" w:space="0" w:color="E1FFFF"/>
            </w:tcBorders>
            <w:shd w:val="clear" w:color="auto" w:fill="D4D4D4"/>
          </w:tcPr>
          <w:p>
            <w:pPr/>
          </w:p>
        </w:tc>
        <w:tc>
          <w:tcPr>
            <w:tcW w:w="3840" w:type="dxa"/>
            <w:gridSpan w:val="2"/>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ExaDigm,Inc</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20,332,640.22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20,332,640.22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2,712,168.93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2,712,168.93</w:t>
            </w:r>
            <w:r>
              <w:rPr>
                <w:rFonts w:ascii="Times New Roman"/>
                <w:sz w:val="18"/>
              </w:rPr>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20,694,834.40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20,694,834.40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2,934,042.25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2,934,042.25</w:t>
            </w:r>
            <w:r>
              <w:rPr>
                <w:rFonts w:ascii="Times New Roman"/>
                <w:sz w:val="18"/>
              </w:rPr>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34,793,501.44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28,001,888.34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4,821,108.38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4,821,108.38</w:t>
            </w:r>
            <w:r>
              <w:rPr>
                <w:rFonts w:ascii="Times New Roman"/>
                <w:sz w:val="18"/>
              </w:rPr>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1,916,560.29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1,586,540.47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180,749.36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180,749.36</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45,439,329.77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185,983.74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147,917.71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147,917.71</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10,515,233.78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10,515,233.78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9,356,069.79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9,356,069.79</w:t>
            </w:r>
            <w:r>
              <w:rPr>
                <w:rFonts w:ascii="Times New Roman"/>
                <w:sz w:val="18"/>
              </w:rPr>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112,246,436.11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67,724,250.96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-2,781,748.69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-2,781,748.69</w:t>
            </w:r>
            <w:r>
              <w:rPr>
                <w:rFonts w:ascii="Times New Roman"/>
                <w:sz w:val="18"/>
              </w:rPr>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112,246,436.11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67,724,250.96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-2,781,748.69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-2,781,748.69</w:t>
            </w:r>
            <w:r>
              <w:rPr>
                <w:rFonts w:ascii="Times New Roman"/>
                <w:sz w:val="18"/>
              </w:rPr>
            </w:r>
          </w:p>
        </w:tc>
      </w:tr>
    </w:tbl>
    <w:p>
      <w:pPr>
        <w:pStyle w:val="BodyText"/>
        <w:spacing w:line="357" w:lineRule="auto" w:before="49"/>
        <w:ind w:right="6551"/>
        <w:jc w:val="both"/>
      </w:pPr>
      <w:r>
        <w:rPr/>
        <w:t>可辨认资产、负债公允价值的确定方法： 企业合并中承担的被购买方的或有负债： 其他说明：</w:t>
      </w:r>
    </w:p>
    <w:p>
      <w:pPr>
        <w:spacing w:after="0" w:line="357"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5913" w:space="291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0"/>
        <w:gridCol w:w="1591"/>
        <w:gridCol w:w="1596"/>
        <w:gridCol w:w="1596"/>
        <w:gridCol w:w="1596"/>
        <w:gridCol w:w="1585"/>
      </w:tblGrid>
      <w:tr>
        <w:trPr>
          <w:trHeight w:val="1337" w:hRule="exact"/>
        </w:trPr>
        <w:tc>
          <w:tcPr>
            <w:tcW w:w="1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4" w:right="59"/>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40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ExaDigm,Inc</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3,472,755.25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3,472,755.25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其他说明"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同一控制下企业合并" w:id="401"/>
      <w:bookmarkEnd w:id="4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本期发生的同一控制下企业合并"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05pt;mso-position-horizontal-relative:char;mso-position-vertical-relative:line" coordorigin="0,0" coordsize="9579,421">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4d4d4">
                <v:path arrowok="t"/>
              </v:shape>
            </v:group>
            <v:group style="position:absolute;left:3180;top:418;width:2;height:392" coordorigin="3180,418" coordsize="2,392">
              <v:shape style="position:absolute;left:3180;top:418;width:2;height:392" coordorigin="3180,418" coordsize="0,392" path="m3180,418l3180,809e" filled="false" stroked="true" strokeweight="1.2pt" strokecolor="#d4d4d4">
                <v:path arrowok="t"/>
              </v:shape>
            </v:group>
            <v:group style="position:absolute;left:34;top:418;width:3135;height:392" coordorigin="34,418" coordsize="3135,392">
              <v:shape style="position:absolute;left:34;top:418;width:3135;height:392" coordorigin="34,418" coordsize="3135,392" path="m34,809l3168,809,3168,418,34,418,34,809xe" filled="true" fillcolor="#d4d4d4"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08pt" strokecolor="#d4d4d4">
                <v:path arrowok="t"/>
              </v:shape>
            </v:group>
            <v:group style="position:absolute;left:6370;top:418;width:2;height:392" coordorigin="6370,418" coordsize="2,392">
              <v:shape style="position:absolute;left:6370;top:418;width:2;height:392" coordorigin="6370,418" coordsize="0,392" path="m6370,418l6370,809e" filled="false" stroked="true" strokeweight="1.2pt" strokecolor="#d4d4d4">
                <v:path arrowok="t"/>
              </v:shape>
            </v:group>
            <v:group style="position:absolute;left:3223;top:418;width:3135;height:392" coordorigin="3223,418" coordsize="3135,392">
              <v:shape style="position:absolute;left:3223;top:418;width:3135;height:392" coordorigin="3223,418" coordsize="3135,392" path="m3223,809l6358,809,6358,418,3223,418,3223,809xe" filled="true" fillcolor="#d4d4d4"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08pt" strokecolor="#d4d4d4">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4d4d4">
                <v:path arrowok="t"/>
              </v:shape>
            </v:group>
            <v:group style="position:absolute;left:6413;top:418;width:3135;height:392" coordorigin="6413,418" coordsize="3135,392">
              <v:shape style="position:absolute;left:6413;top:418;width:3135;height:392" coordorigin="6413,418" coordsize="3135,392" path="m6413,809l9547,809,9547,418,6413,418,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2;width:3202;height:402" type="#_x0000_t202" filled="false" stroked="false">
                <v:textbox inset="0,0,0,0">
                  <w:txbxContent>
                    <w:p>
                      <w:pPr>
                        <w:spacing w:before="55"/>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91;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4"/>
        <w:jc w:val="left"/>
      </w:pPr>
      <w:r>
        <w:rPr/>
        <w:t>企业合并中承担的被合并方的或有负债： 其他说明：</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right="625" w:hanging="1"/>
        <w:jc w:val="left"/>
      </w:pPr>
      <w:r>
        <w:rPr/>
        <w:t>支付公司成立于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20,000</w:t>
      </w:r>
      <w:r>
        <w:rPr/>
        <w:t>万元，实收资本</w:t>
      </w:r>
      <w:r>
        <w:rPr>
          <w:rFonts w:ascii="Times New Roman" w:hAnsi="Times New Roman" w:cs="Times New Roman" w:eastAsia="Times New Roman" w:hint="default"/>
        </w:rPr>
        <w:t>1,000</w:t>
      </w:r>
      <w:r>
        <w:rPr/>
        <w:t>万元，系由本公司出资设立，持股比例</w:t>
      </w:r>
      <w:r>
        <w:rPr>
          <w:rFonts w:ascii="Times New Roman" w:hAnsi="Times New Roman" w:cs="Times New Roman" w:eastAsia="Times New Roman" w:hint="default"/>
        </w:rPr>
        <w:t>100%</w:t>
      </w:r>
      <w:r>
        <w:rPr/>
        <w:t>。 信联征信成立于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日，注册资本</w:t>
      </w:r>
      <w:r>
        <w:rPr>
          <w:rFonts w:ascii="Times New Roman" w:hAnsi="Times New Roman" w:cs="Times New Roman" w:eastAsia="Times New Roman" w:hint="default"/>
        </w:rPr>
        <w:t>6,000</w:t>
      </w:r>
      <w:r>
        <w:rPr/>
        <w:t>万元，实收资本</w:t>
      </w:r>
      <w:r>
        <w:rPr>
          <w:rFonts w:ascii="Times New Roman" w:hAnsi="Times New Roman" w:cs="Times New Roman" w:eastAsia="Times New Roman" w:hint="default"/>
        </w:rPr>
        <w:t>6,000</w:t>
      </w:r>
      <w:r>
        <w:rPr/>
        <w:t>万元，系由本公司出资设立，持股比例</w:t>
      </w:r>
      <w:r>
        <w:rPr>
          <w:rFonts w:ascii="Times New Roman" w:hAnsi="Times New Roman" w:cs="Times New Roman" w:eastAsia="Times New Roman" w:hint="default"/>
        </w:rPr>
        <w:t>100%</w:t>
      </w:r>
      <w:r>
        <w:rPr/>
        <w:t>。 广州新国都已于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月办理完毕清算核销程序。</w:t>
      </w:r>
    </w:p>
    <w:p>
      <w:pPr>
        <w:spacing w:line="240" w:lineRule="auto" w:before="5"/>
        <w:rPr>
          <w:rFonts w:ascii="宋体" w:hAnsi="宋体" w:cs="宋体" w:eastAsia="宋体" w:hint="default"/>
          <w:sz w:val="22"/>
          <w:szCs w:val="22"/>
        </w:rPr>
      </w:pPr>
    </w:p>
    <w:p>
      <w:pPr>
        <w:spacing w:line="487" w:lineRule="auto" w:before="0"/>
        <w:ind w:left="152" w:right="7124"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09"/>
      <w:bookmarkEnd w:id="409"/>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0"/>
      <w:bookmarkEnd w:id="41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深圳市易联技术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软件技术开发与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南京市新国都技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软件技术开发与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广州市新国都信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1"/>
              <w:jc w:val="both"/>
              <w:rPr>
                <w:rFonts w:ascii="宋体" w:hAnsi="宋体" w:cs="宋体" w:eastAsia="宋体" w:hint="default"/>
                <w:sz w:val="18"/>
                <w:szCs w:val="18"/>
              </w:rPr>
            </w:pPr>
            <w:r>
              <w:rPr>
                <w:rFonts w:ascii="宋体" w:hAnsi="宋体" w:cs="宋体" w:eastAsia="宋体" w:hint="default"/>
                <w:sz w:val="18"/>
                <w:szCs w:val="18"/>
              </w:rPr>
              <w:t>计算机软件、智 能设备的研究、 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电子产品及计算 机产品的开发、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网络安全认证、 防伪、加密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深圳市新国都支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终端、固定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16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付技术有限公司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1"/>
              <w:jc w:val="both"/>
              <w:rPr>
                <w:rFonts w:ascii="宋体" w:hAnsi="宋体" w:cs="宋体" w:eastAsia="宋体" w:hint="default"/>
                <w:sz w:val="18"/>
                <w:szCs w:val="18"/>
              </w:rPr>
            </w:pPr>
            <w:r>
              <w:rPr>
                <w:rFonts w:ascii="宋体" w:hAnsi="宋体" w:cs="宋体" w:eastAsia="宋体" w:hint="default"/>
                <w:sz w:val="18"/>
                <w:szCs w:val="18"/>
              </w:rPr>
              <w:t>无线电话机、电 子支付设备、计 算机软硬件、电 子产品的技术开 发、生产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征信业务的开 发、运营、服务 及相关业务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ExaDigm,Inc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both"/>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设备的 销售、研发和技 术服务；电子支 付通信服务和增 值服务的整体解 决方案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4"/>
        <w:jc w:val="left"/>
      </w:pPr>
      <w:r>
        <w:rPr/>
        <w:t>确定公司是代理人还是委托人的依据：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苏州新国都电子技术有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7" w:right="0"/>
              <w:jc w:val="left"/>
              <w:rPr>
                <w:rFonts w:ascii="Times New Roman" w:hAnsi="Times New Roman" w:cs="Times New Roman" w:eastAsia="Times New Roman" w:hint="default"/>
                <w:sz w:val="18"/>
                <w:szCs w:val="18"/>
              </w:rPr>
            </w:pPr>
            <w:r>
              <w:rPr>
                <w:rFonts w:ascii="Times New Roman"/>
                <w:sz w:val="18"/>
              </w:rPr>
              <w:t>911,415.35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3,834,627.90</w:t>
            </w:r>
            <w:r>
              <w:rPr>
                <w:rFonts w:ascii="Times New Roman"/>
                <w:sz w:val="18"/>
              </w:rPr>
            </w:r>
          </w:p>
        </w:tc>
      </w:tr>
    </w:tbl>
    <w:p>
      <w:pPr>
        <w:pStyle w:val="BodyText"/>
        <w:spacing w:line="360" w:lineRule="auto" w:before="49"/>
        <w:ind w:right="545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苏州新 国都电 子技术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108,467,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104.51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315,945,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955.19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424,413,</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059.70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4,931,15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4,931,15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155,113,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577.54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250,361,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045.12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405,474,</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622.66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10,786,3</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89.74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10,786,3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67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苏州新国都 电子技术有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23,439,871.1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24,793,671.0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24,793,671.0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-913,852.66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428,205.11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-256,154.34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-256,154.34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4,803,481.04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5）向纳入合并财务报表范围的结构化主体提供的财务支持或其他支持"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在子公司所有者权益份额发生变化的情况说明"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交易对于少数股东权益及归属于母公司所有者权益的影响"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774;top:14;width:2;height:394" coordorigin="4774,14" coordsize="2,394">
              <v:shape style="position:absolute;left:4774;top:14;width:2;height:394" coordorigin="4774,14" coordsize="0,394" path="m4774,14l4774,408e" filled="false" stroked="true" strokeweight="1.2pt" strokecolor="#d4d4d4">
                <v:path arrowok="t"/>
              </v:shape>
            </v:group>
            <v:group style="position:absolute;left:34;top:14;width:4728;height:394" coordorigin="34,14" coordsize="4728,394">
              <v:shape style="position:absolute;left:34;top:14;width:4728;height:394" coordorigin="34,14" coordsize="4728,394" path="m34,408l4762,408,4762,14,34,14,34,408xe" filled="true" fillcolor="#d4d4d4"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08pt" strokecolor="#e1ffff">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e1ffff">
                <v:path arrowok="t"/>
              </v:shape>
            </v:group>
            <v:group style="position:absolute;left:4817;top:14;width:4728;height:394" coordorigin="4817,14" coordsize="4728,394">
              <v:shape style="position:absolute;left:4817;top:14;width:4728;height:394" coordorigin="4817,14" coordsize="4728,394" path="m4817,408l9545,408,9545,14,4817,14,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重要的合营企业或联营企业"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深圳市瑞柏泰电 子有限公司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计算机软硬件开 发及服务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深圳市大拿科技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计算机软硬件开 发及服务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5"/>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914" w:type="dxa"/>
            <w:tcBorders>
              <w:top w:val="single" w:sz="4" w:space="0" w:color="000000"/>
              <w:left w:val="single" w:sz="4" w:space="0" w:color="000000"/>
              <w:bottom w:val="single" w:sz="4" w:space="0" w:color="000000"/>
              <w:right w:val="single" w:sz="13" w:space="0" w:color="E1FFFF"/>
            </w:tcBorders>
            <w:shd w:val="clear" w:color="auto" w:fill="D4D4D4"/>
          </w:tcPr>
          <w:p>
            <w:pPr/>
          </w:p>
        </w:tc>
        <w:tc>
          <w:tcPr>
            <w:tcW w:w="1913"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5"/>
        <w:gridCol w:w="1913"/>
        <w:gridCol w:w="1915"/>
      </w:tblGrid>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1" w:type="dxa"/>
            <w:tcBorders>
              <w:top w:val="single" w:sz="4" w:space="0" w:color="000000"/>
              <w:left w:val="single" w:sz="4" w:space="0" w:color="000000"/>
              <w:bottom w:val="nil" w:sz="6" w:space="0" w:color="auto"/>
              <w:right w:val="single" w:sz="13" w:space="0" w:color="E1FFFF"/>
            </w:tcBorders>
            <w:shd w:val="clear" w:color="auto" w:fill="D4D4D4"/>
          </w:tcPr>
          <w:p>
            <w:pPr/>
          </w:p>
        </w:tc>
        <w:tc>
          <w:tcPr>
            <w:tcW w:w="1925" w:type="dxa"/>
            <w:vMerge w:val="restart"/>
            <w:tcBorders>
              <w:top w:val="single" w:sz="4" w:space="0" w:color="000000"/>
              <w:left w:val="single" w:sz="10" w:space="0" w:color="D4D4D4"/>
              <w:right w:val="single" w:sz="4" w:space="0" w:color="000000"/>
            </w:tcBorders>
            <w:shd w:val="clear" w:color="auto" w:fill="E1FFFF"/>
          </w:tcPr>
          <w:p>
            <w:pPr>
              <w:pStyle w:val="TableParagraph"/>
              <w:spacing w:line="316" w:lineRule="auto" w:before="49"/>
              <w:ind w:left="777" w:right="48" w:hanging="720"/>
              <w:jc w:val="left"/>
              <w:rPr>
                <w:rFonts w:ascii="宋体" w:hAnsi="宋体" w:cs="宋体" w:eastAsia="宋体" w:hint="default"/>
                <w:sz w:val="18"/>
                <w:szCs w:val="18"/>
              </w:rPr>
            </w:pPr>
            <w:r>
              <w:rPr>
                <w:rFonts w:ascii="宋体" w:hAnsi="宋体" w:cs="宋体" w:eastAsia="宋体" w:hint="default"/>
                <w:sz w:val="18"/>
                <w:szCs w:val="18"/>
              </w:rPr>
              <w:t>深圳市瑞柏泰电子有限 公司</w:t>
            </w:r>
          </w:p>
        </w:tc>
        <w:tc>
          <w:tcPr>
            <w:tcW w:w="1915"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861" w:right="50" w:hanging="809"/>
              <w:jc w:val="left"/>
              <w:rPr>
                <w:rFonts w:ascii="宋体" w:hAnsi="宋体" w:cs="宋体" w:eastAsia="宋体" w:hint="default"/>
                <w:sz w:val="18"/>
                <w:szCs w:val="18"/>
              </w:rPr>
            </w:pPr>
            <w:r>
              <w:rPr>
                <w:rFonts w:ascii="宋体" w:hAnsi="宋体" w:cs="宋体" w:eastAsia="宋体" w:hint="default"/>
                <w:sz w:val="18"/>
                <w:szCs w:val="18"/>
              </w:rPr>
              <w:t>深圳市大拿科技有限公 司</w:t>
            </w:r>
          </w:p>
        </w:tc>
        <w:tc>
          <w:tcPr>
            <w:tcW w:w="1913"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772" w:right="48" w:hanging="720"/>
              <w:jc w:val="left"/>
              <w:rPr>
                <w:rFonts w:ascii="宋体" w:hAnsi="宋体" w:cs="宋体" w:eastAsia="宋体" w:hint="default"/>
                <w:sz w:val="18"/>
                <w:szCs w:val="18"/>
              </w:rPr>
            </w:pPr>
            <w:r>
              <w:rPr>
                <w:rFonts w:ascii="宋体" w:hAnsi="宋体" w:cs="宋体" w:eastAsia="宋体" w:hint="default"/>
                <w:sz w:val="18"/>
                <w:szCs w:val="18"/>
              </w:rPr>
              <w:t>深圳市瑞柏泰电子有限 公司</w:t>
            </w:r>
          </w:p>
        </w:tc>
        <w:tc>
          <w:tcPr>
            <w:tcW w:w="1915"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861" w:right="50" w:hanging="809"/>
              <w:jc w:val="left"/>
              <w:rPr>
                <w:rFonts w:ascii="宋体" w:hAnsi="宋体" w:cs="宋体" w:eastAsia="宋体" w:hint="default"/>
                <w:sz w:val="18"/>
                <w:szCs w:val="18"/>
              </w:rPr>
            </w:pPr>
            <w:r>
              <w:rPr>
                <w:rFonts w:ascii="宋体" w:hAnsi="宋体" w:cs="宋体" w:eastAsia="宋体" w:hint="default"/>
                <w:sz w:val="18"/>
                <w:szCs w:val="18"/>
              </w:rPr>
              <w:t>深圳市大拿科技有限公 司</w:t>
            </w:r>
          </w:p>
        </w:tc>
      </w:tr>
      <w:tr>
        <w:trPr>
          <w:trHeight w:val="391" w:hRule="exact"/>
        </w:trPr>
        <w:tc>
          <w:tcPr>
            <w:tcW w:w="1891" w:type="dxa"/>
            <w:tcBorders>
              <w:top w:val="nil" w:sz="6" w:space="0" w:color="auto"/>
              <w:left w:val="single" w:sz="4" w:space="0" w:color="000000"/>
              <w:bottom w:val="nil" w:sz="6" w:space="0" w:color="auto"/>
              <w:right w:val="single" w:sz="13" w:space="0" w:color="E1FFFF"/>
            </w:tcBorders>
            <w:shd w:val="clear" w:color="auto" w:fill="D4D4D4"/>
          </w:tcPr>
          <w:p>
            <w:pPr/>
          </w:p>
        </w:tc>
        <w:tc>
          <w:tcPr>
            <w:tcW w:w="1925" w:type="dxa"/>
            <w:vMerge/>
            <w:tcBorders>
              <w:left w:val="single" w:sz="10" w:space="0" w:color="D4D4D4"/>
              <w:right w:val="single" w:sz="4" w:space="0" w:color="000000"/>
            </w:tcBorders>
            <w:shd w:val="clear" w:color="auto" w:fill="E1FFFF"/>
          </w:tcPr>
          <w:p>
            <w:pPr/>
          </w:p>
        </w:tc>
        <w:tc>
          <w:tcPr>
            <w:tcW w:w="1915" w:type="dxa"/>
            <w:vMerge/>
            <w:tcBorders>
              <w:left w:val="single" w:sz="4" w:space="0" w:color="000000"/>
              <w:right w:val="single" w:sz="4" w:space="0" w:color="000000"/>
            </w:tcBorders>
            <w:shd w:val="clear" w:color="auto" w:fill="E1FFFF"/>
          </w:tcPr>
          <w:p>
            <w:pPr/>
          </w:p>
        </w:tc>
        <w:tc>
          <w:tcPr>
            <w:tcW w:w="1913" w:type="dxa"/>
            <w:vMerge/>
            <w:tcBorders>
              <w:left w:val="single" w:sz="4" w:space="0" w:color="000000"/>
              <w:right w:val="single" w:sz="4" w:space="0" w:color="000000"/>
            </w:tcBorders>
            <w:shd w:val="clear" w:color="auto" w:fill="E1FFFF"/>
          </w:tcPr>
          <w:p>
            <w:pPr/>
          </w:p>
        </w:tc>
        <w:tc>
          <w:tcPr>
            <w:tcW w:w="1915" w:type="dxa"/>
            <w:vMerge/>
            <w:tcBorders>
              <w:left w:val="single" w:sz="4" w:space="0" w:color="000000"/>
              <w:right w:val="single" w:sz="4" w:space="0" w:color="000000"/>
            </w:tcBorders>
            <w:shd w:val="clear" w:color="auto" w:fill="E1FFFF"/>
          </w:tcPr>
          <w:p>
            <w:pPr/>
          </w:p>
        </w:tc>
      </w:tr>
      <w:tr>
        <w:trPr>
          <w:trHeight w:val="161" w:hRule="exact"/>
        </w:trPr>
        <w:tc>
          <w:tcPr>
            <w:tcW w:w="1891" w:type="dxa"/>
            <w:tcBorders>
              <w:top w:val="nil" w:sz="6" w:space="0" w:color="auto"/>
              <w:left w:val="single" w:sz="4" w:space="0" w:color="000000"/>
              <w:bottom w:val="single" w:sz="4" w:space="0" w:color="000000"/>
              <w:right w:val="single" w:sz="13" w:space="0" w:color="E1FFFF"/>
            </w:tcBorders>
            <w:shd w:val="clear" w:color="auto" w:fill="D4D4D4"/>
          </w:tcPr>
          <w:p>
            <w:pPr/>
          </w:p>
        </w:tc>
        <w:tc>
          <w:tcPr>
            <w:tcW w:w="1925" w:type="dxa"/>
            <w:vMerge/>
            <w:tcBorders>
              <w:left w:val="single" w:sz="10" w:space="0" w:color="D4D4D4"/>
              <w:bottom w:val="single" w:sz="4" w:space="0" w:color="000000"/>
              <w:right w:val="single" w:sz="4" w:space="0" w:color="000000"/>
            </w:tcBorders>
            <w:shd w:val="clear" w:color="auto" w:fill="E1FFFF"/>
          </w:tcPr>
          <w:p>
            <w:pPr/>
          </w:p>
        </w:tc>
        <w:tc>
          <w:tcPr>
            <w:tcW w:w="1915" w:type="dxa"/>
            <w:vMerge/>
            <w:tcBorders>
              <w:left w:val="single" w:sz="4" w:space="0" w:color="000000"/>
              <w:bottom w:val="single" w:sz="4" w:space="0" w:color="000000"/>
              <w:right w:val="single" w:sz="4" w:space="0" w:color="000000"/>
            </w:tcBorders>
            <w:shd w:val="clear" w:color="auto" w:fill="E1FFFF"/>
          </w:tcPr>
          <w:p>
            <w:pPr/>
          </w:p>
        </w:tc>
        <w:tc>
          <w:tcPr>
            <w:tcW w:w="1913" w:type="dxa"/>
            <w:vMerge/>
            <w:tcBorders>
              <w:left w:val="single" w:sz="4" w:space="0" w:color="000000"/>
              <w:bottom w:val="single" w:sz="4" w:space="0" w:color="000000"/>
              <w:right w:val="single" w:sz="4" w:space="0" w:color="000000"/>
            </w:tcBorders>
            <w:shd w:val="clear" w:color="auto" w:fill="E1FFFF"/>
          </w:tcPr>
          <w:p>
            <w:pPr/>
          </w:p>
        </w:tc>
        <w:tc>
          <w:tcPr>
            <w:tcW w:w="1915" w:type="dxa"/>
            <w:vMerge/>
            <w:tcBorders>
              <w:left w:val="single" w:sz="4" w:space="0" w:color="000000"/>
              <w:bottom w:val="single" w:sz="4" w:space="0" w:color="000000"/>
              <w:right w:val="single" w:sz="4" w:space="0" w:color="000000"/>
            </w:tcBorders>
            <w:shd w:val="clear" w:color="auto" w:fill="E1FFFF"/>
          </w:tcPr>
          <w:p>
            <w:pP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95,552,777.45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38,591,833.39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76,470,856.59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6,120,547.57</w:t>
            </w:r>
            <w:r>
              <w:rPr>
                <w:rFonts w:ascii="Times New Roman"/>
                <w:sz w:val="18"/>
              </w:rPr>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2,626,932.91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2,196,073.01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3,407,106.02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2,098,512.84</w:t>
            </w:r>
            <w:r>
              <w:rPr>
                <w:rFonts w:ascii="Times New Roman"/>
                <w:sz w:val="18"/>
              </w:rPr>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97,179,710.36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40,787,906.40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79,877,962.61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8,219,060.41</w:t>
            </w:r>
            <w:r>
              <w:rPr>
                <w:rFonts w:ascii="Times New Roman"/>
                <w:sz w:val="18"/>
              </w:rPr>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15,128,948.87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794,254.06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16,509,694.63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13,002,357.56</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15,128,948.87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794,254.06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16,509,694.63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13,002,357.56</w:t>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83,050,761.49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39,993,652.34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63,368,267.98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-4,783,297.15</w:t>
            </w:r>
            <w:r>
              <w:rPr>
                <w:rFonts w:ascii="Times New Roman"/>
                <w:sz w:val="18"/>
              </w:rPr>
            </w:r>
          </w:p>
        </w:tc>
      </w:tr>
      <w:tr>
        <w:trPr>
          <w:trHeight w:val="715"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16,610,152.30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11,998,095.70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12,673,653.60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44,836,582.51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624,050.99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33,450,773.43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19,682,493.51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-12,100,771.22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13,161,783.63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19,682,493.51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-12,100,771.22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13,161,783.63</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合营企业或联营企业发生的超额亏损"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与合营企业或联营企业投资相关的或有负债"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重要的共同经营" w:id="428"/>
      <w:bookmarkEnd w:id="42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4"/>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2"/>
        <w:spacing w:line="477" w:lineRule="auto" w:before="120"/>
        <w:ind w:right="6883"/>
        <w:jc w:val="left"/>
        <w:rPr>
          <w:b w:val="0"/>
          <w:bCs w:val="0"/>
        </w:rPr>
      </w:pPr>
      <w:bookmarkStart w:name="6、其他" w:id="430"/>
      <w:bookmarkEnd w:id="430"/>
      <w:r>
        <w:rPr>
          <w:b w:val="0"/>
          <w:bCs w:val="0"/>
        </w:rPr>
      </w:r>
      <w:r>
        <w:rPr>
          <w:rFonts w:ascii="Times New Roman" w:hAnsi="Times New Roman" w:cs="Times New Roman" w:eastAsia="Times New Roman" w:hint="default"/>
          <w:sz w:val="21"/>
          <w:szCs w:val="21"/>
        </w:rPr>
        <w:t>6</w:t>
      </w:r>
      <w:r>
        <w:rPr>
          <w:sz w:val="21"/>
          <w:szCs w:val="21"/>
        </w:rPr>
        <w:t>、其他</w:t>
      </w:r>
      <w:r>
        <w:rPr>
          <w:w w:val="100"/>
          <w:sz w:val="21"/>
          <w:szCs w:val="21"/>
        </w:rPr>
        <w:t> </w:t>
      </w:r>
      <w:bookmarkStart w:name="十、与金融工具相关的风险" w:id="431"/>
      <w:bookmarkEnd w:id="431"/>
      <w:r>
        <w:rPr>
          <w:w w:val="100"/>
          <w:sz w:val="21"/>
          <w:szCs w:val="21"/>
        </w:rPr>
      </w:r>
      <w:r>
        <w:rPr/>
        <w:t>十、与金融工具相关的风险</w:t>
      </w:r>
      <w:r>
        <w:rPr>
          <w:w w:val="99"/>
        </w:rPr>
        <w:t> </w:t>
      </w:r>
      <w:bookmarkStart w:name="十一、公允价值的披露" w:id="432"/>
      <w:bookmarkEnd w:id="432"/>
      <w:r>
        <w:rPr/>
        <w:t>十</w:t>
      </w:r>
      <w:r>
        <w:rPr/>
        <w:t>一、公允价值的披露</w:t>
      </w:r>
      <w:r>
        <w:rPr>
          <w:b w:val="0"/>
          <w:bCs w:val="0"/>
        </w:rPr>
      </w:r>
    </w:p>
    <w:p>
      <w:pPr>
        <w:pStyle w:val="Heading3"/>
        <w:spacing w:line="240" w:lineRule="auto" w:before="88"/>
        <w:ind w:right="0"/>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持续和非持续第一层次公允价值计量项目市价的确定依据" w:id="434"/>
      <w:bookmarkEnd w:id="434"/>
      <w:r>
        <w:rPr/>
      </w:r>
      <w:bookmarkStart w:name="3、持续和非持续第二层次公允价值计量项目，采用的估值技术和重要参数的定性及定量信" w:id="435"/>
      <w:bookmarkEnd w:id="4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436"/>
      <w:bookmarkEnd w:id="4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437"/>
      <w:bookmarkEnd w:id="4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持续的公允价值计量项目，本期内发生各层级之间转换的，转换的原因及确定转换时点" w:id="438"/>
      <w:bookmarkEnd w:id="43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7、本期内发生的估值技术变更及变更原因" w:id="439"/>
      <w:bookmarkEnd w:id="43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不以公允价值计量的金融资产和金融负债的公允价值情况" w:id="440"/>
      <w:bookmarkEnd w:id="44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42"/>
      <w:bookmarkEnd w:id="442"/>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7434"/>
        <w:jc w:val="left"/>
      </w:pPr>
      <w:r>
        <w:rPr/>
        <w:t>本企业的母公司情况的说明 本企业最终控制方是。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444"/>
      <w:bookmarkEnd w:id="44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企业合营和联营企业情况" w:id="445"/>
      <w:bookmarkEnd w:id="44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购销商品、提供和接受劳务的关联交易"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2"/>
        <w:gridCol w:w="1709"/>
        <w:gridCol w:w="1706"/>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29,957.26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2,064,094.02</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1,050,621.00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1,010,724.00</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本公司作为担保方</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关联方应收应付款项" w:id="456"/>
      <w:bookmarkEnd w:id="4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项目"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bookmarkStart w:name="7、关联方承诺" w:id="459"/>
      <w:bookmarkEnd w:id="459"/>
      <w:r>
        <w:rPr/>
      </w: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61"/>
      <w:bookmarkEnd w:id="461"/>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84,399,141.35</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16,247,900.00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模型估值</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按实际授予股票期权人数进行估计</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63,141,500.01</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33,916,800.00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44"/>
        <w:jc w:val="left"/>
      </w:pP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w:t>
      </w:r>
      <w:r>
        <w:rPr>
          <w:spacing w:val="-2"/>
        </w:rPr>
        <w:t>日公司召开第二届董事会第十八次会议及第二届监事会第十六次会议审议通过了《关于</w:t>
      </w:r>
      <w:r>
        <w:rPr>
          <w:rFonts w:ascii="宋体" w:hAnsi="宋体" w:cs="宋体" w:eastAsia="宋体" w:hint="default"/>
          <w:spacing w:val="-2"/>
        </w:rPr>
        <w:t>&lt;</w:t>
      </w:r>
      <w:r>
        <w:rPr>
          <w:spacing w:val="-2"/>
        </w:rPr>
        <w:t>深圳市新国都技术股份</w:t>
      </w:r>
      <w:r>
        <w:rPr>
          <w:spacing w:val="-61"/>
        </w:rPr>
        <w:t> </w:t>
      </w:r>
      <w:r>
        <w:rPr>
          <w:spacing w:val="-61"/>
        </w:rPr>
      </w:r>
      <w:r>
        <w:rPr/>
        <w:t>有限公司</w:t>
      </w:r>
      <w:r>
        <w:rPr>
          <w:rFonts w:ascii="宋体" w:hAnsi="宋体" w:cs="宋体" w:eastAsia="宋体" w:hint="default"/>
        </w:rPr>
        <w:t>2014</w:t>
      </w:r>
      <w:r>
        <w:rPr/>
        <w:t>年股票期权激励计划（草案）及摘要</w:t>
      </w:r>
      <w:r>
        <w:rPr>
          <w:rFonts w:ascii="宋体" w:hAnsi="宋体" w:cs="宋体" w:eastAsia="宋体" w:hint="default"/>
        </w:rPr>
        <w:t>&gt;</w:t>
      </w:r>
      <w:r>
        <w:rPr/>
        <w:t>的议案》，公司独立董事对股票期权激励计划发表了明确同意的独立意 见。 </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21</w:t>
      </w:r>
      <w:r>
        <w:rPr>
          <w:spacing w:val="-2"/>
        </w:rPr>
        <w:t>日，公司在巨潮资讯网（</w:t>
      </w:r>
      <w:hyperlink r:id="rId13">
        <w:r>
          <w:rPr>
            <w:rFonts w:ascii="宋体" w:hAnsi="宋体" w:cs="宋体" w:eastAsia="宋体" w:hint="default"/>
            <w:spacing w:val="-2"/>
          </w:rPr>
          <w:t>www.cninfo.com.cn</w:t>
        </w:r>
      </w:hyperlink>
      <w:r>
        <w:rPr>
          <w:spacing w:val="-2"/>
        </w:rPr>
        <w:t>）公告了《深圳市新国都技术股份有限公司</w:t>
      </w:r>
      <w:r>
        <w:rPr>
          <w:rFonts w:ascii="宋体" w:hAnsi="宋体" w:cs="宋体" w:eastAsia="宋体" w:hint="default"/>
          <w:spacing w:val="-2"/>
        </w:rPr>
        <w:t>2014</w:t>
      </w:r>
      <w:r>
        <w:rPr>
          <w:spacing w:val="-2"/>
        </w:rPr>
        <w:t>年股票期权激励计</w:t>
      </w:r>
    </w:p>
    <w:p>
      <w:pPr>
        <w:spacing w:after="0" w:line="477" w:lineRule="auto"/>
        <w:jc w:val="left"/>
        <w:sectPr>
          <w:footerReference w:type="default" r:id="rId33"/>
          <w:pgSz w:w="11910" w:h="16840"/>
          <w:pgMar w:footer="982" w:header="745" w:top="106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84"/>
        <w:jc w:val="left"/>
      </w:pPr>
      <w:r>
        <w:rPr/>
        <w:t>划（草案）》； </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9</w:t>
      </w:r>
      <w:r>
        <w:rPr/>
        <w:t>日公司召开第二届董事会第十九次会议及第二届监事会第十七次会议审议通过了《关于</w:t>
      </w:r>
      <w:r>
        <w:rPr>
          <w:rFonts w:ascii="宋体" w:hAnsi="宋体" w:cs="宋体" w:eastAsia="宋体" w:hint="default"/>
        </w:rPr>
        <w:t>&lt;</w:t>
      </w:r>
      <w:r>
        <w:rPr/>
        <w:t>深圳市新国都技术股份 有限公司</w:t>
      </w:r>
      <w:r>
        <w:rPr>
          <w:rFonts w:ascii="宋体" w:hAnsi="宋体" w:cs="宋体" w:eastAsia="宋体" w:hint="default"/>
        </w:rPr>
        <w:t>2014</w:t>
      </w:r>
      <w:r>
        <w:rPr/>
        <w:t>年股票期权激励计划（草案修订稿）及摘要</w:t>
      </w:r>
      <w:r>
        <w:rPr>
          <w:rFonts w:ascii="宋体" w:hAnsi="宋体" w:cs="宋体" w:eastAsia="宋体" w:hint="default"/>
        </w:rPr>
        <w:t>&gt;</w:t>
      </w:r>
      <w:r>
        <w:rPr/>
        <w:t>的议案》，公司独立董事对此发表了明确同意的独立意见。该激 励计划经中国证监会备案无异议。 </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10</w:t>
      </w:r>
      <w:r>
        <w:rPr/>
        <w:t>日，公司在巨潮资讯网（</w:t>
      </w:r>
      <w:hyperlink r:id="rId13">
        <w:r>
          <w:rPr>
            <w:rFonts w:ascii="宋体" w:hAnsi="宋体" w:cs="宋体" w:eastAsia="宋体" w:hint="default"/>
          </w:rPr>
          <w:t>www.cninfo.com.cn</w:t>
        </w:r>
      </w:hyperlink>
      <w:r>
        <w:rPr/>
        <w:t>）公告了《</w:t>
      </w:r>
      <w:r>
        <w:rPr>
          <w:rFonts w:ascii="宋体" w:hAnsi="宋体" w:cs="宋体" w:eastAsia="宋体" w:hint="default"/>
        </w:rPr>
        <w:t>2014</w:t>
      </w:r>
      <w:r>
        <w:rPr/>
        <w:t>年股票期权激励计划（草案修订稿）》；</w:t>
      </w:r>
    </w:p>
    <w:p>
      <w:pPr>
        <w:pStyle w:val="BodyText"/>
        <w:spacing w:line="477" w:lineRule="auto" w:before="54"/>
        <w:ind w:right="94"/>
        <w:jc w:val="left"/>
      </w:pP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日公司召开</w:t>
      </w:r>
      <w:r>
        <w:rPr>
          <w:rFonts w:ascii="宋体" w:hAnsi="宋体" w:cs="宋体" w:eastAsia="宋体" w:hint="default"/>
          <w:spacing w:val="-2"/>
        </w:rPr>
        <w:t>2014</w:t>
      </w:r>
      <w:r>
        <w:rPr>
          <w:spacing w:val="-2"/>
        </w:rPr>
        <w:t>年第二次临时股东大会审议通过了《关于</w:t>
      </w:r>
      <w:r>
        <w:rPr>
          <w:rFonts w:ascii="宋体" w:hAnsi="宋体" w:cs="宋体" w:eastAsia="宋体" w:hint="default"/>
          <w:spacing w:val="-2"/>
        </w:rPr>
        <w:t>&lt;</w:t>
      </w:r>
      <w:r>
        <w:rPr>
          <w:spacing w:val="-2"/>
        </w:rPr>
        <w:t>深圳市新国都技术股份有限公司</w:t>
      </w:r>
      <w:r>
        <w:rPr>
          <w:rFonts w:ascii="宋体" w:hAnsi="宋体" w:cs="宋体" w:eastAsia="宋体" w:hint="default"/>
          <w:spacing w:val="-2"/>
        </w:rPr>
        <w:t>2014</w:t>
      </w:r>
      <w:r>
        <w:rPr>
          <w:spacing w:val="-2"/>
        </w:rPr>
        <w:t>年股票期权激励</w:t>
      </w:r>
      <w:r>
        <w:rPr>
          <w:spacing w:val="-57"/>
        </w:rPr>
        <w:t> </w:t>
      </w:r>
      <w:r>
        <w:rPr>
          <w:spacing w:val="-57"/>
        </w:rPr>
      </w:r>
      <w:r>
        <w:rPr/>
        <w:t>计划（草案修订稿）及摘要</w:t>
      </w:r>
      <w:r>
        <w:rPr>
          <w:rFonts w:ascii="宋体" w:hAnsi="宋体" w:cs="宋体" w:eastAsia="宋体" w:hint="default"/>
        </w:rPr>
        <w:t>&gt;</w:t>
      </w:r>
      <w:r>
        <w:rPr/>
        <w:t>的议案》、《关于</w:t>
      </w:r>
      <w:r>
        <w:rPr>
          <w:rFonts w:ascii="宋体" w:hAnsi="宋体" w:cs="宋体" w:eastAsia="宋体" w:hint="default"/>
        </w:rPr>
        <w:t>&lt;</w:t>
      </w:r>
      <w:r>
        <w:rPr/>
        <w:t>深圳市新国都技术股份有限公司股票期权激励计划实施考核办法的议案》、</w:t>
      </w:r>
    </w:p>
    <w:p>
      <w:pPr>
        <w:pStyle w:val="BodyText"/>
        <w:spacing w:line="477" w:lineRule="auto" w:before="54"/>
        <w:ind w:right="94"/>
        <w:jc w:val="left"/>
      </w:pPr>
      <w:r>
        <w:rPr/>
        <w:t>《关于</w:t>
      </w:r>
      <w:r>
        <w:rPr>
          <w:rFonts w:ascii="宋体" w:hAnsi="宋体" w:cs="宋体" w:eastAsia="宋体" w:hint="default"/>
        </w:rPr>
        <w:t>&lt;</w:t>
      </w:r>
      <w:r>
        <w:rPr/>
        <w:t>深圳市新国都技术股份有限公司股票期权激励计划管理办法的议案》以及《关于提请股东大会授权董事会办理公司 </w:t>
      </w:r>
      <w:r>
        <w:rPr>
          <w:spacing w:val="-2"/>
        </w:rPr>
        <w:t>股票期权激励计划相关事宜的议案》，董事会被授权确认激励对象参与股权激励计划的资格和条件，确定激励对象名单及其</w:t>
      </w:r>
      <w:r>
        <w:rPr>
          <w:spacing w:val="-66"/>
        </w:rPr>
        <w:t> </w:t>
      </w:r>
      <w:r>
        <w:rPr>
          <w:spacing w:val="-66"/>
        </w:rPr>
      </w:r>
      <w:r>
        <w:rPr>
          <w:spacing w:val="-2"/>
        </w:rPr>
        <w:t>授予数量，确定标的股权的授予价格；在激励对象符合条件时向激励对象授予股票并办理授予股票和解锁股票所必需的全部</w:t>
      </w:r>
      <w:r>
        <w:rPr>
          <w:spacing w:val="-64"/>
        </w:rPr>
        <w:t> </w:t>
      </w:r>
      <w:r>
        <w:rPr>
          <w:spacing w:val="-64"/>
        </w:rPr>
      </w:r>
      <w:r>
        <w:rPr/>
        <w:t>事宜。 </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9</w:t>
      </w:r>
      <w:r>
        <w:rPr/>
        <w:t>日公司召开第三届董事会第二次会议审议通过了《关于调整股票期权激励计划激励对象名单及授予数量的议案》 </w:t>
      </w:r>
      <w:r>
        <w:rPr>
          <w:spacing w:val="-2"/>
        </w:rPr>
        <w:t>和《关于向激励对象授予股票期权的议案》，并于当日召开第三届监事会第二次会议，审议通过了《关于核实公司股票期权</w:t>
      </w:r>
      <w:r>
        <w:rPr>
          <w:spacing w:val="-67"/>
        </w:rPr>
        <w:t> </w:t>
      </w:r>
      <w:r>
        <w:rPr>
          <w:spacing w:val="-67"/>
        </w:rPr>
      </w:r>
      <w:r>
        <w:rPr>
          <w:spacing w:val="-2"/>
        </w:rPr>
        <w:t>激励计划激励对象名单的议案》。公司独立董事对此发表了独立意见，认为激励对象主体资格确认办法合法有效，确定的授</w:t>
      </w:r>
      <w:r>
        <w:rPr>
          <w:spacing w:val="-64"/>
        </w:rPr>
        <w:t> </w:t>
      </w:r>
      <w:r>
        <w:rPr>
          <w:spacing w:val="-64"/>
        </w:rPr>
      </w:r>
      <w:r>
        <w:rPr/>
        <w:t>权日符合相关规定。 </w:t>
      </w:r>
      <w:r>
        <w:rPr>
          <w:rFonts w:ascii="宋体" w:hAnsi="宋体" w:cs="宋体" w:eastAsia="宋体" w:hint="default"/>
          <w:spacing w:val="-6"/>
        </w:rPr>
        <w:t>2014</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12</w:t>
      </w:r>
      <w:r>
        <w:rPr>
          <w:spacing w:val="-6"/>
        </w:rPr>
        <w:t>日，公司在巨潮资讯网（</w:t>
      </w:r>
      <w:hyperlink r:id="rId13">
        <w:r>
          <w:rPr>
            <w:rFonts w:ascii="宋体" w:hAnsi="宋体" w:cs="宋体" w:eastAsia="宋体" w:hint="default"/>
            <w:spacing w:val="-6"/>
          </w:rPr>
          <w:t>www.cninfo.com.cn</w:t>
        </w:r>
      </w:hyperlink>
      <w:r>
        <w:rPr>
          <w:spacing w:val="-6"/>
        </w:rPr>
        <w:t>）公告了《调整股票期权激励计划激励对象名单及授予数量的公告》。</w:t>
      </w:r>
      <w:r>
        <w:rPr>
          <w:spacing w:val="-47"/>
        </w:rPr>
        <w:t> </w:t>
      </w:r>
      <w:r>
        <w:rPr>
          <w:spacing w:val="-47"/>
        </w:rPr>
      </w:r>
      <w:r>
        <w:rPr/>
        <w:t>公司本次激励对象人数由 </w:t>
      </w:r>
      <w:r>
        <w:rPr>
          <w:rFonts w:ascii="宋体" w:hAnsi="宋体" w:cs="宋体" w:eastAsia="宋体" w:hint="default"/>
          <w:spacing w:val="-1"/>
        </w:rPr>
        <w:t>159</w:t>
      </w:r>
      <w:r>
        <w:rPr>
          <w:rFonts w:ascii="宋体" w:hAnsi="宋体" w:cs="宋体" w:eastAsia="宋体" w:hint="default"/>
        </w:rPr>
        <w:t> </w:t>
      </w:r>
      <w:r>
        <w:rPr/>
        <w:t>人调整为 </w:t>
      </w:r>
      <w:r>
        <w:rPr>
          <w:rFonts w:ascii="宋体" w:hAnsi="宋体" w:cs="宋体" w:eastAsia="宋体" w:hint="default"/>
          <w:spacing w:val="-1"/>
        </w:rPr>
        <w:t>152</w:t>
      </w:r>
      <w:r>
        <w:rPr>
          <w:rFonts w:ascii="宋体" w:hAnsi="宋体" w:cs="宋体" w:eastAsia="宋体" w:hint="default"/>
        </w:rPr>
        <w:t> </w:t>
      </w:r>
      <w:r>
        <w:rPr>
          <w:spacing w:val="-5"/>
        </w:rPr>
        <w:t>人，本次激励计划授予激励对象的权益总数由</w:t>
      </w:r>
      <w:r>
        <w:rPr/>
        <w:t> </w:t>
      </w:r>
      <w:r>
        <w:rPr>
          <w:rFonts w:ascii="宋体" w:hAnsi="宋体" w:cs="宋体" w:eastAsia="宋体" w:hint="default"/>
          <w:spacing w:val="-1"/>
        </w:rPr>
        <w:t>646.34</w:t>
      </w:r>
      <w:r>
        <w:rPr>
          <w:rFonts w:ascii="宋体" w:hAnsi="宋体" w:cs="宋体" w:eastAsia="宋体" w:hint="default"/>
        </w:rPr>
        <w:t> </w:t>
      </w:r>
      <w:r>
        <w:rPr/>
        <w:t>万份调整为 </w:t>
      </w:r>
      <w:r>
        <w:rPr>
          <w:rFonts w:ascii="宋体" w:hAnsi="宋体" w:cs="宋体" w:eastAsia="宋体" w:hint="default"/>
          <w:spacing w:val="-1"/>
        </w:rPr>
        <w:t>622.84</w:t>
      </w:r>
      <w:r>
        <w:rPr>
          <w:rFonts w:ascii="宋体" w:hAnsi="宋体" w:cs="宋体" w:eastAsia="宋体" w:hint="default"/>
          <w:spacing w:val="30"/>
        </w:rPr>
        <w:t> </w:t>
      </w:r>
      <w:r>
        <w:rPr/>
        <w:t>万</w:t>
      </w:r>
    </w:p>
    <w:p>
      <w:pPr>
        <w:pStyle w:val="BodyText"/>
        <w:spacing w:line="477" w:lineRule="auto" w:before="54"/>
        <w:ind w:left="153" w:right="93"/>
        <w:jc w:val="left"/>
      </w:pPr>
      <w:r>
        <w:rPr/>
        <w:t>份，预留股票期权数 </w:t>
      </w:r>
      <w:r>
        <w:rPr>
          <w:rFonts w:ascii="宋体" w:hAnsi="宋体" w:cs="宋体" w:eastAsia="宋体" w:hint="default"/>
        </w:rPr>
        <w:t>20 </w:t>
      </w:r>
      <w:r>
        <w:rPr/>
        <w:t>万份不变。 </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w:t>
      </w:r>
      <w:r>
        <w:rPr/>
        <w:t>日，公司在巨潮资讯网（</w:t>
      </w:r>
      <w:hyperlink r:id="rId13">
        <w:r>
          <w:rPr>
            <w:rFonts w:ascii="宋体" w:hAnsi="宋体" w:cs="宋体" w:eastAsia="宋体" w:hint="default"/>
          </w:rPr>
          <w:t>www.cninfo.com.cn</w:t>
        </w:r>
      </w:hyperlink>
      <w:r>
        <w:rPr/>
        <w:t>）公告了《关于股票期权激励计划首次授予完成登记的公告》。鉴 </w:t>
      </w:r>
      <w:r>
        <w:rPr>
          <w:spacing w:val="-2"/>
        </w:rPr>
        <w:t>于激励计划中确定的激励对象欧阳伟权由于个人原因离职，其已不具备激励对象资格，公司对本次股票期权激励计划对象名</w:t>
      </w:r>
      <w:r>
        <w:rPr>
          <w:spacing w:val="-64"/>
        </w:rPr>
        <w:t> </w:t>
      </w:r>
      <w:r>
        <w:rPr>
          <w:spacing w:val="-64"/>
        </w:rPr>
      </w:r>
      <w:r>
        <w:rPr>
          <w:spacing w:val="-2"/>
        </w:rPr>
        <w:t>单及授予登记的权益数量进行了相应调整，激励对象人数由</w:t>
      </w:r>
      <w:r>
        <w:rPr>
          <w:rFonts w:ascii="宋体" w:hAnsi="宋体" w:cs="宋体" w:eastAsia="宋体" w:hint="default"/>
          <w:spacing w:val="-2"/>
        </w:rPr>
        <w:t>152</w:t>
      </w:r>
      <w:r>
        <w:rPr>
          <w:spacing w:val="-2"/>
        </w:rPr>
        <w:t>人调整为</w:t>
      </w:r>
      <w:r>
        <w:rPr>
          <w:rFonts w:ascii="宋体" w:hAnsi="宋体" w:cs="宋体" w:eastAsia="宋体" w:hint="default"/>
          <w:spacing w:val="-2"/>
        </w:rPr>
        <w:t>151</w:t>
      </w:r>
      <w:r>
        <w:rPr>
          <w:spacing w:val="-2"/>
        </w:rPr>
        <w:t>人。经深圳证券交易所、中国证券登记结算有限</w:t>
      </w:r>
      <w:r>
        <w:rPr>
          <w:spacing w:val="-63"/>
        </w:rPr>
        <w:t> </w:t>
      </w:r>
      <w:r>
        <w:rPr>
          <w:spacing w:val="-63"/>
        </w:rPr>
      </w:r>
      <w:r>
        <w:rPr>
          <w:spacing w:val="-2"/>
        </w:rPr>
        <w:t>责任公司深圳分公司审核确认，公告完成了首次授予涉及的</w:t>
      </w:r>
      <w:r>
        <w:rPr>
          <w:rFonts w:ascii="宋体" w:hAnsi="宋体" w:cs="宋体" w:eastAsia="宋体" w:hint="default"/>
          <w:spacing w:val="-2"/>
        </w:rPr>
        <w:t>151</w:t>
      </w:r>
      <w:r>
        <w:rPr>
          <w:spacing w:val="-2"/>
        </w:rPr>
        <w:t>名激励对象获授的</w:t>
      </w:r>
      <w:r>
        <w:rPr>
          <w:rFonts w:ascii="宋体" w:hAnsi="宋体" w:cs="宋体" w:eastAsia="宋体" w:hint="default"/>
          <w:spacing w:val="-2"/>
        </w:rPr>
        <w:t>621.64</w:t>
      </w:r>
      <w:r>
        <w:rPr>
          <w:spacing w:val="-2"/>
        </w:rPr>
        <w:t>万份股票期权登记工作，期权简称：</w:t>
      </w:r>
      <w:r>
        <w:rPr>
          <w:spacing w:val="-60"/>
        </w:rPr>
        <w:t> </w:t>
      </w:r>
      <w:r>
        <w:rPr>
          <w:spacing w:val="-60"/>
        </w:rPr>
      </w:r>
      <w:r>
        <w:rPr/>
        <w:t>新国 </w:t>
      </w:r>
      <w:r>
        <w:rPr>
          <w:rFonts w:ascii="宋体" w:hAnsi="宋体" w:cs="宋体" w:eastAsia="宋体" w:hint="default"/>
        </w:rPr>
        <w:t>JLC1</w:t>
      </w:r>
      <w:r>
        <w:rPr/>
        <w:t>，期权代码：</w:t>
      </w:r>
      <w:r>
        <w:rPr>
          <w:rFonts w:ascii="宋体" w:hAnsi="宋体" w:cs="宋体" w:eastAsia="宋体" w:hint="default"/>
        </w:rPr>
        <w:t>036143</w:t>
      </w:r>
      <w:r>
        <w:rPr/>
        <w:t>。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26</w:t>
      </w:r>
      <w:r>
        <w:rPr/>
        <w:t>日公司召开第三届董事会第七次会议及第三届监事会第七次会议审议通过了《关于注销部分已获授但尚未行权 </w:t>
      </w:r>
      <w:r>
        <w:rPr>
          <w:spacing w:val="-2"/>
        </w:rPr>
        <w:t>的股票期权的议案》，公司独立董事对此发表了独立意见，认为公司本次注销部分已不符合激励条件的激励对象已获授但尚</w:t>
      </w:r>
      <w:r>
        <w:rPr>
          <w:spacing w:val="-66"/>
        </w:rPr>
        <w:t> </w:t>
      </w:r>
      <w:r>
        <w:rPr>
          <w:spacing w:val="-66"/>
        </w:rPr>
      </w:r>
      <w:r>
        <w:rPr/>
        <w:t>未行权股票期权，符合《上市公司股权激励管理办法》、《股权激励备忘录 </w:t>
      </w:r>
      <w:r>
        <w:rPr>
          <w:rFonts w:ascii="宋体" w:hAnsi="宋体" w:cs="宋体" w:eastAsia="宋体" w:hint="default"/>
        </w:rPr>
        <w:t>1-3 </w:t>
      </w:r>
      <w:r>
        <w:rPr/>
        <w:t>号》及公司《股票期权与限制性股票激励 计划》等的相关规定，程序合法合规，不会对公司的财务状况和经营成果产生实质性影响。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27</w:t>
      </w:r>
      <w:r>
        <w:rPr/>
        <w:t>日，公司在巨潮资讯网（</w:t>
      </w:r>
      <w:hyperlink r:id="rId13">
        <w:r>
          <w:rPr>
            <w:rFonts w:ascii="宋体" w:hAnsi="宋体" w:cs="宋体" w:eastAsia="宋体" w:hint="default"/>
          </w:rPr>
          <w:t>www.cninfo.com.cn</w:t>
        </w:r>
      </w:hyperlink>
      <w:r>
        <w:rPr/>
        <w:t>）公告了《关于注销部分股权激励对象已授予股票期权的公告》。 本次注销完成后，已获授权的股票期权数量为</w:t>
      </w:r>
      <w:r>
        <w:rPr>
          <w:rFonts w:ascii="宋体" w:hAnsi="宋体" w:cs="宋体" w:eastAsia="宋体" w:hint="default"/>
        </w:rPr>
        <w:t>6,077,400</w:t>
      </w:r>
      <w:r>
        <w:rPr>
          <w:rFonts w:ascii="宋体" w:hAnsi="宋体" w:cs="宋体" w:eastAsia="宋体" w:hint="default"/>
          <w:spacing w:val="-1"/>
        </w:rPr>
        <w:t> </w:t>
      </w:r>
      <w:r>
        <w:rPr>
          <w:spacing w:val="-3"/>
        </w:rPr>
        <w:t>股。 </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w:t>
      </w:r>
      <w:r>
        <w:rPr/>
        <w:t>日，公司在巨潮资讯网（</w:t>
      </w:r>
      <w:hyperlink r:id="rId13">
        <w:r>
          <w:rPr>
            <w:rFonts w:ascii="宋体" w:hAnsi="宋体" w:cs="宋体" w:eastAsia="宋体" w:hint="default"/>
          </w:rPr>
          <w:t>www.cninfo.com.cn</w:t>
        </w:r>
      </w:hyperlink>
      <w:r>
        <w:rPr/>
        <w:t>）公告了《关于部分已授予股票期权注销完成的公告》经中国证券</w:t>
      </w:r>
    </w:p>
    <w:p>
      <w:pPr>
        <w:spacing w:after="0" w:line="477" w:lineRule="auto"/>
        <w:jc w:val="left"/>
        <w:sectPr>
          <w:footerReference w:type="default" r:id="rId34"/>
          <w:pgSz w:w="11910" w:h="16840"/>
          <w:pgMar w:footer="982" w:header="745" w:top="1060" w:bottom="1180" w:left="980" w:right="940"/>
          <w:pgNumType w:start="20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84"/>
        <w:jc w:val="left"/>
      </w:pPr>
      <w:r>
        <w:rPr/>
        <w:t>登记结算有限责任公司深圳分公司审核确认，部分离职人员的股票期权注销事宜办理完毕。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27</w:t>
      </w:r>
      <w:r>
        <w:rPr/>
        <w:t>日公司召开第三届董事会第八次会议、第三届监事会第八次会议审议通过了《审议公司对股票期权行权价格进 行调整的议案》，对首次授予股票期权及预留部分期权的行权价格进行调整。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日，公司在巨潮资讯网（</w:t>
      </w:r>
      <w:hyperlink r:id="rId13">
        <w:r>
          <w:rPr>
            <w:rFonts w:ascii="宋体" w:hAnsi="宋体" w:cs="宋体" w:eastAsia="宋体" w:hint="default"/>
          </w:rPr>
          <w:t>www.cninfo.com.cn</w:t>
        </w:r>
      </w:hyperlink>
      <w:r>
        <w:rPr/>
        <w:t>）公告了《关于公司对股票期权行权价格进行调整的公告》。</w:t>
      </w:r>
    </w:p>
    <w:p>
      <w:pPr>
        <w:pStyle w:val="BodyText"/>
        <w:spacing w:line="477" w:lineRule="auto" w:before="54"/>
        <w:ind w:right="94" w:hanging="1"/>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w:t>
      </w:r>
      <w:r>
        <w:rPr/>
        <w:t>日，公司在巨潮资讯网（</w:t>
      </w:r>
      <w:hyperlink r:id="rId13">
        <w:r>
          <w:rPr>
            <w:rFonts w:ascii="宋体" w:hAnsi="宋体" w:cs="宋体" w:eastAsia="宋体" w:hint="default"/>
          </w:rPr>
          <w:t>www.cninfo.com.cn</w:t>
        </w:r>
      </w:hyperlink>
      <w:r>
        <w:rPr/>
        <w:t>）公告了《关于调整公司股票期权激励计划行权价格事项完成的公 告》。 </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13</w:t>
      </w:r>
      <w:r>
        <w:rPr/>
        <w:t>日公司召开第三届董事会第十一次会议及第三届监事会第十一次会议审议通过了《关于公司股票期权激励计划 第一个行权期可行权的议案》和《关于公司股票期权激励计划股票期权第一个行权期选择自主行权模式的议案》。 </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14</w:t>
      </w:r>
      <w:r>
        <w:rPr>
          <w:spacing w:val="-3"/>
        </w:rPr>
        <w:t>日，公司在巨潮资讯网（</w:t>
      </w:r>
      <w:hyperlink r:id="rId13">
        <w:r>
          <w:rPr>
            <w:rFonts w:ascii="宋体" w:hAnsi="宋体" w:cs="宋体" w:eastAsia="宋体" w:hint="default"/>
            <w:spacing w:val="-3"/>
          </w:rPr>
          <w:t>www.cninfo.com.cn</w:t>
        </w:r>
      </w:hyperlink>
      <w:r>
        <w:rPr>
          <w:spacing w:val="-3"/>
        </w:rPr>
        <w:t>）公告了《关于股票期权激励计划第一期股票期权可行权的公告》。</w:t>
      </w:r>
    </w:p>
    <w:p>
      <w:pPr>
        <w:pStyle w:val="BodyText"/>
        <w:spacing w:line="477" w:lineRule="auto" w:before="54"/>
        <w:ind w:right="184"/>
        <w:jc w:val="left"/>
      </w:pP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日，公司在巨潮资讯网（</w:t>
      </w:r>
      <w:hyperlink r:id="rId13">
        <w:r>
          <w:rPr>
            <w:rFonts w:ascii="宋体" w:hAnsi="宋体" w:cs="宋体" w:eastAsia="宋体" w:hint="default"/>
            <w:spacing w:val="-2"/>
          </w:rPr>
          <w:t>www.cninfo.com.cn</w:t>
        </w:r>
      </w:hyperlink>
      <w:r>
        <w:rPr>
          <w:spacing w:val="-2"/>
        </w:rPr>
        <w:t>）公告了《关于注销部分已获准行权但尚未行权的股票期权及调整</w:t>
      </w:r>
      <w:r>
        <w:rPr>
          <w:spacing w:val="-53"/>
        </w:rPr>
        <w:t> </w:t>
      </w:r>
      <w:r>
        <w:rPr>
          <w:spacing w:val="-53"/>
        </w:rPr>
      </w:r>
      <w:r>
        <w:rPr/>
        <w:t>股票期权数量和行权价格的公告》，公司于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日召开公司第三届董事会第十三次（临时）会议、第三届监事会第 </w:t>
      </w:r>
      <w:r>
        <w:rPr>
          <w:spacing w:val="-2"/>
        </w:rPr>
        <w:t>十三次会议审议通过了《关于注销部分已获准行权但尚未行权的股票期权的议案》及《关于公司对股票期权数量和行权价格</w:t>
      </w:r>
      <w:r>
        <w:rPr>
          <w:spacing w:val="-66"/>
        </w:rPr>
        <w:t> </w:t>
      </w:r>
      <w:r>
        <w:rPr>
          <w:spacing w:val="-66"/>
        </w:rPr>
      </w:r>
      <w:r>
        <w:rPr/>
        <w:t>进行调整的议案》，注销部分离职人员已获准行权但尚未行权的股票期权，同时公司股票期权数量由原</w:t>
      </w:r>
      <w:r>
        <w:rPr>
          <w:rFonts w:ascii="宋体" w:hAnsi="宋体" w:cs="宋体" w:eastAsia="宋体" w:hint="default"/>
        </w:rPr>
        <w:t>6,053,400</w:t>
      </w:r>
      <w:r>
        <w:rPr/>
        <w:t>份调整为 </w:t>
      </w:r>
      <w:r>
        <w:rPr>
          <w:rFonts w:ascii="宋体" w:hAnsi="宋体" w:cs="宋体" w:eastAsia="宋体" w:hint="default"/>
        </w:rPr>
        <w:t>12,106,800</w:t>
      </w:r>
      <w:r>
        <w:rPr/>
        <w:t>份，其中首次授予股票期权数量调整为</w:t>
      </w:r>
      <w:r>
        <w:rPr>
          <w:rFonts w:ascii="宋体" w:hAnsi="宋体" w:cs="宋体" w:eastAsia="宋体" w:hint="default"/>
        </w:rPr>
        <w:t>12,106,800</w:t>
      </w:r>
      <w:r>
        <w:rPr/>
        <w:t>份，预留股票期权数量调整为</w:t>
      </w:r>
      <w:r>
        <w:rPr>
          <w:rFonts w:ascii="宋体" w:hAnsi="宋体" w:cs="宋体" w:eastAsia="宋体" w:hint="default"/>
        </w:rPr>
        <w:t>400,000</w:t>
      </w:r>
      <w:r>
        <w:rPr/>
        <w:t>份。公司首次授予股票 期权行权价格由</w:t>
      </w:r>
      <w:r>
        <w:rPr>
          <w:rFonts w:ascii="宋体" w:hAnsi="宋体" w:cs="宋体" w:eastAsia="宋体" w:hint="default"/>
        </w:rPr>
        <w:t>15.22</w:t>
      </w:r>
      <w:r>
        <w:rPr/>
        <w:t>元调整为</w:t>
      </w:r>
      <w:r>
        <w:rPr>
          <w:rFonts w:ascii="宋体" w:hAnsi="宋体" w:cs="宋体" w:eastAsia="宋体" w:hint="default"/>
        </w:rPr>
        <w:t>7.585</w:t>
      </w:r>
      <w:r>
        <w:rPr/>
        <w:t>元。 </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日，公司在巨潮资讯网（</w:t>
      </w:r>
      <w:hyperlink r:id="rId13">
        <w:r>
          <w:rPr>
            <w:rFonts w:ascii="宋体" w:hAnsi="宋体" w:cs="宋体" w:eastAsia="宋体" w:hint="default"/>
          </w:rPr>
          <w:t>www.cninfo.com.cn</w:t>
        </w:r>
      </w:hyperlink>
      <w:r>
        <w:rPr/>
        <w:t>）公告了《关于股票期权激励计划第一个行权期采用自主行权模式 </w:t>
      </w:r>
      <w:r>
        <w:rPr>
          <w:spacing w:val="-3"/>
        </w:rPr>
        <w:t>的公告》，公告公司股权激励计划第一期行权公司拟采用自主行权方式，可行权期限从</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6</w:t>
      </w:r>
      <w:r>
        <w:rPr>
          <w:spacing w:val="-3"/>
        </w:rPr>
        <w:t>日至</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日止，</w:t>
      </w:r>
      <w:r>
        <w:rPr>
          <w:spacing w:val="-15"/>
        </w:rPr>
        <w:t> </w:t>
      </w:r>
      <w:r>
        <w:rPr/>
        <w:t>第</w:t>
      </w:r>
      <w:r>
        <w:rPr>
          <w:spacing w:val="-78"/>
        </w:rPr>
        <w:t> </w:t>
      </w:r>
      <w:r>
        <w:rPr>
          <w:spacing w:val="-78"/>
        </w:rPr>
      </w:r>
      <w:r>
        <w:rPr/>
        <w:t>一个可行权期可行权的激励对象</w:t>
      </w:r>
      <w:r>
        <w:rPr>
          <w:rFonts w:ascii="宋体" w:hAnsi="宋体" w:cs="宋体" w:eastAsia="宋体" w:hint="default"/>
        </w:rPr>
        <w:t>145</w:t>
      </w:r>
      <w:r>
        <w:rPr/>
        <w:t>人，可行权数量</w:t>
      </w:r>
      <w:r>
        <w:rPr>
          <w:rFonts w:ascii="宋体" w:hAnsi="宋体" w:cs="宋体" w:eastAsia="宋体" w:hint="default"/>
        </w:rPr>
        <w:t>2,421,360</w:t>
      </w:r>
      <w:r>
        <w:rPr/>
        <w:t>份，行权价格</w:t>
      </w:r>
      <w:r>
        <w:rPr>
          <w:rFonts w:ascii="宋体" w:hAnsi="宋体" w:cs="宋体" w:eastAsia="宋体" w:hint="default"/>
        </w:rPr>
        <w:t>7.585</w:t>
      </w:r>
      <w:r>
        <w:rPr/>
        <w:t>元。 </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日，公司召开第三届董事会第二十一次（临时）会议及第三届监事会第二十次会议审议通过了《关于注销部分</w:t>
      </w:r>
      <w:r>
        <w:rPr>
          <w:spacing w:val="-60"/>
        </w:rPr>
        <w:t> </w:t>
      </w:r>
      <w:r>
        <w:rPr>
          <w:spacing w:val="-60"/>
        </w:rPr>
      </w:r>
      <w:r>
        <w:rPr/>
        <w:t>已获授股票期权的议案</w:t>
      </w:r>
      <w:r>
        <w:rPr>
          <w:rFonts w:ascii="宋体" w:hAnsi="宋体" w:cs="宋体" w:eastAsia="宋体" w:hint="default"/>
        </w:rPr>
        <w:t>.</w:t>
      </w:r>
      <w:r>
        <w:rPr/>
        <w:t>》，注销部分离职人员已获授予的股票期权。本次调整后公司已获授尚未行权股票期权数量为 </w:t>
      </w:r>
      <w:r>
        <w:rPr>
          <w:rFonts w:ascii="宋体" w:hAnsi="宋体" w:cs="宋体" w:eastAsia="宋体" w:hint="default"/>
        </w:rPr>
        <w:t>9,618,240</w:t>
      </w:r>
      <w:r>
        <w:rPr>
          <w:rFonts w:ascii="宋体" w:hAnsi="宋体" w:cs="宋体" w:eastAsia="宋体" w:hint="default"/>
          <w:spacing w:val="-2"/>
        </w:rPr>
        <w:t> </w:t>
      </w:r>
      <w:r>
        <w:rPr/>
        <w:t>股。</w:t>
      </w:r>
    </w:p>
    <w:p>
      <w:pPr>
        <w:spacing w:line="240" w:lineRule="auto" w:before="6"/>
        <w:rPr>
          <w:rFonts w:ascii="宋体" w:hAnsi="宋体" w:cs="宋体" w:eastAsia="宋体" w:hint="default"/>
          <w:sz w:val="19"/>
          <w:szCs w:val="19"/>
        </w:rPr>
      </w:pPr>
    </w:p>
    <w:p>
      <w:pPr>
        <w:spacing w:line="487" w:lineRule="auto" w:before="0"/>
        <w:ind w:left="152" w:right="7405"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67"/>
      <w:bookmarkEnd w:id="467"/>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84"/>
        <w:ind w:right="94"/>
        <w:jc w:val="left"/>
      </w:pPr>
      <w:r>
        <w:rPr/>
        <w:t>资产负债表日存在的重要承诺</w:t>
      </w:r>
    </w:p>
    <w:p>
      <w:pPr>
        <w:spacing w:line="240" w:lineRule="auto" w:before="10"/>
        <w:rPr>
          <w:rFonts w:ascii="宋体" w:hAnsi="宋体" w:cs="宋体" w:eastAsia="宋体" w:hint="default"/>
          <w:sz w:val="17"/>
          <w:szCs w:val="17"/>
        </w:rPr>
      </w:pPr>
    </w:p>
    <w:p>
      <w:pPr>
        <w:pStyle w:val="BodyText"/>
        <w:spacing w:line="477" w:lineRule="auto"/>
        <w:ind w:right="193" w:firstLine="360"/>
        <w:jc w:val="both"/>
      </w:pPr>
      <w:r>
        <w:rPr>
          <w:rFonts w:ascii="宋体" w:hAnsi="宋体" w:cs="宋体" w:eastAsia="宋体" w:hint="default"/>
          <w:spacing w:val="-4"/>
        </w:rPr>
        <w:t>1.2015</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10</w:t>
      </w:r>
      <w:r>
        <w:rPr>
          <w:spacing w:val="-4"/>
        </w:rPr>
        <w:t>日公司召开第三届董事会第十二次（临时）会议，审议通过了《审议参与发起设立相互人寿保险公司（或</w:t>
      </w:r>
      <w:r>
        <w:rPr/>
        <w:t> </w:t>
      </w:r>
      <w:r>
        <w:rPr>
          <w:spacing w:val="-2"/>
        </w:rPr>
        <w:t>组织）的议案》：公司出借自有资金</w:t>
      </w:r>
      <w:r>
        <w:rPr>
          <w:rFonts w:ascii="宋体" w:hAnsi="宋体" w:cs="宋体" w:eastAsia="宋体" w:hint="default"/>
          <w:spacing w:val="-2"/>
        </w:rPr>
        <w:t>5,000.00</w:t>
      </w:r>
      <w:r>
        <w:rPr>
          <w:spacing w:val="-2"/>
        </w:rPr>
        <w:t>万元，参与发起设立相互人寿保险公司（或组织），出借资金后公司拟占相互</w:t>
      </w:r>
      <w:r>
        <w:rPr>
          <w:spacing w:val="-69"/>
        </w:rPr>
        <w:t> </w:t>
      </w:r>
      <w:r>
        <w:rPr>
          <w:spacing w:val="-69"/>
        </w:rPr>
      </w:r>
      <w:r>
        <w:rPr/>
        <w:t>人寿保险公司（或组织）初始运营资金的</w:t>
      </w:r>
      <w:r>
        <w:rPr>
          <w:rFonts w:ascii="宋体" w:hAnsi="宋体" w:cs="宋体" w:eastAsia="宋体" w:hint="default"/>
        </w:rPr>
        <w:t>5%</w:t>
      </w:r>
      <w:r>
        <w:rPr/>
        <w:t>。</w:t>
      </w:r>
    </w:p>
    <w:p>
      <w:pPr>
        <w:spacing w:after="0" w:line="477"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firstLine="360"/>
        <w:jc w:val="left"/>
      </w:pPr>
      <w:r>
        <w:rPr>
          <w:rFonts w:ascii="宋体" w:hAnsi="宋体" w:cs="宋体" w:eastAsia="宋体" w:hint="default"/>
          <w:spacing w:val="-2"/>
        </w:rPr>
        <w:t>2.2015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日，本公司召开第三届董事会第二十一次（临时）会议，审议通过了《关于控股子公司拟为公司发行债</w:t>
      </w:r>
      <w:r>
        <w:rPr/>
        <w:t> 券提供反担保的议案》。公司根据实际发展需要，拟向合格投资者公开发行不超过人民币 </w:t>
      </w:r>
      <w:r>
        <w:rPr>
          <w:rFonts w:ascii="宋体" w:hAnsi="宋体" w:cs="宋体" w:eastAsia="宋体" w:hint="default"/>
        </w:rPr>
        <w:t>4 </w:t>
      </w:r>
      <w:r>
        <w:rPr/>
        <w:t>亿元（含 </w:t>
      </w:r>
      <w:r>
        <w:rPr>
          <w:rFonts w:ascii="宋体" w:hAnsi="宋体" w:cs="宋体" w:eastAsia="宋体" w:hint="default"/>
        </w:rPr>
        <w:t>4 </w:t>
      </w:r>
      <w:r>
        <w:rPr/>
        <w:t>亿元）公司债券， 募集资金用于偿还借款及补充流动资金。本次债券由深圳市中小企业信用融资担保集团有限公司（以下简称“担保机构”） 出具《关于为深圳市新国都技术股份有限公司 </w:t>
      </w:r>
      <w:r>
        <w:rPr>
          <w:rFonts w:ascii="宋体" w:hAnsi="宋体" w:cs="宋体" w:eastAsia="宋体" w:hint="default"/>
        </w:rPr>
        <w:t>2015</w:t>
      </w:r>
      <w:r>
        <w:rPr>
          <w:rFonts w:ascii="宋体" w:hAnsi="宋体" w:cs="宋体" w:eastAsia="宋体" w:hint="default"/>
          <w:spacing w:val="-56"/>
        </w:rPr>
        <w:t> </w:t>
      </w:r>
      <w:r>
        <w:rPr/>
        <w:t>年公开发行公司债券</w:t>
      </w:r>
      <w:r>
        <w:rPr>
          <w:rFonts w:ascii="宋体" w:hAnsi="宋体" w:cs="宋体" w:eastAsia="宋体" w:hint="default"/>
        </w:rPr>
        <w:t>(</w:t>
      </w:r>
      <w:r>
        <w:rPr/>
        <w:t>面向合格投资者</w:t>
      </w:r>
      <w:r>
        <w:rPr>
          <w:rFonts w:ascii="宋体" w:hAnsi="宋体" w:cs="宋体" w:eastAsia="宋体" w:hint="default"/>
        </w:rPr>
        <w:t>)</w:t>
      </w:r>
      <w:r>
        <w:rPr/>
        <w:t>提供保证的担保函》，对债券存 </w:t>
      </w:r>
      <w:r>
        <w:rPr>
          <w:spacing w:val="-2"/>
        </w:rPr>
        <w:t>续年度内应支付的债券本金及利息、违约金、损害赔偿金和实现债权的费用提供无条件不可撤销的连带责任保证担保。同时</w:t>
      </w:r>
      <w:r>
        <w:rPr>
          <w:spacing w:val="-66"/>
        </w:rPr>
        <w:t> </w:t>
      </w:r>
      <w:r>
        <w:rPr>
          <w:spacing w:val="-66"/>
        </w:rPr>
      </w:r>
      <w:r>
        <w:rPr/>
        <w:t>本公司及本公司控股子公司苏州新国都电子技术有限公司（以下</w:t>
      </w:r>
      <w:r>
        <w:rPr>
          <w:spacing w:val="1"/>
        </w:rPr>
        <w:t> </w:t>
      </w:r>
      <w:r>
        <w:rPr/>
        <w:t>简称“苏州新国都”）拟向担保机构出具《承诺函》，以</w:t>
      </w:r>
      <w:r>
        <w:rPr/>
        <w:t> 苏州新国都拥有合法处分权的土地以及其上建筑物为公司向担保机构提供抵押反担保。</w:t>
      </w:r>
    </w:p>
    <w:p>
      <w:pPr>
        <w:pStyle w:val="BodyText"/>
        <w:spacing w:line="240" w:lineRule="auto" w:before="54"/>
        <w:ind w:left="512" w:right="94"/>
        <w:jc w:val="left"/>
      </w:pPr>
      <w:r>
        <w:rPr/>
        <w:t>该议案已获得</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日召开</w:t>
      </w:r>
      <w:r>
        <w:rPr>
          <w:rFonts w:ascii="宋体" w:hAnsi="宋体" w:cs="宋体" w:eastAsia="宋体" w:hint="default"/>
        </w:rPr>
        <w:t>2016</w:t>
      </w:r>
      <w:r>
        <w:rPr/>
        <w:t>年第一次临时股东大会审议通过。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94"/>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572" w:right="3064" w:hanging="420"/>
        <w:jc w:val="left"/>
        <w:rPr>
          <w:rFonts w:ascii="宋体" w:hAnsi="宋体" w:cs="宋体" w:eastAsia="宋体" w:hint="default"/>
          <w:sz w:val="21"/>
          <w:szCs w:val="21"/>
        </w:rPr>
      </w:pPr>
      <w:bookmarkStart w:name="（1）资产负债表日存在的重要或有事项" w:id="470"/>
      <w:bookmarkEnd w:id="4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日，本公司无需要披露的重大或有事项。</w:t>
      </w:r>
    </w:p>
    <w:p>
      <w:pPr>
        <w:spacing w:line="240" w:lineRule="auto" w:before="9"/>
        <w:rPr>
          <w:rFonts w:ascii="宋体" w:hAnsi="宋体" w:cs="宋体" w:eastAsia="宋体" w:hint="default"/>
          <w:sz w:val="28"/>
          <w:szCs w:val="28"/>
        </w:rPr>
      </w:pPr>
    </w:p>
    <w:p>
      <w:pPr>
        <w:pStyle w:val="Heading3"/>
        <w:spacing w:line="240" w:lineRule="auto"/>
        <w:ind w:right="94"/>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675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72"/>
      <w:bookmarkEnd w:id="47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73"/>
      <w:bookmarkEnd w:id="473"/>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94"/>
        <w:jc w:val="left"/>
        <w:rPr>
          <w:b w:val="0"/>
          <w:bCs w:val="0"/>
        </w:rPr>
      </w:pPr>
      <w:bookmarkStart w:name="1、重要的非调整事项" w:id="474"/>
      <w:bookmarkEnd w:id="47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2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546"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9" w:space="0" w:color="D4D4D4"/>
              <w:right w:val="single" w:sz="4" w:space="0" w:color="000000"/>
            </w:tcBorders>
          </w:tcPr>
          <w:p>
            <w:pPr>
              <w:pStyle w:val="TableParagraph"/>
              <w:spacing w:line="312" w:lineRule="auto" w:before="51"/>
              <w:ind w:left="17"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 三届董事会第二十四次会 议，审议通过了《关于对深 圳嘉石大岩资本管理有限公 司进行增资暨对外投资的议 </w:t>
            </w:r>
            <w:r>
              <w:rPr>
                <w:rFonts w:ascii="宋体" w:hAnsi="宋体" w:cs="宋体" w:eastAsia="宋体" w:hint="default"/>
                <w:spacing w:val="-9"/>
                <w:sz w:val="18"/>
                <w:szCs w:val="18"/>
              </w:rPr>
              <w:t>案》：公司拟使用自有资金人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万元认购深圳 嘉石大岩资本管理有限公司 新增加的注册资本人民币 </w:t>
            </w:r>
            <w:r>
              <w:rPr>
                <w:rFonts w:ascii="Times New Roman" w:hAnsi="Times New Roman" w:cs="Times New Roman" w:eastAsia="Times New Roman" w:hint="default"/>
                <w:sz w:val="18"/>
                <w:szCs w:val="18"/>
              </w:rPr>
              <w:t>466.6667 </w:t>
            </w:r>
            <w:r>
              <w:rPr>
                <w:rFonts w:ascii="宋体" w:hAnsi="宋体" w:cs="宋体" w:eastAsia="宋体" w:hint="default"/>
                <w:sz w:val="18"/>
                <w:szCs w:val="18"/>
              </w:rPr>
              <w:t>万元，增资完成后 公司持有深圳嘉石大岩资本</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4" w:type="dxa"/>
            <w:vMerge/>
            <w:tcBorders>
              <w:left w:val="single" w:sz="9" w:space="0" w:color="D4D4D4"/>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543"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9" w:space="0" w:color="D4D4D4"/>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254.274002pt;margin-top:429.959991pt;width:161.050pt;height:210.6pt;mso-position-horizontal-relative:page;mso-position-vertical-relative:page;z-index:-1073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资产管理、</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319" w:hRule="exact"/>
        </w:trPr>
        <w:tc>
          <w:tcPr>
            <w:tcW w:w="2494" w:type="dxa"/>
            <w:vMerge w:val="restart"/>
            <w:tcBorders>
              <w:top w:val="single" w:sz="4" w:space="0" w:color="000000"/>
              <w:left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该公司经营范围为受托资产</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
                <w:sz w:val="18"/>
                <w:szCs w:val="18"/>
              </w:rPr>
              <w:t>理</w:t>
            </w:r>
            <w:r>
              <w:rPr>
                <w:rFonts w:ascii="宋体" w:hAnsi="宋体" w:cs="宋体" w:eastAsia="宋体" w:hint="default"/>
                <w:sz w:val="18"/>
                <w:szCs w:val="18"/>
              </w:rPr>
              <w:t>（不含限制项目</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投资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管理及投资咨询（不含限制</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企业管理及咨</w:t>
            </w:r>
            <w:r>
              <w:rPr>
                <w:rFonts w:ascii="宋体" w:hAnsi="宋体" w:cs="宋体" w:eastAsia="宋体" w:hint="default"/>
                <w:spacing w:val="-5"/>
                <w:sz w:val="18"/>
                <w:szCs w:val="18"/>
              </w:rPr>
              <w:t>询</w:t>
            </w:r>
            <w:r>
              <w:rPr>
                <w:rFonts w:ascii="宋体" w:hAnsi="宋体" w:cs="宋体" w:eastAsia="宋体" w:hint="default"/>
                <w:sz w:val="18"/>
                <w:szCs w:val="18"/>
              </w:rPr>
              <w:t>（不</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含限制项目</w:t>
            </w:r>
            <w:r>
              <w:rPr>
                <w:rFonts w:ascii="宋体" w:hAnsi="宋体" w:cs="宋体" w:eastAsia="宋体" w:hint="default"/>
                <w:spacing w:val="-92"/>
                <w:sz w:val="18"/>
                <w:szCs w:val="18"/>
              </w:rPr>
              <w:t>）</w:t>
            </w:r>
            <w:r>
              <w:rPr>
                <w:rFonts w:ascii="宋体" w:hAnsi="宋体" w:cs="宋体" w:eastAsia="宋体" w:hint="default"/>
                <w:sz w:val="18"/>
                <w:szCs w:val="18"/>
              </w:rPr>
              <w:t>；企业管理策</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划。该议案还需提交股东大</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60"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r>
        <w:trPr>
          <w:trHeight w:val="360" w:hRule="exact"/>
        </w:trPr>
        <w:tc>
          <w:tcPr>
            <w:tcW w:w="2494" w:type="dxa"/>
            <w:tcBorders>
              <w:top w:val="single" w:sz="4" w:space="0" w:color="000000"/>
              <w:left w:val="single" w:sz="4" w:space="0" w:color="000000"/>
              <w:bottom w:val="nil" w:sz="6" w:space="0" w:color="auto"/>
              <w:right w:val="single" w:sz="4" w:space="0" w:color="000000"/>
            </w:tcBorders>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w:t>
            </w:r>
          </w:p>
        </w:tc>
        <w:tc>
          <w:tcPr>
            <w:tcW w:w="2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421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118.95pt;height:210.6pt;mso-position-horizontal-relative:char;mso-position-vertical-relative:line" coordorigin="0,0" coordsize="2379,4212">
                  <v:group style="position:absolute;left:0;top:0;width:2379;height:4212" coordorigin="0,0" coordsize="2379,4212">
                    <v:shape style="position:absolute;left:0;top:0;width:2379;height:4212" coordorigin="0,0" coordsize="2379,4212" path="m0,4212l2378,4212,2378,0,0,0,0,4212xe" filled="true" fillcolor="#ffffff" stroked="false">
                      <v:path arrowok="t"/>
                      <v:fill type="solid"/>
                    </v:shape>
                  </v:group>
                </v:group>
              </w:pict>
            </w:r>
            <w:r>
              <w:rPr>
                <w:rFonts w:ascii="Times New Roman" w:hAnsi="Times New Roman" w:cs="Times New Roman" w:eastAsia="Times New Roman" w:hint="default"/>
                <w:position w:val="-83"/>
                <w:sz w:val="20"/>
                <w:szCs w:val="20"/>
              </w:rPr>
            </w:r>
          </w:p>
        </w:tc>
        <w:tc>
          <w:tcPr>
            <w:tcW w:w="2390" w:type="dxa"/>
            <w:vMerge w:val="restart"/>
            <w:tcBorders>
              <w:top w:val="single" w:sz="4" w:space="0" w:color="000000"/>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三届董事会第二十五次（临</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时）会议，审议通过了《关</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于拟与关联方共同参与发起</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设立公开募集证券投资基金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管理有限公司暨关联交易的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公司拟使用自有资金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万元，与公</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司关联股东刘亚先生、开源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证券股份有限公司、陕西炼</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石有色资源股份有限公司、</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上海投杉投资管理合伙企业</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张政先生共同</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624" w:hRule="exact"/>
        </w:trPr>
        <w:tc>
          <w:tcPr>
            <w:tcW w:w="2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设立证券投资基金管理公司</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万元发起设立 一家公开募集证券投资基金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管理有限公司。其中：公司</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万元，占该基</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金管理公司注册资本总额的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；刘亚先生出资</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spacing w:val="1"/>
                <w:w w:val="99"/>
                <w:sz w:val="18"/>
                <w:szCs w:val="18"/>
              </w:rPr>
              <w:t>5</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00</w:t>
            </w:r>
            <w:r>
              <w:rPr>
                <w:rFonts w:ascii="Times New Roman" w:hAnsi="Times New Roman" w:cs="Times New Roman" w:eastAsia="Times New Roman" w:hint="default"/>
                <w:sz w:val="18"/>
                <w:szCs w:val="18"/>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万元，占该基金管理公司注</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册资本总额的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。该基金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管理公司经营范围为：基金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募集、基金销售、</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特定客户资产管理和中国证</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监会许可的其他业务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基金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公司的经营范围以中国证监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会和公司登记机关最终核准</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57" w:hRule="exact"/>
        </w:trPr>
        <w:tc>
          <w:tcPr>
            <w:tcW w:w="2494" w:type="dxa"/>
            <w:tcBorders>
              <w:top w:val="nil" w:sz="6" w:space="0" w:color="auto"/>
              <w:left w:val="single" w:sz="4" w:space="0" w:color="000000"/>
              <w:bottom w:val="single" w:sz="4" w:space="0" w:color="000000"/>
              <w:right w:val="single" w:sz="4" w:space="0" w:color="000000"/>
            </w:tcBorders>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的经营范围为准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r>
        <w:trPr>
          <w:trHeight w:val="360" w:hRule="exact"/>
        </w:trPr>
        <w:tc>
          <w:tcPr>
            <w:tcW w:w="2494" w:type="dxa"/>
            <w:tcBorders>
              <w:top w:val="single" w:sz="4" w:space="0" w:color="000000"/>
              <w:left w:val="single" w:sz="4" w:space="0" w:color="000000"/>
              <w:bottom w:val="nil" w:sz="6" w:space="0" w:color="auto"/>
              <w:right w:val="single" w:sz="4" w:space="0" w:color="000000"/>
            </w:tcBorders>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日，经中国证</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券监督管理委员会证监许可</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629" w:hRule="exact"/>
        </w:trPr>
        <w:tc>
          <w:tcPr>
            <w:tcW w:w="2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发行债券</w:t>
            </w: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335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号文核准，本 公司获准发行不超过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的公司债券，发行债券期限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60" w:hRule="exact"/>
        </w:trPr>
        <w:tc>
          <w:tcPr>
            <w:tcW w:w="2494" w:type="dxa"/>
            <w:tcBorders>
              <w:top w:val="nil" w:sz="6" w:space="0" w:color="auto"/>
              <w:left w:val="single" w:sz="4" w:space="0" w:color="000000"/>
              <w:bottom w:val="single" w:sz="4" w:space="0" w:color="000000"/>
              <w:right w:val="single" w:sz="4" w:space="0" w:color="000000"/>
            </w:tcBorders>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2、利润分配情况" w:id="475"/>
      <w:bookmarkEnd w:id="47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11,551,068.00</w:t>
            </w:r>
            <w:r>
              <w:rPr>
                <w:rFonts w:ascii="Times New Roman"/>
                <w:sz w:val="18"/>
              </w:rPr>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11,551,068.00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4、其他资产负债表日后事项说明" w:id="477"/>
      <w:bookmarkEnd w:id="4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477" w:lineRule="auto"/>
        <w:ind w:right="94" w:firstLine="360"/>
        <w:jc w:val="left"/>
      </w:pP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20</w:t>
      </w:r>
      <w:r>
        <w:rPr>
          <w:spacing w:val="-2"/>
        </w:rPr>
        <w:t>日，本公司因合同纠纷起诉弘达上业（北京）科技有限公司，要求弘达上业（北京）科技有限公司支付</w:t>
      </w:r>
      <w:r>
        <w:rPr/>
        <w:t> 货款</w:t>
      </w:r>
      <w:r>
        <w:rPr>
          <w:rFonts w:ascii="宋体" w:hAnsi="宋体" w:cs="宋体" w:eastAsia="宋体" w:hint="default"/>
        </w:rPr>
        <w:t>1,464,000.00</w:t>
      </w:r>
      <w:r>
        <w:rPr/>
        <w:t>元，北京市海淀区人民法院已受理此案。截止本报告日，该案件尚在一审过程中。截上</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 本公司对弘达上业（北京）科技有限公司的应收账款已计提坏账准备</w:t>
      </w:r>
      <w:r>
        <w:rPr>
          <w:rFonts w:ascii="宋体" w:hAnsi="宋体" w:cs="宋体" w:eastAsia="宋体" w:hint="default"/>
        </w:rPr>
        <w:t>440,139.00</w:t>
      </w:r>
      <w:r>
        <w:rPr/>
        <w:t>元。</w:t>
      </w:r>
    </w:p>
    <w:p>
      <w:pPr>
        <w:pStyle w:val="BodyText"/>
        <w:spacing w:line="240" w:lineRule="auto" w:before="54"/>
        <w:ind w:left="512" w:right="94"/>
        <w:jc w:val="left"/>
      </w:pPr>
      <w:r>
        <w:rPr>
          <w:rFonts w:ascii="宋体" w:hAnsi="宋体" w:cs="宋体" w:eastAsia="宋体" w:hint="default"/>
          <w:spacing w:val="-7"/>
        </w:rPr>
        <w:t>2</w:t>
      </w:r>
      <w:r>
        <w:rPr>
          <w:spacing w:val="-7"/>
        </w:rPr>
        <w:t>、本公司于 </w:t>
      </w:r>
      <w:r>
        <w:rPr>
          <w:rFonts w:ascii="宋体" w:hAnsi="宋体" w:cs="宋体" w:eastAsia="宋体" w:hint="default"/>
        </w:rPr>
        <w:t>2015 </w:t>
      </w:r>
      <w:r>
        <w:rPr/>
        <w:t>年 </w:t>
      </w:r>
      <w:r>
        <w:rPr>
          <w:rFonts w:ascii="宋体" w:hAnsi="宋体" w:cs="宋体" w:eastAsia="宋体" w:hint="default"/>
        </w:rPr>
        <w:t>11 </w:t>
      </w:r>
      <w:r>
        <w:rPr/>
        <w:t>月 </w:t>
      </w:r>
      <w:r>
        <w:rPr>
          <w:rFonts w:ascii="宋体" w:hAnsi="宋体" w:cs="宋体" w:eastAsia="宋体" w:hint="default"/>
        </w:rPr>
        <w:t>20</w:t>
      </w:r>
      <w:r>
        <w:rPr>
          <w:rFonts w:ascii="宋体" w:hAnsi="宋体" w:cs="宋体" w:eastAsia="宋体" w:hint="default"/>
          <w:spacing w:val="-42"/>
        </w:rPr>
        <w:t> </w:t>
      </w:r>
      <w:r>
        <w:rPr/>
        <w:t>日召开第三届董事会第二十次会议审议通过了《审议</w:t>
      </w:r>
      <w:r>
        <w:rPr>
          <w:rFonts w:ascii="宋体" w:hAnsi="宋体" w:cs="宋体" w:eastAsia="宋体" w:hint="default"/>
        </w:rPr>
        <w:t>&lt;</w:t>
      </w:r>
      <w:r>
        <w:rPr/>
        <w:t>关于深圳市新国都技术股份有限</w:t>
      </w:r>
    </w:p>
    <w:p>
      <w:pPr>
        <w:spacing w:line="240" w:lineRule="auto" w:before="10"/>
        <w:rPr>
          <w:rFonts w:ascii="宋体" w:hAnsi="宋体" w:cs="宋体" w:eastAsia="宋体" w:hint="default"/>
          <w:sz w:val="17"/>
          <w:szCs w:val="17"/>
        </w:rPr>
      </w:pPr>
    </w:p>
    <w:p>
      <w:pPr>
        <w:pStyle w:val="BodyText"/>
        <w:spacing w:line="477" w:lineRule="auto"/>
        <w:ind w:left="153" w:right="187" w:hanging="1"/>
        <w:jc w:val="left"/>
      </w:pPr>
      <w:r>
        <w:rPr/>
        <w:t>公司 </w:t>
      </w:r>
      <w:r>
        <w:rPr>
          <w:rFonts w:ascii="宋体" w:hAnsi="宋体" w:cs="宋体" w:eastAsia="宋体" w:hint="default"/>
        </w:rPr>
        <w:t>2015</w:t>
      </w:r>
      <w:r>
        <w:rPr/>
        <w:t>年股票期权激励计划（草案）及摘要</w:t>
      </w:r>
      <w:r>
        <w:rPr>
          <w:rFonts w:ascii="宋体" w:hAnsi="宋体" w:cs="宋体" w:eastAsia="宋体" w:hint="default"/>
        </w:rPr>
        <w:t>&gt;</w:t>
      </w:r>
      <w:r>
        <w:rPr/>
        <w:t>的议案》。该议案已获得</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17 </w:t>
      </w:r>
      <w:r>
        <w:rPr/>
        <w:t>日召开的 </w:t>
      </w:r>
      <w:r>
        <w:rPr>
          <w:rFonts w:ascii="宋体" w:hAnsi="宋体" w:cs="宋体" w:eastAsia="宋体" w:hint="default"/>
        </w:rPr>
        <w:t>2015</w:t>
      </w:r>
      <w:r>
        <w:rPr>
          <w:rFonts w:ascii="宋体" w:hAnsi="宋体" w:cs="宋体" w:eastAsia="宋体" w:hint="default"/>
          <w:spacing w:val="-3"/>
        </w:rPr>
        <w:t> </w:t>
      </w:r>
      <w:r>
        <w:rPr/>
        <w:t>年第六次临时 股东大会审议通过。</w:t>
      </w:r>
    </w:p>
    <w:p>
      <w:pPr>
        <w:pStyle w:val="BodyText"/>
        <w:spacing w:line="240" w:lineRule="auto" w:before="54"/>
        <w:ind w:left="513" w:right="94"/>
        <w:jc w:val="left"/>
      </w:pPr>
      <w:r>
        <w:rPr/>
        <w:t>本公司于 </w:t>
      </w:r>
      <w:r>
        <w:rPr>
          <w:rFonts w:ascii="宋体" w:hAnsi="宋体" w:cs="宋体" w:eastAsia="宋体" w:hint="default"/>
        </w:rPr>
        <w:t>2016 </w:t>
      </w:r>
      <w:r>
        <w:rPr/>
        <w:t>年 </w:t>
      </w:r>
      <w:r>
        <w:rPr>
          <w:rFonts w:ascii="宋体" w:hAnsi="宋体" w:cs="宋体" w:eastAsia="宋体" w:hint="default"/>
        </w:rPr>
        <w:t>1 </w:t>
      </w:r>
      <w:r>
        <w:rPr/>
        <w:t>月 </w:t>
      </w:r>
      <w:r>
        <w:rPr>
          <w:rFonts w:ascii="宋体" w:hAnsi="宋体" w:cs="宋体" w:eastAsia="宋体" w:hint="default"/>
        </w:rPr>
        <w:t>5</w:t>
      </w:r>
      <w:r>
        <w:rPr>
          <w:rFonts w:ascii="宋体" w:hAnsi="宋体" w:cs="宋体" w:eastAsia="宋体" w:hint="default"/>
          <w:spacing w:val="32"/>
        </w:rPr>
        <w:t> </w:t>
      </w:r>
      <w:r>
        <w:rPr>
          <w:spacing w:val="-3"/>
        </w:rPr>
        <w:t>日召开第三届董事会第二十二次（临时）会议审议通过了《关于向激励对象授予股票期权的</w:t>
      </w:r>
    </w:p>
    <w:p>
      <w:pPr>
        <w:spacing w:line="240" w:lineRule="auto" w:before="10"/>
        <w:rPr>
          <w:rFonts w:ascii="宋体" w:hAnsi="宋体" w:cs="宋体" w:eastAsia="宋体" w:hint="default"/>
          <w:sz w:val="17"/>
          <w:szCs w:val="17"/>
        </w:rPr>
      </w:pPr>
    </w:p>
    <w:p>
      <w:pPr>
        <w:pStyle w:val="BodyText"/>
        <w:spacing w:line="240" w:lineRule="auto"/>
        <w:ind w:left="153" w:right="94"/>
        <w:jc w:val="left"/>
        <w:rPr>
          <w:rFonts w:ascii="宋体" w:hAnsi="宋体" w:cs="宋体" w:eastAsia="宋体" w:hint="default"/>
        </w:rPr>
      </w:pPr>
      <w:r>
        <w:rPr/>
        <w:t>议案》，根据审议通过的议案内容，本次股权激励对象</w:t>
      </w:r>
      <w:r>
        <w:rPr>
          <w:rFonts w:ascii="宋体" w:hAnsi="宋体" w:cs="宋体" w:eastAsia="宋体" w:hint="default"/>
        </w:rPr>
        <w:t>125</w:t>
      </w:r>
      <w:r>
        <w:rPr/>
        <w:t>人，授予的股票期权份数</w:t>
      </w:r>
      <w:r>
        <w:rPr>
          <w:rFonts w:ascii="宋体" w:hAnsi="宋体" w:cs="宋体" w:eastAsia="宋体" w:hint="default"/>
        </w:rPr>
        <w:t>6,280,000</w:t>
      </w:r>
      <w:r>
        <w:rPr/>
        <w:t>份，授予日：</w:t>
      </w:r>
      <w:r>
        <w:rPr>
          <w:rFonts w:ascii="宋体" w:hAnsi="宋体" w:cs="宋体" w:eastAsia="宋体" w:hint="default"/>
        </w:rPr>
        <w:t>2016</w:t>
      </w:r>
      <w:r>
        <w:rPr>
          <w:rFonts w:ascii="宋体" w:hAnsi="宋体" w:cs="宋体" w:eastAsia="宋体" w:hint="default"/>
          <w:spacing w:val="-23"/>
        </w:rPr>
        <w:t> </w:t>
      </w:r>
      <w:r>
        <w:rPr/>
        <w:t>年</w:t>
      </w:r>
      <w:r>
        <w:rPr>
          <w:spacing w:val="-24"/>
        </w:rPr>
        <w:t> </w:t>
      </w:r>
      <w:r>
        <w:rPr>
          <w:rFonts w:ascii="宋体" w:hAnsi="宋体" w:cs="宋体" w:eastAsia="宋体" w:hint="default"/>
        </w:rPr>
        <w:t>1</w:t>
      </w:r>
      <w:r>
        <w:rPr>
          <w:rFonts w:ascii="宋体" w:hAnsi="宋体" w:cs="宋体" w:eastAsia="宋体" w:hint="default"/>
          <w:spacing w:val="-21"/>
        </w:rPr>
        <w:t> </w:t>
      </w:r>
      <w:r>
        <w:rPr/>
        <w:t>月</w:t>
      </w:r>
      <w:r>
        <w:rPr>
          <w:spacing w:val="-26"/>
        </w:rPr>
        <w:t> </w:t>
      </w:r>
      <w:r>
        <w:rPr>
          <w:rFonts w:ascii="宋体" w:hAnsi="宋体" w:cs="宋体" w:eastAsia="宋体" w:hint="default"/>
        </w:rPr>
        <w:t>5</w:t>
      </w:r>
    </w:p>
    <w:p>
      <w:pPr>
        <w:spacing w:line="240" w:lineRule="auto" w:before="10"/>
        <w:rPr>
          <w:rFonts w:ascii="宋体" w:hAnsi="宋体" w:cs="宋体" w:eastAsia="宋体" w:hint="default"/>
          <w:sz w:val="17"/>
          <w:szCs w:val="17"/>
        </w:rPr>
      </w:pPr>
    </w:p>
    <w:p>
      <w:pPr>
        <w:pStyle w:val="BodyText"/>
        <w:spacing w:line="240" w:lineRule="auto"/>
        <w:ind w:left="153" w:right="94"/>
        <w:jc w:val="left"/>
      </w:pPr>
      <w:r>
        <w:rPr/>
        <w:t>日，授予价格</w:t>
      </w:r>
      <w:r>
        <w:rPr>
          <w:rFonts w:ascii="宋体" w:hAnsi="宋体" w:cs="宋体" w:eastAsia="宋体" w:hint="default"/>
        </w:rPr>
        <w:t>31.78</w:t>
      </w:r>
      <w:r>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94"/>
        <w:jc w:val="left"/>
        <w:rPr>
          <w:b w:val="0"/>
          <w:bCs w:val="0"/>
        </w:rPr>
      </w:pPr>
      <w:bookmarkStart w:name="十六、其他重要事项" w:id="478"/>
      <w:bookmarkEnd w:id="478"/>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前期会计差错更正" w:id="479"/>
      <w:bookmarkEnd w:id="47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bookmarkStart w:name="（1）追溯重述法" w:id="480"/>
      <w:bookmarkEnd w:id="4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未来适用法" w:id="481"/>
      <w:bookmarkEnd w:id="48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债务重组" w:id="482"/>
      <w:bookmarkEnd w:id="482"/>
      <w:r>
        <w:rPr/>
      </w:r>
      <w:bookmarkStart w:name="3、资产置换" w:id="483"/>
      <w:bookmarkEnd w:id="4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非货币性资产交换" w:id="484"/>
      <w:bookmarkEnd w:id="4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其他资产置换" w:id="485"/>
      <w:bookmarkEnd w:id="4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年金计划" w:id="486"/>
      <w:bookmarkEnd w:id="4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5、终止经营" w:id="487"/>
      <w:bookmarkEnd w:id="4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分部信息" w:id="488"/>
      <w:bookmarkEnd w:id="48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报告分部的确定依据与会计政策" w:id="489"/>
      <w:bookmarkEnd w:id="4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报告分部的财务信息" w:id="490"/>
      <w:bookmarkEnd w:id="4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公司无报告分部的，或者不能披露各报告分部的资产总额和负债总额的，应说明原因" w:id="491"/>
      <w:bookmarkEnd w:id="49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其他说明"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7、其他对投资者决策有影响的重要交易和事项" w:id="493"/>
      <w:bookmarkEnd w:id="49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495"/>
      <w:bookmarkEnd w:id="495"/>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496"/>
      <w:bookmarkEnd w:id="4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0"/>
        <w:jc w:val="left"/>
        <w:rPr>
          <w:b w:val="0"/>
          <w:bCs w:val="0"/>
        </w:rPr>
      </w:pPr>
      <w:bookmarkStart w:name="（1）应收账款分类披露" w:id="497"/>
      <w:bookmarkEnd w:id="49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38"/>
        <w:gridCol w:w="4084"/>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12" w:space="0" w:color="FFFFFF"/>
            </w:tcBorders>
            <w:shd w:val="clear" w:color="auto" w:fill="D4D4D4"/>
          </w:tcPr>
          <w:p>
            <w:pPr/>
          </w:p>
        </w:tc>
        <w:tc>
          <w:tcPr>
            <w:tcW w:w="1535" w:type="dxa"/>
            <w:gridSpan w:val="2"/>
            <w:tcBorders>
              <w:top w:val="single" w:sz="4" w:space="0" w:color="000000"/>
              <w:left w:val="single" w:sz="12" w:space="0" w:color="FFFFFF"/>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2" w:hRule="exact"/>
        </w:trPr>
        <w:tc>
          <w:tcPr>
            <w:tcW w:w="1624" w:type="dxa"/>
            <w:vMerge/>
            <w:tcBorders>
              <w:left w:val="single" w:sz="4" w:space="0" w:color="000000"/>
              <w:right w:val="single" w:sz="12" w:space="0" w:color="FFFFFF"/>
            </w:tcBorders>
            <w:shd w:val="clear" w:color="auto" w:fill="D4D4D4"/>
          </w:tcPr>
          <w:p>
            <w:pPr/>
          </w:p>
        </w:tc>
        <w:tc>
          <w:tcPr>
            <w:tcW w:w="774" w:type="dxa"/>
            <w:tcBorders>
              <w:top w:val="single" w:sz="4" w:space="0" w:color="000000"/>
              <w:left w:val="single" w:sz="12" w:space="0" w:color="FFFFFF"/>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12" w:space="0" w:color="FFFFFF"/>
            </w:tcBorders>
            <w:shd w:val="clear" w:color="auto" w:fill="D4D4D4"/>
          </w:tcPr>
          <w:p>
            <w:pPr/>
          </w:p>
        </w:tc>
        <w:tc>
          <w:tcPr>
            <w:tcW w:w="774" w:type="dxa"/>
            <w:vMerge w:val="restart"/>
            <w:tcBorders>
              <w:top w:val="nil" w:sz="6" w:space="0" w:color="auto"/>
              <w:left w:val="single" w:sz="12" w:space="0" w:color="FFFFFF"/>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12" w:space="0" w:color="FFFFFF"/>
            </w:tcBorders>
            <w:shd w:val="clear" w:color="auto" w:fill="D4D4D4"/>
          </w:tcPr>
          <w:p>
            <w:pPr/>
          </w:p>
        </w:tc>
        <w:tc>
          <w:tcPr>
            <w:tcW w:w="774" w:type="dxa"/>
            <w:vMerge/>
            <w:tcBorders>
              <w:left w:val="single" w:sz="12" w:space="0" w:color="FFFFFF"/>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12" w:space="0" w:color="FFFFFF"/>
            </w:tcBorders>
            <w:shd w:val="clear" w:color="auto" w:fill="D4D4D4"/>
          </w:tcPr>
          <w:p>
            <w:pPr/>
          </w:p>
        </w:tc>
        <w:tc>
          <w:tcPr>
            <w:tcW w:w="774" w:type="dxa"/>
            <w:tcBorders>
              <w:top w:val="nil" w:sz="6" w:space="0" w:color="auto"/>
              <w:left w:val="single" w:sz="12" w:space="0" w:color="FFFFFF"/>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12" w:space="0" w:color="FFFFFF"/>
            </w:tcBorders>
            <w:shd w:val="clear" w:color="auto" w:fill="D4D4D4"/>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364,739,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186.31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22,047,7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342,691,4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319,035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,503.41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20,071,38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8.90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298,964,11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4.51</w:t>
            </w:r>
          </w:p>
        </w:tc>
      </w:tr>
      <w:tr>
        <w:trPr>
          <w:trHeight w:val="163" w:hRule="exact"/>
        </w:trPr>
        <w:tc>
          <w:tcPr>
            <w:tcW w:w="1624" w:type="dxa"/>
            <w:tcBorders>
              <w:top w:val="single" w:sz="4" w:space="0" w:color="000000"/>
              <w:left w:val="single" w:sz="4" w:space="0" w:color="000000"/>
              <w:bottom w:val="nil" w:sz="6" w:space="0" w:color="auto"/>
              <w:right w:val="single" w:sz="12" w:space="0" w:color="FFFFFF"/>
            </w:tcBorders>
            <w:shd w:val="clear" w:color="auto" w:fill="D4D4D4"/>
          </w:tcPr>
          <w:p>
            <w:pPr/>
          </w:p>
        </w:tc>
        <w:tc>
          <w:tcPr>
            <w:tcW w:w="774" w:type="dxa"/>
            <w:vMerge w:val="restart"/>
            <w:tcBorders>
              <w:top w:val="single" w:sz="4" w:space="0" w:color="000000"/>
              <w:left w:val="single" w:sz="12" w:space="0" w:color="FFFFFF"/>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364,739,</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186.31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22,047,7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25.18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342,691,4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61.13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319,035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,503.41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20,071,38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8.90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298,964,11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4.51</w:t>
            </w:r>
          </w:p>
        </w:tc>
      </w:tr>
      <w:tr>
        <w:trPr>
          <w:trHeight w:val="391" w:hRule="exact"/>
        </w:trPr>
        <w:tc>
          <w:tcPr>
            <w:tcW w:w="1624" w:type="dxa"/>
            <w:tcBorders>
              <w:top w:val="nil" w:sz="6" w:space="0" w:color="auto"/>
              <w:left w:val="single" w:sz="4" w:space="0" w:color="000000"/>
              <w:bottom w:val="nil" w:sz="6" w:space="0" w:color="auto"/>
              <w:right w:val="single" w:sz="12" w:space="0" w:color="FFFFFF"/>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2" w:space="0" w:color="FFFFFF"/>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12" w:space="0" w:color="FFFFFF"/>
            </w:tcBorders>
            <w:shd w:val="clear" w:color="auto" w:fill="D4D4D4"/>
          </w:tcPr>
          <w:p>
            <w:pPr/>
          </w:p>
        </w:tc>
        <w:tc>
          <w:tcPr>
            <w:tcW w:w="774" w:type="dxa"/>
            <w:vMerge/>
            <w:tcBorders>
              <w:left w:val="single" w:sz="12" w:space="0" w:color="FFFFFF"/>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333,753,484.12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16,687,674.21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18,878,953.93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3,775,790.79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742,086.40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371,043.20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1,213,216.98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1,213,216.98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354,587,741.43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22,047,725.18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40" w:lineRule="auto" w:before="2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498"/>
      <w:bookmarkEnd w:id="49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38" w:lineRule="auto" w:before="44"/>
        <w:ind w:right="-6"/>
        <w:jc w:val="left"/>
      </w:pPr>
      <w:r>
        <w:rPr/>
        <w:t>本期计提坏账准备金额</w:t>
      </w:r>
      <w:r>
        <w:rPr>
          <w:spacing w:val="-48"/>
        </w:rPr>
        <w:t> </w:t>
      </w:r>
      <w:r>
        <w:rPr>
          <w:rFonts w:ascii="Times New Roman" w:hAnsi="Times New Roman" w:cs="Times New Roman" w:eastAsia="Times New Roman" w:hint="default"/>
        </w:rPr>
        <w:t>2,681,496.92</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321,530.00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952" w:space="1875"/>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499"/>
      <w:bookmarkEnd w:id="49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321,530.00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r>
        <w:rPr/>
        <w:pict>
          <v:group style="position:absolute;margin-left:141.119995pt;margin-top:290.639984pt;width:77.05pt;height:28.1pt;mso-position-horizontal-relative:page;mso-position-vertical-relative:page;z-index:-1073440" coordorigin="2822,5813" coordsize="1541,562">
            <v:group style="position:absolute;left:2822;top:5813;width:1541;height:156" coordorigin="2822,5813" coordsize="1541,156">
              <v:shape style="position:absolute;left:2822;top:5813;width:1541;height:156" coordorigin="2822,5813" coordsize="1541,156" path="m2822,5969l4363,5969,4363,5813,2822,5813,2822,5969xe" filled="true" fillcolor="#ffffff" stroked="false">
                <v:path arrowok="t"/>
                <v:fill type="solid"/>
              </v:shape>
            </v:group>
            <v:group style="position:absolute;left:2834;top:5969;width:2;height:394" coordorigin="2834,5969" coordsize="2,394">
              <v:shape style="position:absolute;left:2834;top:5969;width:2;height:394" coordorigin="2834,5969" coordsize="0,394" path="m2834,5969l2834,6362e" filled="false" stroked="true" strokeweight="1.2pt" strokecolor="#ffffff">
                <v:path arrowok="t"/>
              </v:shape>
            </v:group>
            <v:group style="position:absolute;left:2846;top:5969;width:1496;height:394" coordorigin="2846,5969" coordsize="1496,394">
              <v:shape style="position:absolute;left:2846;top:5969;width:1496;height:394" coordorigin="2846,5969" coordsize="1496,394" path="m2846,6362l4342,6362,4342,5969,2846,5969,2846,6362xe" filled="true" fillcolor="#ffffff" stroked="false">
                <v:path arrowok="t"/>
                <v:fill type="solid"/>
              </v:shape>
            </v:group>
            <w10:wrap type="none"/>
          </v:group>
        </w:pict>
      </w:r>
    </w:p>
    <w:p>
      <w:pPr>
        <w:pStyle w:val="BodyText"/>
        <w:spacing w:line="240" w:lineRule="auto" w:before="44"/>
        <w:ind w:right="0"/>
        <w:jc w:val="left"/>
      </w:pPr>
      <w:r>
        <w:rPr/>
        <w:t>其中重要的应收账款核销情况：</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武汉鑫邦诚消费科技 服务有限公司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上海和付信息技术有 限公司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江苏吴江农村商业银 行股份有限公司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达州市邮政局</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孝感市邮政局</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pacing w:val="-10"/>
                <w:sz w:val="18"/>
                <w:szCs w:val="18"/>
              </w:rPr>
              <w:t>悦得通信科技（上海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承德市邮政局</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中国邮政邮储银行保 定市分行</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顺联万利商业广场</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广州兆达网络技术上 海分公司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深圳市快捷通智能科 技有限公司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中国邮政邮储银行乌 海市分行</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中国邮政邮储银行兴 安盟分行</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江西乐安县供电有限 责任公司</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321,530.00</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按欠款方归集的期末余额前五名的应收账款情况" w:id="500"/>
      <w:bookmarkEnd w:id="50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352" w:type="dxa"/>
        <w:tblLayout w:type="fixed"/>
        <w:tblCellMar>
          <w:top w:w="0" w:type="dxa"/>
          <w:left w:w="0" w:type="dxa"/>
          <w:bottom w:w="0" w:type="dxa"/>
          <w:right w:w="0" w:type="dxa"/>
        </w:tblCellMar>
        <w:tblLook w:val="01E0"/>
      </w:tblPr>
      <w:tblGrid>
        <w:gridCol w:w="3118"/>
        <w:gridCol w:w="1442"/>
        <w:gridCol w:w="1726"/>
        <w:gridCol w:w="1176"/>
        <w:gridCol w:w="1764"/>
      </w:tblGrid>
      <w:tr>
        <w:trPr>
          <w:trHeight w:val="65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84" w:right="62" w:hanging="720"/>
              <w:jc w:val="left"/>
              <w:rPr>
                <w:rFonts w:ascii="宋体" w:hAnsi="宋体" w:cs="宋体" w:eastAsia="宋体" w:hint="default"/>
                <w:sz w:val="18"/>
                <w:szCs w:val="18"/>
              </w:rPr>
            </w:pPr>
            <w:r>
              <w:rPr>
                <w:rFonts w:ascii="宋体" w:hAnsi="宋体" w:cs="宋体" w:eastAsia="宋体" w:hint="default"/>
                <w:sz w:val="18"/>
                <w:szCs w:val="18"/>
              </w:rPr>
              <w:t>占应收账款总额的比 例</w:t>
            </w:r>
          </w:p>
        </w:tc>
      </w:tr>
      <w:tr>
        <w:trPr>
          <w:trHeight w:val="348"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108,530,299.87</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29.76%</w:t>
            </w:r>
          </w:p>
        </w:tc>
      </w:tr>
      <w:tr>
        <w:trPr>
          <w:trHeight w:val="346"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3,774,934.02</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1.03%</w:t>
            </w:r>
          </w:p>
        </w:tc>
      </w:tr>
      <w:tr>
        <w:trPr>
          <w:trHeight w:val="348"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87,250,688.09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23.92%</w:t>
            </w:r>
          </w:p>
        </w:tc>
      </w:tr>
      <w:tr>
        <w:trPr>
          <w:trHeight w:val="348"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8,111,341.95</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352" w:type="dxa"/>
        <w:tblLayout w:type="fixed"/>
        <w:tblCellMar>
          <w:top w:w="0" w:type="dxa"/>
          <w:left w:w="0" w:type="dxa"/>
          <w:bottom w:w="0" w:type="dxa"/>
          <w:right w:w="0" w:type="dxa"/>
        </w:tblCellMar>
        <w:tblLook w:val="01E0"/>
      </w:tblPr>
      <w:tblGrid>
        <w:gridCol w:w="3118"/>
        <w:gridCol w:w="1442"/>
        <w:gridCol w:w="1726"/>
        <w:gridCol w:w="1176"/>
        <w:gridCol w:w="1764"/>
      </w:tblGrid>
      <w:tr>
        <w:trPr>
          <w:trHeight w:val="348" w:hRule="exact"/>
        </w:trPr>
        <w:tc>
          <w:tcPr>
            <w:tcW w:w="3118" w:type="dxa"/>
            <w:vMerge w:val="restart"/>
            <w:tcBorders>
              <w:top w:val="single" w:sz="6" w:space="0" w:color="000000"/>
              <w:left w:val="single" w:sz="6" w:space="0" w:color="000000"/>
              <w:right w:val="single" w:sz="6" w:space="0" w:color="000000"/>
            </w:tcBorders>
          </w:tcPr>
          <w:p>
            <w:pPr/>
          </w:p>
        </w:tc>
        <w:tc>
          <w:tcPr>
            <w:tcW w:w="1442" w:type="dxa"/>
            <w:vMerge w:val="restart"/>
            <w:tcBorders>
              <w:top w:val="single" w:sz="6" w:space="0" w:color="000000"/>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123,160.00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0.03%</w:t>
            </w:r>
          </w:p>
        </w:tc>
      </w:tr>
      <w:tr>
        <w:trPr>
          <w:trHeight w:val="346"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24,400.00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0.01%</w:t>
            </w:r>
          </w:p>
        </w:tc>
      </w:tr>
      <w:tr>
        <w:trPr>
          <w:trHeight w:val="34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61,823,014.96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16.95%</w:t>
            </w:r>
          </w:p>
        </w:tc>
      </w:tr>
      <w:tr>
        <w:trPr>
          <w:trHeight w:val="346"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14,931,100.83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4.09%</w:t>
            </w:r>
          </w:p>
        </w:tc>
      </w:tr>
      <w:tr>
        <w:trPr>
          <w:trHeight w:val="348" w:hRule="exact"/>
        </w:trPr>
        <w:tc>
          <w:tcPr>
            <w:tcW w:w="311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42" w:type="dxa"/>
            <w:vMerge w:val="restart"/>
            <w:tcBorders>
              <w:top w:val="single" w:sz="6" w:space="0" w:color="000000"/>
              <w:left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9,071,419.55</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2.49%</w:t>
            </w:r>
          </w:p>
        </w:tc>
      </w:tr>
      <w:tr>
        <w:trPr>
          <w:trHeight w:val="348"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1,374,907.17</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0.38%</w:t>
            </w:r>
          </w:p>
        </w:tc>
      </w:tr>
      <w:tr>
        <w:trPr>
          <w:trHeight w:val="346" w:hRule="exact"/>
        </w:trPr>
        <w:tc>
          <w:tcPr>
            <w:tcW w:w="3118"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845.40</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r>
      <w:tr>
        <w:trPr>
          <w:trHeight w:val="348" w:hRule="exact"/>
        </w:trPr>
        <w:tc>
          <w:tcPr>
            <w:tcW w:w="3118" w:type="dxa"/>
            <w:vMerge/>
            <w:tcBorders>
              <w:left w:val="single" w:sz="6" w:space="0" w:color="000000"/>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195,872.00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0.05%</w:t>
            </w:r>
          </w:p>
        </w:tc>
      </w:tr>
      <w:tr>
        <w:trPr>
          <w:trHeight w:val="34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295,211,983.84</w:t>
            </w:r>
            <w:r>
              <w:rPr>
                <w:rFonts w:ascii="Times New Roman"/>
                <w:sz w:val="18"/>
              </w:rPr>
            </w:r>
          </w:p>
        </w:tc>
        <w:tc>
          <w:tcPr>
            <w:tcW w:w="1176"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80.93%</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5）因金融资产转移而终止确认的应收账款" w:id="501"/>
      <w:bookmarkEnd w:id="5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转移应收账款且继续涉入形成的资产、负债金额" w:id="502"/>
      <w:bookmarkEnd w:id="5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其他应收款" w:id="503"/>
      <w:bookmarkEnd w:id="50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其他应收款分类披露"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6,331,98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2,386,08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37.68%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3,945,894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19,301,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735.46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1,318,075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17,983,659.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6,331,98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2,386,08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6.53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37.68%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3,945,894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19,301,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735.46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1,318,075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6.83%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17,983,659.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00"/>
        <w:gridCol w:w="2390"/>
        <w:gridCol w:w="2390"/>
      </w:tblGrid>
      <w:tr>
        <w:trPr>
          <w:trHeight w:val="206" w:hRule="exact"/>
        </w:trPr>
        <w:tc>
          <w:tcPr>
            <w:tcW w:w="248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489" w:type="dxa"/>
            <w:vMerge/>
            <w:tcBorders>
              <w:left w:val="single" w:sz="4" w:space="0" w:color="000000"/>
              <w:bottom w:val="nil" w:sz="6" w:space="0" w:color="auto"/>
              <w:right w:val="single" w:sz="4" w:space="0" w:color="000000"/>
            </w:tcBorders>
            <w:shd w:val="clear" w:color="auto" w:fill="D4D4D4"/>
          </w:tcPr>
          <w:p>
            <w:pPr/>
          </w:p>
        </w:tc>
        <w:tc>
          <w:tcPr>
            <w:tcW w:w="23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0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3,363,453.63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168,172.68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772,204.81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154,440.96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1,930,622.89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1,930,622.89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6,331,981.33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2,386,086.53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37.68%</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505"/>
      <w:bookmarkEnd w:id="5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9"/>
        <w:jc w:val="left"/>
      </w:pPr>
      <w:r>
        <w:rPr/>
        <w:t>本期计提坏账准备金额</w:t>
      </w:r>
      <w:r>
        <w:rPr>
          <w:spacing w:val="-47"/>
        </w:rPr>
        <w:t> </w:t>
      </w:r>
      <w:r>
        <w:rPr>
          <w:rFonts w:ascii="Times New Roman" w:hAnsi="Times New Roman" w:cs="Times New Roman" w:eastAsia="Times New Roman" w:hint="default"/>
        </w:rPr>
        <w:t>1,068,010.60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506"/>
      <w:bookmarkEnd w:id="50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507"/>
      <w:bookmarkEnd w:id="50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1,451,252.27</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1,204,747.00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4,568,093.05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17,756,865.14</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312,636.01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340,123.32</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6,331,981.33</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19,301,735.46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508"/>
      <w:bookmarkEnd w:id="50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9"/>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362"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9"/>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北京市海淀区人民法 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73,200.00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1,159,920.00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1,159,920.00</w:t>
            </w:r>
            <w:r>
              <w:rPr>
                <w:rFonts w:ascii="Times New Roman"/>
                <w:sz w:val="18"/>
              </w:rPr>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深圳高新区开发建设 公司管理处</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468,375.50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93,675.10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深圳市赛百诺基因技 术有限公司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392,768.00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392,768.00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海南省农村信用社联 合社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3,785,063.50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1,779,563.10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09"/>
      <w:bookmarkEnd w:id="50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510"/>
      <w:bookmarkEnd w:id="51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转移其他应收款且继续涉入形成的资产、负债金额" w:id="511"/>
      <w:bookmarkEnd w:id="5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长期股权投资" w:id="512"/>
      <w:bookmarkEnd w:id="51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871,571,865.25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871,571,865.25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519,060,000.00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519,060,000.00</w:t>
            </w:r>
            <w:r>
              <w:rPr>
                <w:rFonts w:ascii="Times New Roman"/>
                <w:sz w:val="18"/>
              </w:rPr>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75,710,833.32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75,710,833.32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24,526,601.30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24,526,601.30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947,282,698.57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947,282,698.57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543,586,601.30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543,586,601.30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513"/>
      <w:bookmarkEnd w:id="51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4"/>
        <w:gridCol w:w="1334"/>
        <w:gridCol w:w="1391"/>
        <w:gridCol w:w="1378"/>
      </w:tblGrid>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8" w:right="4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110,000,000.00</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南京新国都公司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广州新国都公司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苏州新国都公司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393,060,000.00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393,060,000.00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ExaDigm,Inc</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33,511,865.25</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33,511,865.25</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519,060,000.00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355,511,865.25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871,571,865.25</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深圳市瑞 柏泰电子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3,934,689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28,461,29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深圳市大 拿科技有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-2,750,45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47,249,54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75,710,83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1,184,232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75,710,83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15"/>
      <w:bookmarkEnd w:id="51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665" w:hanging="1"/>
        <w:jc w:val="left"/>
      </w:pPr>
      <w:r>
        <w:rPr>
          <w:rFonts w:ascii="Times New Roman" w:hAnsi="Times New Roman" w:cs="Times New Roman" w:eastAsia="Times New Roman" w:hint="default"/>
        </w:rPr>
        <w:t>ExaDigm,Inc</w:t>
      </w:r>
      <w:r>
        <w:rPr/>
        <w:t>本期增加额中包含前期已实际支付但在可供出售金融资产中列示的</w:t>
      </w:r>
      <w:r>
        <w:rPr>
          <w:rFonts w:ascii="Times New Roman" w:hAnsi="Times New Roman" w:cs="Times New Roman" w:eastAsia="Times New Roman" w:hint="default"/>
        </w:rPr>
        <w:t>3,121,250.00</w:t>
      </w:r>
      <w:r>
        <w:rPr/>
        <w:t>元和在预付款项中列示的 </w:t>
      </w:r>
      <w:r>
        <w:rPr>
          <w:rFonts w:ascii="Times New Roman" w:hAnsi="Times New Roman" w:cs="Times New Roman" w:eastAsia="Times New Roman" w:hint="default"/>
        </w:rPr>
        <w:t>351,505.25</w:t>
      </w:r>
      <w:r>
        <w:rPr/>
        <w:t>元，本期收购全部股权后，一并转入长期股权投资中。</w:t>
      </w:r>
    </w:p>
    <w:p>
      <w:pPr>
        <w:spacing w:after="0" w:line="30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营业收入和营业成本" w:id="516"/>
      <w:bookmarkEnd w:id="51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901,382,944.77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714,757,768.83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677,939,954.18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500,671,254.12</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901,382,944.77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714,757,768.83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677,939,954.18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500,671,254.12</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投资收益" w:id="517"/>
      <w:bookmarkEnd w:id="51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1,184,232.02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2,464,437.08</w:t>
            </w:r>
            <w:r>
              <w:rPr>
                <w:rFonts w:ascii="Times New Roman"/>
                <w:sz w:val="18"/>
              </w:rPr>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-2,500,400.00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1,768,495.88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60,452,327.90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2,464,437.08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518"/>
      <w:bookmarkEnd w:id="518"/>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24"/>
          <w:szCs w:val="24"/>
        </w:rPr>
      </w:pPr>
      <w:bookmarkStart w:name="十八、补充资料" w:id="519"/>
      <w:bookmarkEnd w:id="519"/>
      <w:r>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当期非经常性损益明细表" w:id="520"/>
      <w:bookmarkEnd w:id="5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21,431.76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7,293,367.20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3,034,202.75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-244,476.12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544,614.51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79,267.61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9,480,643.47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21"/>
      <w:bookmarkEnd w:id="5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0.33</w:t>
            </w:r>
            <w:r>
              <w:rPr>
                <w:rFonts w:ascii="Times New Roman"/>
                <w:sz w:val="18"/>
              </w:rPr>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3、境内外会计准则下会计数据差异" w:id="522"/>
      <w:bookmarkEnd w:id="5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523"/>
      <w:bookmarkEnd w:id="5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525"/>
      <w:bookmarkEnd w:id="52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其他" w:id="526"/>
      <w:bookmarkEnd w:id="52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3284" w:right="0" w:firstLine="0"/>
        <w:jc w:val="left"/>
        <w:rPr>
          <w:rFonts w:ascii="宋体" w:hAnsi="宋体" w:cs="宋体" w:eastAsia="宋体" w:hint="default"/>
          <w:sz w:val="32"/>
          <w:szCs w:val="32"/>
        </w:rPr>
      </w:pPr>
      <w:bookmarkStart w:name="第十一节 备查文件目录" w:id="527"/>
      <w:bookmarkEnd w:id="527"/>
      <w:r>
        <w:rPr/>
      </w:r>
      <w:bookmarkStart w:name="_bookmark10" w:id="528"/>
      <w:bookmarkEnd w:id="528"/>
      <w:r>
        <w:rPr/>
      </w:r>
      <w:r>
        <w:rPr>
          <w:rFonts w:ascii="宋体" w:hAnsi="宋体" w:cs="宋体" w:eastAsia="宋体" w:hint="default"/>
          <w:b/>
          <w:bCs/>
          <w:sz w:val="32"/>
          <w:szCs w:val="32"/>
        </w:rPr>
        <w:t>第十一节</w:t>
      </w:r>
      <w:r>
        <w:rPr>
          <w:rFonts w:ascii="宋体" w:hAnsi="宋体" w:cs="宋体" w:eastAsia="宋体" w:hint="default"/>
          <w:b/>
          <w:bCs/>
          <w:spacing w:val="-5"/>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16" w:lineRule="auto"/>
        <w:ind w:right="234"/>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2015</w:t>
      </w:r>
      <w:r>
        <w:rPr/>
        <w:t>年度报告文本原件</w:t>
      </w:r>
      <w:r>
        <w:rPr>
          <w:spacing w:val="-15"/>
        </w:rPr>
        <w:t> </w:t>
      </w:r>
      <w:r>
        <w:rPr/>
        <w:t>。</w:t>
      </w:r>
    </w:p>
    <w:p>
      <w:pPr>
        <w:pStyle w:val="BodyText"/>
        <w:spacing w:line="316" w:lineRule="auto"/>
        <w:ind w:right="6714"/>
        <w:jc w:val="left"/>
      </w:pPr>
      <w:r>
        <w:rPr/>
        <w:t>五、其他相关资料。 以上备查文件的备置地点：公司证券部</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0742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74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074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073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073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73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7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73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073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73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74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0740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pt;margin-top:36.265610pt;width:213.7pt;height:11.5pt;mso-position-horizontal-relative:page;mso-position-vertical-relative:page;z-index:-1074280" type="#_x0000_t202" filled="false" stroked="false">
          <v:textbox inset="0,0,0,0">
            <w:txbxContent>
              <w:p>
                <w:pPr>
                  <w:pStyle w:val="BodyText"/>
                  <w:spacing w:line="214" w:lineRule="exact"/>
                  <w:ind w:left="20" w:right="0"/>
                  <w:jc w:val="left"/>
                </w:pPr>
                <w:r>
                  <w:rPr/>
                  <w:t>深圳市新国都技术股份有限公司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xinguodu.com/" TargetMode="External"/><Relationship Id="rId10" Type="http://schemas.openxmlformats.org/officeDocument/2006/relationships/hyperlink" Target="mailto:xgd-zqb@xinguodu.com" TargetMode="External"/><Relationship Id="rId11" Type="http://schemas.openxmlformats.org/officeDocument/2006/relationships/hyperlink" Target="mailto:liyanfang@xinguodu.com" TargetMode="External"/><Relationship Id="rId12" Type="http://schemas.openxmlformats.org/officeDocument/2006/relationships/hyperlink" Target="mailto:fangyuan@xinguodu.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6.jpeg"/><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深圳市新国都技术股份有限公司</dc:creator>
  <dc:title>深圳市新国都技术股份有限公司2015年年度报告全文</dc:title>
  <dcterms:created xsi:type="dcterms:W3CDTF">2020-05-04T15:56:33Z</dcterms:created>
  <dcterms:modified xsi:type="dcterms:W3CDTF">2020-05-04T15:56:33Z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Acrobat PDFMaker 10.1 Word 版</vt:lpwstr>
  </property>
  <property fmtid="{D5CDD505-2E9C-101B-9397-08002B2CF9AE}" pid="4" name="LastSaved">
    <vt:filetime>2020-05-04T00:00:00Z</vt:filetime>
  </property>
</Properties>
</file>