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59" w:line="1" w:lineRule="exact"/>
      </w:pPr>
    </w:p>
    <w:p>
      <w:pPr>
        <w:widowControl w:val="0"/>
        <w:jc w:val="center"/>
        <w:rPr>
          <w:sz w:val="2"/>
          <w:szCs w:val="2"/>
        </w:rPr>
      </w:pPr>
      <w:r>
        <w:drawing>
          <wp:inline>
            <wp:extent cx="1164590" cy="11582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64590" cy="1158240"/>
                    </a:xfrm>
                    <a:prstGeom prst="rect"/>
                  </pic:spPr>
                </pic:pic>
              </a:graphicData>
            </a:graphic>
          </wp:inline>
        </w:drawing>
      </w:r>
    </w:p>
    <w:p>
      <w:pPr>
        <w:pStyle w:val="Style6"/>
        <w:keepNext w:val="0"/>
        <w:keepLines w:val="0"/>
        <w:widowControl w:val="0"/>
        <w:shd w:val="clear" w:color="auto" w:fill="auto"/>
        <w:bidi w:val="0"/>
        <w:spacing w:before="0" w:after="160" w:line="240" w:lineRule="auto"/>
        <w:ind w:left="0" w:right="0" w:firstLine="0"/>
        <w:jc w:val="center"/>
        <w:rPr>
          <w:sz w:val="52"/>
          <w:szCs w:val="52"/>
        </w:rPr>
      </w:pPr>
      <w:r>
        <w:rPr>
          <w:rFonts w:ascii="Arial" w:eastAsia="Arial" w:hAnsi="Arial" w:cs="Arial"/>
          <w:color w:val="767676"/>
          <w:spacing w:val="0"/>
          <w:w w:val="100"/>
          <w:position w:val="0"/>
          <w:sz w:val="52"/>
          <w:szCs w:val="52"/>
        </w:rPr>
        <w:t>NEXGO</w:t>
      </w: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深圳市新国都技术股份有限公司</w:t>
      </w:r>
    </w:p>
    <w:p>
      <w:pPr>
        <w:pStyle w:val="Style6"/>
        <w:keepNext w:val="0"/>
        <w:keepLines w:val="0"/>
        <w:widowControl w:val="0"/>
        <w:shd w:val="clear" w:color="auto" w:fill="auto"/>
        <w:bidi w:val="0"/>
        <w:spacing w:before="0" w:after="3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59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2017-046</w:t>
      </w:r>
    </w:p>
    <w:p>
      <w:pPr>
        <w:pStyle w:val="Style6"/>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公司负责人刘祥、主管会计工作负责人赵辉及会计机构负责人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赵辉声明：保证年度报告中财务报告的真实、准确、完整。</w:t>
      </w:r>
    </w:p>
    <w:p>
      <w:pPr>
        <w:pStyle w:val="Style14"/>
        <w:keepNext w:val="0"/>
        <w:keepLines w:val="0"/>
        <w:widowControl w:val="0"/>
        <w:shd w:val="clear" w:color="auto" w:fill="auto"/>
        <w:bidi w:val="0"/>
        <w:spacing w:before="0" w:after="24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9" w:bottom="3005" w:left="1104" w:header="0" w:footer="3" w:gutter="0"/>
          <w:pgNumType w:start="1"/>
          <w:cols w:space="720"/>
          <w:noEndnote/>
          <w:titlePg/>
          <w:rtlGutter w:val="0"/>
          <w:docGrid w:linePitch="360"/>
        </w:sectPr>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line="468" w:lineRule="exact"/>
        <w:ind w:left="0" w:right="0" w:firstLine="580"/>
        <w:jc w:val="both"/>
      </w:pPr>
      <w:r>
        <w:rPr>
          <w:b/>
          <w:bCs/>
          <w:color w:val="000000"/>
          <w:spacing w:val="0"/>
          <w:w w:val="100"/>
          <w:position w:val="0"/>
          <w:sz w:val="24"/>
          <w:szCs w:val="24"/>
        </w:rPr>
        <w:t>本公司请投资者认真阅读本年度报告全文，并特别注意下列风险因素。</w:t>
      </w:r>
    </w:p>
    <w:p>
      <w:pPr>
        <w:pStyle w:val="Style17"/>
        <w:keepNext w:val="0"/>
        <w:keepLines w:val="0"/>
        <w:widowControl w:val="0"/>
        <w:numPr>
          <w:ilvl w:val="0"/>
          <w:numId w:val="1"/>
        </w:numPr>
        <w:shd w:val="clear" w:color="auto" w:fill="auto"/>
        <w:tabs>
          <w:tab w:pos="954" w:val="left"/>
        </w:tabs>
        <w:bidi w:val="0"/>
        <w:spacing w:before="0" w:after="0" w:line="468" w:lineRule="exact"/>
        <w:ind w:left="0" w:right="0"/>
        <w:jc w:val="both"/>
      </w:pPr>
      <w:bookmarkStart w:id="4" w:name="bookmark4"/>
      <w:bookmarkEnd w:id="4"/>
      <w:r>
        <w:rPr>
          <w:color w:val="000000"/>
          <w:spacing w:val="0"/>
          <w:w w:val="100"/>
          <w:position w:val="0"/>
          <w:sz w:val="24"/>
          <w:szCs w:val="24"/>
        </w:rPr>
        <w:t>政策法规及行业风险</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随着信息技术在支付领域得到广泛的应用，支付基础设施建设取得了重大发展，非现金 支付工具日益普及且创新不断，支付服务环境大幅改善，有效支持了实体经济的发展。由于 电子支付业务的类金融属性，其合法合规合理开展，对我国金融体系的安全有着重要影响， 因此，电子支付服务业务主体、业务全流程一直以来都是金融监管机构重点监控的范围。</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年以来，国家发展改革委、中国人民银行先后发布了《关于实施银行卡清算机构准入管理的 决定》、《中国人民银行关于加强银行卡收单业务外包管理的通知》、《非银行支付机构网络支 付业务管理办法》、《关于完善银行卡刷卡手续费定价机制的通知》等重要监管文件，对电子 支付行业从参与主体、业务流程、交易权限等方面进行了全方位的规定，对行业产生了深远 影响。</w:t>
      </w:r>
    </w:p>
    <w:p>
      <w:pPr>
        <w:pStyle w:val="Style17"/>
        <w:keepNext w:val="0"/>
        <w:keepLines w:val="0"/>
        <w:widowControl w:val="0"/>
        <w:numPr>
          <w:ilvl w:val="0"/>
          <w:numId w:val="1"/>
        </w:numPr>
        <w:shd w:val="clear" w:color="auto" w:fill="auto"/>
        <w:tabs>
          <w:tab w:pos="954" w:val="left"/>
        </w:tabs>
        <w:bidi w:val="0"/>
        <w:spacing w:before="0" w:after="0" w:line="469" w:lineRule="exact"/>
        <w:ind w:left="0" w:right="0"/>
        <w:jc w:val="both"/>
      </w:pPr>
      <w:bookmarkStart w:id="5" w:name="bookmark5"/>
      <w:bookmarkEnd w:id="5"/>
      <w:r>
        <w:rPr>
          <w:color w:val="000000"/>
          <w:spacing w:val="0"/>
          <w:w w:val="100"/>
          <w:position w:val="0"/>
          <w:sz w:val="24"/>
          <w:szCs w:val="24"/>
        </w:rPr>
        <w:t>兼并收购带来的财务风险、商誉减值风险</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sz w:val="24"/>
          <w:szCs w:val="24"/>
        </w:rPr>
        <w:t>公司因为战略发展需要，通过兼并收购等方式，获得新业务和新市场的同时，也会增大 财务压力和增加财务风险，这对公司财务管理和风险控制提出了更高的要求。兼并收购的财 务风险主要有：对被并购企业价值评估不当的定价风险，能否足额筹集并购资金的融资风险, 在现金支付方式的收购中会尤其突出的偿债风险和交易完成后对被并购企业的业务整合风 险。而在整体经济相对疲弱的大环境下，被并购企业经营及盈利状况不达预期风险也相应增 大，这会对上市公司盈利增速造成拖累，兼并收购中产生的商誉也将面临计提减值的压力。</w:t>
      </w:r>
    </w:p>
    <w:p>
      <w:pPr>
        <w:pStyle w:val="Style17"/>
        <w:keepNext w:val="0"/>
        <w:keepLines w:val="0"/>
        <w:widowControl w:val="0"/>
        <w:numPr>
          <w:ilvl w:val="0"/>
          <w:numId w:val="1"/>
        </w:numPr>
        <w:shd w:val="clear" w:color="auto" w:fill="auto"/>
        <w:tabs>
          <w:tab w:pos="954" w:val="left"/>
        </w:tabs>
        <w:bidi w:val="0"/>
        <w:spacing w:before="0" w:after="0" w:line="469" w:lineRule="exact"/>
        <w:ind w:left="0" w:right="0"/>
        <w:jc w:val="both"/>
      </w:pPr>
      <w:bookmarkStart w:id="6" w:name="bookmark6"/>
      <w:bookmarkEnd w:id="6"/>
      <w:r>
        <w:rPr>
          <w:color w:val="000000"/>
          <w:spacing w:val="0"/>
          <w:w w:val="100"/>
          <w:position w:val="0"/>
          <w:sz w:val="24"/>
          <w:szCs w:val="24"/>
        </w:rPr>
        <w:t>产品、技术和服务等不能满足市场需求的风险</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sz w:val="24"/>
          <w:szCs w:val="24"/>
        </w:rPr>
        <w:t>公司已经积极开展基于移动互联网的产品、技术和服务的创新探索，但由于电子支付行 业、征信服务等业务本身具备的复杂程度，以及行业发展带来的行业变化加速，业务需求及 发展的试错成本越来越高，且这些业务目前都面临着商业模式上的创新，需要公司进行不断 的探讨和研究，这导致公司现有产品、技术和服务的创新速度可能跟不上市场的变化，不能 满足市场需求，导致公司的盈利能力低于预期。</w:t>
      </w:r>
    </w:p>
    <w:p>
      <w:pPr>
        <w:pStyle w:val="Style17"/>
        <w:keepNext w:val="0"/>
        <w:keepLines w:val="0"/>
        <w:widowControl w:val="0"/>
        <w:numPr>
          <w:ilvl w:val="0"/>
          <w:numId w:val="1"/>
        </w:numPr>
        <w:shd w:val="clear" w:color="auto" w:fill="auto"/>
        <w:tabs>
          <w:tab w:pos="954" w:val="left"/>
        </w:tabs>
        <w:bidi w:val="0"/>
        <w:spacing w:before="0" w:after="0" w:line="469" w:lineRule="exact"/>
        <w:ind w:left="0" w:right="0"/>
        <w:jc w:val="both"/>
      </w:pPr>
      <w:bookmarkStart w:id="7" w:name="bookmark7"/>
      <w:bookmarkEnd w:id="7"/>
      <w:r>
        <w:rPr>
          <w:color w:val="000000"/>
          <w:spacing w:val="0"/>
          <w:w w:val="100"/>
          <w:position w:val="0"/>
          <w:sz w:val="24"/>
          <w:szCs w:val="24"/>
        </w:rPr>
        <w:t>战略转型进度低于预期甚至失败的风险</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sz w:val="24"/>
          <w:szCs w:val="24"/>
        </w:rPr>
        <w:t xml:space="preserve">公司原有业务以电子支付终端制造业务为主，根据公司战略发展规划，公司未来的业务 将涵盖研发、制造、运营服务等各个领域，在各种因素影响下，公司存在战略落地速度、效 率和质量可能低于预期，甚至战略转型失败的风险。对于传统企业而言，拥抱新经济是一条 切实可行但并不好走的转型路径。而新经济的重要组成部分是以互联网手段使用为基础。回 </w:t>
      </w:r>
      <w:r>
        <w:rPr>
          <w:color w:val="000000"/>
          <w:spacing w:val="0"/>
          <w:w w:val="100"/>
          <w:position w:val="0"/>
          <w:sz w:val="24"/>
          <w:szCs w:val="24"/>
        </w:rPr>
        <w:t>顾产业发展的历史，第一代新经济指向互联网本身，而现在则是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，但浮于表层的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 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并不能帮助企业突破原有的增长轨迹，也无法企及更高的发展空间。真正的发展突破 要利用互联网技术来提升传统企业的经营管理模式，有效降低企业管理成本，对企业的生产 和工作流程进行系统化的改造，这不仅需要时间来沉淀，也需要企业的管理层具备过人的胆 识和智慧，才能顺利完成企业的提升。</w:t>
      </w:r>
    </w:p>
    <w:p>
      <w:pPr>
        <w:pStyle w:val="Style17"/>
        <w:keepNext w:val="0"/>
        <w:keepLines w:val="0"/>
        <w:widowControl w:val="0"/>
        <w:shd w:val="clear" w:color="auto" w:fill="auto"/>
        <w:tabs>
          <w:tab w:pos="954" w:val="left"/>
        </w:tabs>
        <w:bidi w:val="0"/>
        <w:spacing w:before="0" w:after="0" w:line="468" w:lineRule="exact"/>
        <w:ind w:left="0" w:right="0"/>
        <w:jc w:val="both"/>
      </w:pPr>
      <w:bookmarkStart w:id="8" w:name="bookmark8"/>
      <w:r>
        <w:rPr>
          <w:color w:val="000000"/>
          <w:spacing w:val="0"/>
          <w:w w:val="100"/>
          <w:position w:val="0"/>
          <w:sz w:val="24"/>
          <w:szCs w:val="24"/>
        </w:rPr>
        <w:t>（</w:t>
      </w:r>
      <w:bookmarkEnd w:id="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管理团队不能适应公司发展需求的风险</w:t>
      </w:r>
    </w:p>
    <w:p>
      <w:pPr>
        <w:pStyle w:val="Style17"/>
        <w:keepNext w:val="0"/>
        <w:keepLines w:val="0"/>
        <w:widowControl w:val="0"/>
        <w:shd w:val="clear" w:color="auto" w:fill="auto"/>
        <w:bidi w:val="0"/>
        <w:spacing w:before="0" w:after="0"/>
        <w:ind w:left="0" w:right="0"/>
        <w:jc w:val="both"/>
      </w:pPr>
      <w:r>
        <w:rPr>
          <w:color w:val="000000"/>
          <w:spacing w:val="0"/>
          <w:w w:val="100"/>
          <w:position w:val="0"/>
          <w:sz w:val="24"/>
          <w:szCs w:val="24"/>
        </w:rPr>
        <w:t>公司未来的战略规划和业务发展将主要围绕运营服务开展，但公司现有中高层管理人员、 员工团队并不具备良好的运营管理经验，不能很好的适应公司未来发展需求。人才是公司未 来战略实施的核心要素，因此，公司如果不能成功引入高端运营管理人才，则有可能导致公 司业务发展无法突破现有瓶颈。</w:t>
      </w:r>
    </w:p>
    <w:p>
      <w:pPr>
        <w:pStyle w:val="Style17"/>
        <w:keepNext w:val="0"/>
        <w:keepLines w:val="0"/>
        <w:widowControl w:val="0"/>
        <w:shd w:val="clear" w:color="auto" w:fill="auto"/>
        <w:tabs>
          <w:tab w:pos="954" w:val="left"/>
        </w:tabs>
        <w:bidi w:val="0"/>
        <w:spacing w:before="0" w:after="0"/>
        <w:ind w:left="0" w:right="0"/>
        <w:jc w:val="both"/>
      </w:pPr>
      <w:bookmarkStart w:id="9" w:name="bookmark9"/>
      <w:r>
        <w:rPr>
          <w:color w:val="000000"/>
          <w:spacing w:val="0"/>
          <w:w w:val="100"/>
          <w:position w:val="0"/>
          <w:sz w:val="24"/>
          <w:szCs w:val="24"/>
        </w:rPr>
        <w:t>（</w:t>
      </w:r>
      <w:bookmarkEnd w:id="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关于发起设立保险公司的审批风险及运营风险</w:t>
      </w: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日，公司召开第三届董事会第十二次（临时）会议及第三届监事会第十 二次会议审议通过《审议参与发起设立相互人寿保险公司（或组织）的议案》，公司出借自有 资金</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万元，参与发起设立相互人寿保险公司（或组织），出借资金后公司拟占相互人寿 保险公司（或组织）初始运营资金的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日收到中国保险监督管理委员会《关 于筹建信美人寿相互保险社的批复》（保监许可</w:t>
      </w:r>
      <w:r>
        <w:rPr>
          <w:rFonts w:ascii="Times New Roman" w:eastAsia="Times New Roman" w:hAnsi="Times New Roman" w:cs="Times New Roman"/>
          <w:color w:val="000000"/>
          <w:spacing w:val="0"/>
          <w:w w:val="100"/>
          <w:position w:val="0"/>
          <w:sz w:val="24"/>
          <w:szCs w:val="24"/>
        </w:rPr>
        <w:t>[2016]551</w:t>
      </w:r>
      <w:r>
        <w:rPr>
          <w:color w:val="000000"/>
          <w:spacing w:val="0"/>
          <w:w w:val="100"/>
          <w:position w:val="0"/>
          <w:sz w:val="24"/>
          <w:szCs w:val="24"/>
        </w:rPr>
        <w:t>号），但由于保险公司的开业需经中 国保监会批准，客观上存在不被批准的可能性，因此本项出借资金计划的实施存在不确定性。 另，由于法律或监管规定的变化，可能影响保险公司的正常运营，或削弱其投资收益的风险。</w:t>
      </w:r>
    </w:p>
    <w:p>
      <w:pPr>
        <w:pStyle w:val="Style17"/>
        <w:keepNext w:val="0"/>
        <w:keepLines w:val="0"/>
        <w:widowControl w:val="0"/>
        <w:shd w:val="clear" w:color="auto" w:fill="auto"/>
        <w:tabs>
          <w:tab w:pos="954" w:val="left"/>
        </w:tabs>
        <w:bidi w:val="0"/>
        <w:spacing w:before="0" w:after="0"/>
        <w:ind w:left="0" w:right="0"/>
        <w:jc w:val="both"/>
      </w:pPr>
      <w:bookmarkStart w:id="10" w:name="bookmark10"/>
      <w:r>
        <w:rPr>
          <w:color w:val="000000"/>
          <w:spacing w:val="0"/>
          <w:w w:val="100"/>
          <w:position w:val="0"/>
          <w:sz w:val="24"/>
          <w:szCs w:val="24"/>
        </w:rPr>
        <w:t>（</w:t>
      </w:r>
      <w:bookmarkEnd w:id="1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增资大岩资本的决策风险</w:t>
      </w:r>
    </w:p>
    <w:p>
      <w:pPr>
        <w:pStyle w:val="Style17"/>
        <w:keepNext w:val="0"/>
        <w:keepLines w:val="0"/>
        <w:widowControl w:val="0"/>
        <w:shd w:val="clear" w:color="auto" w:fill="auto"/>
        <w:bidi w:val="0"/>
        <w:spacing w:before="0" w:after="0"/>
        <w:ind w:left="0" w:right="0"/>
        <w:jc w:val="both"/>
      </w:pPr>
      <w:r>
        <w:rPr>
          <w:color w:val="000000"/>
          <w:spacing w:val="0"/>
          <w:w w:val="100"/>
          <w:position w:val="0"/>
          <w:sz w:val="24"/>
          <w:szCs w:val="24"/>
        </w:rPr>
        <w:t>由于大岩资本属于私募管理机构，其业务经营受内外金融市场、政治与经济环境影响较 多，可能对大岩资本经营产生不利影响。同时鉴于业务环节的复杂性、合作机构的多元性， 存在因员工道德风险而带来财务损失、声誉损失、引发赔偿、诉讼或监管处罚等风险。业绩 承诺期内大岩资本若无法兑现承诺，将给公司带来长期股权投资的减计风险。在整体经济相 对疲弱的大环境下，如果被投资公司经营及盈利状况不达预期，本次股权投资面临计提资产 减值损失之风险。</w:t>
      </w:r>
    </w:p>
    <w:p>
      <w:pPr>
        <w:pStyle w:val="Style17"/>
        <w:keepNext w:val="0"/>
        <w:keepLines w:val="0"/>
        <w:widowControl w:val="0"/>
        <w:shd w:val="clear" w:color="auto" w:fill="auto"/>
        <w:tabs>
          <w:tab w:pos="954" w:val="left"/>
        </w:tabs>
        <w:bidi w:val="0"/>
        <w:spacing w:before="0" w:after="0"/>
        <w:ind w:left="0" w:right="0"/>
        <w:jc w:val="both"/>
      </w:pPr>
      <w:bookmarkStart w:id="11" w:name="bookmark11"/>
      <w:r>
        <w:rPr>
          <w:color w:val="000000"/>
          <w:spacing w:val="0"/>
          <w:w w:val="100"/>
          <w:position w:val="0"/>
          <w:sz w:val="24"/>
          <w:szCs w:val="24"/>
        </w:rPr>
        <w:t>（</w:t>
      </w:r>
      <w:bookmarkEnd w:id="11"/>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非公开发行股票发行不成功的风险</w:t>
      </w:r>
    </w:p>
    <w:p>
      <w:pPr>
        <w:pStyle w:val="Style17"/>
        <w:keepNext w:val="0"/>
        <w:keepLines w:val="0"/>
        <w:widowControl w:val="0"/>
        <w:shd w:val="clear" w:color="auto" w:fill="auto"/>
        <w:bidi w:val="0"/>
        <w:spacing w:before="0" w:after="0"/>
        <w:ind w:left="0" w:right="0"/>
        <w:jc w:val="both"/>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年非公开发行股票预案已于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 xml:space="preserve">日获得中国证券监督管理委员会发 行审核委员会审核通过，目前公司尚未收到中国证监会的书面核准文件，公司将于收到书面 核准后尽快完成发行事宜，能否收到证监会书面核准文件及后续发行过程是否顺利尚存在不 </w:t>
      </w:r>
      <w:r>
        <w:rPr>
          <w:color w:val="000000"/>
          <w:spacing w:val="0"/>
          <w:w w:val="100"/>
          <w:position w:val="0"/>
          <w:sz w:val="24"/>
          <w:szCs w:val="24"/>
        </w:rPr>
        <w:t>确定性，同时该事项受到国内证券市场及政策因素影响存在被发行人终止的风险。</w:t>
      </w:r>
    </w:p>
    <w:p>
      <w:pPr>
        <w:pStyle w:val="Style17"/>
        <w:keepNext w:val="0"/>
        <w:keepLines w:val="0"/>
        <w:widowControl w:val="0"/>
        <w:shd w:val="clear" w:color="auto" w:fill="auto"/>
        <w:bidi w:val="0"/>
        <w:spacing w:before="0" w:after="0" w:line="468" w:lineRule="exact"/>
        <w:ind w:left="0" w:right="0"/>
        <w:jc w:val="left"/>
      </w:pPr>
      <w:bookmarkStart w:id="12" w:name="bookmark12"/>
      <w:r>
        <w:rPr>
          <w:color w:val="000000"/>
          <w:spacing w:val="0"/>
          <w:w w:val="100"/>
          <w:position w:val="0"/>
          <w:sz w:val="24"/>
          <w:szCs w:val="24"/>
        </w:rPr>
        <w:t>（</w:t>
      </w:r>
      <w:bookmarkEnd w:id="12"/>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）收购长沙公信诚丰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股权的风险</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公信诚丰专注于提供基于大数据技术的社会征信数据服务，行业政策的变化、新客户的 拓展及其经营税务均存在风险，公信诚丰于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年取得国家级高新技术企业证书，按</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的税率缴纳企业所得税，如果公信诚丰享受的所得税优惠政策发生变化、不能通过高新技术 企业复审或发生其他与税收相关的不利事件，将对其经营业绩产生不利影响。公信诚丰存在 客户集中度高、核心人员技术人员依赖性高、交易标的增值率较高的风险，同时存在股权收 购交易形成的商誉减值、公信诚丰业绩未达预期及业绩补偿实施的违约风险、整合风险。</w:t>
      </w:r>
    </w:p>
    <w:p>
      <w:pPr>
        <w:pStyle w:val="Style17"/>
        <w:keepNext w:val="0"/>
        <w:keepLines w:val="0"/>
        <w:widowControl w:val="0"/>
        <w:shd w:val="clear" w:color="auto" w:fill="auto"/>
        <w:bidi w:val="0"/>
        <w:spacing w:before="0" w:after="0" w:line="468" w:lineRule="exact"/>
        <w:ind w:left="0" w:right="0"/>
        <w:jc w:val="both"/>
        <w:sectPr>
          <w:footnotePr>
            <w:pos w:val="pageBottom"/>
            <w:numFmt w:val="decimal"/>
            <w:numRestart w:val="continuous"/>
          </w:footnotePr>
          <w:pgSz w:w="11900" w:h="16840"/>
          <w:pgMar w:top="1345" w:right="994" w:bottom="1902" w:left="1109" w:header="0" w:footer="3" w:gutter="0"/>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日经中国证券登记结 算有限责任公司深圳分公司登记的公司总股本</w:t>
      </w:r>
      <w:r>
        <w:rPr>
          <w:rFonts w:ascii="Times New Roman" w:eastAsia="Times New Roman" w:hAnsi="Times New Roman" w:cs="Times New Roman"/>
          <w:color w:val="000000"/>
          <w:spacing w:val="0"/>
          <w:w w:val="100"/>
          <w:position w:val="0"/>
          <w:sz w:val="24"/>
          <w:szCs w:val="24"/>
        </w:rPr>
        <w:t>235,481,280</w:t>
      </w:r>
      <w:r>
        <w:rPr>
          <w:color w:val="000000"/>
          <w:spacing w:val="0"/>
          <w:w w:val="100"/>
          <w:position w:val="0"/>
          <w:sz w:val="24"/>
          <w:szCs w:val="24"/>
        </w:rPr>
        <w:t>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 现金红利</w:t>
      </w:r>
      <w:r>
        <w:rPr>
          <w:rFonts w:ascii="Times New Roman" w:eastAsia="Times New Roman" w:hAnsi="Times New Roman" w:cs="Times New Roman"/>
          <w:color w:val="000000"/>
          <w:spacing w:val="0"/>
          <w:w w:val="100"/>
          <w:position w:val="0"/>
          <w:sz w:val="24"/>
          <w:szCs w:val="24"/>
        </w:rPr>
        <w:t>0.60</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w:t>
      </w:r>
    </w:p>
    <w:p>
      <w:pPr>
        <w:pStyle w:val="Style6"/>
        <w:keepNext w:val="0"/>
        <w:keepLines w:val="0"/>
        <w:widowControl w:val="0"/>
        <w:shd w:val="clear" w:color="auto" w:fill="auto"/>
        <w:bidi w:val="0"/>
        <w:spacing w:before="1520" w:after="156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30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8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7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3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8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6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744"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382"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200</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本公司、公司、母公司、新国都、新国都股 份、新国都技术公司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易联技术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深圳市易联技术有限公司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公信诚丰、长沙公信、长沙公信诚丰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南京新国都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信美、相互保险公司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信美人寿相互保险社</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苏州新国都电子技术有限公司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新国都支付、支付公司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美国 </w:t>
            </w:r>
            <w:r>
              <w:rPr>
                <w:rFonts w:ascii="Times New Roman" w:eastAsia="Times New Roman" w:hAnsi="Times New Roman" w:cs="Times New Roman"/>
                <w:color w:val="000000"/>
                <w:spacing w:val="0"/>
                <w:w w:val="100"/>
                <w:position w:val="0"/>
              </w:rPr>
              <w:t>Exadigm,Inc</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泰德信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《深圳市新国都技术股份有限公司章程》</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主承销商、保荐机构、中信证券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审计机构、会计师、大华会计师</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律师、律师事务所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北京市中伦（深圳）律师事务所</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深圳银联商务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深圳市银联金融网络有限公司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浙江中正、中正、中正智能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大拿科技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深圳市大拿科技有限公司</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信联征信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大岩资本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深圳嘉石大岩资本管理有限公司</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非公开发行股票、非公开</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1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保监会、中国保监会</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中国保险监督管理委员会</w:t>
            </w:r>
          </w:p>
        </w:tc>
      </w:tr>
    </w:tbl>
    <w:p>
      <w:pPr>
        <w:sectPr>
          <w:footnotePr>
            <w:pos w:val="pageBottom"/>
            <w:numFmt w:val="decimal"/>
            <w:numRestart w:val="continuous"/>
          </w:footnotePr>
          <w:pgSz w:w="11900" w:h="16840"/>
          <w:pgMar w:top="1436" w:right="1142" w:bottom="1575" w:left="1085" w:header="0" w:footer="3" w:gutter="0"/>
          <w:cols w:space="720"/>
          <w:noEndnote/>
          <w:rtlGutter w:val="0"/>
          <w:docGrid w:linePitch="360"/>
        </w:sectPr>
      </w:pPr>
    </w:p>
    <w:p>
      <w:pPr>
        <w:pStyle w:val="Style12"/>
        <w:keepNext/>
        <w:keepLines/>
        <w:widowControl w:val="0"/>
        <w:shd w:val="clear" w:color="auto" w:fill="auto"/>
        <w:bidi w:val="0"/>
        <w:spacing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5"/>
        <w:keepNext/>
        <w:keepLines/>
        <w:widowControl w:val="0"/>
        <w:shd w:val="clear" w:color="auto" w:fill="auto"/>
        <w:bidi w:val="0"/>
        <w:spacing w:before="0" w:after="300" w:line="240" w:lineRule="auto"/>
        <w:ind w:left="0" w:right="0" w:firstLine="240"/>
        <w:jc w:val="left"/>
      </w:pPr>
      <w:bookmarkStart w:id="16" w:name="bookmark16"/>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bookmarkEnd w:id="16"/>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300130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Inc.</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38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"http://www.xinguodu.com/" </w:instrText>
            </w:r>
            <w:r>
              <w:fldChar w:fldCharType="separate"/>
            </w:r>
            <w:r>
              <w:rPr>
                <w:rFonts w:ascii="Times New Roman" w:eastAsia="Times New Roman" w:hAnsi="Times New Roman" w:cs="Times New Roman"/>
                <w:color w:val="0000FF"/>
                <w:spacing w:val="0"/>
                <w:w w:val="100"/>
                <w:position w:val="0"/>
                <w:u w:val="single"/>
              </w:rPr>
              <w:t>www.xinguodu.com</w:t>
            </w:r>
            <w:r>
              <w:fldChar w:fldCharType="end"/>
            </w:r>
          </w:p>
        </w:tc>
      </w:tr>
      <w:tr>
        <w:trPr>
          <w:trHeight w:val="42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"mailto:xgd-zqb@xinguodu.com" </w:instrText>
            </w:r>
            <w:r>
              <w:fldChar w:fldCharType="separate"/>
            </w:r>
            <w:r>
              <w:rPr>
                <w:rFonts w:ascii="Times New Roman" w:eastAsia="Times New Roman" w:hAnsi="Times New Roman" w:cs="Times New Roman"/>
                <w:color w:val="000000"/>
                <w:spacing w:val="0"/>
                <w:w w:val="100"/>
                <w:position w:val="0"/>
              </w:rPr>
              <w:t>xgd-zqb@xinguodu.com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40"/>
        <w:jc w:val="left"/>
      </w:pPr>
      <w:bookmarkStart w:id="20" w:name="bookmark20"/>
      <w:bookmarkStart w:id="21" w:name="bookmark21"/>
      <w:bookmarkStart w:id="22" w:name="bookmark22"/>
      <w:r>
        <w:rPr>
          <w:color w:val="000000"/>
          <w:spacing w:val="0"/>
          <w:w w:val="100"/>
          <w:position w:val="0"/>
          <w:sz w:val="24"/>
          <w:szCs w:val="24"/>
        </w:rPr>
        <w:t>、联系人和联系方式</w:t>
      </w:r>
      <w:bookmarkEnd w:id="20"/>
      <w:bookmarkEnd w:id="21"/>
      <w:bookmarkEnd w:id="22"/>
    </w:p>
    <w:tbl>
      <w:tblPr>
        <w:tblOverlap w:val="never"/>
        <w:jc w:val="center"/>
        <w:tblLayout w:type="fixed"/>
      </w:tblPr>
      <w:tblGrid>
        <w:gridCol w:w="3202"/>
        <w:gridCol w:w="318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方媛</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深圳市福田区深南路车公庙工业区泰然 劲松大厦</w:t>
            </w:r>
            <w:r>
              <w:rPr>
                <w:rFonts w:ascii="Times New Roman" w:eastAsia="Times New Roman" w:hAnsi="Times New Roman" w:cs="Times New Roman"/>
                <w:color w:val="000000"/>
                <w:spacing w:val="0"/>
                <w:w w:val="100"/>
                <w:position w:val="0"/>
              </w:rPr>
              <w:t>17A</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深圳市福田区深南路车公庙工业区泰然 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0755-86319990</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0755-86319990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liyanfang@xinguodu. com</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fangyuan@xinguodu.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rPr>
              <w:t>5022</w:t>
            </w:r>
            <w:r>
              <w:rPr>
                <w:color w:val="000000"/>
                <w:spacing w:val="0"/>
                <w:w w:val="100"/>
                <w:position w:val="0"/>
              </w:rPr>
              <w:t>号联合广场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谭荣、张晓义</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42"/>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977,566,389.51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678,200,326.93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139,021,692.71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85,495,853.97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79,581,385.94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94,737,789.68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76,015,210.50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68,708,194.95</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256,311,917.99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264,400,847.37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-3,867,312.57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2,796,758,012.45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1,822,478,469.09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1,381,259,985.93</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1,455,175,355.33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1,262,354,409.92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1,130,378,477.77</w:t>
            </w:r>
          </w:p>
        </w:tc>
      </w:tr>
    </w:tbl>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0.5903</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38"/>
        <w:gridCol w:w="1742"/>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193,408,967.35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342,676,715.78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184,302,211.03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406,158,013.21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5,014,835.15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29,338,553.89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44,392,226.74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60,276,076.93</w:t>
            </w:r>
          </w:p>
        </w:tc>
      </w:tr>
    </w:tbl>
    <w:p>
      <w:pPr>
        <w:sectPr>
          <w:footnotePr>
            <w:pos w:val="pageBottom"/>
            <w:numFmt w:val="decimal"/>
            <w:numRestart w:val="continuous"/>
          </w:footnotePr>
          <w:pgSz w:w="11900" w:h="16840"/>
          <w:pgMar w:top="1327" w:right="1118" w:bottom="1592" w:left="1096" w:header="0" w:footer="3" w:gutter="0"/>
          <w:cols w:space="720"/>
          <w:noEndnote/>
          <w:rtlGutter w:val="0"/>
          <w:docGrid w:linePitch="360"/>
        </w:sectPr>
      </w:pPr>
    </w:p>
    <w:tbl>
      <w:tblPr>
        <w:tblOverlap w:val="never"/>
        <w:jc w:val="center"/>
        <w:tblLayout w:type="fixed"/>
      </w:tblPr>
      <w:tblGrid>
        <w:gridCol w:w="2626"/>
        <w:gridCol w:w="1742"/>
        <w:gridCol w:w="1738"/>
        <w:gridCol w:w="1742"/>
        <w:gridCol w:w="173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4,604,646.72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25,757,845.93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16,240,664.22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48,134,632.81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-125,215,193.03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132,979,667.77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-5,792,956.93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254,340,400.18</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tabs>
          <w:tab w:pos="526"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3"/>
        <w:keepNext/>
        <w:keepLines/>
        <w:widowControl w:val="0"/>
        <w:shd w:val="clear" w:color="auto" w:fill="auto"/>
        <w:tabs>
          <w:tab w:pos="410"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10"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6"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1531"/>
        <w:gridCol w:w="1517"/>
        <w:gridCol w:w="1522"/>
        <w:gridCol w:w="17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29,506,667.11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21,431.76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479,361.17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13,941,042.94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7,293,367.20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10,833,200.00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453,710.96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3,034,202.75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537,511.92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-244,476.12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-389,370.18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138,401.71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544,614.51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79,267.61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44,283,903.03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9,480,643.47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10,873,190.99</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7" w:lineRule="exact"/>
        <w:ind w:left="0" w:right="0" w:firstLine="0"/>
        <w:jc w:val="both"/>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27" w:right="1118" w:bottom="1592" w:left="1096" w:header="0" w:footer="3" w:gutter="0"/>
          <w:cols w:space="720"/>
          <w:noEndnote/>
          <w:titlePg/>
          <w:rtlGutter w:val="0"/>
          <w:docGrid w:linePitch="360"/>
        </w:sectP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号——非经常性损益》中列举的非经常性损益项目界定为经常性损益的项目，应 说明原因 </w:t>
      </w: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5"/>
        <w:keepNext/>
        <w:keepLines/>
        <w:widowControl w:val="0"/>
        <w:shd w:val="clear" w:color="auto" w:fill="auto"/>
        <w:tabs>
          <w:tab w:pos="522" w:val="left"/>
        </w:tabs>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w:t>
        <w:tab/>
        <w:t>报告期内公司从事的主要业务</w:t>
      </w:r>
      <w:bookmarkEnd w:id="59"/>
      <w:bookmarkEnd w:id="60"/>
      <w:bookmarkEnd w:id="62"/>
      <w:bookmarkEnd w:id="58"/>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2016年，公司继续专注于电子支付技术领域，从事以金融</w:t>
      </w:r>
      <w:r>
        <w:rPr>
          <w:color w:val="000000"/>
          <w:spacing w:val="0"/>
          <w:w w:val="100"/>
          <w:position w:val="0"/>
        </w:rPr>
        <w:t>POS</w:t>
      </w:r>
      <w:r>
        <w:rPr>
          <w:color w:val="000000"/>
          <w:spacing w:val="0"/>
          <w:w w:val="100"/>
          <w:position w:val="0"/>
        </w:rPr>
        <w:t>机为主的电子支付受理终端设备软硬件的生产、研发、销 售和租赁，以此为载体，加之以生物识别、征信及大数据分析处理、区块链技术，为客户提供基于电子支付的综合性解决方 案。伴随移动支付、电子支付、生物识别、大数据分析处理及人工智能技术的快速发展，公司以支付技术及金融</w:t>
      </w:r>
      <w:r>
        <w:rPr>
          <w:color w:val="000000"/>
          <w:spacing w:val="0"/>
          <w:w w:val="100"/>
          <w:position w:val="0"/>
        </w:rPr>
        <w:t>POS</w:t>
      </w:r>
      <w:r>
        <w:rPr>
          <w:color w:val="000000"/>
          <w:spacing w:val="0"/>
          <w:w w:val="100"/>
          <w:position w:val="0"/>
        </w:rPr>
        <w:t>终端软 硬件的设计研发为基础，叠加运营模式、技术领域的创新，继续巩固和提升在电子支付技术受理终端设备的市场领先地位。</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公司电子支付设备主要产品包括</w:t>
      </w:r>
      <w:r>
        <w:rPr>
          <w:color w:val="000000"/>
          <w:spacing w:val="0"/>
          <w:w w:val="100"/>
          <w:position w:val="0"/>
        </w:rPr>
        <w:t>POS</w:t>
      </w:r>
      <w:r>
        <w:rPr>
          <w:color w:val="000000"/>
          <w:spacing w:val="0"/>
          <w:w w:val="100"/>
          <w:position w:val="0"/>
        </w:rPr>
        <w:t>机（台式</w:t>
      </w:r>
      <w:r>
        <w:rPr>
          <w:color w:val="000000"/>
          <w:spacing w:val="0"/>
          <w:w w:val="100"/>
          <w:position w:val="0"/>
        </w:rPr>
        <w:t>POS</w:t>
      </w:r>
      <w:r>
        <w:rPr>
          <w:color w:val="000000"/>
          <w:spacing w:val="0"/>
          <w:w w:val="100"/>
          <w:position w:val="0"/>
        </w:rPr>
        <w:t>、移动</w:t>
      </w:r>
      <w:r>
        <w:rPr>
          <w:color w:val="000000"/>
          <w:spacing w:val="0"/>
          <w:w w:val="100"/>
          <w:position w:val="0"/>
        </w:rPr>
        <w:t>POS、</w:t>
      </w:r>
      <w:r>
        <w:rPr>
          <w:color w:val="000000"/>
          <w:spacing w:val="0"/>
          <w:w w:val="100"/>
          <w:position w:val="0"/>
        </w:rPr>
        <w:t>电话</w:t>
      </w:r>
      <w:r>
        <w:rPr>
          <w:color w:val="000000"/>
          <w:spacing w:val="0"/>
          <w:w w:val="100"/>
          <w:position w:val="0"/>
        </w:rPr>
        <w:t>POS</w:t>
      </w:r>
      <w:r>
        <w:rPr>
          <w:color w:val="000000"/>
          <w:spacing w:val="0"/>
          <w:w w:val="100"/>
          <w:position w:val="0"/>
        </w:rPr>
        <w:t>、智能</w:t>
      </w:r>
      <w:r>
        <w:rPr>
          <w:color w:val="000000"/>
          <w:spacing w:val="0"/>
          <w:w w:val="100"/>
          <w:position w:val="0"/>
        </w:rPr>
        <w:t>POS</w:t>
      </w:r>
      <w:r>
        <w:rPr>
          <w:color w:val="000000"/>
          <w:spacing w:val="0"/>
          <w:w w:val="100"/>
          <w:position w:val="0"/>
        </w:rPr>
        <w:t>及</w:t>
      </w:r>
      <w:r>
        <w:rPr>
          <w:color w:val="000000"/>
          <w:spacing w:val="0"/>
          <w:w w:val="100"/>
          <w:position w:val="0"/>
        </w:rPr>
        <w:t>MPOS）、</w:t>
      </w:r>
      <w:r>
        <w:rPr>
          <w:color w:val="000000"/>
          <w:spacing w:val="0"/>
          <w:w w:val="100"/>
          <w:position w:val="0"/>
        </w:rPr>
        <w:t>密码键盘及外接设备，生物 特征识别及身份认证产品包括指纹和人脸识别算法、二代身份证模块、人证核验终端、智能金融自助设备等。公司把握行业 发展对电子支付终端和技术需求持续旺盛的机会，特别是生物识别、大数据分析处理及人工智能技术对于支付领域的促进和 革新，大力发展市场，营业收入及利润实现快速增长。</w:t>
      </w:r>
    </w:p>
    <w:p>
      <w:pPr>
        <w:pStyle w:val="Style28"/>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综上，</w:t>
      </w:r>
      <w:r>
        <w:rPr>
          <w:rFonts w:ascii="Times New Roman" w:eastAsia="Times New Roman" w:hAnsi="Times New Roman" w:cs="Times New Roman"/>
          <w:color w:val="000000"/>
          <w:spacing w:val="0"/>
          <w:w w:val="100"/>
          <w:position w:val="0"/>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112,654.59</w:t>
      </w:r>
      <w:r>
        <w:rPr>
          <w:color w:val="000000"/>
          <w:spacing w:val="0"/>
          <w:w w:val="100"/>
          <w:position w:val="0"/>
        </w:rPr>
        <w:t>万元，同比增长</w:t>
      </w:r>
      <w:r>
        <w:rPr>
          <w:rFonts w:ascii="Times New Roman" w:eastAsia="Times New Roman" w:hAnsi="Times New Roman" w:cs="Times New Roman"/>
          <w:color w:val="000000"/>
          <w:spacing w:val="0"/>
          <w:w w:val="100"/>
          <w:position w:val="0"/>
        </w:rPr>
        <w:t>15.24%</w:t>
      </w:r>
      <w:r>
        <w:rPr>
          <w:color w:val="000000"/>
          <w:spacing w:val="0"/>
          <w:w w:val="100"/>
          <w:position w:val="0"/>
        </w:rPr>
        <w:t>。报告期内受股权激励费用摊销管理费用较去年同期 增长</w:t>
      </w:r>
      <w:r>
        <w:rPr>
          <w:rFonts w:ascii="Times New Roman" w:eastAsia="Times New Roman" w:hAnsi="Times New Roman" w:cs="Times New Roman"/>
          <w:color w:val="000000"/>
          <w:spacing w:val="0"/>
          <w:w w:val="100"/>
          <w:position w:val="0"/>
        </w:rPr>
        <w:t>26%</w:t>
      </w:r>
      <w:r>
        <w:rPr>
          <w:color w:val="000000"/>
          <w:spacing w:val="0"/>
          <w:w w:val="100"/>
          <w:position w:val="0"/>
        </w:rPr>
        <w:t>，财务费用受公司债券影响相较去年增长</w:t>
      </w:r>
      <w:r>
        <w:rPr>
          <w:rFonts w:ascii="Times New Roman" w:eastAsia="Times New Roman" w:hAnsi="Times New Roman" w:cs="Times New Roman"/>
          <w:color w:val="000000"/>
          <w:spacing w:val="0"/>
          <w:w w:val="100"/>
          <w:position w:val="0"/>
        </w:rPr>
        <w:t>6.2</w:t>
      </w:r>
      <w:r>
        <w:rPr>
          <w:color w:val="000000"/>
          <w:spacing w:val="0"/>
          <w:w w:val="100"/>
          <w:position w:val="0"/>
        </w:rPr>
        <w:t>倍，同时计提大拿科技大额资产减值准备致使报告期资产减值损失相 较去年增加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w:t>
      </w:r>
      <w:r>
        <w:rPr>
          <w:color w:val="000000"/>
          <w:spacing w:val="0"/>
          <w:w w:val="100"/>
          <w:position w:val="0"/>
        </w:rPr>
        <w:t>倍，报告期获得投资收益</w:t>
      </w:r>
      <w:r>
        <w:rPr>
          <w:rFonts w:ascii="Times New Roman" w:eastAsia="Times New Roman" w:hAnsi="Times New Roman" w:cs="Times New Roman"/>
          <w:color w:val="000000"/>
          <w:spacing w:val="0"/>
          <w:w w:val="100"/>
          <w:position w:val="0"/>
        </w:rPr>
        <w:t>4,627.23</w:t>
      </w:r>
      <w:r>
        <w:rPr>
          <w:color w:val="000000"/>
          <w:spacing w:val="0"/>
          <w:w w:val="100"/>
          <w:position w:val="0"/>
        </w:rPr>
        <w:t>万元。实现利润总额</w:t>
      </w:r>
      <w:r>
        <w:rPr>
          <w:rFonts w:ascii="Times New Roman" w:eastAsia="Times New Roman" w:hAnsi="Times New Roman" w:cs="Times New Roman"/>
          <w:color w:val="000000"/>
          <w:spacing w:val="0"/>
          <w:w w:val="100"/>
          <w:position w:val="0"/>
        </w:rPr>
        <w:t>13,506.06</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55% </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14,430.80 </w:t>
      </w:r>
      <w:r>
        <w:rPr>
          <w:color w:val="000000"/>
          <w:spacing w:val="0"/>
          <w:w w:val="100"/>
          <w:position w:val="0"/>
        </w:rPr>
        <w:t>万元，同比增长</w:t>
      </w:r>
      <w:r>
        <w:rPr>
          <w:rFonts w:ascii="Times New Roman" w:eastAsia="Times New Roman" w:hAnsi="Times New Roman" w:cs="Times New Roman"/>
          <w:color w:val="000000"/>
          <w:spacing w:val="0"/>
          <w:w w:val="100"/>
          <w:position w:val="0"/>
        </w:rPr>
        <w:t>67%</w:t>
      </w:r>
      <w:r>
        <w:rPr>
          <w:color w:val="000000"/>
          <w:spacing w:val="0"/>
          <w:w w:val="100"/>
          <w:position w:val="0"/>
        </w:rPr>
        <w:t>。</w:t>
      </w:r>
    </w:p>
    <w:p>
      <w:pPr>
        <w:pStyle w:val="Style25"/>
        <w:keepNext/>
        <w:keepLines/>
        <w:widowControl w:val="0"/>
        <w:shd w:val="clear" w:color="auto" w:fill="auto"/>
        <w:tabs>
          <w:tab w:pos="522" w:val="left"/>
        </w:tabs>
        <w:bidi w:val="0"/>
        <w:spacing w:before="0" w:after="32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33"/>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增资大岩</w:t>
            </w:r>
            <w:r>
              <w:rPr>
                <w:rFonts w:ascii="Times New Roman" w:eastAsia="Times New Roman" w:hAnsi="Times New Roman" w:cs="Times New Roman"/>
                <w:color w:val="000000"/>
                <w:spacing w:val="0"/>
                <w:w w:val="100"/>
                <w:position w:val="0"/>
              </w:rPr>
              <w:t>25%</w:t>
            </w:r>
            <w:r>
              <w:rPr>
                <w:color w:val="000000"/>
                <w:spacing w:val="0"/>
                <w:w w:val="100"/>
                <w:position w:val="0"/>
              </w:rPr>
              <w:t>股权、出售瑞柏泰</w:t>
            </w:r>
            <w:r>
              <w:rPr>
                <w:rFonts w:ascii="Times New Roman" w:eastAsia="Times New Roman" w:hAnsi="Times New Roman" w:cs="Times New Roman"/>
                <w:color w:val="000000"/>
                <w:spacing w:val="0"/>
                <w:w w:val="100"/>
                <w:position w:val="0"/>
              </w:rPr>
              <w:t>20%</w:t>
            </w:r>
            <w:r>
              <w:rPr>
                <w:color w:val="000000"/>
                <w:spacing w:val="0"/>
                <w:w w:val="100"/>
                <w:position w:val="0"/>
              </w:rPr>
              <w:t>股权、收购长沙公信</w:t>
            </w:r>
            <w:r>
              <w:rPr>
                <w:rFonts w:ascii="Times New Roman" w:eastAsia="Times New Roman" w:hAnsi="Times New Roman" w:cs="Times New Roman"/>
                <w:color w:val="000000"/>
                <w:spacing w:val="0"/>
                <w:w w:val="100"/>
                <w:position w:val="0"/>
              </w:rPr>
              <w:t>100%</w:t>
            </w:r>
            <w:r>
              <w:rPr>
                <w:color w:val="000000"/>
                <w:spacing w:val="0"/>
                <w:w w:val="100"/>
                <w:position w:val="0"/>
              </w:rPr>
              <w:t>股权、出售南京新 国都</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苏州电子支付研发基地项目达到预定可使用状态从在建工程转入固定资产</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苏州电子支付研发基地项目达到预定可使用状态从在建工程转入固定资产</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left"/>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）核心业务布局优势</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十几年专注于电子支付领域，拥有专业的电子支付技术综合解决方案提供能力。互联网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的浪潮已经开始冲击我国经济领域 </w:t>
      </w:r>
      <w:r>
        <w:rPr>
          <w:color w:val="000000"/>
          <w:spacing w:val="0"/>
          <w:w w:val="100"/>
          <w:position w:val="0"/>
        </w:rPr>
        <w:t>的各行各业，我国社会生活正在不断的被移动互联网进行深入的改造。新国都传统优势领域一电子支付作为移动互联网时 代下，经济活动中的核心环节，在经济活动和商业生态圈里开始扮演越来越重要的角色，它将成为线上线下结合的商业模式 中核心的一环，电子支付受理终端设备日益成为抢占商业大数据的重要运营端口。新国都专注于电子支付领域十几年，积累 了非常丰富的行业经验和商业资源，新国都将借助自身多年积累的行业经验和</w:t>
      </w:r>
      <w:r>
        <w:rPr>
          <w:rFonts w:ascii="Times New Roman" w:eastAsia="Times New Roman" w:hAnsi="Times New Roman" w:cs="Times New Roman"/>
          <w:color w:val="000000"/>
          <w:spacing w:val="0"/>
          <w:w w:val="100"/>
          <w:position w:val="0"/>
        </w:rPr>
        <w:t>IT</w:t>
      </w:r>
      <w:r>
        <w:rPr>
          <w:color w:val="000000"/>
          <w:spacing w:val="0"/>
          <w:w w:val="100"/>
          <w:position w:val="0"/>
        </w:rPr>
        <w:t>软硬件综合能力，基于金融</w:t>
      </w:r>
      <w:r>
        <w:rPr>
          <w:rFonts w:ascii="Times New Roman" w:eastAsia="Times New Roman" w:hAnsi="Times New Roman" w:cs="Times New Roman"/>
          <w:color w:val="000000"/>
          <w:spacing w:val="0"/>
          <w:w w:val="100"/>
          <w:position w:val="0"/>
        </w:rPr>
        <w:t>POS</w:t>
      </w:r>
      <w:r>
        <w:rPr>
          <w:color w:val="000000"/>
          <w:spacing w:val="0"/>
          <w:w w:val="100"/>
          <w:position w:val="0"/>
        </w:rPr>
        <w:t>机的线上线 下支付入口优势，增强数据分析处理能力和应用服务，整合产业上下游核心资源，使公司获得持续、稳健的盈利能力。</w:t>
      </w:r>
    </w:p>
    <w:p>
      <w:pPr>
        <w:pStyle w:val="Style28"/>
        <w:keepNext w:val="0"/>
        <w:keepLines w:val="0"/>
        <w:widowControl w:val="0"/>
        <w:shd w:val="clear" w:color="auto" w:fill="auto"/>
        <w:tabs>
          <w:tab w:pos="316" w:val="left"/>
        </w:tabs>
        <w:bidi w:val="0"/>
        <w:spacing w:before="0" w:after="0"/>
        <w:ind w:left="0" w:right="0" w:firstLine="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供应链管理体系和产业资源优势</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公司拥有完善的产品研发体系、市场营销体系、生产制造体系、质量管控体系、人力资源体系，有利于整合各个业务链之资 源，实现核心资源的优化配置，控制生产成本和产品质量的同时进行产品和商业模式创新。</w:t>
      </w:r>
    </w:p>
    <w:p>
      <w:pPr>
        <w:pStyle w:val="Style28"/>
        <w:keepNext w:val="0"/>
        <w:keepLines w:val="0"/>
        <w:widowControl w:val="0"/>
        <w:shd w:val="clear" w:color="auto" w:fill="auto"/>
        <w:tabs>
          <w:tab w:pos="316" w:val="left"/>
        </w:tabs>
        <w:bidi w:val="0"/>
        <w:spacing w:before="0" w:after="0"/>
        <w:ind w:left="0" w:right="0" w:firstLine="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产品和服务的质量优势</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自公司成立以来，对产品质量精益求精，以打造低成本、高质量、快速响应的供应链管理体系为核心价值，公司一方面通过 生产效率提升、生产直通率提升、工艺优化等活动与项目，在保障产品高效安全的前提下，进一步提升整体工效与品质；另 一方面，通过不断推动研发创新，持续优化产品成本，确保产品开发能够如期高质量的实现交付。</w:t>
      </w:r>
    </w:p>
    <w:p>
      <w:pPr>
        <w:pStyle w:val="Style28"/>
        <w:keepNext w:val="0"/>
        <w:keepLines w:val="0"/>
        <w:widowControl w:val="0"/>
        <w:shd w:val="clear" w:color="auto" w:fill="auto"/>
        <w:tabs>
          <w:tab w:pos="316" w:val="left"/>
        </w:tabs>
        <w:bidi w:val="0"/>
        <w:spacing w:before="0" w:after="0"/>
        <w:ind w:left="0" w:right="0" w:firstLine="0"/>
        <w:jc w:val="both"/>
      </w:pPr>
      <w:bookmarkStart w:id="82" w:name="bookmark82"/>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管理优势</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公司在自身管理能力建设方面取得了长足的进展，主要体现在战略梳理、业绩与考核、预算管理、经营计划拆解与落实、流 程化管理、信息化管理、精细化管理等方面，公司已经初步具备了对外输出管理的能力。管理能力的提升和公司制度的优化 也保障了公司主营业务的稳健增长，以及外延式扩张的稳步推进。</w:t>
      </w:r>
    </w:p>
    <w:p>
      <w:pPr>
        <w:pStyle w:val="Style28"/>
        <w:keepNext w:val="0"/>
        <w:keepLines w:val="0"/>
        <w:widowControl w:val="0"/>
        <w:shd w:val="clear" w:color="auto" w:fill="auto"/>
        <w:tabs>
          <w:tab w:pos="316" w:val="left"/>
        </w:tabs>
        <w:bidi w:val="0"/>
        <w:spacing w:before="0" w:after="0"/>
        <w:ind w:left="0" w:right="0" w:firstLine="0"/>
        <w:jc w:val="both"/>
      </w:pPr>
      <w:bookmarkStart w:id="83" w:name="bookmark83"/>
      <w:r>
        <w:rPr>
          <w:rFonts w:ascii="Times New Roman" w:eastAsia="Times New Roman" w:hAnsi="Times New Roman" w:cs="Times New Roman"/>
          <w:color w:val="000000"/>
          <w:spacing w:val="0"/>
          <w:w w:val="100"/>
          <w:position w:val="0"/>
        </w:rPr>
        <w:t>5</w:t>
      </w:r>
      <w:bookmarkEnd w:id="83"/>
      <w:r>
        <w:rPr>
          <w:color w:val="000000"/>
          <w:spacing w:val="0"/>
          <w:w w:val="100"/>
          <w:position w:val="0"/>
        </w:rPr>
        <w:t>）</w:t>
        <w:tab/>
        <w:t>资本市场优势</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公司在创业板成功上市后，目前仍是国内电子支付行业少数拥有资本市场支持的公司之一。国内资本市场的改革，尤其是</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股上市公司融资制度的不断完善，融资方式的持续创新，为公司未来的业务发展和战略实施提供了保障。公司将围绕未来战 略发展规划，充分发挥公司资本市场优势，以市值促进产业发展，以产业发展夯实市值基础，将公司推入一个产融结合、快 速扩张的良性发展通道。</w:t>
      </w:r>
    </w:p>
    <w:p>
      <w:pPr>
        <w:pStyle w:val="Style28"/>
        <w:keepNext w:val="0"/>
        <w:keepLines w:val="0"/>
        <w:widowControl w:val="0"/>
        <w:shd w:val="clear" w:color="auto" w:fill="auto"/>
        <w:tabs>
          <w:tab w:pos="316" w:val="left"/>
        </w:tabs>
        <w:bidi w:val="0"/>
        <w:spacing w:before="0" w:after="0"/>
        <w:ind w:left="0" w:right="0" w:firstLine="0"/>
        <w:jc w:val="both"/>
      </w:pPr>
      <w:bookmarkStart w:id="84" w:name="bookmark84"/>
      <w:r>
        <w:rPr>
          <w:rFonts w:ascii="Times New Roman" w:eastAsia="Times New Roman" w:hAnsi="Times New Roman" w:cs="Times New Roman"/>
          <w:color w:val="000000"/>
          <w:spacing w:val="0"/>
          <w:w w:val="100"/>
          <w:position w:val="0"/>
        </w:rPr>
        <w:t>6</w:t>
      </w:r>
      <w:bookmarkEnd w:id="84"/>
      <w:r>
        <w:rPr>
          <w:color w:val="000000"/>
          <w:spacing w:val="0"/>
          <w:w w:val="100"/>
          <w:position w:val="0"/>
        </w:rPr>
        <w:t>）</w:t>
        <w:tab/>
        <w:t>专利及技术优势</w:t>
      </w:r>
    </w:p>
    <w:p>
      <w:pPr>
        <w:pStyle w:val="Style28"/>
        <w:keepNext w:val="0"/>
        <w:keepLines w:val="0"/>
        <w:widowControl w:val="0"/>
        <w:shd w:val="clear" w:color="auto" w:fill="auto"/>
        <w:bidi w:val="0"/>
        <w:spacing w:before="0" w:after="80" w:line="313" w:lineRule="exact"/>
        <w:ind w:left="0" w:right="0" w:firstLine="0"/>
        <w:jc w:val="both"/>
        <w:sectPr>
          <w:footnotePr>
            <w:pos w:val="pageBottom"/>
            <w:numFmt w:val="decimal"/>
            <w:numRestart w:val="continuous"/>
          </w:footnotePr>
          <w:pgSz w:w="11900" w:h="16840"/>
          <w:pgMar w:top="1383" w:right="1027" w:bottom="1690" w:left="1099" w:header="0" w:footer="3" w:gutter="0"/>
          <w:cols w:space="720"/>
          <w:noEndnote/>
          <w:rtlGutter w:val="0"/>
          <w:docGrid w:linePitch="360"/>
        </w:sectPr>
      </w:pPr>
      <w:r>
        <w:rPr>
          <w:color w:val="000000"/>
          <w:spacing w:val="0"/>
          <w:w w:val="100"/>
          <w:position w:val="0"/>
        </w:rPr>
        <w:t>公司始终坚持自主研发，在产品和技术研发方面持续加大投入，报告期内公司研发费用投入占营业收入</w:t>
      </w:r>
      <w:r>
        <w:rPr>
          <w:rFonts w:ascii="Times New Roman" w:eastAsia="Times New Roman" w:hAnsi="Times New Roman" w:cs="Times New Roman"/>
          <w:color w:val="000000"/>
          <w:spacing w:val="0"/>
          <w:w w:val="100"/>
          <w:position w:val="0"/>
        </w:rPr>
        <w:t>13.22%</w:t>
      </w:r>
      <w:r>
        <w:rPr>
          <w:color w:val="000000"/>
          <w:spacing w:val="0"/>
          <w:w w:val="100"/>
          <w:position w:val="0"/>
        </w:rPr>
        <w:t>。截止报告 期末，公司取得专利、计算机软件著作权及软件产品等研发成果如下：</w:t>
      </w:r>
      <w:r>
        <w:rPr>
          <w:rFonts w:ascii="Times New Roman" w:eastAsia="Times New Roman" w:hAnsi="Times New Roman" w:cs="Times New Roman"/>
          <w:color w:val="000000"/>
          <w:spacing w:val="0"/>
          <w:w w:val="100"/>
          <w:position w:val="0"/>
        </w:rPr>
        <w:t>220</w:t>
      </w:r>
      <w:r>
        <w:rPr>
          <w:color w:val="000000"/>
          <w:spacing w:val="0"/>
          <w:w w:val="100"/>
          <w:position w:val="0"/>
        </w:rPr>
        <w:t>项国家专利，其中发明专利</w:t>
      </w:r>
      <w:r>
        <w:rPr>
          <w:rFonts w:ascii="Times New Roman" w:eastAsia="Times New Roman" w:hAnsi="Times New Roman" w:cs="Times New Roman"/>
          <w:color w:val="000000"/>
          <w:spacing w:val="0"/>
          <w:w w:val="100"/>
          <w:position w:val="0"/>
        </w:rPr>
        <w:t>55</w:t>
      </w:r>
      <w:r>
        <w:rPr>
          <w:color w:val="000000"/>
          <w:spacing w:val="0"/>
          <w:w w:val="100"/>
          <w:position w:val="0"/>
        </w:rPr>
        <w:t>项，国际专利</w:t>
      </w:r>
      <w:r>
        <w:rPr>
          <w:rFonts w:ascii="Times New Roman" w:eastAsia="Times New Roman" w:hAnsi="Times New Roman" w:cs="Times New Roman"/>
          <w:color w:val="000000"/>
          <w:spacing w:val="0"/>
          <w:w w:val="100"/>
          <w:position w:val="0"/>
        </w:rPr>
        <w:t>2</w:t>
      </w:r>
      <w:r>
        <w:rPr>
          <w:color w:val="000000"/>
          <w:spacing w:val="0"/>
          <w:w w:val="100"/>
          <w:position w:val="0"/>
        </w:rPr>
        <w:t>项； 获得软件著作权证书</w:t>
      </w:r>
      <w:r>
        <w:rPr>
          <w:rFonts w:ascii="Times New Roman" w:eastAsia="Times New Roman" w:hAnsi="Times New Roman" w:cs="Times New Roman"/>
          <w:color w:val="000000"/>
          <w:spacing w:val="0"/>
          <w:w w:val="100"/>
          <w:position w:val="0"/>
        </w:rPr>
        <w:t>170</w:t>
      </w:r>
      <w:r>
        <w:rPr>
          <w:color w:val="000000"/>
          <w:spacing w:val="0"/>
          <w:w w:val="100"/>
          <w:position w:val="0"/>
        </w:rPr>
        <w:t>项，完成软件产品登记</w:t>
      </w:r>
      <w:r>
        <w:rPr>
          <w:rFonts w:ascii="Times New Roman" w:eastAsia="Times New Roman" w:hAnsi="Times New Roman" w:cs="Times New Roman"/>
          <w:color w:val="000000"/>
          <w:spacing w:val="0"/>
          <w:w w:val="100"/>
          <w:position w:val="0"/>
        </w:rPr>
        <w:t>58</w:t>
      </w:r>
      <w:r>
        <w:rPr>
          <w:color w:val="000000"/>
          <w:spacing w:val="0"/>
          <w:w w:val="100"/>
          <w:position w:val="0"/>
        </w:rPr>
        <w:t>项，拥有商标</w:t>
      </w:r>
      <w:r>
        <w:rPr>
          <w:rFonts w:ascii="Times New Roman" w:eastAsia="Times New Roman" w:hAnsi="Times New Roman" w:cs="Times New Roman"/>
          <w:color w:val="000000"/>
          <w:spacing w:val="0"/>
          <w:w w:val="100"/>
          <w:position w:val="0"/>
        </w:rPr>
        <w:t>87</w:t>
      </w:r>
      <w:r>
        <w:rPr>
          <w:color w:val="000000"/>
          <w:spacing w:val="0"/>
          <w:w w:val="100"/>
          <w:position w:val="0"/>
        </w:rPr>
        <w:t>项。上述科研成果为公司的持续发展保驾护航，成为公司 的核心竞争力之一。</w:t>
      </w:r>
    </w:p>
    <w:p>
      <w:pPr>
        <w:pStyle w:val="Style12"/>
        <w:keepNext/>
        <w:keepLines/>
        <w:widowControl w:val="0"/>
        <w:shd w:val="clear" w:color="auto" w:fill="auto"/>
        <w:bidi w:val="0"/>
        <w:spacing w:before="58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5"/>
        <w:keepNext/>
        <w:keepLines/>
        <w:widowControl w:val="0"/>
        <w:shd w:val="clear" w:color="auto" w:fill="auto"/>
        <w:bidi w:val="0"/>
        <w:spacing w:before="0" w:after="260" w:line="240" w:lineRule="auto"/>
        <w:ind w:left="0" w:right="0" w:firstLine="0"/>
        <w:jc w:val="both"/>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bookmarkEnd w:id="88"/>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年，公司持续专注于电子支付技术领域，从事以金融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机为主的电子支付受理终端设备软硬件的生产、研发、销 售和租赁，并以此为载体，为客户提供电子支付技术综合解决方案。伴随移动支付、电子支付的快速发展，公司以支付技术 为基础，金融</w:t>
      </w:r>
      <w:r>
        <w:rPr>
          <w:rFonts w:ascii="Times New Roman" w:eastAsia="Times New Roman" w:hAnsi="Times New Roman" w:cs="Times New Roman"/>
          <w:color w:val="000000"/>
          <w:spacing w:val="0"/>
          <w:w w:val="100"/>
          <w:position w:val="0"/>
        </w:rPr>
        <w:t>POS</w:t>
      </w:r>
      <w:r>
        <w:rPr>
          <w:color w:val="000000"/>
          <w:spacing w:val="0"/>
          <w:w w:val="100"/>
          <w:position w:val="0"/>
        </w:rPr>
        <w:t>终端软硬件的设计和研发为核心，继续巩固和提升在电子支付技术受理终端设备的市场领先地位。公司以 帮助客户降低支付运营业务综合成本、提升客户运营效率为目标，主动积累电子支付产业链上下游的核心技术资源，以产品 和服务覆盖商户交易活动全流程；积极研究电子支付交易新场景和产品新形态；围绕移动互联网的发展趋势，积极布局智能 硬件研发领域，继续加大支付技术运营服务和互联网运营模式的探索，布局符合未来移动互联网需求的新产品、新技术和新 服务；以提升输出管理能力和投融资管理水平为核心，增强上市公司投融资平台功能，实现公司综合实力的跨越式大发展。</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112,654.59</w:t>
      </w:r>
      <w:r>
        <w:rPr>
          <w:color w:val="000000"/>
          <w:spacing w:val="0"/>
          <w:w w:val="100"/>
          <w:position w:val="0"/>
        </w:rPr>
        <w:t>万元，同比增长</w:t>
      </w:r>
      <w:r>
        <w:rPr>
          <w:rFonts w:ascii="Times New Roman" w:eastAsia="Times New Roman" w:hAnsi="Times New Roman" w:cs="Times New Roman"/>
          <w:color w:val="000000"/>
          <w:spacing w:val="0"/>
          <w:w w:val="100"/>
          <w:position w:val="0"/>
        </w:rPr>
        <w:t>15.24%</w:t>
      </w:r>
      <w:r>
        <w:rPr>
          <w:color w:val="000000"/>
          <w:spacing w:val="0"/>
          <w:w w:val="100"/>
          <w:position w:val="0"/>
        </w:rPr>
        <w:t xml:space="preserve">。报告期内受股权激励费用摊销管理费用较去年同期增长 </w:t>
      </w:r>
      <w:r>
        <w:rPr>
          <w:rFonts w:ascii="Times New Roman" w:eastAsia="Times New Roman" w:hAnsi="Times New Roman" w:cs="Times New Roman"/>
          <w:color w:val="000000"/>
          <w:spacing w:val="0"/>
          <w:w w:val="100"/>
          <w:position w:val="0"/>
        </w:rPr>
        <w:t>26%</w:t>
      </w:r>
      <w:r>
        <w:rPr>
          <w:color w:val="000000"/>
          <w:spacing w:val="0"/>
          <w:w w:val="100"/>
          <w:position w:val="0"/>
        </w:rPr>
        <w:t>，财务费用受公司债券影响相较去年增长</w:t>
      </w:r>
      <w:r>
        <w:rPr>
          <w:rFonts w:ascii="Times New Roman" w:eastAsia="Times New Roman" w:hAnsi="Times New Roman" w:cs="Times New Roman"/>
          <w:color w:val="000000"/>
          <w:spacing w:val="0"/>
          <w:w w:val="100"/>
          <w:position w:val="0"/>
        </w:rPr>
        <w:t>6.2</w:t>
      </w:r>
      <w:r>
        <w:rPr>
          <w:color w:val="000000"/>
          <w:spacing w:val="0"/>
          <w:w w:val="100"/>
          <w:position w:val="0"/>
        </w:rPr>
        <w:t>倍，同时计提大拿科技大额资产减值准备致使报告期资产减值损失相较去 年增加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w:t>
      </w:r>
      <w:r>
        <w:rPr>
          <w:color w:val="000000"/>
          <w:spacing w:val="0"/>
          <w:w w:val="100"/>
          <w:position w:val="0"/>
        </w:rPr>
        <w:t>倍，报告期获得投资收益</w:t>
      </w:r>
      <w:r>
        <w:rPr>
          <w:rFonts w:ascii="Times New Roman" w:eastAsia="Times New Roman" w:hAnsi="Times New Roman" w:cs="Times New Roman"/>
          <w:color w:val="000000"/>
          <w:spacing w:val="0"/>
          <w:w w:val="100"/>
          <w:position w:val="0"/>
        </w:rPr>
        <w:t>4,627.23</w:t>
      </w:r>
      <w:r>
        <w:rPr>
          <w:color w:val="000000"/>
          <w:spacing w:val="0"/>
          <w:w w:val="100"/>
          <w:position w:val="0"/>
        </w:rPr>
        <w:t>万元。实现利润总额</w:t>
      </w:r>
      <w:r>
        <w:rPr>
          <w:rFonts w:ascii="Times New Roman" w:eastAsia="Times New Roman" w:hAnsi="Times New Roman" w:cs="Times New Roman"/>
          <w:color w:val="000000"/>
          <w:spacing w:val="0"/>
          <w:w w:val="100"/>
          <w:position w:val="0"/>
        </w:rPr>
        <w:t>13,506.06</w:t>
      </w:r>
      <w:r>
        <w:rPr>
          <w:color w:val="000000"/>
          <w:spacing w:val="0"/>
          <w:w w:val="100"/>
          <w:position w:val="0"/>
        </w:rPr>
        <w:t>万元，同比增长</w:t>
      </w:r>
      <w:r>
        <w:rPr>
          <w:rFonts w:ascii="Times New Roman" w:eastAsia="Times New Roman" w:hAnsi="Times New Roman" w:cs="Times New Roman"/>
          <w:color w:val="000000"/>
          <w:spacing w:val="0"/>
          <w:w w:val="100"/>
          <w:position w:val="0"/>
        </w:rPr>
        <w:t>55%</w:t>
      </w:r>
      <w:r>
        <w:rPr>
          <w:color w:val="000000"/>
          <w:spacing w:val="0"/>
          <w:w w:val="100"/>
          <w:position w:val="0"/>
        </w:rPr>
        <w:t>；实现净利润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4,430.8</w:t>
      </w:r>
      <w:r>
        <w:rPr>
          <w:rFonts w:ascii="Times New Roman" w:eastAsia="Times New Roman" w:hAnsi="Times New Roman" w:cs="Times New Roman"/>
          <w:color w:val="000000"/>
          <w:spacing w:val="0"/>
          <w:w w:val="100"/>
          <w:position w:val="0"/>
        </w:rPr>
        <w:t>0</w:t>
      </w:r>
      <w:r>
        <w:rPr>
          <w:color w:val="000000"/>
          <w:spacing w:val="0"/>
          <w:w w:val="100"/>
          <w:position w:val="0"/>
        </w:rPr>
        <w:t>万元， 同比增长</w:t>
      </w:r>
      <w:r>
        <w:rPr>
          <w:rFonts w:ascii="Times New Roman" w:eastAsia="Times New Roman" w:hAnsi="Times New Roman" w:cs="Times New Roman"/>
          <w:color w:val="000000"/>
          <w:spacing w:val="0"/>
          <w:w w:val="100"/>
          <w:position w:val="0"/>
        </w:rPr>
        <w:t>67%</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报告期开展的主要工作如下：</w:t>
      </w:r>
    </w:p>
    <w:p>
      <w:pPr>
        <w:pStyle w:val="Style28"/>
        <w:keepNext w:val="0"/>
        <w:keepLines w:val="0"/>
        <w:widowControl w:val="0"/>
        <w:numPr>
          <w:ilvl w:val="0"/>
          <w:numId w:val="3"/>
        </w:numPr>
        <w:shd w:val="clear" w:color="auto" w:fill="auto"/>
        <w:tabs>
          <w:tab w:pos="836" w:val="left"/>
        </w:tabs>
        <w:bidi w:val="0"/>
        <w:spacing w:before="0" w:after="0" w:line="312" w:lineRule="exact"/>
        <w:ind w:left="0" w:right="0" w:firstLine="380"/>
        <w:jc w:val="left"/>
      </w:pPr>
      <w:bookmarkStart w:id="93" w:name="bookmark93"/>
      <w:bookmarkEnd w:id="93"/>
      <w:r>
        <w:rPr>
          <w:color w:val="000000"/>
          <w:spacing w:val="0"/>
          <w:w w:val="100"/>
          <w:position w:val="0"/>
        </w:rPr>
        <w:t>产品和技术研发方面，公司持续投入大量研发资金，加强研发管理能力，通过</w:t>
      </w:r>
      <w:r>
        <w:rPr>
          <w:rFonts w:ascii="Times New Roman" w:eastAsia="Times New Roman" w:hAnsi="Times New Roman" w:cs="Times New Roman"/>
          <w:color w:val="000000"/>
          <w:spacing w:val="0"/>
          <w:w w:val="100"/>
          <w:position w:val="0"/>
        </w:rPr>
        <w:t>IPD</w:t>
      </w:r>
      <w:r>
        <w:rPr>
          <w:color w:val="000000"/>
          <w:spacing w:val="0"/>
          <w:w w:val="100"/>
          <w:position w:val="0"/>
        </w:rPr>
        <w:t>优化项目对产品开发流程进行 全方位改进，制定结构设计、稳定性设计指导方法和安全设计规范，提高产品设计可靠性和稳定性，从而满足市场严格的安 全保护需求。公司研发中心完成部门组织架构优化工作，成立技术开发团队，将产品开发与技术开发分开，降低产品开发风 险，提升技术开发的深度。通过严格的项目管控和优化改造，完善产品上市管理，对</w:t>
      </w:r>
      <w:r>
        <w:rPr>
          <w:rFonts w:ascii="Times New Roman" w:eastAsia="Times New Roman" w:hAnsi="Times New Roman" w:cs="Times New Roman"/>
          <w:color w:val="000000"/>
          <w:spacing w:val="0"/>
          <w:w w:val="100"/>
          <w:position w:val="0"/>
        </w:rPr>
        <w:t>POS</w:t>
      </w:r>
      <w:r>
        <w:rPr>
          <w:color w:val="000000"/>
          <w:spacing w:val="0"/>
          <w:w w:val="100"/>
          <w:position w:val="0"/>
        </w:rPr>
        <w:t>终端开机速度、装机效率、用户体 验等各项性能指标进行优化，在主流厂商中位列前茅。</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在新技术研发方面，公司基于新一代云平台技术架构的大型交易结算支撑系统平台已初具雏形，该平台以大数据收集、 存储、分析为基础功能设计，开发完成后将可覆盖全交易过程。该数据平台与公司设备结合使用，可有效为客户降低运营成 本，辅助客户提升运营效率。此外，公司在支付、第三方收单、智能硬件、生物识别、云服务、征信、金融等领域积极推进 技术融合、创新以及应用方案落地。目前，公司已有</w:t>
      </w:r>
      <w:r>
        <w:rPr>
          <w:rFonts w:ascii="Times New Roman" w:eastAsia="Times New Roman" w:hAnsi="Times New Roman" w:cs="Times New Roman"/>
          <w:color w:val="000000"/>
          <w:spacing w:val="0"/>
          <w:w w:val="100"/>
          <w:position w:val="0"/>
        </w:rPr>
        <w:t>POS</w:t>
      </w:r>
      <w:r>
        <w:rPr>
          <w:color w:val="000000"/>
          <w:spacing w:val="0"/>
          <w:w w:val="100"/>
          <w:position w:val="0"/>
        </w:rPr>
        <w:t>终端能够受理主流手机指纹支付的新需求。</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月，公司携手华为、恒生电子等</w:t>
      </w:r>
      <w:r>
        <w:rPr>
          <w:rFonts w:ascii="Times New Roman" w:eastAsia="Times New Roman" w:hAnsi="Times New Roman" w:cs="Times New Roman"/>
          <w:color w:val="000000"/>
          <w:spacing w:val="0"/>
          <w:w w:val="100"/>
          <w:position w:val="0"/>
        </w:rPr>
        <w:t>10</w:t>
      </w:r>
      <w:r>
        <w:rPr>
          <w:color w:val="000000"/>
          <w:spacing w:val="0"/>
          <w:w w:val="100"/>
          <w:position w:val="0"/>
        </w:rPr>
        <w:t>家机构加入由</w:t>
      </w:r>
      <w:r>
        <w:rPr>
          <w:rFonts w:ascii="Times New Roman" w:eastAsia="Times New Roman" w:hAnsi="Times New Roman" w:cs="Times New Roman"/>
          <w:color w:val="000000"/>
          <w:spacing w:val="0"/>
          <w:w w:val="100"/>
          <w:position w:val="0"/>
        </w:rPr>
        <w:t>Linux</w:t>
      </w:r>
      <w:r>
        <w:rPr>
          <w:color w:val="000000"/>
          <w:spacing w:val="0"/>
          <w:w w:val="100"/>
          <w:position w:val="0"/>
        </w:rPr>
        <w:t>基金会发起的</w:t>
      </w:r>
      <w:r>
        <w:rPr>
          <w:rFonts w:ascii="Times New Roman" w:eastAsia="Times New Roman" w:hAnsi="Times New Roman" w:cs="Times New Roman"/>
          <w:color w:val="000000"/>
          <w:spacing w:val="0"/>
          <w:w w:val="100"/>
          <w:position w:val="0"/>
        </w:rPr>
        <w:t>Hyperledger</w:t>
      </w:r>
      <w:r>
        <w:rPr>
          <w:color w:val="000000"/>
          <w:spacing w:val="0"/>
          <w:w w:val="100"/>
          <w:position w:val="0"/>
        </w:rPr>
        <w:t>区块链项目。公司认为，公司 在生物识别及人工智能领域的技术积累，可以与区块链技术形成完整的安全支付解决方案，对公司完整产业链布局产生积极 作用。</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报告期间，公司投入研发费用</w:t>
      </w:r>
      <w:r>
        <w:rPr>
          <w:rFonts w:ascii="Times New Roman" w:eastAsia="Times New Roman" w:hAnsi="Times New Roman" w:cs="Times New Roman"/>
          <w:color w:val="000000"/>
          <w:spacing w:val="0"/>
          <w:w w:val="100"/>
          <w:position w:val="0"/>
        </w:rPr>
        <w:t>1.49</w:t>
      </w:r>
      <w:r>
        <w:rPr>
          <w:color w:val="000000"/>
          <w:spacing w:val="0"/>
          <w:w w:val="100"/>
          <w:position w:val="0"/>
        </w:rPr>
        <w:t>亿元，占营业收入的</w:t>
      </w:r>
      <w:r>
        <w:rPr>
          <w:rFonts w:ascii="Times New Roman" w:eastAsia="Times New Roman" w:hAnsi="Times New Roman" w:cs="Times New Roman"/>
          <w:color w:val="000000"/>
          <w:spacing w:val="0"/>
          <w:w w:val="100"/>
          <w:position w:val="0"/>
        </w:rPr>
        <w:t>13.22%</w:t>
      </w:r>
      <w:r>
        <w:rPr>
          <w:color w:val="000000"/>
          <w:spacing w:val="0"/>
          <w:w w:val="100"/>
          <w:position w:val="0"/>
        </w:rPr>
        <w:t>。</w:t>
      </w:r>
    </w:p>
    <w:p>
      <w:pPr>
        <w:pStyle w:val="Style28"/>
        <w:keepNext w:val="0"/>
        <w:keepLines w:val="0"/>
        <w:widowControl w:val="0"/>
        <w:numPr>
          <w:ilvl w:val="0"/>
          <w:numId w:val="3"/>
        </w:numPr>
        <w:shd w:val="clear" w:color="auto" w:fill="auto"/>
        <w:tabs>
          <w:tab w:pos="841" w:val="left"/>
        </w:tabs>
        <w:bidi w:val="0"/>
        <w:spacing w:before="0" w:after="0" w:line="312" w:lineRule="exact"/>
        <w:ind w:left="0" w:right="0" w:firstLine="380"/>
        <w:jc w:val="left"/>
      </w:pPr>
      <w:bookmarkStart w:id="94" w:name="bookmark94"/>
      <w:bookmarkEnd w:id="94"/>
      <w:r>
        <w:rPr>
          <w:color w:val="000000"/>
          <w:spacing w:val="0"/>
          <w:w w:val="100"/>
          <w:position w:val="0"/>
        </w:rPr>
        <w:t>市场方面，</w:t>
      </w:r>
      <w:r>
        <w:rPr>
          <w:rFonts w:ascii="Times New Roman" w:eastAsia="Times New Roman" w:hAnsi="Times New Roman" w:cs="Times New Roman"/>
          <w:color w:val="000000"/>
          <w:spacing w:val="0"/>
          <w:w w:val="100"/>
          <w:position w:val="0"/>
        </w:rPr>
        <w:t>2016</w:t>
      </w:r>
      <w:r>
        <w:rPr>
          <w:color w:val="000000"/>
          <w:spacing w:val="0"/>
          <w:w w:val="100"/>
          <w:position w:val="0"/>
        </w:rPr>
        <w:t>年公司对集团与支付业务板块组织架构进行了调整，打造产品驱动型组织，应用支持紧贴前端市 场，进一步完善梯队式的市场队伍建设，按照不同客户业务模式组建专门的市场团队，推动需求管理项目的实施，提高体系 的需求管理能力。</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国内市场方面，</w:t>
      </w:r>
      <w:r>
        <w:rPr>
          <w:rFonts w:ascii="Times New Roman" w:eastAsia="Times New Roman" w:hAnsi="Times New Roman" w:cs="Times New Roman"/>
          <w:color w:val="000000"/>
          <w:spacing w:val="0"/>
          <w:w w:val="100"/>
          <w:position w:val="0"/>
        </w:rPr>
        <w:t>2016</w:t>
      </w:r>
      <w:r>
        <w:rPr>
          <w:color w:val="000000"/>
          <w:spacing w:val="0"/>
          <w:w w:val="100"/>
          <w:position w:val="0"/>
        </w:rPr>
        <w:t>年市场价格竞争仍然激烈，公司市场部门通过利用现有资源挖掘更多市场空间，大力发展新客户。 调整产品销售组合方案，重点完成智能</w:t>
      </w:r>
      <w:r>
        <w:rPr>
          <w:rFonts w:ascii="Times New Roman" w:eastAsia="Times New Roman" w:hAnsi="Times New Roman" w:cs="Times New Roman"/>
          <w:color w:val="000000"/>
          <w:spacing w:val="0"/>
          <w:w w:val="100"/>
          <w:position w:val="0"/>
        </w:rPr>
        <w:t>POS</w:t>
      </w:r>
      <w:r>
        <w:rPr>
          <w:color w:val="000000"/>
          <w:spacing w:val="0"/>
          <w:w w:val="100"/>
          <w:position w:val="0"/>
        </w:rPr>
        <w:t>的推广工作，为公司的智能</w:t>
      </w:r>
      <w:r>
        <w:rPr>
          <w:rFonts w:ascii="Times New Roman" w:eastAsia="Times New Roman" w:hAnsi="Times New Roman" w:cs="Times New Roman"/>
          <w:color w:val="000000"/>
          <w:spacing w:val="0"/>
          <w:w w:val="100"/>
          <w:position w:val="0"/>
        </w:rPr>
        <w:t>POS</w:t>
      </w:r>
      <w:r>
        <w:rPr>
          <w:color w:val="000000"/>
          <w:spacing w:val="0"/>
          <w:w w:val="100"/>
          <w:position w:val="0"/>
        </w:rPr>
        <w:t>市场打开了新局面，实现阶段性突破。</w:t>
      </w:r>
      <w:r>
        <w:rPr>
          <w:rFonts w:ascii="Times New Roman" w:eastAsia="Times New Roman" w:hAnsi="Times New Roman" w:cs="Times New Roman"/>
          <w:color w:val="000000"/>
          <w:spacing w:val="0"/>
          <w:w w:val="100"/>
          <w:position w:val="0"/>
        </w:rPr>
        <w:t>2016</w:t>
      </w:r>
      <w:r>
        <w:rPr>
          <w:color w:val="000000"/>
          <w:spacing w:val="0"/>
          <w:w w:val="100"/>
          <w:position w:val="0"/>
        </w:rPr>
        <w:t>年公 司国内市场客户结构发生变化，新增行业客户联通支付，同时第三方市场增长较快。</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海外市场方面，公司明确国际业务的战略地位，优化了对国际市场的区域运营管理，对重点市场的支持进行补充和调整， </w:t>
      </w:r>
      <w:r>
        <w:rPr>
          <w:rFonts w:ascii="Times New Roman" w:eastAsia="Times New Roman" w:hAnsi="Times New Roman" w:cs="Times New Roman"/>
          <w:color w:val="000000"/>
          <w:spacing w:val="0"/>
          <w:w w:val="100"/>
          <w:position w:val="0"/>
        </w:rPr>
        <w:t>2016</w:t>
      </w:r>
      <w:r>
        <w:rPr>
          <w:color w:val="000000"/>
          <w:spacing w:val="0"/>
          <w:w w:val="100"/>
          <w:position w:val="0"/>
        </w:rPr>
        <w:t>年国际业务继续快速发展，销售收入实现倍增。截止至</w:t>
      </w:r>
      <w:r>
        <w:rPr>
          <w:rFonts w:ascii="Times New Roman" w:eastAsia="Times New Roman" w:hAnsi="Times New Roman" w:cs="Times New Roman"/>
          <w:color w:val="000000"/>
          <w:spacing w:val="0"/>
          <w:w w:val="100"/>
          <w:position w:val="0"/>
        </w:rPr>
        <w:t>2016</w:t>
      </w:r>
      <w:r>
        <w:rPr>
          <w:color w:val="000000"/>
          <w:spacing w:val="0"/>
          <w:w w:val="100"/>
          <w:position w:val="0"/>
        </w:rPr>
        <w:t>年末，公司国际业务已实现销售国家近</w:t>
      </w:r>
      <w:r>
        <w:rPr>
          <w:rFonts w:ascii="Times New Roman" w:eastAsia="Times New Roman" w:hAnsi="Times New Roman" w:cs="Times New Roman"/>
          <w:color w:val="000000"/>
          <w:spacing w:val="0"/>
          <w:w w:val="100"/>
          <w:position w:val="0"/>
        </w:rPr>
        <w:t>20</w:t>
      </w:r>
      <w:r>
        <w:rPr>
          <w:color w:val="000000"/>
          <w:spacing w:val="0"/>
          <w:w w:val="100"/>
          <w:position w:val="0"/>
        </w:rPr>
        <w:t>个。国际市场全年 实现销售收入</w:t>
      </w:r>
      <w:r>
        <w:rPr>
          <w:rFonts w:ascii="Times New Roman" w:eastAsia="Times New Roman" w:hAnsi="Times New Roman" w:cs="Times New Roman"/>
          <w:color w:val="000000"/>
          <w:spacing w:val="0"/>
          <w:w w:val="100"/>
          <w:position w:val="0"/>
        </w:rPr>
        <w:t>1.27</w:t>
      </w:r>
      <w:r>
        <w:rPr>
          <w:color w:val="000000"/>
          <w:spacing w:val="0"/>
          <w:w w:val="100"/>
          <w:position w:val="0"/>
        </w:rPr>
        <w:t>亿元，占营业收入的</w:t>
      </w:r>
      <w:r>
        <w:rPr>
          <w:rFonts w:ascii="Times New Roman" w:eastAsia="Times New Roman" w:hAnsi="Times New Roman" w:cs="Times New Roman"/>
          <w:color w:val="000000"/>
          <w:spacing w:val="0"/>
          <w:w w:val="100"/>
          <w:position w:val="0"/>
        </w:rPr>
        <w:t>11.24%</w:t>
      </w:r>
      <w:r>
        <w:rPr>
          <w:color w:val="000000"/>
          <w:spacing w:val="0"/>
          <w:w w:val="100"/>
          <w:position w:val="0"/>
        </w:rPr>
        <w:t>，较去年同期增长约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w:t>
      </w:r>
      <w:r>
        <w:rPr>
          <w:color w:val="000000"/>
          <w:spacing w:val="0"/>
          <w:w w:val="100"/>
          <w:position w:val="0"/>
        </w:rPr>
        <w:t>倍。</w:t>
      </w:r>
    </w:p>
    <w:p>
      <w:pPr>
        <w:pStyle w:val="Style28"/>
        <w:keepNext w:val="0"/>
        <w:keepLines w:val="0"/>
        <w:widowControl w:val="0"/>
        <w:numPr>
          <w:ilvl w:val="0"/>
          <w:numId w:val="3"/>
        </w:numPr>
        <w:shd w:val="clear" w:color="auto" w:fill="auto"/>
        <w:tabs>
          <w:tab w:pos="841" w:val="left"/>
        </w:tabs>
        <w:bidi w:val="0"/>
        <w:spacing w:before="0" w:after="0" w:line="312" w:lineRule="exact"/>
        <w:ind w:left="0" w:right="0" w:firstLine="380"/>
        <w:jc w:val="left"/>
      </w:pPr>
      <w:bookmarkStart w:id="95" w:name="bookmark95"/>
      <w:bookmarkEnd w:id="95"/>
      <w:r>
        <w:rPr>
          <w:color w:val="000000"/>
          <w:spacing w:val="0"/>
          <w:w w:val="100"/>
          <w:position w:val="0"/>
        </w:rPr>
        <w:t>生产管理方面，采购制造管理中心以打造低成本，高质量，快速响应的供应体系为核心价值，通过生产效率提升、 生产直通率提升、工艺优化等活动与项目，进一步提升整体工效与品质。品质管控方面，针对生产问题点进行改善，产品直 通率有所提升。此外通过风控管理、业务优化等手段提升部门内部管理能力，显著提升人均效能。</w:t>
      </w:r>
    </w:p>
    <w:p>
      <w:pPr>
        <w:pStyle w:val="Style28"/>
        <w:keepNext w:val="0"/>
        <w:keepLines w:val="0"/>
        <w:widowControl w:val="0"/>
        <w:numPr>
          <w:ilvl w:val="0"/>
          <w:numId w:val="3"/>
        </w:numPr>
        <w:shd w:val="clear" w:color="auto" w:fill="auto"/>
        <w:tabs>
          <w:tab w:pos="410" w:val="left"/>
        </w:tabs>
        <w:bidi w:val="0"/>
        <w:spacing w:before="0" w:after="0" w:line="312" w:lineRule="exact"/>
        <w:ind w:left="0" w:right="0" w:firstLine="380"/>
        <w:jc w:val="left"/>
      </w:pPr>
      <w:bookmarkStart w:id="96" w:name="bookmark96"/>
      <w:bookmarkEnd w:id="96"/>
      <w:r>
        <w:rPr>
          <w:color w:val="000000"/>
          <w:spacing w:val="0"/>
          <w:w w:val="100"/>
          <w:position w:val="0"/>
        </w:rPr>
        <w:t xml:space="preserve">人力资源和企业综合软实力建设方面，为保证公司的良好运行和发展，全面布局集团人才体系建设工作，充分发 </w:t>
      </w:r>
      <w:r>
        <w:rPr>
          <w:color w:val="000000"/>
          <w:spacing w:val="0"/>
          <w:w w:val="100"/>
          <w:position w:val="0"/>
        </w:rPr>
        <w:t>挥平台化优势以及实现资源共享，为集团培养和输送人才；完成公司职能及营销体系薪酬套改项目，继续加大公司人员结构 的优化，提升人均效率；继续推进</w:t>
      </w:r>
      <w:r>
        <w:rPr>
          <w:rFonts w:ascii="Times New Roman" w:eastAsia="Times New Roman" w:hAnsi="Times New Roman" w:cs="Times New Roman"/>
          <w:color w:val="000000"/>
          <w:spacing w:val="0"/>
          <w:w w:val="100"/>
          <w:position w:val="0"/>
        </w:rPr>
        <w:t>“</w:t>
      </w:r>
      <w:r>
        <w:rPr>
          <w:color w:val="000000"/>
          <w:spacing w:val="0"/>
          <w:w w:val="100"/>
          <w:position w:val="0"/>
        </w:rPr>
        <w:t>精英培养</w:t>
      </w:r>
      <w:r>
        <w:rPr>
          <w:rFonts w:ascii="Times New Roman" w:eastAsia="Times New Roman" w:hAnsi="Times New Roman" w:cs="Times New Roman"/>
          <w:color w:val="000000"/>
          <w:spacing w:val="0"/>
          <w:w w:val="100"/>
          <w:position w:val="0"/>
        </w:rPr>
        <w:t>”</w:t>
      </w:r>
      <w:r>
        <w:rPr>
          <w:color w:val="000000"/>
          <w:spacing w:val="0"/>
          <w:w w:val="100"/>
          <w:position w:val="0"/>
        </w:rPr>
        <w:t>计划，针对性提升公司中层管理人员的综合素养，制定并执行了大学生培养机 制，继续推进落实</w:t>
      </w:r>
      <w:r>
        <w:rPr>
          <w:rFonts w:ascii="Times New Roman" w:eastAsia="Times New Roman" w:hAnsi="Times New Roman" w:cs="Times New Roman"/>
          <w:color w:val="000000"/>
          <w:spacing w:val="0"/>
          <w:w w:val="100"/>
          <w:position w:val="0"/>
        </w:rPr>
        <w:t xml:space="preserve">IDP </w:t>
      </w:r>
      <w:r>
        <w:rPr>
          <w:color w:val="000000"/>
          <w:spacing w:val="0"/>
          <w:w w:val="100"/>
          <w:position w:val="0"/>
        </w:rPr>
        <w:t>(实习发展计划)等培养人才计划，高效地进行人才培养，有效保证公司人才保有率；为营造集团学 习氛围，构建学习型组织，公司正式成立</w:t>
      </w:r>
      <w:r>
        <w:rPr>
          <w:rFonts w:ascii="Times New Roman" w:eastAsia="Times New Roman" w:hAnsi="Times New Roman" w:cs="Times New Roman"/>
          <w:color w:val="000000"/>
          <w:spacing w:val="0"/>
          <w:w w:val="100"/>
          <w:position w:val="0"/>
        </w:rPr>
        <w:t>“</w:t>
      </w:r>
      <w:r>
        <w:rPr>
          <w:color w:val="000000"/>
          <w:spacing w:val="0"/>
          <w:w w:val="100"/>
          <w:position w:val="0"/>
        </w:rPr>
        <w:t>新国都学院</w:t>
      </w:r>
      <w:r>
        <w:rPr>
          <w:rFonts w:ascii="Times New Roman" w:eastAsia="Times New Roman" w:hAnsi="Times New Roman" w:cs="Times New Roman"/>
          <w:color w:val="000000"/>
          <w:spacing w:val="0"/>
          <w:w w:val="100"/>
          <w:position w:val="0"/>
        </w:rPr>
        <w:t>”</w:t>
      </w:r>
      <w:r>
        <w:rPr>
          <w:color w:val="000000"/>
          <w:spacing w:val="0"/>
          <w:w w:val="100"/>
          <w:position w:val="0"/>
        </w:rPr>
        <w:t>，通过全面整合集团培训资源、搭建培训团队，以及规范培训规划并 形成专业化的培训制度，提升员工能力，积极推动企业文化落地实践。</w:t>
      </w:r>
    </w:p>
    <w:p>
      <w:pPr>
        <w:pStyle w:val="Style28"/>
        <w:keepNext w:val="0"/>
        <w:keepLines w:val="0"/>
        <w:widowControl w:val="0"/>
        <w:numPr>
          <w:ilvl w:val="0"/>
          <w:numId w:val="3"/>
        </w:numPr>
        <w:shd w:val="clear" w:color="auto" w:fill="auto"/>
        <w:tabs>
          <w:tab w:pos="786" w:val="left"/>
        </w:tabs>
        <w:bidi w:val="0"/>
        <w:spacing w:before="0" w:after="0" w:line="311" w:lineRule="exact"/>
        <w:ind w:left="0" w:right="0" w:firstLine="380"/>
        <w:jc w:val="left"/>
      </w:pPr>
      <w:bookmarkStart w:id="97" w:name="bookmark97"/>
      <w:bookmarkEnd w:id="97"/>
      <w:r>
        <w:rPr>
          <w:color w:val="000000"/>
          <w:spacing w:val="0"/>
          <w:w w:val="100"/>
          <w:position w:val="0"/>
        </w:rPr>
        <w:t>投资并购方面：</w:t>
      </w:r>
    </w:p>
    <w:p>
      <w:pPr>
        <w:pStyle w:val="Style28"/>
        <w:keepNext w:val="0"/>
        <w:keepLines w:val="0"/>
        <w:widowControl w:val="0"/>
        <w:numPr>
          <w:ilvl w:val="0"/>
          <w:numId w:val="5"/>
        </w:numPr>
        <w:shd w:val="clear" w:color="auto" w:fill="auto"/>
        <w:tabs>
          <w:tab w:pos="718" w:val="left"/>
        </w:tabs>
        <w:bidi w:val="0"/>
        <w:spacing w:before="0" w:after="0" w:line="311" w:lineRule="exact"/>
        <w:ind w:left="0" w:right="0" w:firstLine="380"/>
        <w:jc w:val="left"/>
      </w:pPr>
      <w:bookmarkStart w:id="98" w:name="bookmark98"/>
      <w:bookmarkEnd w:id="98"/>
      <w:r>
        <w:rPr>
          <w:color w:val="000000"/>
          <w:spacing w:val="0"/>
          <w:w w:val="100"/>
          <w:position w:val="0"/>
        </w:rPr>
        <w:t>投资大岩资本</w:t>
      </w:r>
    </w:p>
    <w:p>
      <w:pPr>
        <w:pStyle w:val="Style28"/>
        <w:keepNext w:val="0"/>
        <w:keepLines w:val="0"/>
        <w:widowControl w:val="0"/>
        <w:shd w:val="clear" w:color="auto" w:fill="auto"/>
        <w:bidi w:val="0"/>
        <w:spacing w:before="0" w:after="0" w:line="311"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月，公司出资人民币</w:t>
      </w:r>
      <w:r>
        <w:rPr>
          <w:rFonts w:ascii="Times New Roman" w:eastAsia="Times New Roman" w:hAnsi="Times New Roman" w:cs="Times New Roman"/>
          <w:color w:val="000000"/>
          <w:spacing w:val="0"/>
          <w:w w:val="100"/>
          <w:position w:val="0"/>
        </w:rPr>
        <w:t>50,000</w:t>
      </w:r>
      <w:r>
        <w:rPr>
          <w:color w:val="000000"/>
          <w:spacing w:val="0"/>
          <w:w w:val="100"/>
          <w:position w:val="0"/>
        </w:rPr>
        <w:t>万元增资深圳嘉石大岩资本管理有限公司，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月，大岩资本在中国证券投资基 金业协会登记为私募投资基金管理人，成为开展私募证券投资、股权投资、创业投资等私募基金业务的金融机构。在国内外 丰富的投资实践中，大岩资本形成了严密的科学投资体系，并连续取得了优秀的投资业绩，广受市场认可。截至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日，大岩资本管理资金规模增长至</w:t>
      </w:r>
      <w:r>
        <w:rPr>
          <w:rFonts w:ascii="Times New Roman" w:eastAsia="Times New Roman" w:hAnsi="Times New Roman" w:cs="Times New Roman"/>
          <w:color w:val="000000"/>
          <w:spacing w:val="0"/>
          <w:w w:val="100"/>
          <w:position w:val="0"/>
        </w:rPr>
        <w:t>13 0</w:t>
      </w:r>
      <w:r>
        <w:rPr>
          <w:color w:val="000000"/>
          <w:spacing w:val="0"/>
          <w:w w:val="100"/>
          <w:position w:val="0"/>
        </w:rPr>
        <w:t>亿元人民币，规模增长</w:t>
      </w:r>
      <w:r>
        <w:rPr>
          <w:rFonts w:ascii="Times New Roman" w:eastAsia="Times New Roman" w:hAnsi="Times New Roman" w:cs="Times New Roman"/>
          <w:color w:val="000000"/>
          <w:spacing w:val="0"/>
          <w:w w:val="100"/>
          <w:position w:val="0"/>
        </w:rPr>
        <w:t>167%</w:t>
      </w:r>
      <w:r>
        <w:rPr>
          <w:color w:val="000000"/>
          <w:spacing w:val="0"/>
          <w:w w:val="100"/>
          <w:position w:val="0"/>
        </w:rPr>
        <w:t>。</w:t>
      </w:r>
    </w:p>
    <w:p>
      <w:pPr>
        <w:pStyle w:val="Style28"/>
        <w:keepNext w:val="0"/>
        <w:keepLines w:val="0"/>
        <w:widowControl w:val="0"/>
        <w:shd w:val="clear" w:color="auto" w:fill="auto"/>
        <w:bidi w:val="0"/>
        <w:spacing w:before="0" w:after="80" w:line="346" w:lineRule="exact"/>
        <w:ind w:left="0" w:right="0" w:firstLine="380"/>
        <w:jc w:val="left"/>
      </w:pPr>
      <w:r>
        <w:rPr>
          <w:color w:val="000000"/>
          <w:spacing w:val="0"/>
          <w:w w:val="100"/>
          <w:position w:val="0"/>
        </w:rPr>
        <w:t>大岩资本作为一家国内优秀的资产管理公司，拥有优秀的金融产品设计与开发能力、卓越的风险管理能力、投资能力， 本次投资是新国都在其核心商业资源上叠加金融产品和服务的里程碑，符合公司战略发展方向。</w:t>
      </w:r>
    </w:p>
    <w:p>
      <w:pPr>
        <w:pStyle w:val="Style6"/>
        <w:keepNext w:val="0"/>
        <w:keepLines w:val="0"/>
        <w:widowControl w:val="0"/>
        <w:shd w:val="clear" w:color="auto" w:fill="auto"/>
        <w:bidi w:val="0"/>
        <w:spacing w:before="0" w:after="0" w:line="374" w:lineRule="auto"/>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年，大岩资本完成收入</w:t>
      </w:r>
      <w:r>
        <w:rPr>
          <w:rFonts w:ascii="Times New Roman" w:eastAsia="Times New Roman" w:hAnsi="Times New Roman" w:cs="Times New Roman"/>
          <w:color w:val="000000"/>
          <w:spacing w:val="0"/>
          <w:w w:val="100"/>
          <w:position w:val="0"/>
        </w:rPr>
        <w:t>20,163.77</w:t>
      </w:r>
      <w:r>
        <w:rPr>
          <w:color w:val="000000"/>
          <w:spacing w:val="0"/>
          <w:w w:val="100"/>
          <w:position w:val="0"/>
        </w:rPr>
        <w:t>万元，净利润</w:t>
      </w:r>
      <w:r>
        <w:rPr>
          <w:rFonts w:ascii="Times New Roman" w:eastAsia="Times New Roman" w:hAnsi="Times New Roman" w:cs="Times New Roman"/>
          <w:color w:val="000000"/>
          <w:spacing w:val="0"/>
          <w:w w:val="100"/>
          <w:position w:val="0"/>
        </w:rPr>
        <w:t>8,377.77</w:t>
      </w:r>
      <w:r>
        <w:rPr>
          <w:color w:val="000000"/>
          <w:spacing w:val="0"/>
          <w:w w:val="100"/>
          <w:position w:val="0"/>
        </w:rPr>
        <w:t>万元。</w:t>
      </w:r>
    </w:p>
    <w:p>
      <w:pPr>
        <w:pStyle w:val="Style2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年，大岩资本将不断完善产品布局，加强产品线优势，将现有产品整体规模不断提升；公司也将加大研发投入，在 投资技术创新、产品创新上继续领跑行业，努力为信任公司的投资者、员工和股东创造价值。</w:t>
      </w:r>
    </w:p>
    <w:p>
      <w:pPr>
        <w:pStyle w:val="Style28"/>
        <w:keepNext w:val="0"/>
        <w:keepLines w:val="0"/>
        <w:widowControl w:val="0"/>
        <w:numPr>
          <w:ilvl w:val="0"/>
          <w:numId w:val="5"/>
        </w:numPr>
        <w:shd w:val="clear" w:color="auto" w:fill="auto"/>
        <w:tabs>
          <w:tab w:pos="718" w:val="left"/>
        </w:tabs>
        <w:bidi w:val="0"/>
        <w:spacing w:before="0" w:after="0" w:line="322" w:lineRule="exact"/>
        <w:ind w:left="0" w:right="0" w:firstLine="380"/>
        <w:jc w:val="left"/>
      </w:pPr>
      <w:bookmarkStart w:id="99" w:name="bookmark99"/>
      <w:bookmarkEnd w:id="99"/>
      <w:r>
        <w:rPr>
          <w:color w:val="000000"/>
          <w:spacing w:val="0"/>
          <w:w w:val="100"/>
          <w:position w:val="0"/>
        </w:rPr>
        <w:t>收购公信诚丰</w:t>
      </w:r>
    </w:p>
    <w:p>
      <w:pPr>
        <w:pStyle w:val="Style2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月，公司以</w:t>
      </w:r>
      <w:r>
        <w:rPr>
          <w:rFonts w:ascii="Times New Roman" w:eastAsia="Times New Roman" w:hAnsi="Times New Roman" w:cs="Times New Roman"/>
          <w:color w:val="000000"/>
          <w:spacing w:val="0"/>
          <w:w w:val="100"/>
          <w:position w:val="0"/>
        </w:rPr>
        <w:t>50,000</w:t>
      </w:r>
      <w:r>
        <w:rPr>
          <w:color w:val="000000"/>
          <w:spacing w:val="0"/>
          <w:w w:val="100"/>
          <w:position w:val="0"/>
        </w:rPr>
        <w:t>万元收购长沙公信诚丰信息技术服务有限公司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股权。公信诚丰是国内领先的基于互联网 业务形态的身份认证、运营内容和业务审核服务的提供商，专注于提供基于大数据技术的社会信用数据服务。</w:t>
      </w:r>
    </w:p>
    <w:p>
      <w:pPr>
        <w:pStyle w:val="Style28"/>
        <w:keepNext w:val="0"/>
        <w:keepLines w:val="0"/>
        <w:widowControl w:val="0"/>
        <w:shd w:val="clear" w:color="auto" w:fill="auto"/>
        <w:bidi w:val="0"/>
        <w:spacing w:before="0" w:after="80" w:line="322" w:lineRule="exact"/>
        <w:ind w:left="0" w:right="0" w:firstLine="380"/>
        <w:jc w:val="left"/>
      </w:pPr>
      <w:r>
        <w:rPr>
          <w:color w:val="000000"/>
          <w:spacing w:val="0"/>
          <w:w w:val="100"/>
          <w:position w:val="0"/>
        </w:rPr>
        <w:t>本次收购有助于公司将其核心支付业务的数据资源、征信牌照资源与公信诚丰的数据处理能力相对接，从而实现其核心 业务资源有效变现，是完善电子支付、征信及大数据业务板块战略发展的关键环节。</w:t>
      </w:r>
    </w:p>
    <w:p>
      <w:pPr>
        <w:pStyle w:val="Style28"/>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月并购后至2016年底，公信诚丰完成收入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,643.83</w:t>
      </w:r>
      <w:r>
        <w:rPr>
          <w:color w:val="000000"/>
          <w:spacing w:val="0"/>
          <w:w w:val="100"/>
          <w:position w:val="0"/>
        </w:rPr>
        <w:t>万元，净利润</w:t>
      </w:r>
      <w:r>
        <w:rPr>
          <w:rFonts w:ascii="Times New Roman" w:eastAsia="Times New Roman" w:hAnsi="Times New Roman" w:cs="Times New Roman"/>
          <w:color w:val="000000"/>
          <w:spacing w:val="0"/>
          <w:w w:val="100"/>
          <w:position w:val="0"/>
        </w:rPr>
        <w:t>1,316.08</w:t>
      </w:r>
      <w:r>
        <w:rPr>
          <w:color w:val="000000"/>
          <w:spacing w:val="0"/>
          <w:w w:val="100"/>
          <w:position w:val="0"/>
        </w:rPr>
        <w:t>万元。</w:t>
      </w:r>
    </w:p>
    <w:p>
      <w:pPr>
        <w:pStyle w:val="Style28"/>
        <w:keepNext w:val="0"/>
        <w:keepLines w:val="0"/>
        <w:widowControl w:val="0"/>
        <w:numPr>
          <w:ilvl w:val="0"/>
          <w:numId w:val="5"/>
        </w:numPr>
        <w:shd w:val="clear" w:color="auto" w:fill="auto"/>
        <w:tabs>
          <w:tab w:pos="718" w:val="left"/>
        </w:tabs>
        <w:bidi w:val="0"/>
        <w:spacing w:before="0" w:after="0" w:line="316" w:lineRule="exact"/>
        <w:ind w:left="0" w:right="0" w:firstLine="380"/>
        <w:jc w:val="left"/>
      </w:pPr>
      <w:bookmarkStart w:id="100" w:name="bookmark100"/>
      <w:bookmarkEnd w:id="100"/>
      <w:r>
        <w:rPr>
          <w:color w:val="000000"/>
          <w:spacing w:val="0"/>
          <w:w w:val="100"/>
          <w:position w:val="0"/>
        </w:rPr>
        <w:t>信联征信</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年信联征信销售业绩实现突破，截止至</w:t>
      </w:r>
      <w:r>
        <w:rPr>
          <w:rFonts w:ascii="Times New Roman" w:eastAsia="Times New Roman" w:hAnsi="Times New Roman" w:cs="Times New Roman"/>
          <w:color w:val="000000"/>
          <w:spacing w:val="0"/>
          <w:w w:val="100"/>
          <w:position w:val="0"/>
        </w:rPr>
        <w:t>2016</w:t>
      </w:r>
      <w:r>
        <w:rPr>
          <w:color w:val="000000"/>
          <w:spacing w:val="0"/>
          <w:w w:val="100"/>
          <w:position w:val="0"/>
        </w:rPr>
        <w:t>年末，信联征信已签约客户</w:t>
      </w:r>
      <w:r>
        <w:rPr>
          <w:rFonts w:ascii="Times New Roman" w:eastAsia="Times New Roman" w:hAnsi="Times New Roman" w:cs="Times New Roman"/>
          <w:color w:val="000000"/>
          <w:spacing w:val="0"/>
          <w:w w:val="100"/>
          <w:position w:val="0"/>
        </w:rPr>
        <w:t>16</w:t>
      </w:r>
      <w:r>
        <w:rPr>
          <w:color w:val="000000"/>
          <w:spacing w:val="0"/>
          <w:w w:val="100"/>
          <w:position w:val="0"/>
        </w:rPr>
        <w:t>家，已签约数据源达</w:t>
      </w:r>
      <w:r>
        <w:rPr>
          <w:rFonts w:ascii="Times New Roman" w:eastAsia="Times New Roman" w:hAnsi="Times New Roman" w:cs="Times New Roman"/>
          <w:color w:val="000000"/>
          <w:spacing w:val="0"/>
          <w:w w:val="100"/>
          <w:position w:val="0"/>
        </w:rPr>
        <w:t>9</w:t>
      </w:r>
      <w:r>
        <w:rPr>
          <w:color w:val="000000"/>
          <w:spacing w:val="0"/>
          <w:w w:val="100"/>
          <w:position w:val="0"/>
        </w:rPr>
        <w:t>家；大量客户访谈 等基础工作为未来方向、市场需求的判断，为应用项目落地打下基础。</w:t>
      </w:r>
    </w:p>
    <w:p>
      <w:pPr>
        <w:pStyle w:val="Style28"/>
        <w:keepNext w:val="0"/>
        <w:keepLines w:val="0"/>
        <w:widowControl w:val="0"/>
        <w:numPr>
          <w:ilvl w:val="0"/>
          <w:numId w:val="5"/>
        </w:numPr>
        <w:shd w:val="clear" w:color="auto" w:fill="auto"/>
        <w:tabs>
          <w:tab w:pos="718" w:val="left"/>
        </w:tabs>
        <w:bidi w:val="0"/>
        <w:spacing w:before="0" w:after="0" w:line="316" w:lineRule="exact"/>
        <w:ind w:left="0" w:right="0" w:firstLine="380"/>
        <w:jc w:val="left"/>
      </w:pPr>
      <w:bookmarkStart w:id="101" w:name="bookmark101"/>
      <w:bookmarkEnd w:id="101"/>
      <w:r>
        <w:rPr>
          <w:color w:val="000000"/>
          <w:spacing w:val="0"/>
          <w:w w:val="100"/>
          <w:position w:val="0"/>
        </w:rPr>
        <w:t>浙江中正</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年浙江中正重点拓展高毛利产品市场，市场销售量增长较高，产品毛利率相比</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3%</w:t>
      </w:r>
      <w:r>
        <w:rPr>
          <w:color w:val="000000"/>
          <w:spacing w:val="0"/>
          <w:w w:val="100"/>
          <w:position w:val="0"/>
        </w:rPr>
        <w:t>。同时，公司加强费 用的严格管控，截止至</w:t>
      </w:r>
      <w:r>
        <w:rPr>
          <w:rFonts w:ascii="Times New Roman" w:eastAsia="Times New Roman" w:hAnsi="Times New Roman" w:cs="Times New Roman"/>
          <w:color w:val="000000"/>
          <w:spacing w:val="0"/>
          <w:w w:val="100"/>
          <w:position w:val="0"/>
        </w:rPr>
        <w:t>2016</w:t>
      </w:r>
      <w:r>
        <w:rPr>
          <w:color w:val="000000"/>
          <w:spacing w:val="0"/>
          <w:w w:val="100"/>
          <w:position w:val="0"/>
        </w:rPr>
        <w:t>年底公司费用支出为年初费用预算的</w:t>
      </w:r>
      <w:r>
        <w:rPr>
          <w:rFonts w:ascii="Times New Roman" w:eastAsia="Times New Roman" w:hAnsi="Times New Roman" w:cs="Times New Roman"/>
          <w:color w:val="000000"/>
          <w:spacing w:val="0"/>
          <w:w w:val="100"/>
          <w:position w:val="0"/>
        </w:rPr>
        <w:t>76%</w:t>
      </w:r>
      <w:r>
        <w:rPr>
          <w:color w:val="000000"/>
          <w:spacing w:val="0"/>
          <w:w w:val="100"/>
          <w:position w:val="0"/>
        </w:rPr>
        <w:t>，同比下降</w:t>
      </w:r>
      <w:r>
        <w:rPr>
          <w:rFonts w:ascii="Times New Roman" w:eastAsia="Times New Roman" w:hAnsi="Times New Roman" w:cs="Times New Roman"/>
          <w:color w:val="000000"/>
          <w:spacing w:val="0"/>
          <w:w w:val="100"/>
          <w:position w:val="0"/>
        </w:rPr>
        <w:t>11%</w:t>
      </w:r>
      <w:r>
        <w:rPr>
          <w:color w:val="000000"/>
          <w:spacing w:val="0"/>
          <w:w w:val="100"/>
          <w:position w:val="0"/>
        </w:rPr>
        <w:t>。公安部二代证项目厂审资质顺利通过, 中正智能成为指纹采集仪、指纹比对算法、二代证模块三合一厂商，未来几年二代证市场是战略重点，为公司快速壮大提供 了有力支撑。此外，人证核验、人脸比对等项目进展顺利，</w:t>
      </w:r>
      <w:r>
        <w:rPr>
          <w:rFonts w:ascii="Times New Roman" w:eastAsia="Times New Roman" w:hAnsi="Times New Roman" w:cs="Times New Roman"/>
          <w:color w:val="000000"/>
          <w:spacing w:val="0"/>
          <w:w w:val="100"/>
          <w:position w:val="0"/>
        </w:rPr>
        <w:t>G20</w:t>
      </w:r>
      <w:r>
        <w:rPr>
          <w:color w:val="000000"/>
          <w:spacing w:val="0"/>
          <w:w w:val="100"/>
          <w:position w:val="0"/>
        </w:rPr>
        <w:t>人证核验系统正式推广，为浙江中正人脸识别产品进入市场 奠定基础。</w:t>
      </w:r>
    </w:p>
    <w:p>
      <w:pPr>
        <w:pStyle w:val="Style6"/>
        <w:keepNext w:val="0"/>
        <w:keepLines w:val="0"/>
        <w:widowControl w:val="0"/>
        <w:numPr>
          <w:ilvl w:val="0"/>
          <w:numId w:val="5"/>
        </w:numPr>
        <w:shd w:val="clear" w:color="auto" w:fill="auto"/>
        <w:tabs>
          <w:tab w:pos="718" w:val="left"/>
        </w:tabs>
        <w:bidi w:val="0"/>
        <w:spacing w:before="0" w:after="0" w:line="316" w:lineRule="exact"/>
        <w:ind w:left="0" w:right="0" w:firstLine="380"/>
        <w:jc w:val="both"/>
      </w:pPr>
      <w:bookmarkStart w:id="102" w:name="bookmark102"/>
      <w:bookmarkEnd w:id="102"/>
      <w:r>
        <w:rPr>
          <w:color w:val="000000"/>
          <w:spacing w:val="0"/>
          <w:w w:val="100"/>
          <w:position w:val="0"/>
        </w:rPr>
        <w:t xml:space="preserve">美国 </w:t>
      </w:r>
      <w:r>
        <w:rPr>
          <w:rFonts w:ascii="Times New Roman" w:eastAsia="Times New Roman" w:hAnsi="Times New Roman" w:cs="Times New Roman"/>
          <w:color w:val="000000"/>
          <w:spacing w:val="0"/>
          <w:w w:val="100"/>
          <w:position w:val="0"/>
        </w:rPr>
        <w:t>ExaDigm,Inc</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ExaDigm</w:t>
      </w:r>
      <w:r>
        <w:rPr>
          <w:color w:val="000000"/>
          <w:spacing w:val="0"/>
          <w:w w:val="100"/>
          <w:position w:val="0"/>
        </w:rPr>
        <w:t>成功搭建了覆盖全美范围、不同行业维度的销售团队。管理层做出独立经营无线业务的决定，筹备事 项已经启动。启动经销商计划，逐步与四家主要经销商建立合作关系。与合作伙伴合作创建半集成市场解决方案，并开始与 超级</w:t>
      </w:r>
      <w:r>
        <w:rPr>
          <w:rFonts w:ascii="Times New Roman" w:eastAsia="Times New Roman" w:hAnsi="Times New Roman" w:cs="Times New Roman"/>
          <w:color w:val="000000"/>
          <w:spacing w:val="0"/>
          <w:w w:val="100"/>
          <w:position w:val="0"/>
        </w:rPr>
        <w:t>ISO</w:t>
      </w:r>
      <w:r>
        <w:rPr>
          <w:color w:val="000000"/>
          <w:spacing w:val="0"/>
          <w:w w:val="100"/>
          <w:position w:val="0"/>
        </w:rPr>
        <w:t>客户建立良好合作关系。</w:t>
      </w:r>
    </w:p>
    <w:p>
      <w:pPr>
        <w:pStyle w:val="Style28"/>
        <w:keepNext w:val="0"/>
        <w:keepLines w:val="0"/>
        <w:widowControl w:val="0"/>
        <w:numPr>
          <w:ilvl w:val="0"/>
          <w:numId w:val="3"/>
        </w:numPr>
        <w:shd w:val="clear" w:color="auto" w:fill="auto"/>
        <w:tabs>
          <w:tab w:pos="862" w:val="left"/>
        </w:tabs>
        <w:bidi w:val="0"/>
        <w:spacing w:before="0" w:after="0" w:line="316" w:lineRule="exact"/>
        <w:ind w:left="0" w:right="0" w:firstLine="380"/>
        <w:jc w:val="both"/>
      </w:pPr>
      <w:bookmarkStart w:id="103" w:name="bookmark103"/>
      <w:bookmarkEnd w:id="103"/>
      <w:r>
        <w:rPr>
          <w:color w:val="000000"/>
          <w:spacing w:val="0"/>
          <w:w w:val="100"/>
          <w:position w:val="0"/>
        </w:rPr>
        <w:t>风险控制管理方面，公司认真落实监管机构对公司的检查意见，加强对内风险控制体系的建设与完善，进一步规 范财务管理工作，提升和落实审计部门的工作效力，规范</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工作运行，提升公司治理能力，加强业务管控水平，优化内 控制度体系，使得公司整体风险管控水平上了一个新台阶。</w:t>
      </w:r>
    </w:p>
    <w:p>
      <w:pPr>
        <w:pStyle w:val="Style28"/>
        <w:keepNext w:val="0"/>
        <w:keepLines w:val="0"/>
        <w:widowControl w:val="0"/>
        <w:numPr>
          <w:ilvl w:val="0"/>
          <w:numId w:val="3"/>
        </w:numPr>
        <w:shd w:val="clear" w:color="auto" w:fill="auto"/>
        <w:tabs>
          <w:tab w:pos="862" w:val="left"/>
        </w:tabs>
        <w:bidi w:val="0"/>
        <w:spacing w:before="0" w:after="80" w:line="316" w:lineRule="exact"/>
        <w:ind w:left="0" w:right="0" w:firstLine="380"/>
        <w:jc w:val="both"/>
      </w:pPr>
      <w:bookmarkStart w:id="104" w:name="bookmark104"/>
      <w:bookmarkEnd w:id="104"/>
      <w:r>
        <w:rPr>
          <w:color w:val="000000"/>
          <w:spacing w:val="0"/>
          <w:w w:val="100"/>
          <w:position w:val="0"/>
        </w:rPr>
        <w:t>投资者关系工作方面，切实加强投资者关系建设与维护，及时回复投资者关系互动平台上的提问，认真解决投资 者问题，根据投资者需求，及时组织投资机构交流活动。</w:t>
      </w:r>
    </w:p>
    <w:p>
      <w:pPr>
        <w:pStyle w:val="Style25"/>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3"/>
        <w:keepNext/>
        <w:keepLines/>
        <w:widowControl w:val="0"/>
        <w:shd w:val="clear" w:color="auto" w:fill="auto"/>
        <w:tabs>
          <w:tab w:pos="368" w:val="left"/>
        </w:tabs>
        <w:bidi w:val="0"/>
        <w:spacing w:before="0" w:after="24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37"/>
        <w:keepNext/>
        <w:keepLines/>
        <w:widowControl w:val="0"/>
        <w:shd w:val="clear" w:color="auto" w:fill="auto"/>
        <w:bidi w:val="0"/>
        <w:spacing w:before="0" w:after="24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 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977,566,389.51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w:t>
            </w:r>
          </w:p>
        </w:tc>
      </w:tr>
      <w:tr>
        <w:trPr>
          <w:trHeight w:val="403" w:hRule="exact"/>
        </w:trPr>
        <w:tc>
          <w:tcPr>
            <w:gridSpan w:val="6"/>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979,163,843.21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905,132,855.08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100,324,342.54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72,433,534.43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信用审核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30,729,837.68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16,327,883.94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gridSpan w:val="6"/>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941,266,455.50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891,797,860.33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100,324,342.54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72,176,626.92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信用审核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30,729,837.68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9,593,145.05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6,264,773.82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983,447.53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2,203,217.81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28,304,242.66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1,575,096.95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1,696.98%</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15,344,436.41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3,548,813.68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w:t>
            </w:r>
          </w:p>
        </w:tc>
      </w:tr>
      <w:tr>
        <w:trPr>
          <w:trHeight w:val="413" w:hRule="exact"/>
        </w:trPr>
        <w:tc>
          <w:tcPr>
            <w:gridSpan w:val="6"/>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999,886,549.78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921,864,278.18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126,659,357.59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55,702,111.33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w:t>
            </w:r>
          </w:p>
        </w:tc>
      </w:tr>
    </w:tbl>
    <w:p>
      <w:pPr>
        <w:widowControl w:val="0"/>
        <w:spacing w:after="299" w:line="1" w:lineRule="exact"/>
      </w:pPr>
    </w:p>
    <w:p>
      <w:pPr>
        <w:pStyle w:val="Style37"/>
        <w:keepNext/>
        <w:keepLines/>
        <w:widowControl w:val="0"/>
        <w:numPr>
          <w:ilvl w:val="0"/>
          <w:numId w:val="7"/>
        </w:numPr>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979,163,843.21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570,672,347.43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100,324,342.54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50,005,239.19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信用审核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30,729,837.68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11,112,856.74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16,327,883.94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4,881,409.17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636,671,852.53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398"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电子支付产品销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941,266,455.50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568,167,858.90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生物识别产品销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100,324,342.54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50,005,239.19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信用审核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30,729,837.68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11,112,856.74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9,593,145.05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2,504,488.53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983,447.53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28,304,242.66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15,344,436.41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4,817,577.80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636,671,852.53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999,886,549.78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581,050,850.04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126,659,357.59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55,621,002.49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636,671,852.53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bl>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5"/>
      <w:bookmarkEnd w:id="126"/>
      <w:bookmarkEnd w:id="12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106.91%</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236,477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r>
        <w:trPr>
          <w:trHeight w:val="403" w:hRule="exact"/>
        </w:trPr>
        <w:tc>
          <w:tcPr>
            <w:vMerge w:val="restart"/>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108.75%</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177,669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103.12%</w:t>
            </w:r>
          </w:p>
        </w:tc>
      </w:tr>
      <w:tr>
        <w:trPr>
          <w:trHeight w:val="413"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numPr>
          <w:ilvl w:val="0"/>
          <w:numId w:val="9"/>
        </w:numPr>
        <w:shd w:val="clear" w:color="auto" w:fill="auto"/>
        <w:tabs>
          <w:tab w:pos="306" w:val="left"/>
        </w:tabs>
        <w:bidi w:val="0"/>
        <w:spacing w:before="0" w:after="80" w:line="240" w:lineRule="auto"/>
        <w:ind w:left="0" w:right="0" w:firstLine="0"/>
        <w:jc w:val="left"/>
      </w:pPr>
      <w:bookmarkStart w:id="129" w:name="bookmark129"/>
      <w:bookmarkEnd w:id="129"/>
      <w:r>
        <w:rPr>
          <w:color w:val="000000"/>
          <w:spacing w:val="0"/>
          <w:w w:val="100"/>
          <w:position w:val="0"/>
        </w:rPr>
        <w:t>电子支付生产和销售量变动超过</w:t>
      </w:r>
      <w:r>
        <w:rPr>
          <w:rFonts w:ascii="Times New Roman" w:eastAsia="Times New Roman" w:hAnsi="Times New Roman" w:cs="Times New Roman"/>
          <w:color w:val="000000"/>
          <w:spacing w:val="0"/>
          <w:w w:val="100"/>
          <w:position w:val="0"/>
        </w:rPr>
        <w:t>30%</w:t>
      </w:r>
      <w:r>
        <w:rPr>
          <w:color w:val="000000"/>
          <w:spacing w:val="0"/>
          <w:w w:val="100"/>
          <w:position w:val="0"/>
        </w:rPr>
        <w:t>主要系新增</w:t>
      </w:r>
      <w:r>
        <w:rPr>
          <w:rFonts w:ascii="Times New Roman" w:eastAsia="Times New Roman" w:hAnsi="Times New Roman" w:cs="Times New Roman"/>
          <w:color w:val="000000"/>
          <w:spacing w:val="0"/>
          <w:w w:val="100"/>
          <w:position w:val="0"/>
        </w:rPr>
        <w:t>POS</w:t>
      </w:r>
      <w:r>
        <w:rPr>
          <w:color w:val="000000"/>
          <w:spacing w:val="0"/>
          <w:w w:val="100"/>
          <w:position w:val="0"/>
        </w:rPr>
        <w:t>机</w:t>
      </w:r>
      <w:r>
        <w:rPr>
          <w:rFonts w:ascii="Times New Roman" w:eastAsia="Times New Roman" w:hAnsi="Times New Roman" w:cs="Times New Roman"/>
          <w:color w:val="000000"/>
          <w:spacing w:val="0"/>
          <w:w w:val="100"/>
          <w:position w:val="0"/>
        </w:rPr>
        <w:t>K100</w:t>
      </w:r>
      <w:r>
        <w:rPr>
          <w:color w:val="000000"/>
          <w:spacing w:val="0"/>
          <w:w w:val="100"/>
          <w:position w:val="0"/>
        </w:rPr>
        <w:t>的生产销售所致。</w:t>
      </w:r>
    </w:p>
    <w:p>
      <w:pPr>
        <w:pStyle w:val="Style28"/>
        <w:keepNext w:val="0"/>
        <w:keepLines w:val="0"/>
        <w:widowControl w:val="0"/>
        <w:numPr>
          <w:ilvl w:val="0"/>
          <w:numId w:val="9"/>
        </w:numPr>
        <w:shd w:val="clear" w:color="auto" w:fill="auto"/>
        <w:tabs>
          <w:tab w:pos="325" w:val="left"/>
        </w:tabs>
        <w:bidi w:val="0"/>
        <w:spacing w:before="0" w:after="80" w:line="240" w:lineRule="auto"/>
        <w:ind w:left="0" w:right="0" w:firstLine="0"/>
        <w:jc w:val="left"/>
      </w:pPr>
      <w:bookmarkStart w:id="130" w:name="bookmark130"/>
      <w:bookmarkEnd w:id="130"/>
      <w:r>
        <w:rPr>
          <w:color w:val="000000"/>
          <w:spacing w:val="0"/>
          <w:w w:val="100"/>
          <w:position w:val="0"/>
        </w:rPr>
        <w:t>生物识别生产和销售量变动超过</w:t>
      </w:r>
      <w:r>
        <w:rPr>
          <w:rFonts w:ascii="Times New Roman" w:eastAsia="Times New Roman" w:hAnsi="Times New Roman" w:cs="Times New Roman"/>
          <w:color w:val="000000"/>
          <w:spacing w:val="0"/>
          <w:w w:val="100"/>
          <w:position w:val="0"/>
        </w:rPr>
        <w:t>30%</w:t>
      </w:r>
      <w:r>
        <w:rPr>
          <w:color w:val="000000"/>
          <w:spacing w:val="0"/>
          <w:w w:val="100"/>
          <w:position w:val="0"/>
        </w:rPr>
        <w:t>主要系生物识别产品是</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月才纳入公司合并范围。</w:t>
      </w:r>
    </w:p>
    <w:p>
      <w:pPr>
        <w:pStyle w:val="Style28"/>
        <w:keepNext w:val="0"/>
        <w:keepLines w:val="0"/>
        <w:widowControl w:val="0"/>
        <w:numPr>
          <w:ilvl w:val="0"/>
          <w:numId w:val="9"/>
        </w:numPr>
        <w:shd w:val="clear" w:color="auto" w:fill="auto"/>
        <w:tabs>
          <w:tab w:pos="325" w:val="left"/>
        </w:tabs>
        <w:bidi w:val="0"/>
        <w:spacing w:before="0" w:after="380" w:line="240" w:lineRule="auto"/>
        <w:ind w:left="0" w:right="0" w:firstLine="0"/>
        <w:jc w:val="left"/>
      </w:pPr>
      <w:bookmarkStart w:id="131" w:name="bookmark131"/>
      <w:bookmarkEnd w:id="131"/>
      <w:r>
        <w:rPr>
          <w:color w:val="000000"/>
          <w:spacing w:val="0"/>
          <w:w w:val="100"/>
          <w:position w:val="0"/>
        </w:rPr>
        <w:t>生物识别库存量变动超过</w:t>
      </w:r>
      <w:r>
        <w:rPr>
          <w:rFonts w:ascii="Times New Roman" w:eastAsia="Times New Roman" w:hAnsi="Times New Roman" w:cs="Times New Roman"/>
          <w:color w:val="000000"/>
          <w:spacing w:val="0"/>
          <w:w w:val="100"/>
          <w:position w:val="0"/>
        </w:rPr>
        <w:t>30%</w:t>
      </w:r>
      <w:r>
        <w:rPr>
          <w:color w:val="000000"/>
          <w:spacing w:val="0"/>
          <w:w w:val="100"/>
          <w:position w:val="0"/>
        </w:rPr>
        <w:t>主要系模块类产品根据市场情况增加备货所致。</w:t>
      </w:r>
    </w:p>
    <w:p>
      <w:pPr>
        <w:pStyle w:val="Style37"/>
        <w:keepNext/>
        <w:keepLines/>
        <w:widowControl w:val="0"/>
        <w:shd w:val="clear" w:color="auto" w:fill="auto"/>
        <w:tabs>
          <w:tab w:pos="488" w:val="left"/>
        </w:tabs>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2"/>
      <w:bookmarkEnd w:id="133"/>
      <w:bookmarkEnd w:id="13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8"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523,306,542.59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521,952,440.00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31,215,777.40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27,652,361.94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16,150,027.43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14,729,115.24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570,672,347.43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564,333,917.18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45,570,681.43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40,602,371.64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1,734,279.23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2,903,652.52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2,700,278.52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824,548.65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50,005,239.19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44,330,572.81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7"/>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0"/>
      <w:bookmarkEnd w:id="141"/>
      <w:bookmarkEnd w:id="14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本期纳入合并财务报表范围的主体较上期相比，增加2户，减少1户，其中：</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1.本期新纳入合并范围的子公司、特殊目的主体、通过受托经营或承租等方式形成控制权的经营实体</w:t>
      </w:r>
    </w:p>
    <w:tbl>
      <w:tblPr>
        <w:tblOverlap w:val="never"/>
        <w:jc w:val="center"/>
        <w:tblLayout w:type="fixed"/>
      </w:tblPr>
      <w:tblGrid>
        <w:gridCol w:w="4531"/>
        <w:gridCol w:w="4018"/>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深圳市新国都金服软件有限公司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after="2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2.本期不再纳入合并范围的子公司、特殊目的主体、通过委托经营或出租等方式丧失控制权的经营实体</w:t>
      </w:r>
    </w:p>
    <w:tbl>
      <w:tblPr>
        <w:tblOverlap w:val="never"/>
        <w:jc w:val="center"/>
        <w:tblLayout w:type="fixed"/>
      </w:tblPr>
      <w:tblGrid>
        <w:gridCol w:w="4531"/>
        <w:gridCol w:w="4018"/>
      </w:tblGrid>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279" w:line="1" w:lineRule="exact"/>
      </w:pPr>
    </w:p>
    <w:p>
      <w:pPr>
        <w:pStyle w:val="Style37"/>
        <w:keepNext/>
        <w:keepLines/>
        <w:widowControl w:val="0"/>
        <w:shd w:val="clear" w:color="auto" w:fill="auto"/>
        <w:tabs>
          <w:tab w:pos="488" w:val="left"/>
        </w:tabs>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4"/>
      <w:bookmarkEnd w:id="145"/>
      <w:bookmarkEnd w:id="147"/>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报告期，公司新增信用审核服务并实现营业收入</w:t>
      </w:r>
      <w:r>
        <w:rPr>
          <w:rFonts w:ascii="Times New Roman" w:eastAsia="Times New Roman" w:hAnsi="Times New Roman" w:cs="Times New Roman"/>
          <w:color w:val="000000"/>
          <w:spacing w:val="0"/>
          <w:w w:val="100"/>
          <w:position w:val="0"/>
        </w:rPr>
        <w:t>3,072.98</w:t>
      </w:r>
      <w:r>
        <w:rPr>
          <w:color w:val="000000"/>
          <w:spacing w:val="0"/>
          <w:w w:val="100"/>
          <w:position w:val="0"/>
        </w:rPr>
        <w:t>万元。其中，报告期内，公司通过收购公信诚丰新增信用审核 服务，公信诚丰是国内领先的基于互联网业务形态的身份认证、运营内容和业务审核服务的提供商，专注于提供基于大数据 技术的社会信用数据服务。另外，公司于</w:t>
      </w:r>
      <w:r>
        <w:rPr>
          <w:rFonts w:ascii="Times New Roman" w:eastAsia="Times New Roman" w:hAnsi="Times New Roman" w:cs="Times New Roman"/>
          <w:color w:val="000000"/>
          <w:spacing w:val="0"/>
          <w:w w:val="100"/>
          <w:position w:val="0"/>
        </w:rPr>
        <w:t>2015</w:t>
      </w:r>
      <w:r>
        <w:rPr>
          <w:color w:val="000000"/>
          <w:spacing w:val="0"/>
          <w:w w:val="100"/>
          <w:position w:val="0"/>
        </w:rPr>
        <w:t>年设立全资子公司信联征信，从事征信及信用审核业务。</w:t>
      </w:r>
    </w:p>
    <w:p>
      <w:pPr>
        <w:pStyle w:val="Style28"/>
        <w:keepNext w:val="0"/>
        <w:keepLines w:val="0"/>
        <w:widowControl w:val="0"/>
        <w:shd w:val="clear" w:color="auto" w:fill="auto"/>
        <w:bidi w:val="0"/>
        <w:spacing w:before="0" w:after="360" w:line="312"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年公司通过收购浙江中正新增生物识别产品销售收入，报告期公司生物识别产品实现营业收入</w:t>
      </w:r>
      <w:r>
        <w:rPr>
          <w:rFonts w:ascii="Times New Roman" w:eastAsia="Times New Roman" w:hAnsi="Times New Roman" w:cs="Times New Roman"/>
          <w:color w:val="000000"/>
          <w:spacing w:val="0"/>
          <w:w w:val="100"/>
          <w:position w:val="0"/>
        </w:rPr>
        <w:t>10,032.43</w:t>
      </w:r>
      <w:r>
        <w:rPr>
          <w:color w:val="000000"/>
          <w:spacing w:val="0"/>
          <w:w w:val="100"/>
          <w:position w:val="0"/>
        </w:rPr>
        <w:t>万元，较去 年同期增长约</w:t>
      </w:r>
      <w:r>
        <w:rPr>
          <w:rFonts w:ascii="Times New Roman" w:eastAsia="Times New Roman" w:hAnsi="Times New Roman" w:cs="Times New Roman"/>
          <w:color w:val="000000"/>
          <w:spacing w:val="0"/>
          <w:w w:val="100"/>
          <w:position w:val="0"/>
        </w:rPr>
        <w:t>39.00%</w:t>
      </w:r>
      <w:r>
        <w:rPr>
          <w:color w:val="000000"/>
          <w:spacing w:val="0"/>
          <w:w w:val="100"/>
          <w:position w:val="0"/>
        </w:rPr>
        <w:t>。</w:t>
      </w:r>
    </w:p>
    <w:p>
      <w:pPr>
        <w:pStyle w:val="Style37"/>
        <w:keepNext/>
        <w:keepLines/>
        <w:widowControl w:val="0"/>
        <w:shd w:val="clear" w:color="auto" w:fill="auto"/>
        <w:tabs>
          <w:tab w:pos="488"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53"/>
        <w:gridCol w:w="533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590,367,361.32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195,836,585.13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17.38%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157,211,163.04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13.96%</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89,447,649.57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7.94%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76,108,181.52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6.76%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71,763,782.06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6.37%</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590,367,361.32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52.41%</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157,690,549.97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r>
    </w:tbl>
    <w:p>
      <w:pPr>
        <w:spacing w:lineRule="exact" w:line="1"/>
        <w:rPr>
          <w:sz w:val="2"/>
          <w:szCs w:val="2"/>
        </w:rPr>
      </w:pPr>
      <w:r>
        <w:br w:type="page"/>
      </w:r>
    </w:p>
    <w:tbl>
      <w:tblPr>
        <w:tblOverlap w:val="never"/>
        <w:jc w:val="center"/>
        <w:tblLayout w:type="fixed"/>
      </w:tblPr>
      <w:tblGrid>
        <w:gridCol w:w="4262"/>
        <w:gridCol w:w="5323"/>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46,624,894.31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39,404,449.49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8.51%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26,405,263.13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5.70%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24,026,154.48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21,229,788.56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4.58%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157,690,549.97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9"/>
        <w:gridCol w:w="291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125,210,095.85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108,175,920.53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266,694,943.29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211,711,652.53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w:t>
            </w:r>
          </w:p>
        </w:tc>
        <w:tc>
          <w:tcPr>
            <w:tcBorders>
              <w:top w:val="single" w:sz="4"/>
              <w:left w:val="single" w:sz="4"/>
              <w:right w:val="single" w:sz="4"/>
            </w:tcBorders>
            <w:shd w:val="clear" w:color="auto" w:fill="CCE8C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35,396,458.11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4,917,917.28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619.74%</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主要系发行公司债券利息及应收账 款保理利息增加所致</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报告期内，公司主要研发投入方向包括智能</w:t>
      </w:r>
      <w:r>
        <w:rPr>
          <w:rFonts w:ascii="Times New Roman" w:eastAsia="Times New Roman" w:hAnsi="Times New Roman" w:cs="Times New Roman"/>
          <w:color w:val="000000"/>
          <w:spacing w:val="0"/>
          <w:w w:val="100"/>
          <w:position w:val="0"/>
        </w:rPr>
        <w:t>POS</w:t>
      </w:r>
      <w:r>
        <w:rPr>
          <w:color w:val="000000"/>
          <w:spacing w:val="0"/>
          <w:w w:val="100"/>
          <w:position w:val="0"/>
        </w:rPr>
        <w:t>等支付新工具，生物识别技术在支付领域的应用方案，区块链技术应用 方案等方面，同时继续投入基于新一代云平台技术架构的大型交易结算支撑系统平台的研发。报告期内公司研发投入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w:t>
      </w:r>
      <w:r>
        <w:rPr>
          <w:color w:val="000000"/>
          <w:spacing w:val="0"/>
          <w:w w:val="100"/>
          <w:position w:val="0"/>
        </w:rPr>
        <w:t>亿 元，占营业收入的</w:t>
      </w:r>
      <w:r>
        <w:rPr>
          <w:rFonts w:ascii="Times New Roman" w:eastAsia="Times New Roman" w:hAnsi="Times New Roman" w:cs="Times New Roman"/>
          <w:color w:val="000000"/>
          <w:spacing w:val="0"/>
          <w:w w:val="100"/>
          <w:position w:val="0"/>
        </w:rPr>
        <w:t>13.22%</w:t>
      </w:r>
      <w:r>
        <w:rPr>
          <w:color w:val="000000"/>
          <w:spacing w:val="0"/>
          <w:w w:val="100"/>
          <w:position w:val="0"/>
        </w:rPr>
        <w:t>，所有研发支出均作为当期费用核算，未进行资本化。</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148,932,441.36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131,493,087.64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104,188,634.52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1,497,032,043.43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1,202,809,228.15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1,240,720,125.44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938,408,380.78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256,311,917.99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264,400,847.37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155,874,954.47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394,662,824.66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733,562,796.55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799,381,250.40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-577,687,842.08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-404,718,425.74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879,129,065.23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73,332,545.33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407,913,966.85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40,981,111.05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471,215,098.38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32,351,434.28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149,810,736.05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-107,920,145.58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238.81%</w:t>
            </w:r>
          </w:p>
        </w:tc>
      </w:tr>
    </w:tbl>
    <w:p>
      <w:pPr>
        <w:pStyle w:val="Style28"/>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numPr>
          <w:ilvl w:val="0"/>
          <w:numId w:val="11"/>
        </w:numPr>
        <w:shd w:val="clear" w:color="auto" w:fill="auto"/>
        <w:tabs>
          <w:tab w:pos="301" w:val="left"/>
        </w:tabs>
        <w:bidi w:val="0"/>
        <w:spacing w:before="0" w:after="0" w:line="322" w:lineRule="exact"/>
        <w:ind w:left="0" w:right="0" w:firstLine="0"/>
        <w:jc w:val="left"/>
      </w:pPr>
      <w:bookmarkStart w:id="164" w:name="bookmark164"/>
      <w:bookmarkEnd w:id="164"/>
      <w:r>
        <w:rPr>
          <w:color w:val="000000"/>
          <w:spacing w:val="0"/>
          <w:w w:val="100"/>
          <w:position w:val="0"/>
        </w:rPr>
        <w:t>报告期，经营活动现金流出小计较上年同期增长</w:t>
      </w:r>
      <w:r>
        <w:rPr>
          <w:rFonts w:ascii="Times New Roman" w:eastAsia="Times New Roman" w:hAnsi="Times New Roman" w:cs="Times New Roman"/>
          <w:color w:val="000000"/>
          <w:spacing w:val="0"/>
          <w:w w:val="100"/>
          <w:position w:val="0"/>
        </w:rPr>
        <w:t>32.22%</w:t>
      </w:r>
      <w:r>
        <w:rPr>
          <w:color w:val="000000"/>
          <w:spacing w:val="0"/>
          <w:w w:val="100"/>
          <w:position w:val="0"/>
        </w:rPr>
        <w:t>,主要系调薪及奖金增加所致。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65" w:name="bookmark165"/>
      <w:bookmarkEnd w:id="165"/>
      <w:r>
        <w:rPr>
          <w:color w:val="000000"/>
          <w:spacing w:val="0"/>
          <w:w w:val="100"/>
          <w:position w:val="0"/>
        </w:rPr>
        <w:t>报告期，投资活动现金流入小计较上年同期减少</w:t>
      </w:r>
      <w:r>
        <w:rPr>
          <w:rFonts w:ascii="Times New Roman" w:eastAsia="Times New Roman" w:hAnsi="Times New Roman" w:cs="Times New Roman"/>
          <w:color w:val="000000"/>
          <w:spacing w:val="0"/>
          <w:w w:val="100"/>
          <w:position w:val="0"/>
        </w:rPr>
        <w:t>60.50%</w:t>
      </w:r>
      <w:r>
        <w:rPr>
          <w:color w:val="000000"/>
          <w:spacing w:val="0"/>
          <w:w w:val="100"/>
          <w:position w:val="0"/>
        </w:rPr>
        <w:t>，主要系结构性存款减少所致。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66" w:name="bookmark166"/>
      <w:bookmarkEnd w:id="166"/>
      <w:r>
        <w:rPr>
          <w:color w:val="000000"/>
          <w:spacing w:val="0"/>
          <w:w w:val="100"/>
          <w:position w:val="0"/>
        </w:rPr>
        <w:t>报告期，投资活动产生的现金流量净额较上年同期减少</w:t>
      </w:r>
      <w:r>
        <w:rPr>
          <w:rFonts w:ascii="Times New Roman" w:eastAsia="Times New Roman" w:hAnsi="Times New Roman" w:cs="Times New Roman"/>
          <w:color w:val="000000"/>
          <w:spacing w:val="0"/>
          <w:w w:val="100"/>
          <w:position w:val="0"/>
        </w:rPr>
        <w:t>42.73%</w:t>
      </w:r>
      <w:r>
        <w:rPr>
          <w:color w:val="000000"/>
          <w:spacing w:val="0"/>
          <w:w w:val="100"/>
          <w:position w:val="0"/>
        </w:rPr>
        <w:t>，主要系增资嘉石大岩所致。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67" w:name="bookmark167"/>
      <w:bookmarkEnd w:id="167"/>
      <w:r>
        <w:rPr>
          <w:color w:val="000000"/>
          <w:spacing w:val="0"/>
          <w:w w:val="100"/>
          <w:position w:val="0"/>
        </w:rPr>
        <w:t>报告期，筹资活动现金流入小计较上年同期增长</w:t>
      </w:r>
      <w:r>
        <w:rPr>
          <w:rFonts w:ascii="Times New Roman" w:eastAsia="Times New Roman" w:hAnsi="Times New Roman" w:cs="Times New Roman"/>
          <w:color w:val="000000"/>
          <w:spacing w:val="0"/>
          <w:w w:val="100"/>
          <w:position w:val="0"/>
        </w:rPr>
        <w:t>1098.83%</w:t>
      </w:r>
      <w:r>
        <w:rPr>
          <w:color w:val="000000"/>
          <w:spacing w:val="0"/>
          <w:w w:val="100"/>
          <w:position w:val="0"/>
        </w:rPr>
        <w:t>，主要系银行借款增加所致。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68" w:name="bookmark168"/>
      <w:bookmarkEnd w:id="168"/>
      <w:r>
        <w:rPr>
          <w:color w:val="000000"/>
          <w:spacing w:val="0"/>
          <w:w w:val="100"/>
          <w:position w:val="0"/>
        </w:rPr>
        <w:t>报告期，筹资活动现金流出小计较上年同期增长</w:t>
      </w:r>
      <w:r>
        <w:rPr>
          <w:rFonts w:ascii="Times New Roman" w:eastAsia="Times New Roman" w:hAnsi="Times New Roman" w:cs="Times New Roman"/>
          <w:color w:val="000000"/>
          <w:spacing w:val="0"/>
          <w:w w:val="100"/>
          <w:position w:val="0"/>
        </w:rPr>
        <w:t>895.37%</w:t>
      </w:r>
      <w:r>
        <w:rPr>
          <w:color w:val="000000"/>
          <w:spacing w:val="0"/>
          <w:w w:val="100"/>
          <w:position w:val="0"/>
        </w:rPr>
        <w:t>，主要系归还银行借款所致。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69" w:name="bookmark169"/>
      <w:bookmarkEnd w:id="169"/>
      <w:r>
        <w:rPr>
          <w:color w:val="000000"/>
          <w:spacing w:val="0"/>
          <w:w w:val="100"/>
          <w:position w:val="0"/>
        </w:rPr>
        <w:t>报告期，筹资活动产生的现金流量净额较上年同期增长</w:t>
      </w:r>
      <w:r>
        <w:rPr>
          <w:rFonts w:ascii="Times New Roman" w:eastAsia="Times New Roman" w:hAnsi="Times New Roman" w:cs="Times New Roman"/>
          <w:color w:val="000000"/>
          <w:spacing w:val="0"/>
          <w:w w:val="100"/>
          <w:position w:val="0"/>
        </w:rPr>
        <w:t>1356.55%</w:t>
      </w:r>
      <w:r>
        <w:rPr>
          <w:color w:val="000000"/>
          <w:spacing w:val="0"/>
          <w:w w:val="100"/>
          <w:position w:val="0"/>
        </w:rPr>
        <w:t>，主要系银行借款增加所致。</w:t>
      </w:r>
    </w:p>
    <w:p>
      <w:pPr>
        <w:pStyle w:val="Style28"/>
        <w:keepNext w:val="0"/>
        <w:keepLines w:val="0"/>
        <w:widowControl w:val="0"/>
        <w:numPr>
          <w:ilvl w:val="0"/>
          <w:numId w:val="11"/>
        </w:numPr>
        <w:shd w:val="clear" w:color="auto" w:fill="auto"/>
        <w:tabs>
          <w:tab w:pos="320" w:val="left"/>
        </w:tabs>
        <w:bidi w:val="0"/>
        <w:spacing w:before="0" w:after="0" w:line="322" w:lineRule="exact"/>
        <w:ind w:left="0" w:right="0" w:firstLine="0"/>
        <w:jc w:val="left"/>
      </w:pPr>
      <w:bookmarkStart w:id="170" w:name="bookmark170"/>
      <w:bookmarkEnd w:id="170"/>
      <w:r>
        <w:rPr>
          <w:color w:val="000000"/>
          <w:spacing w:val="0"/>
          <w:w w:val="100"/>
          <w:position w:val="0"/>
        </w:rPr>
        <w:t>报告期，现金及现金等价物净增加额较上年同期增长</w:t>
      </w:r>
      <w:r>
        <w:rPr>
          <w:rFonts w:ascii="Times New Roman" w:eastAsia="Times New Roman" w:hAnsi="Times New Roman" w:cs="Times New Roman"/>
          <w:color w:val="000000"/>
          <w:spacing w:val="0"/>
          <w:w w:val="100"/>
          <w:position w:val="0"/>
        </w:rPr>
        <w:t>238.81%</w:t>
      </w:r>
      <w:r>
        <w:rPr>
          <w:color w:val="000000"/>
          <w:spacing w:val="0"/>
          <w:w w:val="100"/>
          <w:position w:val="0"/>
        </w:rPr>
        <w:t>，主要系发行债券及银行借款增加所致。</w:t>
      </w:r>
    </w:p>
    <w:p>
      <w:pPr>
        <w:pStyle w:val="Style28"/>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256,311,917.99</w:t>
      </w:r>
      <w:r>
        <w:rPr>
          <w:color w:val="000000"/>
          <w:spacing w:val="0"/>
          <w:w w:val="100"/>
          <w:position w:val="0"/>
        </w:rPr>
        <w:t>元，本年度净利润为</w:t>
      </w:r>
      <w:r>
        <w:rPr>
          <w:rFonts w:ascii="Times New Roman" w:eastAsia="Times New Roman" w:hAnsi="Times New Roman" w:cs="Times New Roman"/>
          <w:color w:val="000000"/>
          <w:spacing w:val="0"/>
          <w:w w:val="100"/>
          <w:position w:val="0"/>
        </w:rPr>
        <w:t>144,307,975.14</w:t>
      </w:r>
      <w:r>
        <w:rPr>
          <w:color w:val="000000"/>
          <w:spacing w:val="0"/>
          <w:w w:val="100"/>
          <w:position w:val="0"/>
        </w:rPr>
        <w:t>元，存在差异的原因主要系各 项非付现费用、减值准备、折旧摊销的计提及往年应收款收回所致。</w:t>
      </w:r>
      <w:r>
        <w:br w:type="page"/>
      </w:r>
    </w:p>
    <w:p>
      <w:pPr>
        <w:pStyle w:val="Style25"/>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三</w:t>
      </w:r>
      <w:bookmarkEnd w:id="173"/>
      <w:r>
        <w:rPr>
          <w:color w:val="000000"/>
          <w:spacing w:val="0"/>
          <w:w w:val="100"/>
          <w:position w:val="0"/>
          <w:sz w:val="24"/>
          <w:szCs w:val="24"/>
        </w:rPr>
        <w:t>、非主营业务情况</w:t>
      </w:r>
      <w:bookmarkEnd w:id="171"/>
      <w:bookmarkEnd w:id="172"/>
      <w:bookmarkEnd w:id="17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7"/>
        <w:gridCol w:w="2155"/>
        <w:gridCol w:w="235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46,272,338.41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主要系对参股公司采用权 益法核算计算的投资收益</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主要系结构性存款利息收 入从公允价值变动损益科 目转入投资收益科目</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36,904,268.73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主要系由于联营公司深圳 市大拿科技有限公司经营 业绩低于预期，本公司对长 期股权投资计提了减值准 备所致</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76,959,573.09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主要系根据国家税收优惠 政策享受退税及取得的财 政补贴</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927,071.46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主要系赔偿款支出</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sz w:val="24"/>
          <w:szCs w:val="24"/>
        </w:rPr>
        <w:t>四</w:t>
      </w:r>
      <w:bookmarkEnd w:id="177"/>
      <w:r>
        <w:rPr>
          <w:color w:val="000000"/>
          <w:spacing w:val="0"/>
          <w:w w:val="100"/>
          <w:position w:val="0"/>
          <w:sz w:val="24"/>
          <w:szCs w:val="24"/>
        </w:rPr>
        <w:t>、资产及负债状况</w:t>
      </w:r>
      <w:bookmarkEnd w:id="175"/>
      <w:bookmarkEnd w:id="176"/>
      <w:bookmarkEnd w:id="178"/>
    </w:p>
    <w:p>
      <w:pPr>
        <w:pStyle w:val="Style33"/>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806"/>
        <w:gridCol w:w="291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576,199,962.0</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428,153,435.05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主要系发债增加流动资金所致</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276,804,932.9</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358,297,454.84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主要系公司对应收货款开展了无追 溯权的保理业务</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160,305,351.7</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198,185,930.74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525,931,836.0</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75,710,833.32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主要系增资嘉石大岩所致</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402,718,815.1</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43,552,693.97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主要系苏州研发基地在建工程转为 固定资产所致</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296,925,757.82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主要系苏州研发基地在建工程转为 固定资产所致</w:t>
            </w:r>
          </w:p>
        </w:tc>
      </w:tr>
    </w:tbl>
    <w:tbl>
      <w:tblPr>
        <w:tblOverlap w:val="never"/>
        <w:jc w:val="center"/>
        <w:tblLayout w:type="fixed"/>
      </w:tblPr>
      <w:tblGrid>
        <w:gridCol w:w="1373"/>
        <w:gridCol w:w="1166"/>
        <w:gridCol w:w="1061"/>
        <w:gridCol w:w="1200"/>
        <w:gridCol w:w="1061"/>
        <w:gridCol w:w="811"/>
        <w:gridCol w:w="291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17,179,084.73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51,558,464.00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主要系归还银行借款所致</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1,038,783.85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主要系银行长期借款增加所致</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28"/>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p>
      <w:pPr>
        <w:pStyle w:val="Style28"/>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公司根据实际发展需要，向合格投资者公开发行人民币</w:t>
      </w:r>
      <w:r>
        <w:rPr>
          <w:rFonts w:ascii="Times New Roman" w:eastAsia="Times New Roman" w:hAnsi="Times New Roman" w:cs="Times New Roman"/>
          <w:color w:val="000000"/>
          <w:spacing w:val="0"/>
          <w:w w:val="100"/>
          <w:position w:val="0"/>
        </w:rPr>
        <w:t>4</w:t>
      </w:r>
      <w:r>
        <w:rPr>
          <w:color w:val="000000"/>
          <w:spacing w:val="0"/>
          <w:w w:val="100"/>
          <w:position w:val="0"/>
        </w:rPr>
        <w:t>亿元公司债券，募集资金用于偿还借款及补充流动资金。本次 债券由深圳市中小企业信用融资担保集团有限公司出具《关于为深圳市新国都技术股份有限公司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年公开发行公司债券 </w:t>
      </w:r>
      <w:r>
        <w:rPr>
          <w:rFonts w:ascii="Times New Roman" w:eastAsia="Times New Roman" w:hAnsi="Times New Roman" w:cs="Times New Roman"/>
          <w:color w:val="000000"/>
          <w:spacing w:val="0"/>
          <w:w w:val="100"/>
          <w:position w:val="0"/>
        </w:rPr>
        <w:t>（</w:t>
      </w:r>
      <w:r>
        <w:rPr>
          <w:color w:val="000000"/>
          <w:spacing w:val="0"/>
          <w:w w:val="100"/>
          <w:position w:val="0"/>
        </w:rPr>
        <w:t>面向合格投资者</w:t>
      </w:r>
      <w:r>
        <w:rPr>
          <w:rFonts w:ascii="Times New Roman" w:eastAsia="Times New Roman" w:hAnsi="Times New Roman" w:cs="Times New Roman"/>
          <w:color w:val="000000"/>
          <w:spacing w:val="0"/>
          <w:w w:val="100"/>
          <w:position w:val="0"/>
        </w:rPr>
        <w:t>）</w:t>
      </w:r>
      <w:r>
        <w:rPr>
          <w:color w:val="000000"/>
          <w:spacing w:val="0"/>
          <w:w w:val="100"/>
          <w:position w:val="0"/>
        </w:rPr>
        <w:t>提供保证的担保函》，对债券存续年度内应支付的债券本金及利息、违约金、损害赔偿金和实现债权的费 用提供无条件不可撤销的连带责任保证担保。同时本公司及本公司控股子公司苏州新国都电子技术有限公司向担保机构出具 《承诺函》，以苏州新国都拥有合法处分权的土地以及其上建筑物为公司向担保机构提供抵押反担保。该事项已于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日经公司第三届董事会第二十一次（临时）会议，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年第一次临时股东大会审议通过，详情请见公 司</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日于巨潮资讯网发布的《关于控股子公司拟为公司发行债券提供抵押反担保承诺的公告》（公告编号： </w:t>
      </w:r>
      <w:r>
        <w:rPr>
          <w:rFonts w:ascii="Times New Roman" w:eastAsia="Times New Roman" w:hAnsi="Times New Roman" w:cs="Times New Roman"/>
          <w:color w:val="000000"/>
          <w:spacing w:val="0"/>
          <w:w w:val="100"/>
          <w:position w:val="0"/>
        </w:rPr>
        <w:t>2015-145</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五</w:t>
      </w:r>
      <w:bookmarkEnd w:id="193"/>
      <w:r>
        <w:rPr>
          <w:color w:val="000000"/>
          <w:spacing w:val="0"/>
          <w:w w:val="100"/>
          <w:position w:val="0"/>
          <w:sz w:val="24"/>
          <w:szCs w:val="24"/>
        </w:rPr>
        <w:t>、投资状况分析</w:t>
      </w:r>
      <w:bookmarkEnd w:id="191"/>
      <w:bookmarkEnd w:id="192"/>
      <w:bookmarkEnd w:id="194"/>
    </w:p>
    <w:p>
      <w:pPr>
        <w:pStyle w:val="Style33"/>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332,039,110.00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201.17%</w:t>
            </w:r>
          </w:p>
        </w:tc>
      </w:tr>
    </w:tbl>
    <w:p>
      <w:pPr>
        <w:widowControl w:val="0"/>
        <w:spacing w:after="279" w:line="1" w:lineRule="exact"/>
      </w:pPr>
    </w:p>
    <w:p>
      <w:pPr>
        <w:pStyle w:val="Style33"/>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686"/>
        <w:gridCol w:w="662"/>
        <w:gridCol w:w="662"/>
        <w:gridCol w:w="658"/>
        <w:gridCol w:w="677"/>
        <w:gridCol w:w="643"/>
        <w:gridCol w:w="658"/>
        <w:gridCol w:w="658"/>
        <w:gridCol w:w="629"/>
        <w:gridCol w:w="739"/>
        <w:gridCol w:w="730"/>
        <w:gridCol w:w="734"/>
        <w:gridCol w:w="734"/>
      </w:tblGrid>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66"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深圳嘉 石大岩 资本管 理有限 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受托资 产管理， 投资管 理及投 资咨询 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CCE8CF"/>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深圳大 岩科技 有限公 司、深 圳市唯 实投资 企业</w:t>
            </w:r>
            <w:r>
              <w:rPr>
                <w:rFonts w:ascii="Times New Roman" w:eastAsia="Times New Roman" w:hAnsi="Times New Roman" w:cs="Times New Roman"/>
                <w:color w:val="000000"/>
                <w:spacing w:val="0"/>
                <w:w w:val="100"/>
                <w:position w:val="0"/>
              </w:rPr>
              <w:t>（</w:t>
            </w:r>
            <w:r>
              <w:rPr>
                <w:color w:val="000000"/>
                <w:spacing w:val="0"/>
                <w:w w:val="100"/>
                <w:position w:val="0"/>
              </w:rPr>
              <w:t>有 限合 伙</w:t>
            </w:r>
            <w:r>
              <w:rPr>
                <w:rFonts w:ascii="Times New Roman" w:eastAsia="Times New Roman" w:hAnsi="Times New Roman" w:cs="Times New Roman"/>
                <w:color w:val="000000"/>
                <w:spacing w:val="0"/>
                <w:w w:val="100"/>
                <w:position w:val="0"/>
              </w:rPr>
              <w:t>）</w:t>
            </w:r>
            <w:r>
              <w:rPr>
                <w:color w:val="000000"/>
                <w:spacing w:val="0"/>
                <w:w w:val="100"/>
                <w:position w:val="0"/>
              </w:rPr>
              <w:t>、深</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28,891,</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17,764,5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CCE8C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讯网《关 于对深 圳嘉石 大岩资 本管理 有限公 司进行 增资的</w:t>
            </w:r>
          </w:p>
        </w:tc>
      </w:tr>
    </w:tbl>
    <w:p>
      <w:pPr>
        <w:spacing w:lineRule="exact" w:line="1"/>
        <w:rPr>
          <w:sz w:val="2"/>
          <w:szCs w:val="2"/>
        </w:rPr>
      </w:pPr>
      <w:r>
        <w:br w:type="page"/>
      </w:r>
    </w:p>
    <w:tbl>
      <w:tblPr>
        <w:tblOverlap w:val="never"/>
        <w:jc w:val="center"/>
        <w:tblLayout w:type="fixed"/>
      </w:tblPr>
      <w:tblGrid>
        <w:gridCol w:w="696"/>
        <w:gridCol w:w="701"/>
        <w:gridCol w:w="662"/>
        <w:gridCol w:w="662"/>
        <w:gridCol w:w="658"/>
        <w:gridCol w:w="667"/>
        <w:gridCol w:w="653"/>
        <w:gridCol w:w="658"/>
        <w:gridCol w:w="658"/>
        <w:gridCol w:w="629"/>
        <w:gridCol w:w="739"/>
        <w:gridCol w:w="730"/>
        <w:gridCol w:w="749"/>
        <w:gridCol w:w="720"/>
      </w:tblGrid>
      <w:tr>
        <w:trPr>
          <w:trHeight w:val="1618"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圳大岩 智投有 限公 司、欧 阳雪梅</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对外投 资公告》 </w:t>
            </w:r>
            <w:r>
              <w:rPr>
                <w:rFonts w:ascii="Times New Roman" w:eastAsia="Times New Roman" w:hAnsi="Times New Roman" w:cs="Times New Roman"/>
                <w:color w:val="000000"/>
                <w:spacing w:val="0"/>
                <w:w w:val="100"/>
                <w:position w:val="0"/>
              </w:rPr>
              <w:t xml:space="preserve">2016-01 </w:t>
            </w:r>
            <w:r>
              <w:rPr>
                <w:rFonts w:ascii="Times New Roman" w:eastAsia="Times New Roman" w:hAnsi="Times New Roman" w:cs="Times New Roman"/>
                <w:color w:val="000000"/>
                <w:spacing w:val="0"/>
                <w:w w:val="100"/>
                <w:position w:val="0"/>
              </w:rPr>
              <w:t>6</w:t>
            </w:r>
          </w:p>
        </w:tc>
      </w:tr>
      <w:tr>
        <w:trPr>
          <w:trHeight w:val="4766"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长沙公 信诚丰 信息技 术服务 有限公 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术咨询</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 发行股 票募集 资金</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陈文 辉、钟 桂珍、 邱玲</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8,759,9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80" w:line="311" w:lineRule="exact"/>
              <w:ind w:left="0" w:right="0" w:firstLine="0"/>
              <w:jc w:val="both"/>
            </w:pPr>
            <w:r>
              <w:rPr>
                <w:color w:val="000000"/>
                <w:spacing w:val="0"/>
                <w:w w:val="100"/>
                <w:position w:val="0"/>
              </w:rPr>
              <w:t xml:space="preserve">巨潮资 讯网《关 于与长 沙公信 诚丰信 息技术 服务有 限公司 股东签 署股权 转让协 议的公 告》 </w:t>
            </w:r>
            <w:r>
              <w:rPr>
                <w:rFonts w:ascii="Times New Roman" w:eastAsia="Times New Roman" w:hAnsi="Times New Roman" w:cs="Times New Roman"/>
                <w:color w:val="000000"/>
                <w:spacing w:val="0"/>
                <w:w w:val="100"/>
                <w:position w:val="0"/>
              </w:rPr>
              <w:t>2016-06</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29,766,4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、报告期内正在进行的重大的非股权投资情况</w:t>
      </w:r>
      <w:bookmarkEnd w:id="203"/>
      <w:bookmarkEnd w:id="204"/>
      <w:bookmarkEnd w:id="20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04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变更用途 的募集资</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 集资金总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 集资金总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bl>
    <w:p>
      <w:pPr>
        <w:spacing w:lineRule="exact" w:line="1"/>
        <w:rPr>
          <w:sz w:val="2"/>
          <w:szCs w:val="2"/>
        </w:rPr>
      </w:pPr>
      <w:r>
        <w:br w:type="page"/>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金总额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43,465.17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2" w:hRule="exact"/>
        </w:trPr>
        <w:tc>
          <w:tcPr>
            <w:gridSpan w:val="11"/>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rPr>
              <w:t>[2010]1292</w:t>
            </w:r>
            <w:r>
              <w:rPr>
                <w:color w:val="000000"/>
                <w:spacing w:val="0"/>
                <w:w w:val="100"/>
                <w:position w:val="0"/>
              </w:rPr>
              <w:t>号文核准，并经深圳证券交易所同意，公司由主承 销商中信证券股份有限公司向社会公众公开发行普通股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1,600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rPr>
              <w:t xml:space="preserve">43.33 </w:t>
            </w:r>
            <w:r>
              <w:rPr>
                <w:color w:val="000000"/>
                <w:spacing w:val="0"/>
                <w:w w:val="100"/>
                <w:position w:val="0"/>
              </w:rPr>
              <w:t>元。截至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rPr>
              <w:t>69,328.00</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46,945,065.67</w:t>
            </w:r>
            <w:r>
              <w:rPr>
                <w:color w:val="000000"/>
                <w:spacing w:val="0"/>
                <w:w w:val="100"/>
                <w:position w:val="0"/>
              </w:rPr>
              <w:t xml:space="preserve">元，募集资金净额 </w:t>
            </w:r>
            <w:r>
              <w:rPr>
                <w:rFonts w:ascii="Times New Roman" w:eastAsia="Times New Roman" w:hAnsi="Times New Roman" w:cs="Times New Roman"/>
                <w:color w:val="000000"/>
                <w:spacing w:val="0"/>
                <w:w w:val="100"/>
                <w:position w:val="0"/>
              </w:rPr>
              <w:t>646,334,934.33</w:t>
            </w:r>
            <w:r>
              <w:rPr>
                <w:color w:val="000000"/>
                <w:spacing w:val="0"/>
                <w:w w:val="100"/>
                <w:position w:val="0"/>
              </w:rPr>
              <w:t>元。其中，募投项目承诺投资资金为</w:t>
            </w:r>
            <w:r>
              <w:rPr>
                <w:rFonts w:ascii="Times New Roman" w:eastAsia="Times New Roman" w:hAnsi="Times New Roman" w:cs="Times New Roman"/>
                <w:color w:val="000000"/>
                <w:spacing w:val="0"/>
                <w:w w:val="100"/>
                <w:position w:val="0"/>
              </w:rPr>
              <w:t>236,170,000.00</w:t>
            </w:r>
            <w:r>
              <w:rPr>
                <w:color w:val="000000"/>
                <w:spacing w:val="0"/>
                <w:w w:val="100"/>
                <w:position w:val="0"/>
              </w:rPr>
              <w:t>元</w:t>
            </w:r>
            <w:r>
              <w:rPr>
                <w:color w:val="000000"/>
                <w:spacing w:val="0"/>
                <w:w w:val="100"/>
                <w:position w:val="0"/>
              </w:rPr>
              <w:t>，</w:t>
            </w:r>
            <w:r>
              <w:rPr>
                <w:color w:val="000000"/>
                <w:spacing w:val="0"/>
                <w:w w:val="100"/>
                <w:position w:val="0"/>
              </w:rPr>
              <w:t>其他与主营业务相关的营运资金(以下简称</w:t>
            </w:r>
            <w:r>
              <w:rPr>
                <w:rFonts w:ascii="Times New Roman" w:eastAsia="Times New Roman" w:hAnsi="Times New Roman" w:cs="Times New Roman"/>
                <w:color w:val="000000"/>
                <w:spacing w:val="0"/>
                <w:w w:val="100"/>
                <w:position w:val="0"/>
              </w:rPr>
              <w:t>“</w:t>
            </w:r>
            <w:r>
              <w:rPr>
                <w:color w:val="000000"/>
                <w:spacing w:val="0"/>
                <w:w w:val="100"/>
                <w:position w:val="0"/>
              </w:rPr>
              <w:t>超募资 金</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410,164,934.33</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日，公司已累计投入募集资金</w:t>
            </w:r>
            <w:r>
              <w:rPr>
                <w:rFonts w:ascii="Times New Roman" w:eastAsia="Times New Roman" w:hAnsi="Times New Roman" w:cs="Times New Roman"/>
                <w:color w:val="000000"/>
                <w:spacing w:val="0"/>
                <w:w w:val="100"/>
                <w:position w:val="0"/>
              </w:rPr>
              <w:t>64,874.33</w:t>
            </w:r>
            <w:r>
              <w:rPr>
                <w:color w:val="000000"/>
                <w:spacing w:val="0"/>
                <w:w w:val="100"/>
                <w:position w:val="0"/>
              </w:rPr>
              <w:t>万元。</w:t>
            </w:r>
            <w:r>
              <w:rPr>
                <w:rFonts w:ascii="Times New Roman" w:eastAsia="Times New Roman" w:hAnsi="Times New Roman" w:cs="Times New Roman"/>
                <w:color w:val="000000"/>
                <w:spacing w:val="0"/>
                <w:w w:val="100"/>
                <w:position w:val="0"/>
              </w:rPr>
              <w:t>2.2016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日经中 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335</w:t>
            </w:r>
            <w:r>
              <w:rPr>
                <w:color w:val="000000"/>
                <w:spacing w:val="0"/>
                <w:w w:val="100"/>
                <w:position w:val="0"/>
              </w:rPr>
              <w:t>号文核准，并经深圳证券交易所同意，公司公开发行面值不超过</w:t>
            </w:r>
            <w:r>
              <w:rPr>
                <w:rFonts w:ascii="Times New Roman" w:eastAsia="Times New Roman" w:hAnsi="Times New Roman" w:cs="Times New Roman"/>
                <w:color w:val="000000"/>
                <w:spacing w:val="0"/>
                <w:w w:val="100"/>
                <w:position w:val="0"/>
              </w:rPr>
              <w:t>4</w:t>
            </w:r>
            <w:r>
              <w:rPr>
                <w:color w:val="000000"/>
                <w:spacing w:val="0"/>
                <w:w w:val="100"/>
                <w:position w:val="0"/>
              </w:rPr>
              <w:t>亿元的公 司债券。截止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日公司共募集资金</w:t>
            </w:r>
            <w:r>
              <w:rPr>
                <w:rFonts w:ascii="Times New Roman" w:eastAsia="Times New Roman" w:hAnsi="Times New Roman" w:cs="Times New Roman"/>
                <w:color w:val="000000"/>
                <w:spacing w:val="0"/>
                <w:w w:val="100"/>
                <w:position w:val="0"/>
              </w:rPr>
              <w:t>40,000</w:t>
            </w:r>
            <w:r>
              <w:rPr>
                <w:color w:val="000000"/>
                <w:spacing w:val="0"/>
                <w:w w:val="100"/>
                <w:position w:val="0"/>
              </w:rPr>
              <w:t>万元，扣除承销佣金后剩余</w:t>
            </w:r>
            <w:r>
              <w:rPr>
                <w:rFonts w:ascii="Times New Roman" w:eastAsia="Times New Roman" w:hAnsi="Times New Roman" w:cs="Times New Roman"/>
                <w:color w:val="000000"/>
                <w:spacing w:val="0"/>
                <w:w w:val="100"/>
                <w:position w:val="0"/>
              </w:rPr>
              <w:t>39,640</w:t>
            </w:r>
            <w:r>
              <w:rPr>
                <w:color w:val="000000"/>
                <w:spacing w:val="0"/>
                <w:w w:val="100"/>
                <w:position w:val="0"/>
              </w:rPr>
              <w:t>万元。截止至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日，募集资金</w:t>
            </w:r>
            <w:r>
              <w:rPr>
                <w:rFonts w:ascii="Times New Roman" w:eastAsia="Times New Roman" w:hAnsi="Times New Roman" w:cs="Times New Roman"/>
                <w:color w:val="000000"/>
                <w:spacing w:val="0"/>
                <w:w w:val="100"/>
                <w:position w:val="0"/>
              </w:rPr>
              <w:t>0.5</w:t>
            </w:r>
            <w:r>
              <w:rPr>
                <w:color w:val="000000"/>
                <w:spacing w:val="0"/>
                <w:w w:val="100"/>
                <w:position w:val="0"/>
              </w:rPr>
              <w:t>亿元用于偿还银行贷款，剩余部分用于补充流动资金，已全部使用完。</w:t>
            </w:r>
          </w:p>
        </w:tc>
      </w:tr>
    </w:tbl>
    <w:p>
      <w:pPr>
        <w:widowControl w:val="0"/>
        <w:spacing w:after="299" w:line="1" w:lineRule="exact"/>
      </w:pPr>
    </w:p>
    <w:p>
      <w:pPr>
        <w:pStyle w:val="Style37"/>
        <w:keepNext/>
        <w:keepLines/>
        <w:widowControl w:val="0"/>
        <w:numPr>
          <w:ilvl w:val="0"/>
          <w:numId w:val="13"/>
        </w:numPr>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39"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07"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07" w:lineRule="exact"/>
              <w:ind w:left="0" w:right="0" w:firstLine="28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运营销售服务网络 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电子支付终端设备 运营项目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电子支付技术产研 基地建设项目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项目节余资金永久 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24,964.3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1,510.83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37"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电子支付技术苏州 研发基地项目(简称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苏州项目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25,684.61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25,684.61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21,510.03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收购瑞柏泰公司</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39,910.03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1,179.63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64,874.33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2,690.46</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668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CCE8CF"/>
            <w:vAlign w:val="center"/>
          </w:tcPr>
          <w:p>
            <w:pPr>
              <w:pStyle w:val="Style6"/>
              <w:keepNext w:val="0"/>
              <w:keepLines w:val="0"/>
              <w:widowControl w:val="0"/>
              <w:shd w:val="clear" w:color="auto" w:fill="auto"/>
              <w:tabs>
                <w:tab w:pos="245"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w:t>
            </w:r>
            <w:r>
              <w:rPr>
                <w:color w:val="000000"/>
                <w:spacing w:val="0"/>
                <w:w w:val="100"/>
                <w:position w:val="0"/>
              </w:rPr>
              <w:t>的实施进度未能达到计划进度和预计收益，具体原因为: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月，中国人民银行发布中国人民银行令【</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号文件《非金融机构支付服务管理办法》（以下 简称</w:t>
            </w:r>
            <w:r>
              <w:rPr>
                <w:rFonts w:ascii="Times New Roman" w:eastAsia="Times New Roman" w:hAnsi="Times New Roman" w:cs="Times New Roman"/>
                <w:color w:val="000000"/>
                <w:spacing w:val="0"/>
                <w:w w:val="100"/>
                <w:position w:val="0"/>
              </w:rPr>
              <w:t>“2</w:t>
            </w:r>
            <w:r>
              <w:rPr>
                <w:color w:val="000000"/>
                <w:spacing w:val="0"/>
                <w:w w:val="100"/>
                <w:position w:val="0"/>
              </w:rPr>
              <w:t>号令</w:t>
            </w:r>
            <w:r>
              <w:rPr>
                <w:rFonts w:ascii="Times New Roman" w:eastAsia="Times New Roman" w:hAnsi="Times New Roman" w:cs="Times New Roman"/>
                <w:color w:val="000000"/>
                <w:spacing w:val="0"/>
                <w:w w:val="100"/>
                <w:position w:val="0"/>
              </w:rPr>
              <w:t>”</w:t>
            </w:r>
            <w:r>
              <w:rPr>
                <w:color w:val="000000"/>
                <w:spacing w:val="0"/>
                <w:w w:val="100"/>
                <w:position w:val="0"/>
              </w:rPr>
              <w:t>），根据该办法规定，国内非金融机构从事网上支付、预付卡的发行与受理、银行卡收 单服务等业务的，必须通过中国人民银行审批，并获得相关业务许可证书。电子支付终端设备运营 项目的运营内容主要为与广州羊城通有限公司合作开展基于</w:t>
            </w:r>
            <w:r>
              <w:rPr>
                <w:rFonts w:ascii="Times New Roman" w:eastAsia="Times New Roman" w:hAnsi="Times New Roman" w:cs="Times New Roman"/>
                <w:color w:val="000000"/>
                <w:spacing w:val="0"/>
                <w:w w:val="100"/>
                <w:position w:val="0"/>
              </w:rPr>
              <w:t>“</w:t>
            </w:r>
            <w:r>
              <w:rPr>
                <w:color w:val="000000"/>
                <w:spacing w:val="0"/>
                <w:w w:val="100"/>
                <w:position w:val="0"/>
              </w:rPr>
              <w:t>羊城通</w:t>
            </w:r>
            <w:r>
              <w:rPr>
                <w:rFonts w:ascii="Times New Roman" w:eastAsia="Times New Roman" w:hAnsi="Times New Roman" w:cs="Times New Roman"/>
                <w:color w:val="000000"/>
                <w:spacing w:val="0"/>
                <w:w w:val="100"/>
                <w:position w:val="0"/>
              </w:rPr>
              <w:t>”</w:t>
            </w:r>
            <w:r>
              <w:rPr>
                <w:color w:val="000000"/>
                <w:spacing w:val="0"/>
                <w:w w:val="100"/>
                <w:position w:val="0"/>
              </w:rPr>
              <w:t>公交卡的小额支付合作运营业 务，以及为商业银行、第三方提供设备租赁服务。由于受到</w:t>
            </w:r>
            <w:r>
              <w:rPr>
                <w:rFonts w:ascii="Times New Roman" w:eastAsia="Times New Roman" w:hAnsi="Times New Roman" w:cs="Times New Roman"/>
                <w:color w:val="000000"/>
                <w:spacing w:val="0"/>
                <w:w w:val="100"/>
                <w:position w:val="0"/>
              </w:rPr>
              <w:t>2</w:t>
            </w:r>
            <w:r>
              <w:rPr>
                <w:color w:val="000000"/>
                <w:spacing w:val="0"/>
                <w:w w:val="100"/>
                <w:position w:val="0"/>
              </w:rPr>
              <w:t>号令实施和审批进度的影响，以及广 州羊城通有限公司在申领预付卡发行与受理牌照的进度限制，本项目的实施进度缓慢，项目一直未 能达到预计收益。截止至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日，广州羊城通有限公司仍未能取得预付卡发行与受理牌 照，对公司电子支付终端设备运营项目直接产生影响。鉴于上述情况，公司于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 开第三届董事会第七次会议，审议通过《关于终止部分募投项目并将剩余募集资金永久补充流动资 金的议案》，同意终止募投项目</w:t>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w:t>
            </w:r>
            <w:r>
              <w:rPr>
                <w:color w:val="000000"/>
                <w:spacing w:val="0"/>
                <w:w w:val="100"/>
                <w:position w:val="0"/>
              </w:rPr>
              <w:t>的实施，并将该项目剩余资金（含利息 收入）（资金转出当日银行结息余额为</w:t>
            </w:r>
            <w:r>
              <w:rPr>
                <w:rFonts w:ascii="Times New Roman" w:eastAsia="Times New Roman" w:hAnsi="Times New Roman" w:cs="Times New Roman"/>
                <w:color w:val="000000"/>
                <w:spacing w:val="0"/>
                <w:w w:val="100"/>
                <w:position w:val="0"/>
              </w:rPr>
              <w:t>3,123.16</w:t>
            </w:r>
            <w:r>
              <w:rPr>
                <w:color w:val="000000"/>
                <w:spacing w:val="0"/>
                <w:w w:val="100"/>
                <w:position w:val="0"/>
              </w:rPr>
              <w:t>万元（含利息））永久补充流动资金。</w:t>
            </w:r>
          </w:p>
          <w:p>
            <w:pPr>
              <w:pStyle w:val="Style6"/>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电子支付技术产研基地建设项目</w:t>
            </w:r>
            <w:r>
              <w:rPr>
                <w:rFonts w:ascii="Times New Roman" w:eastAsia="Times New Roman" w:hAnsi="Times New Roman" w:cs="Times New Roman"/>
                <w:color w:val="000000"/>
                <w:spacing w:val="0"/>
                <w:w w:val="100"/>
                <w:position w:val="0"/>
              </w:rPr>
              <w:t>”</w:t>
            </w:r>
            <w:r>
              <w:rPr>
                <w:color w:val="000000"/>
                <w:spacing w:val="0"/>
                <w:w w:val="100"/>
                <w:position w:val="0"/>
              </w:rPr>
              <w:t>（原募集资金承诺投资项目，实施地点：南京）的实施进度未 能达到计划进度和预计收益，具体原因为：政府原本规定的项目土地建设规划要点由</w:t>
            </w:r>
            <w:r>
              <w:rPr>
                <w:rFonts w:ascii="Times New Roman" w:eastAsia="Times New Roman" w:hAnsi="Times New Roman" w:cs="Times New Roman"/>
                <w:color w:val="000000"/>
                <w:spacing w:val="0"/>
                <w:w w:val="100"/>
                <w:position w:val="0"/>
              </w:rPr>
              <w:t>“</w:t>
            </w:r>
            <w:r>
              <w:rPr>
                <w:color w:val="000000"/>
                <w:spacing w:val="0"/>
                <w:w w:val="100"/>
                <w:position w:val="0"/>
              </w:rPr>
              <w:t xml:space="preserve">建筑容积率 </w:t>
            </w:r>
            <w:r>
              <w:rPr>
                <w:rFonts w:ascii="Times New Roman" w:eastAsia="Times New Roman" w:hAnsi="Times New Roman" w:cs="Times New Roman"/>
                <w:color w:val="000000"/>
                <w:spacing w:val="0"/>
                <w:w w:val="100"/>
                <w:position w:val="0"/>
              </w:rPr>
              <w:t>0.7&lt;R&lt;1.2</w:t>
            </w:r>
            <w:r>
              <w:rPr>
                <w:color w:val="000000"/>
                <w:spacing w:val="0"/>
                <w:w w:val="100"/>
                <w:position w:val="0"/>
              </w:rPr>
              <w:t>,</w:t>
            </w:r>
            <w:r>
              <w:rPr>
                <w:color w:val="000000"/>
                <w:spacing w:val="0"/>
                <w:w w:val="100"/>
                <w:position w:val="0"/>
              </w:rPr>
              <w:t>建筑密度</w:t>
            </w:r>
            <w:r>
              <w:rPr>
                <w:rFonts w:ascii="Times New Roman" w:eastAsia="Times New Roman" w:hAnsi="Times New Roman" w:cs="Times New Roman"/>
                <w:color w:val="000000"/>
                <w:spacing w:val="0"/>
                <w:w w:val="100"/>
                <w:position w:val="0"/>
              </w:rPr>
              <w:t>&lt;30%</w:t>
            </w:r>
            <w:r>
              <w:rPr>
                <w:color w:val="000000"/>
                <w:spacing w:val="0"/>
                <w:w w:val="100"/>
                <w:position w:val="0"/>
              </w:rPr>
              <w:t>，建筑高度。</w:t>
            </w:r>
            <w:r>
              <w:rPr>
                <w:rFonts w:ascii="Times New Roman" w:eastAsia="Times New Roman" w:hAnsi="Times New Roman" w:cs="Times New Roman"/>
                <w:color w:val="000000"/>
                <w:spacing w:val="0"/>
                <w:w w:val="100"/>
                <w:position w:val="0"/>
              </w:rPr>
              <w:t>5</w:t>
            </w:r>
            <w:r>
              <w:rPr>
                <w:color w:val="000000"/>
                <w:spacing w:val="0"/>
                <w:w w:val="100"/>
                <w:position w:val="0"/>
              </w:rPr>
              <w:t>米，绿地率</w:t>
            </w:r>
            <w:r>
              <w:rPr>
                <w:rFonts w:ascii="Times New Roman" w:eastAsia="Times New Roman" w:hAnsi="Times New Roman" w:cs="Times New Roman"/>
                <w:color w:val="000000"/>
                <w:spacing w:val="0"/>
                <w:w w:val="100"/>
                <w:position w:val="0"/>
              </w:rPr>
              <w:t>Z45%”</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建筑容积率</w:t>
            </w:r>
            <w:r>
              <w:rPr>
                <w:rFonts w:ascii="Times New Roman" w:eastAsia="Times New Roman" w:hAnsi="Times New Roman" w:cs="Times New Roman"/>
                <w:color w:val="000000"/>
                <w:spacing w:val="0"/>
                <w:w w:val="100"/>
                <w:position w:val="0"/>
              </w:rPr>
              <w:t>0.7&lt;R&lt;1.2</w:t>
            </w:r>
            <w:r>
              <w:rPr>
                <w:color w:val="000000"/>
                <w:spacing w:val="0"/>
                <w:w w:val="100"/>
                <w:position w:val="0"/>
              </w:rPr>
              <w:t>,</w:t>
            </w:r>
            <w:r>
              <w:rPr>
                <w:color w:val="000000"/>
                <w:spacing w:val="0"/>
                <w:w w:val="100"/>
                <w:position w:val="0"/>
              </w:rPr>
              <w:t>建筑密 度</w:t>
            </w:r>
            <w:r>
              <w:rPr>
                <w:rFonts w:ascii="Times New Roman" w:eastAsia="Times New Roman" w:hAnsi="Times New Roman" w:cs="Times New Roman"/>
                <w:color w:val="000000"/>
                <w:spacing w:val="0"/>
                <w:w w:val="100"/>
                <w:position w:val="0"/>
              </w:rPr>
              <w:t>&lt;30%</w:t>
            </w:r>
            <w:r>
              <w:rPr>
                <w:color w:val="000000"/>
                <w:spacing w:val="0"/>
                <w:w w:val="100"/>
                <w:position w:val="0"/>
              </w:rPr>
              <w:t>，建筑高度</w:t>
            </w:r>
            <w:r>
              <w:rPr>
                <w:rFonts w:ascii="Times New Roman" w:eastAsia="Times New Roman" w:hAnsi="Times New Roman" w:cs="Times New Roman"/>
                <w:color w:val="000000"/>
                <w:spacing w:val="0"/>
                <w:w w:val="100"/>
                <w:position w:val="0"/>
              </w:rPr>
              <w:t>&lt;10</w:t>
            </w:r>
            <w:r>
              <w:rPr>
                <w:color w:val="000000"/>
                <w:spacing w:val="0"/>
                <w:w w:val="100"/>
                <w:position w:val="0"/>
              </w:rPr>
              <w:t>米，绿地率</w:t>
            </w:r>
            <w:r>
              <w:rPr>
                <w:rFonts w:ascii="Times New Roman" w:eastAsia="Times New Roman" w:hAnsi="Times New Roman" w:cs="Times New Roman"/>
                <w:color w:val="000000"/>
                <w:spacing w:val="0"/>
                <w:w w:val="100"/>
                <w:position w:val="0"/>
              </w:rPr>
              <w:t>Z45%”</w:t>
            </w:r>
            <w:r>
              <w:rPr>
                <w:color w:val="000000"/>
                <w:spacing w:val="0"/>
                <w:w w:val="100"/>
                <w:position w:val="0"/>
              </w:rPr>
              <w:t>，</w:t>
            </w:r>
            <w:r>
              <w:rPr>
                <w:color w:val="000000"/>
                <w:spacing w:val="0"/>
                <w:w w:val="100"/>
                <w:position w:val="0"/>
              </w:rPr>
              <w:t>建设规划要点的变更导致南京项目土地的原定建设方案 无法正常实施，且根据新的建设规划要点，项目地块已经无法满足公司使用需求。该项目于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年度股东大会审议通过，公司已将该项目建设内容和投资资金分别迁移至深 圳、苏州两地实施，其中在深圳，由公司通过租赁厂房的方式实施电子支付设备生产中心；在苏州， 由公司的控股子公司苏州新国都电子技术有限公司实施电子支付技术研发中心建设项目。变更后项 目实施情况详见</w:t>
            </w:r>
            <w:r>
              <w:rPr>
                <w:rFonts w:ascii="Times New Roman" w:eastAsia="Times New Roman" w:hAnsi="Times New Roman" w:cs="Times New Roman"/>
                <w:color w:val="000000"/>
                <w:spacing w:val="0"/>
                <w:w w:val="100"/>
                <w:position w:val="0"/>
              </w:rPr>
              <w:t>“</w:t>
            </w:r>
            <w:r>
              <w:rPr>
                <w:color w:val="000000"/>
                <w:spacing w:val="0"/>
                <w:w w:val="100"/>
                <w:position w:val="0"/>
              </w:rPr>
              <w:t>募集资金投资项目实施地点变更情况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81"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tabs>
                <w:tab w:pos="259"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用超募资金增资深圳市易联技术有限公司（以下简称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易联技术</w:t>
            </w:r>
            <w:r>
              <w:rPr>
                <w:rFonts w:ascii="Times New Roman" w:eastAsia="Times New Roman" w:hAnsi="Times New Roman" w:cs="Times New Roman"/>
                <w:color w:val="000000"/>
                <w:spacing w:val="0"/>
                <w:w w:val="100"/>
                <w:position w:val="0"/>
              </w:rPr>
              <w:t>”</w:t>
            </w:r>
            <w:r>
              <w:rPr>
                <w:color w:val="000000"/>
                <w:spacing w:val="0"/>
                <w:w w:val="100"/>
                <w:position w:val="0"/>
              </w:rPr>
              <w:t>）开展</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，项 目可行性发生重大变化，具体情况为：随着</w:t>
            </w:r>
            <w:r>
              <w:rPr>
                <w:rFonts w:ascii="Times New Roman" w:eastAsia="Times New Roman" w:hAnsi="Times New Roman" w:cs="Times New Roman"/>
                <w:color w:val="000000"/>
                <w:spacing w:val="0"/>
                <w:w w:val="100"/>
                <w:position w:val="0"/>
              </w:rPr>
              <w:t>2</w:t>
            </w:r>
            <w:r>
              <w:rPr>
                <w:color w:val="000000"/>
                <w:spacing w:val="0"/>
                <w:w w:val="100"/>
                <w:position w:val="0"/>
              </w:rPr>
              <w:t>号令的推行，国内第三方支付市场发生重大变化，且 市场竞争不断加剧。易联技术开展电子支付服务项目，主要是为了推进小额支付运营业务的进展， 计划申领预付卡发行和受理业务。由于公司的小额支付运营业务受到阻碍，导致本项目无法实际开 展，造成项目可行性发生重大变化。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w:t>
            </w:r>
          </w:p>
          <w:p>
            <w:pPr>
              <w:pStyle w:val="Style6"/>
              <w:keepNext w:val="0"/>
              <w:keepLines w:val="0"/>
              <w:widowControl w:val="0"/>
              <w:shd w:val="clear" w:color="auto" w:fill="auto"/>
              <w:bidi w:val="0"/>
              <w:spacing w:before="0" w:after="40" w:line="310" w:lineRule="exact"/>
              <w:ind w:left="0" w:right="0" w:firstLine="0"/>
              <w:jc w:val="both"/>
            </w:pPr>
            <w:r>
              <w:rPr>
                <w:color w:val="000000"/>
                <w:spacing w:val="0"/>
                <w:w w:val="100"/>
                <w:position w:val="0"/>
              </w:rPr>
              <w:t>《审议终止深圳市易联技术有限公司</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并退回其他与主营业务相关的营运资金</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亿元的议案》，终止该项目的实施，以提高超募资金的使用效率。</w:t>
            </w:r>
          </w:p>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电子支付终端设备运营项目：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月，中国人民银行发布中国人民银行令【</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号 文件《非金融机构支付服务管理办法》（以下简称</w:t>
            </w:r>
            <w:r>
              <w:rPr>
                <w:rFonts w:ascii="Times New Roman" w:eastAsia="Times New Roman" w:hAnsi="Times New Roman" w:cs="Times New Roman"/>
                <w:color w:val="000000"/>
                <w:spacing w:val="0"/>
                <w:w w:val="100"/>
                <w:position w:val="0"/>
              </w:rPr>
              <w:t>“2</w:t>
            </w:r>
            <w:r>
              <w:rPr>
                <w:color w:val="000000"/>
                <w:spacing w:val="0"/>
                <w:w w:val="100"/>
                <w:position w:val="0"/>
              </w:rPr>
              <w:t>号令</w:t>
            </w:r>
            <w:r>
              <w:rPr>
                <w:rFonts w:ascii="Times New Roman" w:eastAsia="Times New Roman" w:hAnsi="Times New Roman" w:cs="Times New Roman"/>
                <w:color w:val="000000"/>
                <w:spacing w:val="0"/>
                <w:w w:val="100"/>
                <w:position w:val="0"/>
              </w:rPr>
              <w:t>”</w:t>
            </w:r>
            <w:r>
              <w:rPr>
                <w:color w:val="000000"/>
                <w:spacing w:val="0"/>
                <w:w w:val="100"/>
                <w:position w:val="0"/>
              </w:rPr>
              <w:t>），根据该办法规定，国内非金融机构从 事网上支付、预付卡的发行与受理、银行卡收单服务等业务的，必须通过中国人民银行审批，并获 得相关业务许可证书。电子支付终端设备运营项目的运营内容主要为与广州羊城通有限公司合作开 展基于</w:t>
            </w:r>
            <w:r>
              <w:rPr>
                <w:rFonts w:ascii="Times New Roman" w:eastAsia="Times New Roman" w:hAnsi="Times New Roman" w:cs="Times New Roman"/>
                <w:color w:val="000000"/>
                <w:spacing w:val="0"/>
                <w:w w:val="100"/>
                <w:position w:val="0"/>
              </w:rPr>
              <w:t>“</w:t>
            </w:r>
            <w:r>
              <w:rPr>
                <w:color w:val="000000"/>
                <w:spacing w:val="0"/>
                <w:w w:val="100"/>
                <w:position w:val="0"/>
              </w:rPr>
              <w:t>羊城通</w:t>
            </w:r>
            <w:r>
              <w:rPr>
                <w:rFonts w:ascii="Times New Roman" w:eastAsia="Times New Roman" w:hAnsi="Times New Roman" w:cs="Times New Roman"/>
                <w:color w:val="000000"/>
                <w:spacing w:val="0"/>
                <w:w w:val="100"/>
                <w:position w:val="0"/>
              </w:rPr>
              <w:t>”</w:t>
            </w:r>
            <w:r>
              <w:rPr>
                <w:color w:val="000000"/>
                <w:spacing w:val="0"/>
                <w:w w:val="100"/>
                <w:position w:val="0"/>
              </w:rPr>
              <w:t>公交卡的小额支付合作运营业务，以及为商业银行、第三方提供设备租赁服务。由 于受到</w:t>
            </w:r>
            <w:r>
              <w:rPr>
                <w:rFonts w:ascii="Times New Roman" w:eastAsia="Times New Roman" w:hAnsi="Times New Roman" w:cs="Times New Roman"/>
                <w:color w:val="000000"/>
                <w:spacing w:val="0"/>
                <w:w w:val="100"/>
                <w:position w:val="0"/>
              </w:rPr>
              <w:t>2</w:t>
            </w:r>
            <w:r>
              <w:rPr>
                <w:color w:val="000000"/>
                <w:spacing w:val="0"/>
                <w:w w:val="100"/>
                <w:position w:val="0"/>
              </w:rPr>
              <w:t>号令实施和审批进度的影响，以及广州羊城通有限公司在申领预付卡发行与受理牌照的进 度限制，本项目的实施进度缓慢，项目一直未能达到预计收益。截止至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日，广州羊 城通有限公司仍未能取得预付卡发行与受理牌照，对公司电子支付终端设备运营项目直接产生影响。</w:t>
            </w:r>
          </w:p>
        </w:tc>
      </w:tr>
    </w:tbl>
    <w:p>
      <w:pPr>
        <w:spacing w:lineRule="exact" w:line="1"/>
        <w:rPr>
          <w:sz w:val="2"/>
          <w:szCs w:val="2"/>
        </w:rPr>
      </w:pPr>
      <w:r>
        <w:br w:type="page"/>
      </w:r>
    </w:p>
    <w:tbl>
      <w:tblPr>
        <w:tblOverlap w:val="never"/>
        <w:jc w:val="center"/>
        <w:tblLayout w:type="fixed"/>
      </w:tblPr>
      <w:tblGrid>
        <w:gridCol w:w="1776"/>
        <w:gridCol w:w="7810"/>
      </w:tblGrid>
      <w:tr>
        <w:trPr>
          <w:trHeight w:val="602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鉴于上述情况，公司于</w:t>
            </w:r>
            <w:r>
              <w:rPr>
                <w:rFonts w:ascii="Times New Roman" w:eastAsia="Times New Roman" w:hAnsi="Times New Roman" w:cs="Times New Roman"/>
                <w:color w:val="000000"/>
                <w:spacing w:val="0"/>
                <w:w w:val="100"/>
                <w:position w:val="0"/>
              </w:rPr>
              <w:t>2015</w:t>
            </w:r>
            <w:r>
              <w:rPr>
                <w:color w:val="000000"/>
                <w:spacing w:val="0"/>
                <w:w w:val="100"/>
                <w:position w:val="0"/>
              </w:rPr>
              <w:t>于</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日召开第三届董事会第七次会议，审议通过《关于终止部分 募投项目并将剩余募集资金永久补充流动资金的议案》，同意终止募投项目</w:t>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 项目</w:t>
            </w:r>
            <w:r>
              <w:rPr>
                <w:rFonts w:ascii="Times New Roman" w:eastAsia="Times New Roman" w:hAnsi="Times New Roman" w:cs="Times New Roman"/>
                <w:color w:val="000000"/>
                <w:spacing w:val="0"/>
                <w:w w:val="100"/>
                <w:position w:val="0"/>
              </w:rPr>
              <w:t>”</w:t>
            </w:r>
            <w:r>
              <w:rPr>
                <w:color w:val="000000"/>
                <w:spacing w:val="0"/>
                <w:w w:val="100"/>
                <w:position w:val="0"/>
              </w:rPr>
              <w:t>的实施，并将该项目剩余资金（含利息收入）（资金转出当日银行结息余额为</w:t>
            </w:r>
            <w:r>
              <w:rPr>
                <w:rFonts w:ascii="Times New Roman" w:eastAsia="Times New Roman" w:hAnsi="Times New Roman" w:cs="Times New Roman"/>
                <w:color w:val="000000"/>
                <w:spacing w:val="0"/>
                <w:w w:val="100"/>
                <w:position w:val="0"/>
              </w:rPr>
              <w:t>3,123.16</w:t>
            </w:r>
            <w:r>
              <w:rPr>
                <w:color w:val="000000"/>
                <w:spacing w:val="0"/>
                <w:w w:val="100"/>
                <w:position w:val="0"/>
              </w:rPr>
              <w:t>万元（含 利息））永久补充流动资金。</w:t>
            </w:r>
          </w:p>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日公司与深圳市瑞柏泰电子有限公司股东签署《深圳市新国都技术股份有限公司 与蔡敏及深圳市柏士泰科技有限公司关于深圳市瑞柏泰电子有限公司之股权回购协议》,该事项已经 公司第三届董事会第三十次会议和第三届监事会第二十九次会议审议通过，根据公司与蔡敏女士于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月签订的《股权受让合同》约定，新国都受让深圳市瑞柏泰电子有限公司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股权。后 蔡敏女士将其持有的瑞柏泰</w:t>
            </w:r>
            <w:r>
              <w:rPr>
                <w:rFonts w:ascii="Times New Roman" w:eastAsia="Times New Roman" w:hAnsi="Times New Roman" w:cs="Times New Roman"/>
                <w:color w:val="000000"/>
                <w:spacing w:val="0"/>
                <w:w w:val="100"/>
                <w:position w:val="0"/>
              </w:rPr>
              <w:t>80%</w:t>
            </w:r>
            <w:r>
              <w:rPr>
                <w:color w:val="000000"/>
                <w:spacing w:val="0"/>
                <w:w w:val="100"/>
                <w:position w:val="0"/>
              </w:rPr>
              <w:t>股权全部转让至其设立并控制的深圳市柏士泰科技有限公司（以下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柏士泰</w:t>
            </w:r>
            <w:r>
              <w:rPr>
                <w:rFonts w:ascii="Times New Roman" w:eastAsia="Times New Roman" w:hAnsi="Times New Roman" w:cs="Times New Roman"/>
                <w:color w:val="000000"/>
                <w:spacing w:val="0"/>
                <w:w w:val="100"/>
                <w:position w:val="0"/>
              </w:rPr>
              <w:t>”</w:t>
            </w:r>
            <w:r>
              <w:rPr>
                <w:color w:val="000000"/>
                <w:spacing w:val="0"/>
                <w:w w:val="100"/>
                <w:position w:val="0"/>
              </w:rPr>
              <w:t>）。考虑到自公司受让瑞柏泰</w:t>
            </w:r>
            <w:r>
              <w:rPr>
                <w:rFonts w:ascii="Times New Roman" w:eastAsia="Times New Roman" w:hAnsi="Times New Roman" w:cs="Times New Roman"/>
                <w:color w:val="000000"/>
                <w:spacing w:val="0"/>
                <w:w w:val="100"/>
                <w:position w:val="0"/>
              </w:rPr>
              <w:t>20%</w:t>
            </w:r>
            <w:r>
              <w:rPr>
                <w:color w:val="000000"/>
                <w:spacing w:val="0"/>
                <w:w w:val="100"/>
                <w:position w:val="0"/>
              </w:rPr>
              <w:t>股权后，公司和瑞柏泰的业务合作、团队整合等方面 未达预期，同时公司和瑞柏泰的业务模式和未来发展战略存在差异，经公司、蔡敏女士及柏士泰友 好协商，各方一致同意，由柏士泰受让公司持有瑞柏泰的全部股权，包括公司根据《股权受让合同》 受让的瑞柏泰</w:t>
            </w:r>
            <w:r>
              <w:rPr>
                <w:rFonts w:ascii="Times New Roman" w:eastAsia="Times New Roman" w:hAnsi="Times New Roman" w:cs="Times New Roman"/>
                <w:color w:val="000000"/>
                <w:spacing w:val="0"/>
                <w:w w:val="100"/>
                <w:position w:val="0"/>
              </w:rPr>
              <w:t>20%</w:t>
            </w:r>
            <w:r>
              <w:rPr>
                <w:color w:val="000000"/>
                <w:spacing w:val="0"/>
                <w:w w:val="100"/>
                <w:position w:val="0"/>
              </w:rPr>
              <w:t>的股权及柏士泰依据相关合同及协议应无偿转让给公司的瑞柏泰的</w:t>
            </w:r>
            <w:r>
              <w:rPr>
                <w:rFonts w:ascii="Times New Roman" w:eastAsia="Times New Roman" w:hAnsi="Times New Roman" w:cs="Times New Roman"/>
                <w:color w:val="000000"/>
                <w:spacing w:val="0"/>
                <w:w w:val="100"/>
                <w:position w:val="0"/>
              </w:rPr>
              <w:t>4%</w:t>
            </w:r>
            <w:r>
              <w:rPr>
                <w:color w:val="000000"/>
                <w:spacing w:val="0"/>
                <w:w w:val="100"/>
                <w:position w:val="0"/>
              </w:rPr>
              <w:t>股权，股 权转让价格为</w:t>
            </w:r>
            <w:r>
              <w:rPr>
                <w:rFonts w:ascii="Times New Roman" w:eastAsia="Times New Roman" w:hAnsi="Times New Roman" w:cs="Times New Roman"/>
                <w:color w:val="000000"/>
                <w:spacing w:val="0"/>
                <w:w w:val="100"/>
                <w:position w:val="0"/>
              </w:rPr>
              <w:t>2,860</w:t>
            </w:r>
            <w:r>
              <w:rPr>
                <w:color w:val="000000"/>
                <w:spacing w:val="0"/>
                <w:w w:val="100"/>
                <w:position w:val="0"/>
              </w:rPr>
              <w:t>万元，该事项已于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日完成了工商变更手续。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经各方协商并经公司第三届董事会第三十六次会议审议通过，公司与蔡敏及柏士泰签署《深圳市新 国都技术股份有限公司与蔡敏及深圳市柏士泰科技有限公司关于深圳市瑞柏泰电子有限公司之股权 回购协议之补充协议（二）》，对股权回购价格的支付约定修改为</w:t>
            </w:r>
            <w:r>
              <w:rPr>
                <w:rFonts w:ascii="Times New Roman" w:eastAsia="Times New Roman" w:hAnsi="Times New Roman" w:cs="Times New Roman"/>
                <w:color w:val="000000"/>
                <w:spacing w:val="0"/>
                <w:w w:val="100"/>
                <w:position w:val="0"/>
              </w:rPr>
              <w:t>“</w:t>
            </w:r>
            <w:r>
              <w:rPr>
                <w:color w:val="000000"/>
                <w:spacing w:val="0"/>
                <w:w w:val="100"/>
                <w:position w:val="0"/>
              </w:rPr>
              <w:t>本次股权转让的工商变更手续办理 完毕之日起七个自然月内，丙方向甲方指定银行账户支付回购款</w:t>
            </w:r>
            <w:r>
              <w:rPr>
                <w:rFonts w:ascii="Times New Roman" w:eastAsia="Times New Roman" w:hAnsi="Times New Roman" w:cs="Times New Roman"/>
                <w:color w:val="000000"/>
                <w:spacing w:val="0"/>
                <w:w w:val="100"/>
                <w:position w:val="0"/>
              </w:rPr>
              <w:t>2,360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，具体详见公司披露于 巨潮资讯网的相关公告。</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397"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年第一次临时股东大会会议于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日召开，审议通过了《关于审议使用部分其 他与主营业务相关的营运资金对全资子公司深圳市新国都软件技术有限公司增资的议案》，公司于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日使用超募资金</w:t>
            </w:r>
            <w:r>
              <w:rPr>
                <w:rFonts w:ascii="Times New Roman" w:eastAsia="Times New Roman" w:hAnsi="Times New Roman" w:cs="Times New Roman"/>
                <w:color w:val="000000"/>
                <w:spacing w:val="0"/>
                <w:w w:val="100"/>
                <w:position w:val="0"/>
              </w:rPr>
              <w:t>1</w:t>
            </w:r>
            <w:r>
              <w:rPr>
                <w:color w:val="000000"/>
                <w:spacing w:val="0"/>
                <w:w w:val="100"/>
                <w:position w:val="0"/>
              </w:rPr>
              <w:t>亿增资新国都软件公司。（注：现已更名为深圳市易联技术有限公 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年第一次临时股东大会审议通过了《审议终止深圳市易联技术有 限公司</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并退回其他与主营业务相关的营运资金</w:t>
            </w:r>
            <w:r>
              <w:rPr>
                <w:rFonts w:ascii="Times New Roman" w:eastAsia="Times New Roman" w:hAnsi="Times New Roman" w:cs="Times New Roman"/>
                <w:color w:val="000000"/>
                <w:spacing w:val="0"/>
                <w:w w:val="100"/>
                <w:position w:val="0"/>
              </w:rPr>
              <w:t>1</w:t>
            </w:r>
            <w:r>
              <w:rPr>
                <w:color w:val="000000"/>
                <w:spacing w:val="0"/>
                <w:w w:val="100"/>
                <w:position w:val="0"/>
              </w:rPr>
              <w:t>亿元的议案》，终止该项目的实 施。</w:t>
            </w:r>
          </w:p>
          <w:p>
            <w:pPr>
              <w:pStyle w:val="Style6"/>
              <w:keepNext w:val="0"/>
              <w:keepLines w:val="0"/>
              <w:widowControl w:val="0"/>
              <w:shd w:val="clear" w:color="auto" w:fill="auto"/>
              <w:tabs>
                <w:tab w:pos="26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日召开第二届董事会第二次会议，会议通过了《关于投资建设</w:t>
            </w:r>
            <w:r>
              <w:rPr>
                <w:rFonts w:ascii="Times New Roman" w:eastAsia="Times New Roman" w:hAnsi="Times New Roman" w:cs="Times New Roman"/>
                <w:color w:val="000000"/>
                <w:spacing w:val="0"/>
                <w:w w:val="100"/>
                <w:position w:val="0"/>
              </w:rPr>
              <w:t>“</w:t>
            </w:r>
            <w:r>
              <w:rPr>
                <w:color w:val="000000"/>
                <w:spacing w:val="0"/>
                <w:w w:val="100"/>
                <w:position w:val="0"/>
              </w:rPr>
              <w:t>电子支付 技术苏州研发基地</w:t>
            </w:r>
            <w:r>
              <w:rPr>
                <w:rFonts w:ascii="Times New Roman" w:eastAsia="Times New Roman" w:hAnsi="Times New Roman" w:cs="Times New Roman"/>
                <w:color w:val="000000"/>
                <w:spacing w:val="0"/>
                <w:w w:val="100"/>
                <w:position w:val="0"/>
              </w:rPr>
              <w:t>”</w:t>
            </w:r>
            <w:r>
              <w:rPr>
                <w:color w:val="000000"/>
                <w:spacing w:val="0"/>
                <w:w w:val="100"/>
                <w:position w:val="0"/>
              </w:rPr>
              <w:t>的议案》，同意从其他与主营业务相关的营运资金</w:t>
            </w:r>
            <w:r>
              <w:rPr>
                <w:rFonts w:ascii="Times New Roman" w:eastAsia="Times New Roman" w:hAnsi="Times New Roman" w:cs="Times New Roman"/>
                <w:color w:val="000000"/>
                <w:spacing w:val="0"/>
                <w:w w:val="100"/>
                <w:position w:val="0"/>
              </w:rPr>
              <w:t>（</w:t>
            </w:r>
            <w:r>
              <w:rPr>
                <w:color w:val="000000"/>
                <w:spacing w:val="0"/>
                <w:w w:val="100"/>
                <w:position w:val="0"/>
              </w:rPr>
              <w:t>超募资金</w:t>
            </w:r>
            <w:r>
              <w:rPr>
                <w:rFonts w:ascii="Times New Roman" w:eastAsia="Times New Roman" w:hAnsi="Times New Roman" w:cs="Times New Roman"/>
                <w:color w:val="000000"/>
                <w:spacing w:val="0"/>
                <w:w w:val="100"/>
                <w:position w:val="0"/>
              </w:rPr>
              <w:t>）</w:t>
            </w:r>
            <w:r>
              <w:rPr>
                <w:color w:val="000000"/>
                <w:spacing w:val="0"/>
                <w:w w:val="100"/>
                <w:position w:val="0"/>
              </w:rPr>
              <w:t>中支出</w:t>
            </w:r>
            <w:r>
              <w:rPr>
                <w:rFonts w:ascii="Times New Roman" w:eastAsia="Times New Roman" w:hAnsi="Times New Roman" w:cs="Times New Roman"/>
                <w:color w:val="000000"/>
                <w:spacing w:val="0"/>
                <w:w w:val="100"/>
                <w:position w:val="0"/>
              </w:rPr>
              <w:t>1.35</w:t>
            </w:r>
            <w:r>
              <w:rPr>
                <w:color w:val="000000"/>
                <w:spacing w:val="0"/>
                <w:w w:val="100"/>
                <w:position w:val="0"/>
              </w:rPr>
              <w:t>亿元人 民币，以货币资金形式对苏州新国都投资。</w:t>
            </w:r>
          </w:p>
          <w:p>
            <w:pPr>
              <w:pStyle w:val="Style6"/>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日召开第二届董事会第三次会议，会议通过了《关于使用部分超募资 金永久补充流动资金的议案》，同意公司使用部分超幕资金</w:t>
            </w:r>
            <w:r>
              <w:rPr>
                <w:rFonts w:ascii="Times New Roman" w:eastAsia="Times New Roman" w:hAnsi="Times New Roman" w:cs="Times New Roman"/>
                <w:color w:val="000000"/>
                <w:spacing w:val="0"/>
                <w:w w:val="100"/>
                <w:position w:val="0"/>
              </w:rPr>
              <w:t>4,500</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月，公司从募集资金账户支取人民币</w:t>
            </w:r>
            <w:r>
              <w:rPr>
                <w:rFonts w:ascii="Times New Roman" w:eastAsia="Times New Roman" w:hAnsi="Times New Roman" w:cs="Times New Roman"/>
                <w:color w:val="000000"/>
                <w:spacing w:val="0"/>
                <w:w w:val="100"/>
                <w:position w:val="0"/>
              </w:rPr>
              <w:t>4,500</w:t>
            </w:r>
            <w:r>
              <w:rPr>
                <w:color w:val="000000"/>
                <w:spacing w:val="0"/>
                <w:w w:val="100"/>
                <w:position w:val="0"/>
              </w:rPr>
              <w:t>万元用于永久补充流动资金。</w:t>
            </w:r>
          </w:p>
          <w:p>
            <w:pPr>
              <w:pStyle w:val="Style6"/>
              <w:keepNext w:val="0"/>
              <w:keepLines w:val="0"/>
              <w:widowControl w:val="0"/>
              <w:shd w:val="clear" w:color="auto" w:fill="auto"/>
              <w:tabs>
                <w:tab w:pos="269" w:val="left"/>
              </w:tabs>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年第一次临时股东大会，会议审议通过了《审议使用部分 超募资金永久补充流动资金的议案》,同意公司使用部分超募资金</w:t>
            </w:r>
            <w:r>
              <w:rPr>
                <w:rFonts w:ascii="Times New Roman" w:eastAsia="Times New Roman" w:hAnsi="Times New Roman" w:cs="Times New Roman"/>
                <w:color w:val="000000"/>
                <w:spacing w:val="0"/>
                <w:w w:val="100"/>
                <w:position w:val="0"/>
              </w:rPr>
              <w:t>3,700</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月，公司从募集资金账户支取人民币</w:t>
            </w:r>
            <w:r>
              <w:rPr>
                <w:rFonts w:ascii="Times New Roman" w:eastAsia="Times New Roman" w:hAnsi="Times New Roman" w:cs="Times New Roman"/>
                <w:color w:val="000000"/>
                <w:spacing w:val="0"/>
                <w:w w:val="100"/>
                <w:position w:val="0"/>
              </w:rPr>
              <w:t>3,700</w:t>
            </w:r>
            <w:r>
              <w:rPr>
                <w:color w:val="000000"/>
                <w:spacing w:val="0"/>
                <w:w w:val="100"/>
                <w:position w:val="0"/>
              </w:rPr>
              <w:t>万元用于永久补充流动资金。</w:t>
            </w:r>
          </w:p>
          <w:p>
            <w:pPr>
              <w:pStyle w:val="Style6"/>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日召开第二届董事会第十次会议，会议通过了《审议收购深圳市瑞柏 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股权的议案》，同意公司使用超募资金人民币</w:t>
            </w:r>
            <w:r>
              <w:rPr>
                <w:rFonts w:ascii="Times New Roman" w:eastAsia="Times New Roman" w:hAnsi="Times New Roman" w:cs="Times New Roman"/>
                <w:color w:val="000000"/>
                <w:spacing w:val="0"/>
                <w:w w:val="100"/>
                <w:position w:val="0"/>
              </w:rPr>
              <w:t>2,000</w:t>
            </w:r>
            <w:r>
              <w:rPr>
                <w:color w:val="000000"/>
                <w:spacing w:val="0"/>
                <w:w w:val="100"/>
                <w:position w:val="0"/>
              </w:rPr>
              <w:t>万元向蔡敏女士购买其所 持瑞柏泰公司</w:t>
            </w:r>
            <w:r>
              <w:rPr>
                <w:rFonts w:ascii="Times New Roman" w:eastAsia="Times New Roman" w:hAnsi="Times New Roman" w:cs="Times New Roman"/>
                <w:color w:val="000000"/>
                <w:spacing w:val="0"/>
                <w:w w:val="100"/>
                <w:position w:val="0"/>
              </w:rPr>
              <w:t>20%</w:t>
            </w:r>
            <w:r>
              <w:rPr>
                <w:color w:val="000000"/>
                <w:spacing w:val="0"/>
                <w:w w:val="100"/>
                <w:position w:val="0"/>
              </w:rPr>
              <w:t>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日，公司从募集资金账户转出</w:t>
            </w:r>
            <w:r>
              <w:rPr>
                <w:rFonts w:ascii="Times New Roman" w:eastAsia="Times New Roman" w:hAnsi="Times New Roman" w:cs="Times New Roman"/>
                <w:color w:val="000000"/>
                <w:spacing w:val="0"/>
                <w:w w:val="100"/>
                <w:position w:val="0"/>
              </w:rPr>
              <w:t>2,000</w:t>
            </w:r>
            <w:r>
              <w:rPr>
                <w:color w:val="000000"/>
                <w:spacing w:val="0"/>
                <w:w w:val="100"/>
                <w:position w:val="0"/>
              </w:rPr>
              <w:t>万元。新国都受让深圳 市瑞柏泰电子有限公司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股权后，蔡敏女士将其持有的瑞柏泰</w:t>
            </w:r>
            <w:r>
              <w:rPr>
                <w:rFonts w:ascii="Times New Roman" w:eastAsia="Times New Roman" w:hAnsi="Times New Roman" w:cs="Times New Roman"/>
                <w:color w:val="000000"/>
                <w:spacing w:val="0"/>
                <w:w w:val="100"/>
                <w:position w:val="0"/>
              </w:rPr>
              <w:t>80%</w:t>
            </w:r>
            <w:r>
              <w:rPr>
                <w:color w:val="000000"/>
                <w:spacing w:val="0"/>
                <w:w w:val="100"/>
                <w:position w:val="0"/>
              </w:rPr>
              <w:t>股权全部转让至其设立并控制 的深圳市柏士泰科技有限公司（以下简称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柏士泰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日公司与深圳市瑞柏泰电子有 限公司股东签署《深圳市新国都技术股份有限公司与蔡敏及深圳市柏士泰科技有限公司关于深圳市 瑞柏泰电子有限公司之股权回购协议》,该事项已经公司第三届监事会第二十九次会议及第三届董事 会第三十次会议审议通过，考虑到自公司受让瑞柏泰</w:t>
            </w:r>
            <w:r>
              <w:rPr>
                <w:rFonts w:ascii="Times New Roman" w:eastAsia="Times New Roman" w:hAnsi="Times New Roman" w:cs="Times New Roman"/>
                <w:color w:val="000000"/>
                <w:spacing w:val="0"/>
                <w:w w:val="100"/>
                <w:position w:val="0"/>
              </w:rPr>
              <w:t>20%</w:t>
            </w:r>
            <w:r>
              <w:rPr>
                <w:color w:val="000000"/>
                <w:spacing w:val="0"/>
                <w:w w:val="100"/>
                <w:position w:val="0"/>
              </w:rPr>
              <w:t>股权后，公司和瑞柏泰的业务合作、团队</w:t>
            </w:r>
          </w:p>
        </w:tc>
      </w:tr>
    </w:tbl>
    <w:p>
      <w:pPr>
        <w:spacing w:lineRule="exact" w:line="1"/>
        <w:rPr>
          <w:sz w:val="2"/>
          <w:szCs w:val="2"/>
        </w:rPr>
      </w:pPr>
      <w:r>
        <w:br w:type="page"/>
      </w:r>
    </w:p>
    <w:tbl>
      <w:tblPr>
        <w:tblOverlap w:val="never"/>
        <w:jc w:val="center"/>
        <w:tblLayout w:type="fixed"/>
      </w:tblPr>
      <w:tblGrid>
        <w:gridCol w:w="1781"/>
        <w:gridCol w:w="7805"/>
      </w:tblGrid>
      <w:tr>
        <w:trPr>
          <w:trHeight w:val="669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0" w:lineRule="exact"/>
              <w:ind w:left="0" w:right="0" w:firstLine="0"/>
              <w:jc w:val="both"/>
            </w:pPr>
            <w:r>
              <w:rPr>
                <w:color w:val="000000"/>
                <w:spacing w:val="0"/>
                <w:w w:val="100"/>
                <w:position w:val="0"/>
              </w:rPr>
              <w:t>整合等方面未达预期，同时公司和瑞柏泰的业务模式和未来发展战略存在差异，经公司、蔡敏女士 及柏士泰友好协商，各方一致同意，由柏士泰受让公司持有瑞柏泰的全部股权，包括公司根据《股 权受让合同》受让的瑞柏泰</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的股权及柏士泰依据相关合同及协议应无偿转让给公司的瑞柏泰的 </w:t>
            </w:r>
            <w:r>
              <w:rPr>
                <w:rFonts w:ascii="Times New Roman" w:eastAsia="Times New Roman" w:hAnsi="Times New Roman" w:cs="Times New Roman"/>
                <w:color w:val="000000"/>
                <w:spacing w:val="0"/>
                <w:w w:val="100"/>
                <w:position w:val="0"/>
              </w:rPr>
              <w:t>4%</w:t>
            </w:r>
            <w:r>
              <w:rPr>
                <w:color w:val="000000"/>
                <w:spacing w:val="0"/>
                <w:w w:val="100"/>
                <w:position w:val="0"/>
              </w:rPr>
              <w:t>股权，终止此超募资金项目，股权转让价格为</w:t>
            </w:r>
            <w:r>
              <w:rPr>
                <w:rFonts w:ascii="Times New Roman" w:eastAsia="Times New Roman" w:hAnsi="Times New Roman" w:cs="Times New Roman"/>
                <w:color w:val="000000"/>
                <w:spacing w:val="0"/>
                <w:w w:val="100"/>
                <w:position w:val="0"/>
              </w:rPr>
              <w:t>2,860</w:t>
            </w:r>
            <w:r>
              <w:rPr>
                <w:color w:val="000000"/>
                <w:spacing w:val="0"/>
                <w:w w:val="100"/>
                <w:position w:val="0"/>
              </w:rPr>
              <w:t>万元，本次股权转让已于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办理完成工商变更手续。具体详见公司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日披露于巨潮资讯网的相关公告。根据《股 权回购协议》约定：柏士泰应于本次股权转让事项工商手续变更完毕之日起三个自然月内，向新国 都支付回购款</w:t>
            </w:r>
            <w:r>
              <w:rPr>
                <w:rFonts w:ascii="Times New Roman" w:eastAsia="Times New Roman" w:hAnsi="Times New Roman" w:cs="Times New Roman"/>
                <w:color w:val="000000"/>
                <w:spacing w:val="0"/>
                <w:w w:val="100"/>
                <w:position w:val="0"/>
              </w:rPr>
              <w:t>2,360</w:t>
            </w:r>
            <w:r>
              <w:rPr>
                <w:color w:val="000000"/>
                <w:spacing w:val="0"/>
                <w:w w:val="100"/>
                <w:position w:val="0"/>
              </w:rPr>
              <w:t>万元；《股权回购协议》之补充协议（二）将上述支付条款变更为：本次股权转 让的工商变更手续办理完毕之日起七个自然月内，丙方向甲方指定银行账户支付回购款</w:t>
            </w:r>
            <w:r>
              <w:rPr>
                <w:rFonts w:ascii="Times New Roman" w:eastAsia="Times New Roman" w:hAnsi="Times New Roman" w:cs="Times New Roman"/>
                <w:color w:val="000000"/>
                <w:spacing w:val="0"/>
                <w:w w:val="100"/>
                <w:position w:val="0"/>
              </w:rPr>
              <w:t>2,360</w:t>
            </w:r>
            <w:r>
              <w:rPr>
                <w:color w:val="000000"/>
                <w:spacing w:val="0"/>
                <w:w w:val="100"/>
                <w:position w:val="0"/>
              </w:rPr>
              <w:t>万元。 经新国都第三届董事会第三十次会议和第三届监事会第二十九次会议审议通过,及公司</w:t>
            </w:r>
            <w:r>
              <w:rPr>
                <w:rFonts w:ascii="Times New Roman" w:eastAsia="Times New Roman" w:hAnsi="Times New Roman" w:cs="Times New Roman"/>
                <w:color w:val="000000"/>
                <w:spacing w:val="0"/>
                <w:w w:val="100"/>
                <w:position w:val="0"/>
              </w:rPr>
              <w:t>2016</w:t>
            </w:r>
            <w:r>
              <w:rPr>
                <w:color w:val="000000"/>
                <w:spacing w:val="0"/>
                <w:w w:val="100"/>
                <w:position w:val="0"/>
              </w:rPr>
              <w:t>年第四 次临时股东大会批准，本次股权转让交易所得款项将用于暂时性补充流动资金。截止到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日为止，暂时未收回该项目对应超募资金。</w:t>
            </w:r>
          </w:p>
          <w:p>
            <w:pPr>
              <w:pStyle w:val="Style6"/>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日召开第二届董事会第十七次会议，会议通过了《关于使用部分超募资 金永久补充流动资金的议案》，同意公司使用部分超募资金</w:t>
            </w:r>
            <w:r>
              <w:rPr>
                <w:rFonts w:ascii="Times New Roman" w:eastAsia="Times New Roman" w:hAnsi="Times New Roman" w:cs="Times New Roman"/>
                <w:color w:val="000000"/>
                <w:spacing w:val="0"/>
                <w:w w:val="100"/>
                <w:position w:val="0"/>
              </w:rPr>
              <w:t>8,200</w:t>
            </w:r>
            <w:r>
              <w:rPr>
                <w:color w:val="000000"/>
                <w:spacing w:val="0"/>
                <w:w w:val="100"/>
                <w:position w:val="0"/>
              </w:rPr>
              <w:t>万元永久补充流动资金；会议还通 过了《审议增加投资</w:t>
            </w:r>
            <w:r>
              <w:rPr>
                <w:rFonts w:ascii="Times New Roman" w:eastAsia="Times New Roman" w:hAnsi="Times New Roman" w:cs="Times New Roman"/>
                <w:color w:val="000000"/>
                <w:spacing w:val="0"/>
                <w:w w:val="100"/>
                <w:position w:val="0"/>
              </w:rPr>
              <w:t>“</w:t>
            </w:r>
            <w:r>
              <w:rPr>
                <w:color w:val="000000"/>
                <w:spacing w:val="0"/>
                <w:w w:val="100"/>
                <w:position w:val="0"/>
              </w:rPr>
              <w:t>电子支付技术苏州研发基地项目</w:t>
            </w:r>
            <w:r>
              <w:rPr>
                <w:rFonts w:ascii="Times New Roman" w:eastAsia="Times New Roman" w:hAnsi="Times New Roman" w:cs="Times New Roman"/>
                <w:color w:val="000000"/>
                <w:spacing w:val="0"/>
                <w:w w:val="100"/>
                <w:position w:val="0"/>
              </w:rPr>
              <w:t>”</w:t>
            </w:r>
            <w:r>
              <w:rPr>
                <w:color w:val="000000"/>
                <w:spacing w:val="0"/>
                <w:w w:val="100"/>
                <w:position w:val="0"/>
              </w:rPr>
              <w:t>的议案》同意公司使用人民币</w:t>
            </w:r>
            <w:r>
              <w:rPr>
                <w:rFonts w:ascii="Times New Roman" w:eastAsia="Times New Roman" w:hAnsi="Times New Roman" w:cs="Times New Roman"/>
                <w:color w:val="000000"/>
                <w:spacing w:val="0"/>
                <w:w w:val="100"/>
                <w:position w:val="0"/>
              </w:rPr>
              <w:t>13,000</w:t>
            </w:r>
            <w:r>
              <w:rPr>
                <w:color w:val="000000"/>
                <w:spacing w:val="0"/>
                <w:w w:val="100"/>
                <w:position w:val="0"/>
              </w:rPr>
              <w:t xml:space="preserve">万元对 </w:t>
            </w:r>
            <w:r>
              <w:rPr>
                <w:rFonts w:ascii="Times New Roman" w:eastAsia="Times New Roman" w:hAnsi="Times New Roman" w:cs="Times New Roman"/>
                <w:color w:val="000000"/>
                <w:spacing w:val="0"/>
                <w:w w:val="100"/>
                <w:position w:val="0"/>
              </w:rPr>
              <w:t>“</w:t>
            </w:r>
            <w:r>
              <w:rPr>
                <w:color w:val="000000"/>
                <w:spacing w:val="0"/>
                <w:w w:val="100"/>
                <w:position w:val="0"/>
              </w:rPr>
              <w:t>电子支付技术苏州研发基地项目</w:t>
            </w:r>
            <w:r>
              <w:rPr>
                <w:rFonts w:ascii="Times New Roman" w:eastAsia="Times New Roman" w:hAnsi="Times New Roman" w:cs="Times New Roman"/>
                <w:color w:val="000000"/>
                <w:spacing w:val="0"/>
                <w:w w:val="100"/>
                <w:position w:val="0"/>
              </w:rPr>
              <w:t>”</w:t>
            </w:r>
            <w:r>
              <w:rPr>
                <w:color w:val="000000"/>
                <w:spacing w:val="0"/>
                <w:w w:val="100"/>
                <w:position w:val="0"/>
              </w:rPr>
              <w:t>增加投资，其中</w:t>
            </w:r>
            <w:r>
              <w:rPr>
                <w:rFonts w:ascii="Times New Roman" w:eastAsia="Times New Roman" w:hAnsi="Times New Roman" w:cs="Times New Roman"/>
                <w:color w:val="000000"/>
                <w:spacing w:val="0"/>
                <w:w w:val="100"/>
                <w:position w:val="0"/>
              </w:rPr>
              <w:t>12,184.61</w:t>
            </w:r>
            <w:r>
              <w:rPr>
                <w:color w:val="000000"/>
                <w:spacing w:val="0"/>
                <w:w w:val="100"/>
                <w:position w:val="0"/>
              </w:rPr>
              <w:t>万元由上市超募资金解决，</w:t>
            </w:r>
            <w:r>
              <w:rPr>
                <w:rFonts w:ascii="Times New Roman" w:eastAsia="Times New Roman" w:hAnsi="Times New Roman" w:cs="Times New Roman"/>
                <w:color w:val="000000"/>
                <w:spacing w:val="0"/>
                <w:w w:val="100"/>
                <w:position w:val="0"/>
              </w:rPr>
              <w:t>815.39</w:t>
            </w:r>
            <w:r>
              <w:rPr>
                <w:color w:val="000000"/>
                <w:spacing w:val="0"/>
                <w:w w:val="100"/>
                <w:position w:val="0"/>
              </w:rPr>
              <w:t>万元 由企业自筹解决，全部投资将以增资形式投入苏州新国都。</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日，该项目累计 使用超募资金</w:t>
            </w:r>
            <w:r>
              <w:rPr>
                <w:rFonts w:ascii="Times New Roman" w:eastAsia="Times New Roman" w:hAnsi="Times New Roman" w:cs="Times New Roman"/>
                <w:color w:val="000000"/>
                <w:spacing w:val="0"/>
                <w:w w:val="100"/>
                <w:position w:val="0"/>
              </w:rPr>
              <w:t>21,510.03</w:t>
            </w:r>
            <w:r>
              <w:rPr>
                <w:color w:val="000000"/>
                <w:spacing w:val="0"/>
                <w:w w:val="100"/>
                <w:position w:val="0"/>
              </w:rPr>
              <w:t>万元，主要用于支付苏州工地工程款。</w:t>
            </w:r>
          </w:p>
          <w:p>
            <w:pPr>
              <w:pStyle w:val="Style6"/>
              <w:keepNext w:val="0"/>
              <w:keepLines w:val="0"/>
              <w:widowControl w:val="0"/>
              <w:shd w:val="clear" w:color="auto" w:fill="auto"/>
              <w:tabs>
                <w:tab w:pos="26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日，公司发布《关于注销部分募集资金专户的公告》（公告编号：</w:t>
            </w:r>
            <w:r>
              <w:rPr>
                <w:rFonts w:ascii="Times New Roman" w:eastAsia="Times New Roman" w:hAnsi="Times New Roman" w:cs="Times New Roman"/>
                <w:color w:val="000000"/>
                <w:spacing w:val="0"/>
                <w:w w:val="100"/>
                <w:position w:val="0"/>
              </w:rPr>
              <w:t>2015-007</w:t>
            </w:r>
            <w:r>
              <w:rPr>
                <w:color w:val="000000"/>
                <w:spacing w:val="0"/>
                <w:w w:val="100"/>
                <w:position w:val="0"/>
              </w:rPr>
              <w:t>）,</w:t>
            </w:r>
            <w:r>
              <w:rPr>
                <w:color w:val="000000"/>
                <w:spacing w:val="0"/>
                <w:w w:val="100"/>
                <w:position w:val="0"/>
              </w:rPr>
              <w:t>截 止至公告披露日期，超募资金专户</w:t>
            </w:r>
            <w:r>
              <w:rPr>
                <w:rFonts w:ascii="Times New Roman" w:eastAsia="Times New Roman" w:hAnsi="Times New Roman" w:cs="Times New Roman"/>
                <w:color w:val="000000"/>
                <w:spacing w:val="0"/>
                <w:w w:val="100"/>
                <w:position w:val="0"/>
              </w:rPr>
              <w:t>-</w:t>
            </w:r>
            <w:r>
              <w:rPr>
                <w:color w:val="000000"/>
                <w:spacing w:val="0"/>
                <w:w w:val="100"/>
                <w:position w:val="0"/>
              </w:rPr>
              <w:t>中信银行深圳市市民中心支行（账号：</w:t>
            </w:r>
            <w:r>
              <w:rPr>
                <w:rFonts w:ascii="Times New Roman" w:eastAsia="Times New Roman" w:hAnsi="Times New Roman" w:cs="Times New Roman"/>
                <w:color w:val="000000"/>
                <w:spacing w:val="0"/>
                <w:w w:val="100"/>
                <w:position w:val="0"/>
              </w:rPr>
              <w:t>7442410182600061107</w:t>
            </w:r>
            <w:r>
              <w:rPr>
                <w:color w:val="000000"/>
                <w:spacing w:val="0"/>
                <w:w w:val="100"/>
                <w:position w:val="0"/>
              </w:rPr>
              <w:t>） 余额为零，公司将其予以注销，注销后公司与相关银行及公司保荐机构中信证券股份有限公司签订 的《募集资金三方监管协议》终止。</w:t>
            </w:r>
          </w:p>
        </w:tc>
      </w:tr>
      <w:tr>
        <w:trPr>
          <w:trHeight w:val="39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51"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年度股东大会，审议通过了《关于审议变更募投项目电子支付技 术产研基地建设项目实施地址及部分实施方式的议案》。同意将原位于南京的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 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中规划的研发中心、客服中心迁移到苏州实施，项目规划的生产中心迁移到深圳宝安区以租 赁房屋的方式实施。原投入南京的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总投资</w:t>
            </w:r>
            <w:r>
              <w:rPr>
                <w:rFonts w:ascii="Times New Roman" w:eastAsia="Times New Roman" w:hAnsi="Times New Roman" w:cs="Times New Roman"/>
                <w:color w:val="000000"/>
                <w:spacing w:val="0"/>
                <w:w w:val="100"/>
                <w:position w:val="0"/>
              </w:rPr>
              <w:t>15,306</w:t>
            </w:r>
            <w:r>
              <w:rPr>
                <w:color w:val="000000"/>
                <w:spacing w:val="0"/>
                <w:w w:val="100"/>
                <w:position w:val="0"/>
              </w:rPr>
              <w:t>万元，扣除投入深圳 生产中心的</w:t>
            </w:r>
            <w:r>
              <w:rPr>
                <w:rFonts w:ascii="Times New Roman" w:eastAsia="Times New Roman" w:hAnsi="Times New Roman" w:cs="Times New Roman"/>
                <w:color w:val="000000"/>
                <w:spacing w:val="0"/>
                <w:w w:val="100"/>
                <w:position w:val="0"/>
              </w:rPr>
              <w:t>2,500</w:t>
            </w:r>
            <w:r>
              <w:rPr>
                <w:color w:val="000000"/>
                <w:spacing w:val="0"/>
                <w:w w:val="100"/>
                <w:position w:val="0"/>
              </w:rPr>
              <w:t>万元，剩余的</w:t>
            </w:r>
            <w:r>
              <w:rPr>
                <w:rFonts w:ascii="Times New Roman" w:eastAsia="Times New Roman" w:hAnsi="Times New Roman" w:cs="Times New Roman"/>
                <w:color w:val="000000"/>
                <w:spacing w:val="0"/>
                <w:w w:val="100"/>
                <w:position w:val="0"/>
              </w:rPr>
              <w:t>12,806</w:t>
            </w:r>
            <w:r>
              <w:rPr>
                <w:color w:val="000000"/>
                <w:spacing w:val="0"/>
                <w:w w:val="100"/>
                <w:position w:val="0"/>
              </w:rPr>
              <w:t>万元全部投入苏州项目。</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45"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8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年度股东大会，审议通过了《关于审议变更募投项目电子支 付技术产研基地建设项目实施地址及部分实施方式的议案》。同意将原位于南京的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 研基地项目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中规划的研发中心、客服中心迁移到苏州实施，项目规划的生产中心迁移到深圳宝安区 以租赁房屋的方式实施。由于</w:t>
            </w:r>
            <w:r>
              <w:rPr>
                <w:rFonts w:ascii="Times New Roman" w:eastAsia="Times New Roman" w:hAnsi="Times New Roman" w:cs="Times New Roman"/>
                <w:color w:val="000000"/>
                <w:spacing w:val="0"/>
                <w:w w:val="100"/>
                <w:position w:val="0"/>
              </w:rPr>
              <w:t>2011</w:t>
            </w:r>
            <w:r>
              <w:rPr>
                <w:color w:val="000000"/>
                <w:spacing w:val="0"/>
                <w:w w:val="100"/>
                <w:position w:val="0"/>
              </w:rPr>
              <w:t>年募集资金投入南京新国都土地使用权</w:t>
            </w:r>
            <w:r>
              <w:rPr>
                <w:rFonts w:ascii="Times New Roman" w:eastAsia="Times New Roman" w:hAnsi="Times New Roman" w:cs="Times New Roman"/>
                <w:color w:val="000000"/>
                <w:spacing w:val="0"/>
                <w:w w:val="100"/>
                <w:position w:val="0"/>
              </w:rPr>
              <w:t>1,475.71</w:t>
            </w:r>
            <w:r>
              <w:rPr>
                <w:color w:val="000000"/>
                <w:spacing w:val="0"/>
                <w:w w:val="100"/>
                <w:position w:val="0"/>
              </w:rPr>
              <w:t>万元，本次变更 募投项目实施地点，本公司将投入南京新国都的土地使用权金额为</w:t>
            </w:r>
            <w:r>
              <w:rPr>
                <w:rFonts w:ascii="Times New Roman" w:eastAsia="Times New Roman" w:hAnsi="Times New Roman" w:cs="Times New Roman"/>
                <w:color w:val="000000"/>
                <w:spacing w:val="0"/>
                <w:w w:val="100"/>
                <w:position w:val="0"/>
              </w:rPr>
              <w:t>1,475.71</w:t>
            </w:r>
            <w:r>
              <w:rPr>
                <w:color w:val="000000"/>
                <w:spacing w:val="0"/>
                <w:w w:val="100"/>
                <w:position w:val="0"/>
              </w:rPr>
              <w:t>万元转为公司自筹资金 投入，并用自有资金归还募集资金，公司于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日办理银行资金归还 手续。</w:t>
            </w:r>
          </w:p>
          <w:p>
            <w:pPr>
              <w:pStyle w:val="Style6"/>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日，第二届董事会第八次会议审议通过了《关于变更运营销售服务网络建设项目 部分实施方式的公告》，决定将项目中原计划在一类办事处北京、上海、广州、青岛购置办公用房作 为办工场所改为租赁实施（公告编号</w:t>
            </w:r>
            <w:r>
              <w:rPr>
                <w:rFonts w:ascii="Times New Roman" w:eastAsia="Times New Roman" w:hAnsi="Times New Roman" w:cs="Times New Roman"/>
                <w:color w:val="000000"/>
                <w:spacing w:val="0"/>
                <w:w w:val="100"/>
                <w:position w:val="0"/>
              </w:rPr>
              <w:t>2012-28</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10"/>
      </w:tblGrid>
      <w:tr>
        <w:trPr>
          <w:trHeight w:val="1656"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电子支付技术产研基地建设项目，截止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日公司已利用自筹资金先行投入</w:t>
            </w:r>
            <w:r>
              <w:rPr>
                <w:rFonts w:ascii="Times New Roman" w:eastAsia="Times New Roman" w:hAnsi="Times New Roman" w:cs="Times New Roman"/>
                <w:color w:val="000000"/>
                <w:spacing w:val="0"/>
                <w:w w:val="100"/>
                <w:position w:val="0"/>
              </w:rPr>
              <w:t>1,293</w:t>
            </w:r>
            <w:r>
              <w:rPr>
                <w:color w:val="000000"/>
                <w:spacing w:val="0"/>
                <w:w w:val="100"/>
                <w:position w:val="0"/>
              </w:rPr>
              <w:t>万元， 业经立信大华会计师事务所有限公司出具的立信大华核字</w:t>
            </w:r>
            <w:r>
              <w:rPr>
                <w:rFonts w:ascii="Times New Roman" w:eastAsia="Times New Roman" w:hAnsi="Times New Roman" w:cs="Times New Roman"/>
                <w:color w:val="000000"/>
                <w:spacing w:val="0"/>
                <w:w w:val="100"/>
                <w:position w:val="0"/>
              </w:rPr>
              <w:t>[2010]2404</w:t>
            </w:r>
            <w:r>
              <w:rPr>
                <w:color w:val="000000"/>
                <w:spacing w:val="0"/>
                <w:w w:val="100"/>
                <w:position w:val="0"/>
              </w:rPr>
              <w:t>号《首次公开发行股票募集资 金投资项目实际自筹资金使用情况专项审核报告》确认，经本公司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日第一届董事会第 十四次会议决议通过，使用募集资金置换公司预先投入募集资金项目建设的自筹资金</w:t>
            </w:r>
            <w:r>
              <w:rPr>
                <w:rFonts w:ascii="Times New Roman" w:eastAsia="Times New Roman" w:hAnsi="Times New Roman" w:cs="Times New Roman"/>
                <w:color w:val="000000"/>
                <w:spacing w:val="0"/>
                <w:w w:val="100"/>
                <w:position w:val="0"/>
              </w:rPr>
              <w:t>1,293</w:t>
            </w:r>
            <w:r>
              <w:rPr>
                <w:color w:val="000000"/>
                <w:spacing w:val="0"/>
                <w:w w:val="100"/>
                <w:position w:val="0"/>
              </w:rPr>
              <w:t>万元</w:t>
            </w:r>
            <w:r>
              <w:rPr>
                <w:color w:val="000000"/>
                <w:spacing w:val="0"/>
                <w:w w:val="100"/>
                <w:position w:val="0"/>
              </w:rPr>
              <w:t>，</w:t>
            </w:r>
            <w:r>
              <w:rPr>
                <w:color w:val="000000"/>
                <w:spacing w:val="0"/>
                <w:w w:val="100"/>
                <w:position w:val="0"/>
              </w:rPr>
              <w:t>公 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日办理了银行资金置换手续。</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11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69"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运营销售服务网络建设项目</w:t>
            </w:r>
            <w:r>
              <w:rPr>
                <w:rFonts w:ascii="Times New Roman" w:eastAsia="Times New Roman" w:hAnsi="Times New Roman" w:cs="Times New Roman"/>
                <w:color w:val="000000"/>
                <w:spacing w:val="0"/>
                <w:w w:val="100"/>
                <w:position w:val="0"/>
              </w:rPr>
              <w:t>”</w:t>
            </w:r>
            <w:r>
              <w:rPr>
                <w:color w:val="000000"/>
                <w:spacing w:val="0"/>
                <w:w w:val="100"/>
                <w:position w:val="0"/>
              </w:rPr>
              <w:t>已完成项目建设，节余资金</w:t>
            </w:r>
            <w:r>
              <w:rPr>
                <w:rFonts w:ascii="Times New Roman" w:eastAsia="Times New Roman" w:hAnsi="Times New Roman" w:cs="Times New Roman"/>
                <w:color w:val="000000"/>
                <w:spacing w:val="0"/>
                <w:w w:val="100"/>
                <w:position w:val="0"/>
              </w:rPr>
              <w:t>829.6</w:t>
            </w:r>
            <w:r>
              <w:rPr>
                <w:color w:val="000000"/>
                <w:spacing w:val="0"/>
                <w:w w:val="100"/>
                <w:position w:val="0"/>
              </w:rPr>
              <w:t>万(含利息)。项目原计划在一 类办事处北京、上海、青岛、广州购置办公用房作为办公场地使用，现由于实际经营需要，将原计 划购置房产的实施方式改为通过租赁房产来实施，因此节约了项目成本。</w:t>
            </w:r>
          </w:p>
          <w:p>
            <w:pPr>
              <w:pStyle w:val="Style6"/>
              <w:keepNext w:val="0"/>
              <w:keepLines w:val="0"/>
              <w:widowControl w:val="0"/>
              <w:shd w:val="clear" w:color="auto" w:fill="auto"/>
              <w:tabs>
                <w:tab w:pos="28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w:t>
            </w:r>
            <w:r>
              <w:rPr>
                <w:color w:val="000000"/>
                <w:spacing w:val="0"/>
                <w:w w:val="100"/>
                <w:position w:val="0"/>
              </w:rPr>
              <w:t>该项目公司原计划投资</w:t>
            </w:r>
            <w:r>
              <w:rPr>
                <w:rFonts w:ascii="Times New Roman" w:eastAsia="Times New Roman" w:hAnsi="Times New Roman" w:cs="Times New Roman"/>
                <w:color w:val="000000"/>
                <w:spacing w:val="0"/>
                <w:w w:val="100"/>
                <w:position w:val="0"/>
              </w:rPr>
              <w:t>5,621</w:t>
            </w:r>
            <w:r>
              <w:rPr>
                <w:color w:val="000000"/>
                <w:spacing w:val="0"/>
                <w:w w:val="100"/>
                <w:position w:val="0"/>
              </w:rPr>
              <w:t>万元，原计划完成时间为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月，中国人民银行发布中国人民银行令【</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号文件《非金融机构 支付服务管理办法》(以下简称</w:t>
            </w:r>
            <w:r>
              <w:rPr>
                <w:rFonts w:ascii="Times New Roman" w:eastAsia="Times New Roman" w:hAnsi="Times New Roman" w:cs="Times New Roman"/>
                <w:color w:val="000000"/>
                <w:spacing w:val="0"/>
                <w:w w:val="100"/>
                <w:position w:val="0"/>
              </w:rPr>
              <w:t>“2</w:t>
            </w:r>
            <w:r>
              <w:rPr>
                <w:color w:val="000000"/>
                <w:spacing w:val="0"/>
                <w:w w:val="100"/>
                <w:position w:val="0"/>
              </w:rPr>
              <w:t>号令</w:t>
            </w:r>
            <w:r>
              <w:rPr>
                <w:rFonts w:ascii="Times New Roman" w:eastAsia="Times New Roman" w:hAnsi="Times New Roman" w:cs="Times New Roman"/>
                <w:color w:val="000000"/>
                <w:spacing w:val="0"/>
                <w:w w:val="100"/>
                <w:position w:val="0"/>
              </w:rPr>
              <w:t>”</w:t>
            </w:r>
            <w:r>
              <w:rPr>
                <w:color w:val="000000"/>
                <w:spacing w:val="0"/>
                <w:w w:val="100"/>
                <w:position w:val="0"/>
              </w:rPr>
              <w:t>)，根据该办法规定，国内非金融机构从事网上支付、预付 卡的发行与受理、银行卡收单服务等业务的，必须通过中国人民银行审批，并获得相关业务许可证 书。电子支付终端设备运营项目的运营内容主要为与广州羊城通有限公司合作开展基于</w:t>
            </w:r>
            <w:r>
              <w:rPr>
                <w:rFonts w:ascii="Times New Roman" w:eastAsia="Times New Roman" w:hAnsi="Times New Roman" w:cs="Times New Roman"/>
                <w:color w:val="000000"/>
                <w:spacing w:val="0"/>
                <w:w w:val="100"/>
                <w:position w:val="0"/>
              </w:rPr>
              <w:t>“</w:t>
            </w:r>
            <w:r>
              <w:rPr>
                <w:color w:val="000000"/>
                <w:spacing w:val="0"/>
                <w:w w:val="100"/>
                <w:position w:val="0"/>
              </w:rPr>
              <w:t>羊城通</w:t>
            </w:r>
            <w:r>
              <w:rPr>
                <w:rFonts w:ascii="Times New Roman" w:eastAsia="Times New Roman" w:hAnsi="Times New Roman" w:cs="Times New Roman"/>
                <w:color w:val="000000"/>
                <w:spacing w:val="0"/>
                <w:w w:val="100"/>
                <w:position w:val="0"/>
              </w:rPr>
              <w:t>”</w:t>
            </w:r>
            <w:r>
              <w:rPr>
                <w:color w:val="000000"/>
                <w:spacing w:val="0"/>
                <w:w w:val="100"/>
                <w:position w:val="0"/>
              </w:rPr>
              <w:t>公 交卡的小额支付合作运营业务，以及为商业银行、第三方提供设备租赁服务。由于受到</w:t>
            </w:r>
            <w:r>
              <w:rPr>
                <w:rFonts w:ascii="Times New Roman" w:eastAsia="Times New Roman" w:hAnsi="Times New Roman" w:cs="Times New Roman"/>
                <w:color w:val="000000"/>
                <w:spacing w:val="0"/>
                <w:w w:val="100"/>
                <w:position w:val="0"/>
              </w:rPr>
              <w:t>2</w:t>
            </w:r>
            <w:r>
              <w:rPr>
                <w:color w:val="000000"/>
                <w:spacing w:val="0"/>
                <w:w w:val="100"/>
                <w:position w:val="0"/>
              </w:rPr>
              <w:t>号令实施 和审批进度的影响，以及广州羊城通有限公司在申领预付卡发行与受理牌照的进度限制，本项目的 实施进度缓慢，项目一直未能达到预计收益。截止至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日，广州羊城通有限公司仍未 能取得预付卡发行与受理牌照，对公司电子支付终端设备运营项目产生直接影响。鉴于上述情况， 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日召开第三届董事会第七次会议，审议通过了《关于终止部分募投项目并将 剩余募集资金永久补充流动资金的议案》，同意终止募投项目</w:t>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w:t>
            </w:r>
            <w:r>
              <w:rPr>
                <w:color w:val="000000"/>
                <w:spacing w:val="0"/>
                <w:w w:val="100"/>
                <w:position w:val="0"/>
              </w:rPr>
              <w:t>'的实施， 并将该项目剩余资金(含利息收入)(资金转出当日银行结息余额为</w:t>
            </w:r>
            <w:r>
              <w:rPr>
                <w:rFonts w:ascii="Times New Roman" w:eastAsia="Times New Roman" w:hAnsi="Times New Roman" w:cs="Times New Roman"/>
                <w:color w:val="000000"/>
                <w:spacing w:val="0"/>
                <w:w w:val="100"/>
                <w:position w:val="0"/>
              </w:rPr>
              <w:t>3,123.16</w:t>
            </w:r>
            <w:r>
              <w:rPr>
                <w:color w:val="000000"/>
                <w:spacing w:val="0"/>
                <w:w w:val="100"/>
                <w:position w:val="0"/>
              </w:rPr>
              <w:t>万元(含利息))永久 补充流动资金。</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尚未使用的募集资金均存放在公司的募集资金专户。</w:t>
            </w: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37"/>
        <w:keepNext/>
        <w:keepLines/>
        <w:widowControl w:val="0"/>
        <w:numPr>
          <w:ilvl w:val="0"/>
          <w:numId w:val="13"/>
        </w:numPr>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募集资金变更项目情况</w:t>
      </w:r>
      <w:bookmarkEnd w:id="223"/>
      <w:bookmarkEnd w:id="224"/>
      <w:bookmarkEnd w:id="22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60"/>
        <w:gridCol w:w="950"/>
        <w:gridCol w:w="960"/>
        <w:gridCol w:w="965"/>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32"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电子支付 技术产研基 地建设项目</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电子支付技 术产研基地 建设项目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16,001.82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955"/>
        <w:gridCol w:w="965"/>
        <w:gridCol w:w="950"/>
        <w:gridCol w:w="960"/>
        <w:gridCol w:w="955"/>
        <w:gridCol w:w="960"/>
        <w:gridCol w:w="950"/>
        <w:gridCol w:w="960"/>
        <w:gridCol w:w="965"/>
      </w:tblGrid>
      <w:tr>
        <w:trPr>
          <w:trHeight w:val="134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该项目终止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增资易联技 术公司开展 电子支付服 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16,001.82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1,321.71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370"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CCE8CF"/>
            <w:vAlign w:val="center"/>
          </w:tcPr>
          <w:p>
            <w:pPr>
              <w:pStyle w:val="Style6"/>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日，经第二届董事会第五次会议、第二届监事会第四 次会议审议通过，于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 审议变更募投项目电子支付技术产研基地建设项目实施地址及部分实施方式的议 案》，决定将原计划投入南京的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 中心迁移到苏州实施，项目规划的生产中心迁移到深圳宝安区实施。其中，公司目前 未在深圳获得自有土地使用权，项目规划的生产中心由自建变更为租赁房屋建设。同 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 苏州实施，项目规划的生产中心迁移到深圳宝安区以租赁房屋的方式实施。原投入南 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总投资</w:t>
            </w:r>
            <w:r>
              <w:rPr>
                <w:rFonts w:ascii="Times New Roman" w:eastAsia="Times New Roman" w:hAnsi="Times New Roman" w:cs="Times New Roman"/>
                <w:color w:val="000000"/>
                <w:spacing w:val="0"/>
                <w:w w:val="100"/>
                <w:position w:val="0"/>
              </w:rPr>
              <w:t>15,306</w:t>
            </w:r>
            <w:r>
              <w:rPr>
                <w:color w:val="000000"/>
                <w:spacing w:val="0"/>
                <w:w w:val="100"/>
                <w:position w:val="0"/>
              </w:rPr>
              <w:t>万元，扣除投入深圳生产中心的</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万元，剩余的</w:t>
            </w:r>
            <w:r>
              <w:rPr>
                <w:rFonts w:ascii="Times New Roman" w:eastAsia="Times New Roman" w:hAnsi="Times New Roman" w:cs="Times New Roman"/>
                <w:color w:val="000000"/>
                <w:spacing w:val="0"/>
                <w:w w:val="100"/>
                <w:position w:val="0"/>
              </w:rPr>
              <w:t>12,806</w:t>
            </w:r>
            <w:r>
              <w:rPr>
                <w:color w:val="000000"/>
                <w:spacing w:val="0"/>
                <w:w w:val="100"/>
                <w:position w:val="0"/>
              </w:rPr>
              <w:t>万元全部投入苏州项目。公司通过募集资金专户向原募投项目支 付的人民币</w:t>
            </w:r>
            <w:r>
              <w:rPr>
                <w:rFonts w:ascii="Times New Roman" w:eastAsia="Times New Roman" w:hAnsi="Times New Roman" w:cs="Times New Roman"/>
                <w:color w:val="000000"/>
                <w:spacing w:val="0"/>
                <w:w w:val="100"/>
                <w:position w:val="0"/>
              </w:rPr>
              <w:t>1,475.71</w:t>
            </w:r>
            <w:r>
              <w:rPr>
                <w:color w:val="000000"/>
                <w:spacing w:val="0"/>
                <w:w w:val="100"/>
                <w:position w:val="0"/>
              </w:rPr>
              <w:t>万元（主要用于土地使用权出让金、土地交易税费、建筑方案设 计费），已全部用公司自有资金予以置换。</w:t>
            </w:r>
          </w:p>
          <w:p>
            <w:pPr>
              <w:pStyle w:val="Style6"/>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增资易联技术开展电子支付服务项目，项目可行性发生重大变化，具体情况为： 随着</w:t>
            </w:r>
            <w:r>
              <w:rPr>
                <w:rFonts w:ascii="Times New Roman" w:eastAsia="Times New Roman" w:hAnsi="Times New Roman" w:cs="Times New Roman"/>
                <w:color w:val="000000"/>
                <w:spacing w:val="0"/>
                <w:w w:val="100"/>
                <w:position w:val="0"/>
              </w:rPr>
              <w:t>2</w:t>
            </w:r>
            <w:r>
              <w:rPr>
                <w:color w:val="000000"/>
                <w:spacing w:val="0"/>
                <w:w w:val="100"/>
                <w:position w:val="0"/>
              </w:rPr>
              <w:t>号令的推行，国内第三方支付市场发生重大变化，且市场竞争不断加剧。易联 技术开展电子支付服务项目，主要是为了推进小额支付运营业务的进展，计划申领预 付卡发行和受理业务。由于公司的小额支付运营业务受到阻碍，导致本项目无法实际 开展，造成项目可行性发生重大变化。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 大会审议通过了《审议终止深圳市易联技术有限公司</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 与主营业务相关的营运资金</w:t>
            </w:r>
            <w:r>
              <w:rPr>
                <w:rFonts w:ascii="Times New Roman" w:eastAsia="Times New Roman" w:hAnsi="Times New Roman" w:cs="Times New Roman"/>
                <w:color w:val="000000"/>
                <w:spacing w:val="0"/>
                <w:w w:val="100"/>
                <w:position w:val="0"/>
              </w:rPr>
              <w:t>1</w:t>
            </w:r>
            <w:r>
              <w:rPr>
                <w:color w:val="000000"/>
                <w:spacing w:val="0"/>
                <w:w w:val="100"/>
                <w:position w:val="0"/>
              </w:rPr>
              <w:t>亿元的议案》，终止该项目的实施，以提高超募资金的 使用效率。</w:t>
            </w:r>
          </w:p>
        </w:tc>
      </w:tr>
      <w:tr>
        <w:trPr>
          <w:trHeight w:val="715"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gridSpan w:val="3"/>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六</w:t>
      </w:r>
      <w:bookmarkEnd w:id="229"/>
      <w:r>
        <w:rPr>
          <w:color w:val="000000"/>
          <w:spacing w:val="0"/>
          <w:w w:val="100"/>
          <w:position w:val="0"/>
          <w:sz w:val="24"/>
          <w:szCs w:val="24"/>
        </w:rPr>
        <w:t>、重大资产和股权出售</w:t>
      </w:r>
      <w:bookmarkEnd w:id="227"/>
      <w:bookmarkEnd w:id="228"/>
      <w:bookmarkEnd w:id="230"/>
    </w:p>
    <w:p>
      <w:pPr>
        <w:pStyle w:val="Style33"/>
        <w:keepNext/>
        <w:keepLines/>
        <w:widowControl w:val="0"/>
        <w:shd w:val="clear" w:color="auto" w:fill="auto"/>
        <w:bidi w:val="0"/>
        <w:spacing w:before="0" w:after="32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8"/>
        <w:gridCol w:w="638"/>
        <w:gridCol w:w="643"/>
        <w:gridCol w:w="638"/>
        <w:gridCol w:w="638"/>
        <w:gridCol w:w="653"/>
        <w:gridCol w:w="624"/>
        <w:gridCol w:w="638"/>
        <w:gridCol w:w="638"/>
        <w:gridCol w:w="653"/>
        <w:gridCol w:w="624"/>
        <w:gridCol w:w="629"/>
        <w:gridCol w:w="643"/>
        <w:gridCol w:w="638"/>
        <w:gridCol w:w="643"/>
      </w:tblGrid>
      <w:tr>
        <w:trPr>
          <w:trHeight w:val="229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出售对 公司的 影响</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资产出 售为上 市公司 贡献的 净利润 占净利 润总额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施，应</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8"/>
        <w:gridCol w:w="634"/>
        <w:gridCol w:w="648"/>
        <w:gridCol w:w="638"/>
        <w:gridCol w:w="643"/>
        <w:gridCol w:w="629"/>
        <w:gridCol w:w="643"/>
        <w:gridCol w:w="638"/>
        <w:gridCol w:w="638"/>
        <w:gridCol w:w="638"/>
        <w:gridCol w:w="638"/>
        <w:gridCol w:w="638"/>
        <w:gridCol w:w="634"/>
        <w:gridCol w:w="638"/>
        <w:gridCol w:w="643"/>
      </w:tblGrid>
      <w:tr>
        <w:trPr>
          <w:trHeight w:val="16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当说明 原因及 公司已 采取的 措施</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997" w:hRule="exact"/>
        </w:trPr>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扬子江 药业集 团南京</w:t>
            </w:r>
          </w:p>
        </w:tc>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 有的南 京市新 国都技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 权转让 有利于 优化公 司资产 结构，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按计划 如期实</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转让全 资子公 司</w:t>
            </w:r>
          </w:p>
        </w:tc>
      </w:tr>
      <w:tr>
        <w:trPr>
          <w:trHeight w:val="154" w:hRule="exact"/>
        </w:trPr>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海陵药</w:t>
            </w:r>
          </w:p>
        </w:tc>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5,334.5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-72.06</w:t>
            </w: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降低经</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22.84%</w:t>
            </w:r>
          </w:p>
        </w:tc>
        <w:tc>
          <w:tcPr>
            <w:vMerge w:val="restart"/>
            <w:tcBorders>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CCE8C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tcBorders>
              <w:left w:val="single" w:sz="4"/>
            </w:tcBorders>
            <w:shd w:val="clear" w:color="auto" w:fill="CCE8C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p>
        </w:tc>
      </w:tr>
      <w:tr>
        <w:trPr>
          <w:trHeight w:val="158"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w:t>
            </w:r>
          </w:p>
        </w:tc>
        <w:tc>
          <w:tcPr>
            <w:vMerge/>
            <w:tcBorders>
              <w:left w:val="single" w:sz="4"/>
            </w:tcBorders>
            <w:shd w:val="clear" w:color="auto" w:fill="FFFFFF"/>
            <w:vAlign w:val="top"/>
          </w:tcPr>
          <w:p>
            <w:pPr/>
          </w:p>
        </w:tc>
        <w:tc>
          <w:tcPr>
            <w:vMerge w:val="restart"/>
            <w:tcBorders>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股权的 公告》</w:t>
            </w:r>
          </w:p>
        </w:tc>
      </w:tr>
      <w:tr>
        <w:trPr>
          <w:trHeight w:val="154" w:hRule="exact"/>
        </w:trPr>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w:t>
            </w:r>
          </w:p>
        </w:tc>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营风</w:t>
            </w:r>
          </w:p>
        </w:tc>
        <w:tc>
          <w:tcPr>
            <w:vMerge/>
            <w:tcBorders>
              <w:left w:val="single" w:sz="4"/>
            </w:tcBorders>
            <w:shd w:val="clear" w:color="auto" w:fill="FFFFFF"/>
            <w:vAlign w:val="top"/>
          </w:tcPr>
          <w:p>
            <w:pPr/>
          </w:p>
        </w:tc>
        <w:tc>
          <w:tcPr>
            <w:vMerge/>
            <w:tcBorders>
              <w:left w:val="single" w:sz="4"/>
            </w:tcBorders>
            <w:shd w:val="clear" w:color="auto" w:fill="CCE8C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right w:val="single" w:sz="4"/>
            </w:tcBorders>
            <w:shd w:val="clear" w:color="auto" w:fill="CCE8CF"/>
            <w:vAlign w:val="center"/>
          </w:tcPr>
          <w:p>
            <w:pPr/>
          </w:p>
        </w:tc>
      </w:tr>
      <w:tr>
        <w:trPr>
          <w:trHeight w:val="158"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CCE8CF"/>
            <w:vAlign w:val="center"/>
          </w:tcPr>
          <w:p>
            <w:pPr/>
          </w:p>
        </w:tc>
      </w:tr>
      <w:tr>
        <w:trPr>
          <w:trHeight w:val="302" w:hRule="exact"/>
        </w:trPr>
        <w:tc>
          <w:tcPr>
            <w:vMerge w:val="restart"/>
            <w:tcBorders>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险，提 高公司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CCE8CF"/>
            <w:vAlign w:val="center"/>
          </w:tcPr>
          <w:p>
            <w:pPr/>
          </w:p>
        </w:tc>
      </w:tr>
      <w:tr>
        <w:trPr>
          <w:trHeight w:val="312" w:hRule="exact"/>
        </w:trPr>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w:t>
            </w:r>
          </w:p>
        </w:tc>
      </w:tr>
      <w:tr>
        <w:trPr>
          <w:trHeight w:val="245" w:hRule="exact"/>
        </w:trPr>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30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w:t>
            </w:r>
          </w:p>
        </w:tc>
      </w:tr>
      <w:tr>
        <w:trPr>
          <w:trHeight w:val="360"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w:t>
            </w:r>
          </w:p>
        </w:tc>
      </w:tr>
      <w:tr>
        <w:trPr>
          <w:trHeight w:val="35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0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31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拟转让</w:t>
            </w:r>
          </w:p>
        </w:tc>
      </w:tr>
      <w:tr>
        <w:trPr>
          <w:trHeight w:val="30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开第三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r>
      <w:tr>
        <w:trPr>
          <w:trHeight w:val="30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届董事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瑞柏泰</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会第三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电子有</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十六次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的正常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全部股</w:t>
            </w:r>
          </w:p>
        </w:tc>
      </w:tr>
      <w:tr>
        <w:trPr>
          <w:trHeight w:val="30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议通过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权的公</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有的深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告》公</w:t>
            </w:r>
          </w:p>
        </w:tc>
      </w:tr>
      <w:tr>
        <w:trPr>
          <w:trHeight w:val="379" w:hRule="exact"/>
        </w:trPr>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圳市瑞</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务状况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签署转</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73" w:hRule="exact"/>
        </w:trPr>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柏士泰</w:t>
            </w: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柏泰电</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协商确</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让深圳</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vMerge w:val="restart"/>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144" w:hRule="exact"/>
        </w:trPr>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316.41</w:t>
            </w:r>
          </w:p>
        </w:tc>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成果不</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vMerge w:val="restart"/>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tcBorders>
              <w:left w:val="single" w:sz="4"/>
            </w:tcBorders>
            <w:shd w:val="clear" w:color="auto" w:fill="FFFFFF"/>
            <w:vAlign w:val="center"/>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CCE8CF"/>
            <w:vAlign w:val="top"/>
          </w:tcPr>
          <w:p>
            <w:pPr/>
          </w:p>
        </w:tc>
      </w:tr>
      <w:tr>
        <w:trPr>
          <w:trHeight w:val="173"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市瑞柏</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w:t>
            </w:r>
          </w:p>
        </w:tc>
      </w:tr>
      <w:tr>
        <w:trPr>
          <w:trHeight w:val="134"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CE8C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CCE8CF"/>
            <w:vAlign w:val="top"/>
          </w:tcPr>
          <w:p>
            <w:pPr/>
          </w:p>
        </w:tc>
      </w:tr>
      <w:tr>
        <w:trPr>
          <w:trHeight w:val="250" w:hRule="exact"/>
        </w:trPr>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会产生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泰电子</w:t>
            </w:r>
          </w:p>
        </w:tc>
        <w:tc>
          <w:tcPr>
            <w:vMerge/>
            <w:tcBorders>
              <w:left w:val="single" w:sz="4"/>
            </w:tcBorders>
            <w:shd w:val="clear" w:color="auto" w:fill="FFFFFF"/>
            <w:vAlign w:val="center"/>
          </w:tcPr>
          <w:p>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w:t>
            </w:r>
            <w:r>
              <w:rPr>
                <w:color w:val="000000"/>
                <w:spacing w:val="0"/>
                <w:w w:val="100"/>
                <w:position w:val="0"/>
              </w:rPr>
              <w:t>；《关</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于转让</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响，不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司全部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会损害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瑞柏泰</w:t>
            </w:r>
          </w:p>
        </w:tc>
      </w:tr>
      <w:tr>
        <w:trPr>
          <w:trHeight w:val="31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电子有</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议二的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r>
      <w:tr>
        <w:trPr>
          <w:trHeight w:val="31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股权的</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决定对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1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w:t>
            </w:r>
          </w:p>
        </w:tc>
      </w:tr>
      <w:tr>
        <w:trPr>
          <w:trHeight w:val="317"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回购协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302"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议》中</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CE8C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w:t>
            </w:r>
          </w:p>
        </w:tc>
      </w:tr>
      <w:tr>
        <w:trPr>
          <w:trHeight w:val="331" w:hRule="exact"/>
        </w:trPr>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回购</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CCE8C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91 </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648"/>
        <w:gridCol w:w="638"/>
        <w:gridCol w:w="643"/>
        <w:gridCol w:w="638"/>
        <w:gridCol w:w="638"/>
        <w:gridCol w:w="638"/>
        <w:gridCol w:w="638"/>
        <w:gridCol w:w="638"/>
        <w:gridCol w:w="638"/>
        <w:gridCol w:w="638"/>
        <w:gridCol w:w="638"/>
        <w:gridCol w:w="638"/>
        <w:gridCol w:w="634"/>
        <w:gridCol w:w="638"/>
        <w:gridCol w:w="643"/>
      </w:tblGrid>
      <w:tr>
        <w:trPr>
          <w:trHeight w:val="4747"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价格的 支付</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做出调 整，第 一笔回 购款支 付时间 变更为 </w:t>
            </w:r>
            <w:r>
              <w:rPr>
                <w:rFonts w:ascii="Times New Roman" w:eastAsia="Times New Roman" w:hAnsi="Times New Roman" w:cs="Times New Roman"/>
                <w:color w:val="000000"/>
                <w:spacing w:val="0"/>
                <w:w w:val="100"/>
                <w:position w:val="0"/>
              </w:rPr>
              <w:t>“</w:t>
            </w:r>
            <w:r>
              <w:rPr>
                <w:color w:val="000000"/>
                <w:spacing w:val="0"/>
                <w:w w:val="100"/>
                <w:position w:val="0"/>
              </w:rPr>
              <w:t>工商 变更手 续办理 完毕之 日起七 个自然 月内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6"/>
              <w:keepNext w:val="0"/>
              <w:keepLines w:val="0"/>
              <w:widowControl w:val="0"/>
              <w:shd w:val="clear" w:color="auto" w:fill="auto"/>
              <w:bidi w:val="0"/>
              <w:spacing w:before="0" w:after="80" w:line="310" w:lineRule="exact"/>
              <w:ind w:left="0" w:right="0" w:firstLine="0"/>
              <w:jc w:val="both"/>
            </w:pPr>
            <w:r>
              <w:rPr>
                <w:color w:val="000000"/>
                <w:spacing w:val="0"/>
                <w:w w:val="100"/>
                <w:position w:val="0"/>
              </w:rPr>
              <w:t xml:space="preserve">于转让 深圳市 瑞柏泰 电子有 限公司 股权的 进展公 告》公 告编 号： </w:t>
            </w:r>
            <w:r>
              <w:rPr>
                <w:rFonts w:ascii="Times New Roman" w:eastAsia="Times New Roman" w:hAnsi="Times New Roman" w:cs="Times New Roman"/>
                <w:color w:val="000000"/>
                <w:spacing w:val="0"/>
                <w:w w:val="100"/>
                <w:position w:val="0"/>
              </w:rPr>
              <w:t>2016-1</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32</w:t>
            </w:r>
            <w:r>
              <w:rPr>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77"/>
        <w:gridCol w:w="686"/>
        <w:gridCol w:w="682"/>
        <w:gridCol w:w="696"/>
        <w:gridCol w:w="672"/>
        <w:gridCol w:w="682"/>
        <w:gridCol w:w="686"/>
        <w:gridCol w:w="686"/>
        <w:gridCol w:w="682"/>
        <w:gridCol w:w="696"/>
        <w:gridCol w:w="667"/>
        <w:gridCol w:w="691"/>
        <w:gridCol w:w="686"/>
      </w:tblGrid>
      <w:tr>
        <w:trPr>
          <w:trHeight w:val="384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w:t>
            </w:r>
          </w:p>
          <w:p>
            <w:pPr>
              <w:pStyle w:val="Style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施，应 当说明 原因及 公司已 采取的 措施</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3806"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扬子江 药业集 团南京 海陵药 业有限 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南京市 新国都 技术有 限公司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-72.06</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 权转让 有利于 优化公 司资产 结构， 降低经 营风 险，提 高公司 资产变 现能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22.84%</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第三方</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非关联</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《关于 转让全 资子公 司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 xml:space="preserve">股 权的公 告》公 告编 号： </w:t>
            </w:r>
            <w:r>
              <w:rPr>
                <w:rFonts w:ascii="Times New Roman" w:eastAsia="Times New Roman" w:hAnsi="Times New Roman" w:cs="Times New Roman"/>
                <w:color w:val="000000"/>
                <w:spacing w:val="0"/>
                <w:w w:val="100"/>
                <w:position w:val="0"/>
              </w:rPr>
              <w:t>2016-07</w:t>
            </w:r>
          </w:p>
        </w:tc>
      </w:tr>
    </w:tbl>
    <w:p>
      <w:pPr>
        <w:spacing w:lineRule="exact" w:line="1"/>
        <w:rPr>
          <w:sz w:val="2"/>
          <w:szCs w:val="2"/>
        </w:rPr>
      </w:pPr>
      <w:r>
        <w:br w:type="page"/>
      </w:r>
    </w:p>
    <w:tbl>
      <w:tblPr>
        <w:tblOverlap w:val="never"/>
        <w:jc w:val="center"/>
        <w:tblLayout w:type="fixed"/>
      </w:tblPr>
      <w:tblGrid>
        <w:gridCol w:w="691"/>
        <w:gridCol w:w="677"/>
        <w:gridCol w:w="686"/>
        <w:gridCol w:w="682"/>
        <w:gridCol w:w="696"/>
        <w:gridCol w:w="672"/>
        <w:gridCol w:w="682"/>
        <w:gridCol w:w="686"/>
        <w:gridCol w:w="686"/>
        <w:gridCol w:w="682"/>
        <w:gridCol w:w="701"/>
        <w:gridCol w:w="658"/>
        <w:gridCol w:w="696"/>
        <w:gridCol w:w="686"/>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r>
      <w:tr>
        <w:trPr>
          <w:trHeight w:val="12581"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柏士泰 科技有 限公司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新国都 持有的 瑞柏泰 </w:t>
            </w:r>
            <w:r>
              <w:rPr>
                <w:rFonts w:ascii="Times New Roman" w:eastAsia="Times New Roman" w:hAnsi="Times New Roman" w:cs="Times New Roman"/>
                <w:color w:val="000000"/>
                <w:spacing w:val="0"/>
                <w:w w:val="100"/>
                <w:position w:val="0"/>
              </w:rPr>
              <w:t>24%</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316.41</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 权转让 对公司 的正常 经营、 未来财 务状况 和经营 成果不 会产生 重大影 响，不 会损害 公司及 股东 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协商确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非关联</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日召开 第三届 董事会 第三十 六次会 议审议 通过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签署转 让深圳 市瑞柏 泰电子 有限公 司全部 股权的 补充协 议二的 议案》， 决定对</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《股权 回购协 议》中 </w:t>
            </w:r>
            <w:r>
              <w:rPr>
                <w:rFonts w:ascii="Times New Roman" w:eastAsia="Times New Roman" w:hAnsi="Times New Roman" w:cs="Times New Roman"/>
                <w:color w:val="000000"/>
                <w:spacing w:val="0"/>
                <w:w w:val="100"/>
                <w:position w:val="0"/>
              </w:rPr>
              <w:t>“</w:t>
            </w:r>
            <w:r>
              <w:rPr>
                <w:color w:val="000000"/>
                <w:spacing w:val="0"/>
                <w:w w:val="100"/>
                <w:position w:val="0"/>
              </w:rPr>
              <w:t>回购价 格的支 付</w:t>
            </w:r>
            <w:r>
              <w:rPr>
                <w:rFonts w:ascii="Times New Roman" w:eastAsia="Times New Roman" w:hAnsi="Times New Roman" w:cs="Times New Roman"/>
                <w:color w:val="000000"/>
                <w:spacing w:val="0"/>
                <w:w w:val="100"/>
                <w:position w:val="0"/>
              </w:rPr>
              <w:t>'</w:t>
            </w:r>
            <w:r>
              <w:rPr>
                <w:color w:val="000000"/>
                <w:spacing w:val="0"/>
                <w:w w:val="100"/>
                <w:position w:val="0"/>
              </w:rPr>
              <w:t>'做出 调整， 第一笔 回购款 支付时 间变更 为</w:t>
            </w:r>
            <w:r>
              <w:rPr>
                <w:rFonts w:ascii="Times New Roman" w:eastAsia="Times New Roman" w:hAnsi="Times New Roman" w:cs="Times New Roman"/>
                <w:color w:val="000000"/>
                <w:spacing w:val="0"/>
                <w:w w:val="100"/>
                <w:position w:val="0"/>
              </w:rPr>
              <w:t>“</w:t>
            </w:r>
            <w:r>
              <w:rPr>
                <w:color w:val="000000"/>
                <w:spacing w:val="0"/>
                <w:w w:val="100"/>
                <w:position w:val="0"/>
              </w:rPr>
              <w:t>工商 变更手 续办理 完毕之 日起七 个自然 月内</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拟转让 深圳市 瑞柏泰 电子有 限公司 全部股 权的公 告》公 告编 号： </w:t>
            </w:r>
            <w:r>
              <w:rPr>
                <w:rFonts w:ascii="Times New Roman" w:eastAsia="Times New Roman" w:hAnsi="Times New Roman" w:cs="Times New Roman"/>
                <w:color w:val="000000"/>
                <w:spacing w:val="0"/>
                <w:w w:val="100"/>
                <w:position w:val="0"/>
              </w:rPr>
              <w:t xml:space="preserve">2016-07 </w:t>
            </w:r>
            <w:r>
              <w:rPr>
                <w:rFonts w:ascii="Times New Roman" w:eastAsia="Times New Roman" w:hAnsi="Times New Roman" w:cs="Times New Roman"/>
                <w:color w:val="000000"/>
                <w:spacing w:val="0"/>
                <w:w w:val="100"/>
                <w:position w:val="0"/>
              </w:rPr>
              <w:t>6</w:t>
            </w:r>
            <w:r>
              <w:rPr>
                <w:color w:val="000000"/>
                <w:spacing w:val="0"/>
                <w:w w:val="100"/>
                <w:position w:val="0"/>
              </w:rPr>
              <w:t xml:space="preserve">；《关 于转让 深圳市 瑞柏泰 电子有 限公司 股权的 公告》 公告编 号： </w:t>
            </w:r>
            <w:r>
              <w:rPr>
                <w:rFonts w:ascii="Times New Roman" w:eastAsia="Times New Roman" w:hAnsi="Times New Roman" w:cs="Times New Roman"/>
                <w:color w:val="000000"/>
                <w:spacing w:val="0"/>
                <w:w w:val="100"/>
                <w:position w:val="0"/>
              </w:rPr>
              <w:t xml:space="preserve">2016-09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；《关 于转让 深圳市 瑞柏泰 电子有 限公司 股权的 进展公 告》公 告编 号： </w:t>
            </w:r>
            <w:r>
              <w:rPr>
                <w:rFonts w:ascii="Times New Roman" w:eastAsia="Times New Roman" w:hAnsi="Times New Roman" w:cs="Times New Roman"/>
                <w:color w:val="000000"/>
                <w:spacing w:val="0"/>
                <w:w w:val="100"/>
                <w:position w:val="0"/>
              </w:rPr>
              <w:t xml:space="preserve">2016-13 </w:t>
            </w:r>
            <w:r>
              <w:rPr>
                <w:rFonts w:ascii="Times New Roman" w:eastAsia="Times New Roman" w:hAnsi="Times New Roman" w:cs="Times New Roman"/>
                <w:color w:val="000000"/>
                <w:spacing w:val="0"/>
                <w:w w:val="100"/>
                <w:position w:val="0"/>
              </w:rPr>
              <w:t>2</w:t>
            </w:r>
            <w:r>
              <w:rPr>
                <w:color w:val="000000"/>
                <w:spacing w:val="0"/>
                <w:w w:val="100"/>
                <w:position w:val="0"/>
              </w:rPr>
              <w:t>。</w:t>
            </w:r>
          </w:p>
        </w:tc>
      </w:tr>
    </w:tbl>
    <w:p>
      <w:pPr>
        <w:pStyle w:val="Style25"/>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七</w:t>
      </w:r>
      <w:bookmarkEnd w:id="241"/>
      <w:r>
        <w:rPr>
          <w:color w:val="000000"/>
          <w:spacing w:val="0"/>
          <w:w w:val="100"/>
          <w:position w:val="0"/>
          <w:sz w:val="24"/>
          <w:szCs w:val="24"/>
        </w:rPr>
        <w:t>、主要控股参股公司分析</w:t>
      </w:r>
      <w:bookmarkEnd w:id="239"/>
      <w:bookmarkEnd w:id="240"/>
      <w:bookmarkEnd w:id="24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53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深圳嘉石大 岩资本管理 股份有限公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受托资产管 理（不含限 制项目）；投 资管理及投 资咨询（不 含限制项 目）；企业管 理及咨询</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（不含限制 项目）；企业 管理策划。</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18,666,667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681,749,348.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625,904,983.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201,637,737.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113,529,433.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83,777,720.9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w:t>
            </w:r>
            <w:r>
              <w:rPr>
                <w:rFonts w:ascii="Times New Roman" w:eastAsia="Times New Roman" w:hAnsi="Times New Roman" w:cs="Times New Roman"/>
                <w:color w:val="000000"/>
                <w:spacing w:val="0"/>
                <w:w w:val="100"/>
                <w:position w:val="0"/>
              </w:rPr>
              <w:t>3,296.03</w:t>
            </w:r>
            <w:r>
              <w:rPr>
                <w:color w:val="000000"/>
                <w:spacing w:val="0"/>
                <w:w w:val="100"/>
                <w:position w:val="0"/>
              </w:rPr>
              <w:t>万</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r>
              <w:rPr>
                <w:rFonts w:ascii="Times New Roman" w:eastAsia="Times New Roman" w:hAnsi="Times New Roman" w:cs="Times New Roman"/>
                <w:color w:val="000000"/>
                <w:spacing w:val="0"/>
                <w:w w:val="100"/>
                <w:position w:val="0"/>
              </w:rPr>
              <w:t>20%</w:t>
            </w:r>
            <w:r>
              <w:rPr>
                <w:color w:val="000000"/>
                <w:spacing w:val="0"/>
                <w:w w:val="100"/>
                <w:position w:val="0"/>
              </w:rPr>
              <w:t>股权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w:t>
            </w:r>
            <w:r>
              <w:rPr>
                <w:rFonts w:ascii="Times New Roman" w:eastAsia="Times New Roman" w:hAnsi="Times New Roman" w:cs="Times New Roman"/>
                <w:color w:val="000000"/>
                <w:spacing w:val="0"/>
                <w:w w:val="100"/>
                <w:position w:val="0"/>
              </w:rPr>
              <w:t>-302.54</w:t>
            </w:r>
            <w:r>
              <w:rPr>
                <w:color w:val="000000"/>
                <w:spacing w:val="0"/>
                <w:w w:val="100"/>
                <w:position w:val="0"/>
              </w:rPr>
              <w:t>万</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w:t>
            </w:r>
            <w:r>
              <w:rPr>
                <w:rFonts w:ascii="Times New Roman" w:eastAsia="Times New Roman" w:hAnsi="Times New Roman" w:cs="Times New Roman"/>
                <w:color w:val="000000"/>
                <w:spacing w:val="0"/>
                <w:w w:val="100"/>
                <w:position w:val="0"/>
              </w:rPr>
              <w:t>1,200.20</w:t>
            </w:r>
            <w:r>
              <w:rPr>
                <w:color w:val="000000"/>
                <w:spacing w:val="0"/>
                <w:w w:val="100"/>
                <w:position w:val="0"/>
              </w:rPr>
              <w:t>万</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深圳嘉石大岩资本管理股份有限公司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r>
              <w:rPr>
                <w:rFonts w:ascii="Times New Roman" w:eastAsia="Times New Roman" w:hAnsi="Times New Roman" w:cs="Times New Roman"/>
                <w:color w:val="000000"/>
                <w:spacing w:val="0"/>
                <w:w w:val="100"/>
                <w:position w:val="0"/>
              </w:rPr>
              <w:t>25%</w:t>
            </w:r>
            <w:r>
              <w:rPr>
                <w:color w:val="000000"/>
                <w:spacing w:val="0"/>
                <w:w w:val="100"/>
                <w:position w:val="0"/>
              </w:rPr>
              <w:t>股权</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w:t>
            </w:r>
            <w:r>
              <w:rPr>
                <w:rFonts w:ascii="Times New Roman" w:eastAsia="Times New Roman" w:hAnsi="Times New Roman" w:cs="Times New Roman"/>
                <w:color w:val="000000"/>
                <w:spacing w:val="0"/>
                <w:w w:val="100"/>
                <w:position w:val="0"/>
              </w:rPr>
              <w:t>1,776.45</w:t>
            </w:r>
            <w:r>
              <w:rPr>
                <w:color w:val="000000"/>
                <w:spacing w:val="0"/>
                <w:w w:val="100"/>
                <w:position w:val="0"/>
              </w:rPr>
              <w:t>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5"/>
        <w:keepNext/>
        <w:keepLines/>
        <w:widowControl w:val="0"/>
        <w:shd w:val="clear" w:color="auto" w:fill="auto"/>
        <w:tabs>
          <w:tab w:pos="522" w:val="left"/>
        </w:tabs>
        <w:bidi w:val="0"/>
        <w:spacing w:before="0" w:after="3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八</w:t>
      </w:r>
      <w:bookmarkEnd w:id="245"/>
      <w:r>
        <w:rPr>
          <w:color w:val="000000"/>
          <w:spacing w:val="0"/>
          <w:w w:val="100"/>
          <w:position w:val="0"/>
          <w:sz w:val="24"/>
          <w:szCs w:val="24"/>
        </w:rPr>
        <w:t>、</w:t>
        <w:tab/>
        <w:t>公司控制的结构化主体情况</w:t>
      </w:r>
      <w:bookmarkEnd w:id="243"/>
      <w:bookmarkEnd w:id="244"/>
      <w:bookmarkEnd w:id="246"/>
    </w:p>
    <w:p>
      <w:pPr>
        <w:pStyle w:val="Style2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九</w:t>
      </w:r>
      <w:bookmarkEnd w:id="249"/>
      <w:r>
        <w:rPr>
          <w:color w:val="000000"/>
          <w:spacing w:val="0"/>
          <w:w w:val="100"/>
          <w:position w:val="0"/>
          <w:sz w:val="24"/>
          <w:szCs w:val="24"/>
        </w:rPr>
        <w:t>、</w:t>
        <w:tab/>
        <w:t>公司未来发展的展望</w:t>
      </w:r>
      <w:bookmarkEnd w:id="247"/>
      <w:bookmarkEnd w:id="248"/>
      <w:bookmarkEnd w:id="250"/>
    </w:p>
    <w:p>
      <w:pPr>
        <w:pStyle w:val="Style28"/>
        <w:keepNext w:val="0"/>
        <w:keepLines w:val="0"/>
        <w:widowControl w:val="0"/>
        <w:shd w:val="clear" w:color="auto" w:fill="auto"/>
        <w:tabs>
          <w:tab w:pos="450" w:val="left"/>
        </w:tabs>
        <w:bidi w:val="0"/>
        <w:spacing w:before="0" w:after="0"/>
        <w:ind w:left="0" w:right="0" w:firstLine="0"/>
        <w:jc w:val="left"/>
      </w:pPr>
      <w:r>
        <w:rPr>
          <w:rFonts w:ascii="Times New Roman" w:eastAsia="Times New Roman" w:hAnsi="Times New Roman" w:cs="Times New Roman"/>
          <w:color w:val="000000"/>
          <w:spacing w:val="0"/>
          <w:w w:val="100"/>
          <w:position w:val="0"/>
        </w:rPr>
        <w:t>1.</w:t>
        <w:tab/>
      </w:r>
      <w:r>
        <w:rPr>
          <w:color w:val="000000"/>
          <w:spacing w:val="0"/>
          <w:w w:val="100"/>
          <w:position w:val="0"/>
        </w:rPr>
        <w:t>行业介绍</w:t>
      </w:r>
    </w:p>
    <w:p>
      <w:pPr>
        <w:pStyle w:val="Style28"/>
        <w:keepNext w:val="0"/>
        <w:keepLines w:val="0"/>
        <w:widowControl w:val="0"/>
        <w:shd w:val="clear" w:color="auto" w:fill="auto"/>
        <w:bidi w:val="0"/>
        <w:spacing w:before="0" w:after="0" w:line="312" w:lineRule="exact"/>
        <w:ind w:left="0" w:right="0" w:firstLine="0"/>
        <w:jc w:val="left"/>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）电子支付行业的核心参与方</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据央行发布的中国支付体系发展报告介绍，我国支付服务组织是以中国人民银行为核心、银行业金融机构（含财务公司） 为基础、特许清算机构和支付机构为补充，该多元化服务组织不断丰富，支付服务市场的专业化分工不断细化，支付服务的 能力、效率和质量不断提升。</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中国人民银行：中国人民银行作为中国支付体系建设的组织者、推动者、监督者，中国人民银行肩负</w:t>
      </w:r>
      <w:r>
        <w:rPr>
          <w:rFonts w:ascii="Times New Roman" w:eastAsia="Times New Roman" w:hAnsi="Times New Roman" w:cs="Times New Roman"/>
          <w:color w:val="000000"/>
          <w:spacing w:val="0"/>
          <w:w w:val="100"/>
          <w:position w:val="0"/>
        </w:rPr>
        <w:t>“</w:t>
      </w:r>
      <w:r>
        <w:rPr>
          <w:color w:val="000000"/>
          <w:spacing w:val="0"/>
          <w:w w:val="100"/>
          <w:position w:val="0"/>
        </w:rPr>
        <w:t>维护支付、清算 系统正常运行</w:t>
      </w:r>
      <w:r>
        <w:rPr>
          <w:rFonts w:ascii="Times New Roman" w:eastAsia="Times New Roman" w:hAnsi="Times New Roman" w:cs="Times New Roman"/>
          <w:color w:val="000000"/>
          <w:spacing w:val="0"/>
          <w:w w:val="100"/>
          <w:position w:val="0"/>
        </w:rPr>
        <w:t>”</w:t>
      </w:r>
      <w:r>
        <w:rPr>
          <w:color w:val="000000"/>
          <w:spacing w:val="0"/>
          <w:w w:val="100"/>
          <w:position w:val="0"/>
        </w:rPr>
        <w:t>等法定职责，建设运行了第二代支付系统、中央银行会计核算数据集中系统、全国支票影像交换系统、境内 外币支付系统等重要业务系统，为金融机构和金融市场提供低成本、高效率的公共清算平台，加速了社会资金周转，推动了 经济金融较快发展。</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银行业金融机构：银行业金融机构（以下简称银行）是支付服务的提供主体。银行大力推进金融服务创新，不断提高支 </w:t>
      </w:r>
      <w:r>
        <w:rPr>
          <w:color w:val="000000"/>
          <w:spacing w:val="0"/>
          <w:w w:val="100"/>
          <w:position w:val="0"/>
        </w:rPr>
        <w:t>付服务水平，在服务实体经济、守住风险底线、深化改革开放等方面取得明显成效。我国形成了多种类、广覆盖的银行机构 体系，它们通过后台完善业务系统、前台提供和受理各种支付工具（或支付工具受理机具）的形式，向广大单位和个人提供 多层次、差异化、个性化的支付服务。</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特许清算机构：清算机构积极参与中国支付服务市场，在特定领域提供专项支付服务。中国银联股份有限公司（以下简 称中国银联）是中国银行卡联合组织，通过银联跨行交易清算系统，实现商业银行系统间的互联互通和资源共享，保证银行 卡跨行、跨地区和跨境的使用。城市商业银行资金清算中心主要办理城市商业银行等中小金融机构的银行汇票等异地资金清 算业务。农信银资金清算中心借助农信银支付清算系统等渠道畅通汇路，支持农信社等中小金融机构发展网络支付、移动支 付等新兴支付。</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CIP s</w:t>
      </w:r>
      <w:r>
        <w:rPr>
          <w:color w:val="000000"/>
          <w:spacing w:val="0"/>
          <w:w w:val="100"/>
          <w:position w:val="0"/>
        </w:rPr>
        <w:t>运营机构：跨境银行间支付清算（上海）有限责任公司是经中国人民银行批准设立的</w:t>
      </w:r>
      <w:r>
        <w:rPr>
          <w:rFonts w:ascii="Times New Roman" w:eastAsia="Times New Roman" w:hAnsi="Times New Roman" w:cs="Times New Roman"/>
          <w:color w:val="000000"/>
          <w:spacing w:val="0"/>
          <w:w w:val="100"/>
          <w:position w:val="0"/>
        </w:rPr>
        <w:t>CIP S</w:t>
      </w:r>
      <w:r>
        <w:rPr>
          <w:color w:val="000000"/>
          <w:spacing w:val="0"/>
          <w:w w:val="100"/>
          <w:position w:val="0"/>
        </w:rPr>
        <w:t>运营机构，该机构是公 司制企业法人，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日在上海注册成立，负责</w:t>
      </w:r>
      <w:r>
        <w:rPr>
          <w:rFonts w:ascii="Times New Roman" w:eastAsia="Times New Roman" w:hAnsi="Times New Roman" w:cs="Times New Roman"/>
          <w:color w:val="000000"/>
          <w:spacing w:val="0"/>
          <w:w w:val="100"/>
          <w:position w:val="0"/>
        </w:rPr>
        <w:t>CIPS</w:t>
      </w:r>
      <w:r>
        <w:rPr>
          <w:color w:val="000000"/>
          <w:spacing w:val="0"/>
          <w:w w:val="100"/>
          <w:position w:val="0"/>
        </w:rPr>
        <w:t>运营维护、参与者服务、业务拓展等工作。</w:t>
      </w:r>
      <w:r>
        <w:rPr>
          <w:rFonts w:ascii="Times New Roman" w:eastAsia="Times New Roman" w:hAnsi="Times New Roman" w:cs="Times New Roman"/>
          <w:color w:val="000000"/>
          <w:spacing w:val="0"/>
          <w:w w:val="100"/>
          <w:position w:val="0"/>
        </w:rPr>
        <w:t>CIPS</w:t>
      </w:r>
      <w:r>
        <w:rPr>
          <w:color w:val="000000"/>
          <w:spacing w:val="0"/>
          <w:w w:val="100"/>
          <w:position w:val="0"/>
        </w:rPr>
        <w:t>首批共有</w:t>
      </w:r>
      <w:r>
        <w:rPr>
          <w:rFonts w:ascii="Times New Roman" w:eastAsia="Times New Roman" w:hAnsi="Times New Roman" w:cs="Times New Roman"/>
          <w:color w:val="000000"/>
          <w:spacing w:val="0"/>
          <w:w w:val="100"/>
          <w:position w:val="0"/>
        </w:rPr>
        <w:t>19</w:t>
      </w:r>
      <w:r>
        <w:rPr>
          <w:color w:val="000000"/>
          <w:spacing w:val="0"/>
          <w:w w:val="100"/>
          <w:position w:val="0"/>
        </w:rPr>
        <w:t>家 直接参与者，</w:t>
      </w:r>
      <w:r>
        <w:rPr>
          <w:rFonts w:ascii="Times New Roman" w:eastAsia="Times New Roman" w:hAnsi="Times New Roman" w:cs="Times New Roman"/>
          <w:color w:val="000000"/>
          <w:spacing w:val="0"/>
          <w:w w:val="100"/>
          <w:position w:val="0"/>
        </w:rPr>
        <w:t>176</w:t>
      </w:r>
      <w:r>
        <w:rPr>
          <w:color w:val="000000"/>
          <w:spacing w:val="0"/>
          <w:w w:val="100"/>
          <w:position w:val="0"/>
        </w:rPr>
        <w:t>家间接参与者，有效满足各类金融机构和企业的人民币跨境结算需求。</w:t>
      </w:r>
    </w:p>
    <w:p>
      <w:pPr>
        <w:pStyle w:val="Style28"/>
        <w:keepNext w:val="0"/>
        <w:keepLines w:val="0"/>
        <w:widowControl w:val="0"/>
        <w:shd w:val="clear" w:color="auto" w:fill="auto"/>
        <w:bidi w:val="0"/>
        <w:spacing w:before="0" w:after="180" w:line="313" w:lineRule="exact"/>
        <w:ind w:left="0" w:right="0" w:firstLine="380"/>
        <w:jc w:val="both"/>
      </w:pPr>
      <w:r>
        <w:rPr>
          <w:color w:val="000000"/>
          <w:spacing w:val="0"/>
          <w:w w:val="100"/>
          <w:position w:val="0"/>
        </w:rPr>
        <w:t>支付机构：支付机构在中国零售支付中发挥着重要作用。近年来，借助电子商务的兴起，支付机构运用互联网、移动通 信等新型信息技术，充分发挥自身机制灵活的优势，为社会公众提供小额、快捷、便民的零售支付服务。支付机构从事的支 付业务模式又分为网络支付业务、预付卡发行与受理业务、银行卡收单业务。</w:t>
      </w:r>
    </w:p>
    <w:p>
      <w:pPr>
        <w:widowControl w:val="0"/>
        <w:jc w:val="left"/>
        <w:rPr>
          <w:sz w:val="2"/>
          <w:szCs w:val="2"/>
        </w:rPr>
      </w:pPr>
      <w:r>
        <w:drawing>
          <wp:inline>
            <wp:extent cx="4199890" cy="221869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4199890" cy="2218690"/>
                    </a:xfrm>
                    <a:prstGeom prst="rect"/>
                  </pic:spPr>
                </pic:pic>
              </a:graphicData>
            </a:graphic>
          </wp:inline>
        </w:drawing>
      </w:r>
    </w:p>
    <w:p>
      <w:pPr>
        <w:widowControl w:val="0"/>
        <w:spacing w:after="59" w:line="1" w:lineRule="exact"/>
      </w:pP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资料来源：中国人民银行《中国支付体系发展报告</w:t>
      </w:r>
      <w:r>
        <w:rPr>
          <w:rFonts w:ascii="Times New Roman" w:eastAsia="Times New Roman" w:hAnsi="Times New Roman" w:cs="Times New Roman"/>
          <w:color w:val="000000"/>
          <w:spacing w:val="0"/>
          <w:w w:val="100"/>
          <w:position w:val="0"/>
        </w:rPr>
        <w:t>2015</w:t>
      </w:r>
      <w:r>
        <w:rPr>
          <w:color w:val="000000"/>
          <w:spacing w:val="0"/>
          <w:w w:val="100"/>
          <w:position w:val="0"/>
        </w:rPr>
        <w:t>》，新国都制图</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在支付体系中除了有主要服务主体外，还有起着辅助作用的支付软硬件提供商和收单代理商，新国都就是一家以支付软 件硬件研发、生产和销售为核心业务的支付服务供应商，在日常的业务开展中，公司严格遵守相关监管规则以及行业准则， 积极扮演好支付体系中的相应角色。</w:t>
      </w:r>
    </w:p>
    <w:p>
      <w:pPr>
        <w:pStyle w:val="Style28"/>
        <w:keepNext w:val="0"/>
        <w:keepLines w:val="0"/>
        <w:widowControl w:val="0"/>
        <w:shd w:val="clear" w:color="auto" w:fill="auto"/>
        <w:bidi w:val="0"/>
        <w:spacing w:before="0" w:after="0" w:line="312" w:lineRule="exact"/>
        <w:ind w:left="0" w:right="0" w:firstLine="0"/>
        <w:jc w:val="left"/>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年的电子支付体系整体运营状况</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回顾2016年，伴随着信息化、移动互联网应用在各个领域的深入，电子支付的场景越来越多样化，线上、线下、。2。的 支付场景的界限也越来越模糊，线下实体店也不再只是线下收单机构的支付垄断市场，以二维码支付为主要支付形式的移动 支付已成功打入线下实体店市场；。2。商业模式里的支付方式可灵活选择线上支付或者线下支付，凭借其大量覆盖的线下商 户，也已成功切入线下实体店支付场景应用；线下收单机构充分利用信息化、移动互联网化浪潮中所带来的机遇，对个人用 户和小微商户推出了创新性产品</w:t>
      </w:r>
      <w:r>
        <w:rPr>
          <w:color w:val="000000"/>
          <w:spacing w:val="0"/>
          <w:w w:val="100"/>
          <w:position w:val="0"/>
        </w:rPr>
        <w:t>MPOS，</w:t>
      </w:r>
      <w:r>
        <w:rPr>
          <w:color w:val="000000"/>
          <w:spacing w:val="0"/>
          <w:w w:val="100"/>
          <w:position w:val="0"/>
        </w:rPr>
        <w:t>在移动支付市场中占有一席之地。在过去一年里，电子支付的方式不再单一，选择更 加多样化，由从网页进入到更简单快捷的扫码、</w:t>
      </w:r>
      <w:r>
        <w:rPr>
          <w:color w:val="000000"/>
          <w:spacing w:val="0"/>
          <w:w w:val="100"/>
          <w:position w:val="0"/>
        </w:rPr>
        <w:t>NFC、</w:t>
      </w:r>
      <w:r>
        <w:rPr>
          <w:color w:val="000000"/>
          <w:spacing w:val="0"/>
          <w:w w:val="100"/>
          <w:position w:val="0"/>
        </w:rPr>
        <w:t>光子等，这些新兴的支付方式都配备更简单的流程和操作，以及安全 的认证方式。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线上支付领域扩展方面，以支付宝、微信支付为代表的第三方互联网支付机构陆续加大同各级政府、公共服务机构以及 社区的合作，许多民生类的缴费项目都可以在支付平台上完成，多方面的民生服务缴费体系已基本搭建。除了提供缴费基本 服务外，支付平台在水电气费、业费、网费等常规生活类缴费中嵌入了例如自助提醒等功能，使得客户体验度大大提升；另 外交通违章等社会公共服务方面也实现了网上缴费，极大提升公共服务机构效率，切实解决大众现场缴费不便的问题。</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线下支付领域扩展方面，经过支付宝和微信支付对线下市场商户和消费者支付习惯的培养，支付场景变得极大丰富，消 费者在超市、餐馆、便利店等线下实体店使用移动网络支付工具习惯已养成，并迅速向低线城市扩散，出门“无钱包”时代 </w:t>
      </w:r>
      <w:r>
        <w:rPr>
          <w:color w:val="000000"/>
          <w:spacing w:val="0"/>
          <w:w w:val="100"/>
          <w:position w:val="0"/>
        </w:rPr>
        <w:t>已经到来。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根据中国互联网络信息中心发布的第39次《中国互联网络发展状况统计报告》，截至2016年12月，我国使用网上支付的 用户规模达到</w:t>
      </w:r>
      <w:r>
        <w:rPr>
          <w:color w:val="000000"/>
          <w:spacing w:val="0"/>
          <w:w w:val="100"/>
          <w:position w:val="0"/>
        </w:rPr>
        <w:t>4.75</w:t>
      </w:r>
      <w:r>
        <w:rPr>
          <w:color w:val="000000"/>
          <w:spacing w:val="0"/>
          <w:w w:val="100"/>
          <w:position w:val="0"/>
        </w:rPr>
        <w:t>亿，较2015年12月，网上支付用户增加5831万人，年增长率为</w:t>
      </w:r>
      <w:r>
        <w:rPr>
          <w:color w:val="000000"/>
          <w:spacing w:val="0"/>
          <w:w w:val="100"/>
          <w:position w:val="0"/>
        </w:rPr>
        <w:t xml:space="preserve">14. </w:t>
      </w:r>
      <w:r>
        <w:rPr>
          <w:color w:val="000000"/>
          <w:spacing w:val="0"/>
          <w:w w:val="100"/>
          <w:position w:val="0"/>
        </w:rPr>
        <w:t>0%，我国网民使用网上支付的比例从</w:t>
      </w:r>
      <w:r>
        <w:rPr>
          <w:color w:val="000000"/>
          <w:spacing w:val="0"/>
          <w:w w:val="100"/>
          <w:position w:val="0"/>
        </w:rPr>
        <w:t xml:space="preserve">60. </w:t>
      </w:r>
      <w:r>
        <w:rPr>
          <w:color w:val="000000"/>
          <w:spacing w:val="0"/>
          <w:w w:val="100"/>
          <w:position w:val="0"/>
        </w:rPr>
        <w:t>5% 提升至64.9%。其中，手机支付用户规模增长迅速，达到</w:t>
      </w:r>
      <w:r>
        <w:rPr>
          <w:color w:val="000000"/>
          <w:spacing w:val="0"/>
          <w:w w:val="100"/>
          <w:position w:val="0"/>
        </w:rPr>
        <w:t>4.69</w:t>
      </w:r>
      <w:r>
        <w:rPr>
          <w:color w:val="000000"/>
          <w:spacing w:val="0"/>
          <w:w w:val="100"/>
          <w:position w:val="0"/>
        </w:rPr>
        <w:t>亿，年增长率为31.2%，网民手机网上支付的使用比例由57.7% 提升至67.5%。</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2016年是公司战略转型和布局的第三年，继续深入整合支付产业链上下游核心资源，战略计划逐步落地。新国都密切关 注电子支付、移动互联网和互联网金融行业的发展趋势，以帮助客户降低支付运营业务综合成本、提升客户运营效率为目标， 主动积累电子支付产业链上下游的核心技术资源，以产品和服务覆盖商户交易活动全流程；积极研究电子支付交易新场景和 产品新形态；围绕移动互联网的发展趋势，积极布局智能硬件研发领域，继续加大传统银行卡支付技术运营服务的互联网运 营模式的探索，布局符合未来移动互联网需求的新产品、新技术和新服务；以提升输出管理能力和投融资管理水平为核心， 增强上市公司投融资平台功能，实现公司综合实力的跨越式大发展。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根据2016年12月1日中国人民银行发布的《2016年第三季度支付体系运行总体情况》显示，社会资金交易规模持续扩大， 全国支付体系平稳运行，支付业务量稳步增长，我们主要关注：</w:t>
      </w:r>
    </w:p>
    <w:p>
      <w:pPr>
        <w:pStyle w:val="Style28"/>
        <w:keepNext w:val="0"/>
        <w:keepLines w:val="0"/>
        <w:widowControl w:val="0"/>
        <w:shd w:val="clear" w:color="auto" w:fill="auto"/>
        <w:tabs>
          <w:tab w:pos="658" w:val="left"/>
        </w:tabs>
        <w:bidi w:val="0"/>
        <w:spacing w:before="0" w:after="0" w:line="312" w:lineRule="exact"/>
        <w:ind w:left="0" w:right="0" w:firstLine="380"/>
        <w:jc w:val="both"/>
      </w:pPr>
      <w:bookmarkStart w:id="253" w:name="bookmark253"/>
      <w:r>
        <w:rPr>
          <w:color w:val="000000"/>
          <w:spacing w:val="0"/>
          <w:w w:val="100"/>
          <w:position w:val="0"/>
        </w:rPr>
        <w:t>1</w:t>
      </w:r>
      <w:bookmarkEnd w:id="253"/>
      <w:r>
        <w:rPr>
          <w:color w:val="000000"/>
          <w:spacing w:val="0"/>
          <w:w w:val="100"/>
          <w:position w:val="0"/>
        </w:rPr>
        <w:t>）</w:t>
        <w:tab/>
        <w:t>银行发卡量平稳增长。截至第三季度末，全国银行卡在用发卡数量</w:t>
      </w:r>
      <w:r>
        <w:rPr>
          <w:color w:val="000000"/>
          <w:spacing w:val="0"/>
          <w:w w:val="100"/>
          <w:position w:val="0"/>
        </w:rPr>
        <w:t>60.15</w:t>
      </w:r>
      <w:r>
        <w:rPr>
          <w:color w:val="000000"/>
          <w:spacing w:val="0"/>
          <w:w w:val="100"/>
          <w:position w:val="0"/>
        </w:rPr>
        <w:t>亿张，同比增长14.53%，环比增长3.21%。 其中，借记卡在用发卡数量</w:t>
      </w:r>
      <w:r>
        <w:rPr>
          <w:color w:val="000000"/>
          <w:spacing w:val="0"/>
          <w:w w:val="100"/>
          <w:position w:val="0"/>
        </w:rPr>
        <w:t>55.19</w:t>
      </w:r>
      <w:r>
        <w:rPr>
          <w:color w:val="000000"/>
          <w:spacing w:val="0"/>
          <w:w w:val="100"/>
          <w:position w:val="0"/>
        </w:rPr>
        <w:t>亿张，同比增长14.92%,环比增长3.06%；信用卡和借贷合一卡在用发卡数量共计</w:t>
      </w:r>
      <w:r>
        <w:rPr>
          <w:color w:val="000000"/>
          <w:spacing w:val="0"/>
          <w:w w:val="100"/>
          <w:position w:val="0"/>
        </w:rPr>
        <w:t>4.96</w:t>
      </w:r>
      <w:r>
        <w:rPr>
          <w:color w:val="000000"/>
          <w:spacing w:val="0"/>
          <w:w w:val="100"/>
          <w:position w:val="0"/>
        </w:rPr>
        <w:t>亿张， 同比增长10.41%，环比增长4.83%。全国人均持有银行卡</w:t>
      </w:r>
      <w:r>
        <w:rPr>
          <w:color w:val="000000"/>
          <w:spacing w:val="0"/>
          <w:w w:val="100"/>
          <w:position w:val="0"/>
        </w:rPr>
        <w:t>4.39</w:t>
      </w:r>
      <w:r>
        <w:rPr>
          <w:color w:val="000000"/>
          <w:spacing w:val="0"/>
          <w:w w:val="100"/>
          <w:position w:val="0"/>
        </w:rPr>
        <w:t>张，其中，人均持有信用卡</w:t>
      </w:r>
      <w:r>
        <w:rPr>
          <w:color w:val="000000"/>
          <w:spacing w:val="0"/>
          <w:w w:val="100"/>
          <w:position w:val="0"/>
        </w:rPr>
        <w:t>0.33</w:t>
      </w:r>
      <w:r>
        <w:rPr>
          <w:color w:val="000000"/>
          <w:spacing w:val="0"/>
          <w:w w:val="100"/>
          <w:position w:val="0"/>
        </w:rPr>
        <w:t>张。</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通过银行卡的发卡量数据显示，全国的发卡量仍在以超过10%的增长速度快速增长，我们继续认为基于银行卡的电子支 付业务在未来几年内仍将保持较好的发展趋势。</w:t>
      </w:r>
    </w:p>
    <w:p>
      <w:pPr>
        <w:pStyle w:val="Style28"/>
        <w:keepNext w:val="0"/>
        <w:keepLines w:val="0"/>
        <w:widowControl w:val="0"/>
        <w:shd w:val="clear" w:color="auto" w:fill="auto"/>
        <w:tabs>
          <w:tab w:pos="668" w:val="left"/>
        </w:tabs>
        <w:bidi w:val="0"/>
        <w:spacing w:before="0" w:after="0" w:line="312" w:lineRule="exact"/>
        <w:ind w:left="0" w:right="0" w:firstLine="380"/>
        <w:jc w:val="both"/>
      </w:pPr>
      <w:bookmarkStart w:id="254" w:name="bookmark254"/>
      <w:r>
        <w:rPr>
          <w:color w:val="000000"/>
          <w:spacing w:val="0"/>
          <w:w w:val="100"/>
          <w:position w:val="0"/>
        </w:rPr>
        <w:t>2</w:t>
      </w:r>
      <w:bookmarkEnd w:id="254"/>
      <w:r>
        <w:rPr>
          <w:color w:val="000000"/>
          <w:spacing w:val="0"/>
          <w:w w:val="100"/>
          <w:position w:val="0"/>
        </w:rPr>
        <w:t>）</w:t>
        <w:tab/>
        <w:t>受理环境持续改善。截至2016年第三季度末，银行卡跨行支付系统联网特约商户</w:t>
      </w:r>
      <w:r>
        <w:rPr>
          <w:color w:val="000000"/>
          <w:spacing w:val="0"/>
          <w:w w:val="100"/>
          <w:position w:val="0"/>
        </w:rPr>
        <w:t>2124.8</w:t>
      </w:r>
      <w:r>
        <w:rPr>
          <w:color w:val="000000"/>
          <w:spacing w:val="0"/>
          <w:w w:val="100"/>
          <w:position w:val="0"/>
        </w:rPr>
        <w:t>0万户，</w:t>
      </w:r>
      <w:r>
        <w:rPr>
          <w:color w:val="000000"/>
          <w:spacing w:val="0"/>
          <w:w w:val="100"/>
          <w:position w:val="0"/>
        </w:rPr>
        <w:t>POS</w:t>
      </w:r>
      <w:r>
        <w:rPr>
          <w:color w:val="000000"/>
          <w:spacing w:val="0"/>
          <w:w w:val="100"/>
          <w:position w:val="0"/>
        </w:rPr>
        <w:t>机具</w:t>
      </w:r>
      <w:r>
        <w:rPr>
          <w:color w:val="000000"/>
          <w:spacing w:val="0"/>
          <w:w w:val="100"/>
          <w:position w:val="0"/>
        </w:rPr>
        <w:t xml:space="preserve">2602. </w:t>
      </w:r>
      <w:r>
        <w:rPr>
          <w:color w:val="000000"/>
          <w:spacing w:val="0"/>
          <w:w w:val="100"/>
          <w:position w:val="0"/>
        </w:rPr>
        <w:t xml:space="preserve">10万台， </w:t>
      </w:r>
      <w:r>
        <w:rPr>
          <w:color w:val="000000"/>
          <w:spacing w:val="0"/>
          <w:w w:val="100"/>
          <w:position w:val="0"/>
        </w:rPr>
        <w:t>ATM</w:t>
      </w:r>
      <w:r>
        <w:rPr>
          <w:color w:val="000000"/>
          <w:spacing w:val="0"/>
          <w:w w:val="100"/>
          <w:position w:val="0"/>
        </w:rPr>
        <w:t>机具</w:t>
      </w:r>
      <w:r>
        <w:rPr>
          <w:color w:val="000000"/>
          <w:spacing w:val="0"/>
          <w:w w:val="100"/>
          <w:position w:val="0"/>
        </w:rPr>
        <w:t xml:space="preserve">90. </w:t>
      </w:r>
      <w:r>
        <w:rPr>
          <w:color w:val="000000"/>
          <w:spacing w:val="0"/>
          <w:w w:val="100"/>
          <w:position w:val="0"/>
        </w:rPr>
        <w:t>74万台，较上季度末分别增加</w:t>
      </w:r>
      <w:r>
        <w:rPr>
          <w:color w:val="000000"/>
          <w:spacing w:val="0"/>
          <w:w w:val="100"/>
          <w:position w:val="0"/>
        </w:rPr>
        <w:t>293.60</w:t>
      </w:r>
      <w:r>
        <w:rPr>
          <w:color w:val="000000"/>
          <w:spacing w:val="0"/>
          <w:w w:val="100"/>
          <w:position w:val="0"/>
        </w:rPr>
        <w:t>万户、</w:t>
      </w:r>
      <w:r>
        <w:rPr>
          <w:color w:val="000000"/>
          <w:spacing w:val="0"/>
          <w:w w:val="100"/>
          <w:position w:val="0"/>
        </w:rPr>
        <w:t>156.9</w:t>
      </w:r>
      <w:r>
        <w:rPr>
          <w:color w:val="000000"/>
          <w:spacing w:val="0"/>
          <w:w w:val="100"/>
          <w:position w:val="0"/>
        </w:rPr>
        <w:t>0万台和</w:t>
      </w:r>
      <w:r>
        <w:rPr>
          <w:color w:val="000000"/>
          <w:spacing w:val="0"/>
          <w:w w:val="100"/>
          <w:position w:val="0"/>
        </w:rPr>
        <w:t>0.11</w:t>
      </w:r>
      <w:r>
        <w:rPr>
          <w:color w:val="000000"/>
          <w:spacing w:val="0"/>
          <w:w w:val="100"/>
          <w:position w:val="0"/>
        </w:rPr>
        <w:t>万台。每台</w:t>
      </w:r>
      <w:r>
        <w:rPr>
          <w:color w:val="000000"/>
          <w:spacing w:val="0"/>
          <w:w w:val="100"/>
          <w:position w:val="0"/>
        </w:rPr>
        <w:t>ATM</w:t>
      </w:r>
      <w:r>
        <w:rPr>
          <w:color w:val="000000"/>
          <w:spacing w:val="0"/>
          <w:w w:val="100"/>
          <w:position w:val="0"/>
        </w:rPr>
        <w:t>对应的银行卡数量为6629张，同比 增长6.13%，每台</w:t>
      </w:r>
      <w:r>
        <w:rPr>
          <w:color w:val="000000"/>
          <w:spacing w:val="0"/>
          <w:w w:val="100"/>
          <w:position w:val="0"/>
        </w:rPr>
        <w:t>POS</w:t>
      </w:r>
      <w:r>
        <w:rPr>
          <w:color w:val="000000"/>
          <w:spacing w:val="0"/>
          <w:w w:val="100"/>
          <w:position w:val="0"/>
        </w:rPr>
        <w:t>机具对应的银行卡数量为231张，同比下降12.50%。</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根据水木清华研究中心发布的《2015-2018年全球及中国金融</w:t>
      </w:r>
      <w:r>
        <w:rPr>
          <w:color w:val="000000"/>
          <w:spacing w:val="0"/>
          <w:w w:val="100"/>
          <w:position w:val="0"/>
        </w:rPr>
        <w:t>POS</w:t>
      </w:r>
      <w:r>
        <w:rPr>
          <w:color w:val="000000"/>
          <w:spacing w:val="0"/>
          <w:w w:val="100"/>
          <w:position w:val="0"/>
        </w:rPr>
        <w:t>终端行业研究报告》，截至2014年底，意大利、巴西、 瑞典、美国等国家每台</w:t>
      </w:r>
      <w:r>
        <w:rPr>
          <w:color w:val="000000"/>
          <w:spacing w:val="0"/>
          <w:w w:val="100"/>
          <w:position w:val="0"/>
        </w:rPr>
        <w:t>POS</w:t>
      </w:r>
      <w:r>
        <w:rPr>
          <w:color w:val="000000"/>
          <w:spacing w:val="0"/>
          <w:w w:val="100"/>
          <w:position w:val="0"/>
        </w:rPr>
        <w:t>终端对应银行卡数量约为40到60张。而根据2006年欧洲央行蓝皮书，欧盟国家2005年每台</w:t>
      </w:r>
      <w:r>
        <w:rPr>
          <w:color w:val="000000"/>
          <w:spacing w:val="0"/>
          <w:w w:val="100"/>
          <w:position w:val="0"/>
        </w:rPr>
        <w:t>POS</w:t>
      </w:r>
      <w:r>
        <w:rPr>
          <w:color w:val="000000"/>
          <w:spacing w:val="0"/>
          <w:w w:val="100"/>
          <w:position w:val="0"/>
        </w:rPr>
        <w:t>终端 对应银行卡数量就达到了约94张的水平。因此，对比欧美国家，我国每台</w:t>
      </w:r>
      <w:r>
        <w:rPr>
          <w:color w:val="000000"/>
          <w:spacing w:val="0"/>
          <w:w w:val="100"/>
          <w:position w:val="0"/>
        </w:rPr>
        <w:t>P OS</w:t>
      </w:r>
      <w:r>
        <w:rPr>
          <w:color w:val="000000"/>
          <w:spacing w:val="0"/>
          <w:w w:val="100"/>
          <w:position w:val="0"/>
        </w:rPr>
        <w:t>机对应银行卡数量还处于较高的水平，有很大 渗透空间，从而</w:t>
      </w:r>
      <w:r>
        <w:rPr>
          <w:color w:val="000000"/>
          <w:spacing w:val="0"/>
          <w:w w:val="100"/>
          <w:position w:val="0"/>
        </w:rPr>
        <w:t>POS</w:t>
      </w:r>
      <w:r>
        <w:rPr>
          <w:color w:val="000000"/>
          <w:spacing w:val="0"/>
          <w:w w:val="100"/>
          <w:position w:val="0"/>
        </w:rPr>
        <w:t>机行业的发展空间巨大。另外，随着支付环境进一步的改善，人民用卡支付的环境更加便利。</w:t>
      </w:r>
    </w:p>
    <w:p>
      <w:pPr>
        <w:pStyle w:val="Style28"/>
        <w:keepNext w:val="0"/>
        <w:keepLines w:val="0"/>
        <w:widowControl w:val="0"/>
        <w:shd w:val="clear" w:color="auto" w:fill="auto"/>
        <w:tabs>
          <w:tab w:pos="663" w:val="left"/>
        </w:tabs>
        <w:bidi w:val="0"/>
        <w:spacing w:before="0" w:after="0" w:line="312" w:lineRule="exact"/>
        <w:ind w:left="0" w:right="0" w:firstLine="380"/>
        <w:jc w:val="both"/>
      </w:pPr>
      <w:bookmarkStart w:id="255" w:name="bookmark255"/>
      <w:r>
        <w:rPr>
          <w:color w:val="000000"/>
          <w:spacing w:val="0"/>
          <w:w w:val="100"/>
          <w:position w:val="0"/>
        </w:rPr>
        <w:t>3</w:t>
      </w:r>
      <w:bookmarkEnd w:id="255"/>
      <w:r>
        <w:rPr>
          <w:color w:val="000000"/>
          <w:spacing w:val="0"/>
          <w:w w:val="100"/>
          <w:position w:val="0"/>
        </w:rPr>
        <w:t>）</w:t>
        <w:tab/>
        <w:t>银行卡交易量保持增长。2016年第三季度，全国共发生银行卡交易</w:t>
      </w:r>
      <w:r>
        <w:rPr>
          <w:color w:val="000000"/>
          <w:spacing w:val="0"/>
          <w:w w:val="100"/>
          <w:position w:val="0"/>
        </w:rPr>
        <w:t>303.4</w:t>
      </w:r>
      <w:r>
        <w:rPr>
          <w:color w:val="000000"/>
          <w:spacing w:val="0"/>
          <w:w w:val="100"/>
          <w:position w:val="0"/>
        </w:rPr>
        <w:t>0亿笔，金额</w:t>
      </w:r>
      <w:r>
        <w:rPr>
          <w:color w:val="000000"/>
          <w:spacing w:val="0"/>
          <w:w w:val="100"/>
          <w:position w:val="0"/>
        </w:rPr>
        <w:t>177.72</w:t>
      </w:r>
      <w:r>
        <w:rPr>
          <w:color w:val="000000"/>
          <w:spacing w:val="0"/>
          <w:w w:val="100"/>
          <w:position w:val="0"/>
        </w:rPr>
        <w:t>万亿元，同比分别增长 35.71%和2.65%。其中，存现业务</w:t>
      </w:r>
      <w:r>
        <w:rPr>
          <w:color w:val="000000"/>
          <w:spacing w:val="0"/>
          <w:w w:val="100"/>
          <w:position w:val="0"/>
        </w:rPr>
        <w:t>25.56</w:t>
      </w:r>
      <w:r>
        <w:rPr>
          <w:color w:val="000000"/>
          <w:spacing w:val="0"/>
          <w:w w:val="100"/>
          <w:position w:val="0"/>
        </w:rPr>
        <w:t>亿笔，金额</w:t>
      </w:r>
      <w:r>
        <w:rPr>
          <w:color w:val="000000"/>
          <w:spacing w:val="0"/>
          <w:w w:val="100"/>
          <w:position w:val="0"/>
        </w:rPr>
        <w:t>18.12</w:t>
      </w:r>
      <w:r>
        <w:rPr>
          <w:color w:val="000000"/>
          <w:spacing w:val="0"/>
          <w:w w:val="100"/>
          <w:position w:val="0"/>
        </w:rPr>
        <w:t>万亿元；取现业务</w:t>
      </w:r>
      <w:r>
        <w:rPr>
          <w:color w:val="000000"/>
          <w:spacing w:val="0"/>
          <w:w w:val="100"/>
          <w:position w:val="0"/>
        </w:rPr>
        <w:t>45.58</w:t>
      </w:r>
      <w:r>
        <w:rPr>
          <w:color w:val="000000"/>
          <w:spacing w:val="0"/>
          <w:w w:val="100"/>
          <w:position w:val="0"/>
        </w:rPr>
        <w:t>亿笔，金额</w:t>
      </w:r>
      <w:r>
        <w:rPr>
          <w:color w:val="000000"/>
          <w:spacing w:val="0"/>
          <w:w w:val="100"/>
          <w:position w:val="0"/>
        </w:rPr>
        <w:t xml:space="preserve">15.3 </w:t>
      </w:r>
      <w:r>
        <w:rPr>
          <w:color w:val="000000"/>
          <w:spacing w:val="0"/>
          <w:w w:val="100"/>
          <w:position w:val="0"/>
        </w:rPr>
        <w:t>7万亿元；消费业务</w:t>
      </w:r>
      <w:r>
        <w:rPr>
          <w:color w:val="000000"/>
          <w:spacing w:val="0"/>
          <w:w w:val="100"/>
          <w:position w:val="0"/>
        </w:rPr>
        <w:t xml:space="preserve">97.37 </w:t>
      </w:r>
      <w:r>
        <w:rPr>
          <w:color w:val="000000"/>
          <w:spacing w:val="0"/>
          <w:w w:val="100"/>
          <w:position w:val="0"/>
        </w:rPr>
        <w:t>亿笔，金额</w:t>
      </w:r>
      <w:r>
        <w:rPr>
          <w:color w:val="000000"/>
          <w:spacing w:val="0"/>
          <w:w w:val="100"/>
          <w:position w:val="0"/>
        </w:rPr>
        <w:t>14.31</w:t>
      </w:r>
      <w:r>
        <w:rPr>
          <w:color w:val="000000"/>
          <w:spacing w:val="0"/>
          <w:w w:val="100"/>
          <w:position w:val="0"/>
        </w:rPr>
        <w:t>万亿元；转账业务</w:t>
      </w:r>
      <w:r>
        <w:rPr>
          <w:color w:val="000000"/>
          <w:spacing w:val="0"/>
          <w:w w:val="100"/>
          <w:position w:val="0"/>
        </w:rPr>
        <w:t>134.88</w:t>
      </w:r>
      <w:r>
        <w:rPr>
          <w:color w:val="000000"/>
          <w:spacing w:val="0"/>
          <w:w w:val="100"/>
          <w:position w:val="0"/>
        </w:rPr>
        <w:t>亿笔，金额</w:t>
      </w:r>
      <w:r>
        <w:rPr>
          <w:color w:val="000000"/>
          <w:spacing w:val="0"/>
          <w:w w:val="100"/>
          <w:position w:val="0"/>
        </w:rPr>
        <w:t>129.92</w:t>
      </w:r>
      <w:r>
        <w:rPr>
          <w:color w:val="000000"/>
          <w:spacing w:val="0"/>
          <w:w w:val="100"/>
          <w:position w:val="0"/>
        </w:rPr>
        <w:t xml:space="preserve">万亿元。银行卡转账业务笔数、金额分别占银行卡业务总量的 </w:t>
      </w:r>
      <w:r>
        <w:rPr>
          <w:color w:val="000000"/>
          <w:spacing w:val="0"/>
          <w:w w:val="100"/>
          <w:position w:val="0"/>
        </w:rPr>
        <w:t xml:space="preserve">44. </w:t>
      </w:r>
      <w:r>
        <w:rPr>
          <w:color w:val="000000"/>
          <w:spacing w:val="0"/>
          <w:w w:val="100"/>
          <w:position w:val="0"/>
        </w:rPr>
        <w:t>46%和73.10%，占比同比分别上升</w:t>
      </w:r>
      <w:r>
        <w:rPr>
          <w:color w:val="000000"/>
          <w:spacing w:val="0"/>
          <w:w w:val="100"/>
          <w:position w:val="0"/>
        </w:rPr>
        <w:t>10.17</w:t>
      </w:r>
      <w:r>
        <w:rPr>
          <w:color w:val="000000"/>
          <w:spacing w:val="0"/>
          <w:w w:val="100"/>
          <w:position w:val="0"/>
        </w:rPr>
        <w:t>个百分点和</w:t>
      </w:r>
      <w:r>
        <w:rPr>
          <w:color w:val="000000"/>
          <w:spacing w:val="0"/>
          <w:w w:val="100"/>
          <w:position w:val="0"/>
        </w:rPr>
        <w:t>0.84</w:t>
      </w:r>
      <w:r>
        <w:rPr>
          <w:color w:val="000000"/>
          <w:spacing w:val="0"/>
          <w:w w:val="100"/>
          <w:position w:val="0"/>
        </w:rPr>
        <w:t>个百分点。银行卡跨行消费业务</w:t>
      </w:r>
      <w:r>
        <w:rPr>
          <w:color w:val="000000"/>
          <w:spacing w:val="0"/>
          <w:w w:val="100"/>
          <w:position w:val="0"/>
        </w:rPr>
        <w:t>52.06</w:t>
      </w:r>
      <w:r>
        <w:rPr>
          <w:color w:val="000000"/>
          <w:spacing w:val="0"/>
          <w:w w:val="100"/>
          <w:position w:val="0"/>
        </w:rPr>
        <w:t>亿笔，金额</w:t>
      </w:r>
      <w:r>
        <w:rPr>
          <w:color w:val="000000"/>
          <w:spacing w:val="0"/>
          <w:w w:val="100"/>
          <w:position w:val="0"/>
        </w:rPr>
        <w:t>12.26</w:t>
      </w:r>
      <w:r>
        <w:rPr>
          <w:color w:val="000000"/>
          <w:spacing w:val="0"/>
          <w:w w:val="100"/>
          <w:position w:val="0"/>
        </w:rPr>
        <w:t>万亿元， 分别占银行卡消费业务量的</w:t>
      </w:r>
      <w:r>
        <w:rPr>
          <w:color w:val="000000"/>
          <w:spacing w:val="0"/>
          <w:w w:val="100"/>
          <w:position w:val="0"/>
        </w:rPr>
        <w:t xml:space="preserve">53. </w:t>
      </w:r>
      <w:r>
        <w:rPr>
          <w:color w:val="000000"/>
          <w:spacing w:val="0"/>
          <w:w w:val="100"/>
          <w:position w:val="0"/>
        </w:rPr>
        <w:t>46%和85.66%。银行卡渗透率达</w:t>
      </w:r>
      <w:r>
        <w:rPr>
          <w:color w:val="000000"/>
          <w:spacing w:val="0"/>
          <w:w w:val="100"/>
          <w:position w:val="0"/>
        </w:rPr>
        <w:t xml:space="preserve">48. </w:t>
      </w:r>
      <w:r>
        <w:rPr>
          <w:color w:val="000000"/>
          <w:spacing w:val="0"/>
          <w:w w:val="100"/>
          <w:position w:val="0"/>
        </w:rPr>
        <w:t>58%，环比上升</w:t>
      </w:r>
      <w:r>
        <w:rPr>
          <w:color w:val="000000"/>
          <w:spacing w:val="0"/>
          <w:w w:val="100"/>
          <w:position w:val="0"/>
        </w:rPr>
        <w:t>0.11</w:t>
      </w:r>
      <w:r>
        <w:rPr>
          <w:color w:val="000000"/>
          <w:spacing w:val="0"/>
          <w:w w:val="100"/>
          <w:position w:val="0"/>
        </w:rPr>
        <w:t>个百分点；银行卡人均消费金额达1</w:t>
      </w:r>
      <w:r>
        <w:rPr>
          <w:color w:val="000000"/>
          <w:spacing w:val="0"/>
          <w:w w:val="100"/>
          <w:position w:val="0"/>
        </w:rPr>
        <w:t xml:space="preserve">.04 </w:t>
      </w:r>
      <w:r>
        <w:rPr>
          <w:color w:val="000000"/>
          <w:spacing w:val="0"/>
          <w:w w:val="100"/>
          <w:position w:val="0"/>
        </w:rPr>
        <w:t>万元，同比下降0.30%；银行卡卡均消费金额为</w:t>
      </w:r>
      <w:r>
        <w:rPr>
          <w:color w:val="000000"/>
          <w:spacing w:val="0"/>
          <w:w w:val="100"/>
          <w:position w:val="0"/>
        </w:rPr>
        <w:t xml:space="preserve">2379. </w:t>
      </w:r>
      <w:r>
        <w:rPr>
          <w:color w:val="000000"/>
          <w:spacing w:val="0"/>
          <w:w w:val="100"/>
          <w:position w:val="0"/>
        </w:rPr>
        <w:t>19元，同比下降12.40%；银行卡笔均消费金额</w:t>
      </w:r>
      <w:r>
        <w:rPr>
          <w:color w:val="000000"/>
          <w:spacing w:val="0"/>
          <w:w w:val="100"/>
          <w:position w:val="0"/>
        </w:rPr>
        <w:t xml:space="preserve">1469. </w:t>
      </w:r>
      <w:r>
        <w:rPr>
          <w:color w:val="000000"/>
          <w:spacing w:val="0"/>
          <w:w w:val="100"/>
          <w:position w:val="0"/>
        </w:rPr>
        <w:t>81元，同比下降21.57%。</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上述数据显示，银行卡交易笔数同比增长迅速，其中，转账和消费业务笔数占比进一步提高，体现出电子支付在人们日 常生活中进一步的融入，近几年随着类似红包与支付相关的互联网产品在人们生活的流行，转账业务变得越来越活跃，另外 随着移动支付的普及，“无钱包、无纸币”的时代开启，电子支付在人们日常消费中结算环节的使用也越来越频繁，从根本 上颠覆了纸币交易的支付习惯。</w:t>
      </w:r>
    </w:p>
    <w:p>
      <w:pPr>
        <w:pStyle w:val="Style28"/>
        <w:keepNext w:val="0"/>
        <w:keepLines w:val="0"/>
        <w:widowControl w:val="0"/>
        <w:shd w:val="clear" w:color="auto" w:fill="auto"/>
        <w:tabs>
          <w:tab w:pos="658" w:val="left"/>
        </w:tabs>
        <w:bidi w:val="0"/>
        <w:spacing w:before="0" w:after="0" w:line="312" w:lineRule="exact"/>
        <w:ind w:left="0" w:right="0" w:firstLine="380"/>
        <w:jc w:val="both"/>
      </w:pPr>
      <w:bookmarkStart w:id="256" w:name="bookmark256"/>
      <w:r>
        <w:rPr>
          <w:color w:val="000000"/>
          <w:spacing w:val="0"/>
          <w:w w:val="100"/>
          <w:position w:val="0"/>
        </w:rPr>
        <w:t>4</w:t>
      </w:r>
      <w:bookmarkEnd w:id="256"/>
      <w:r>
        <w:rPr>
          <w:color w:val="000000"/>
          <w:spacing w:val="0"/>
          <w:w w:val="100"/>
          <w:position w:val="0"/>
        </w:rPr>
        <w:t>）</w:t>
        <w:tab/>
        <w:t>移动支付业务保持快速增长。第三季度，银行业金融机构共处理电子支付业务（注释：电子支付是指客户通过网上 银行、电话银行、手机银行、</w:t>
      </w:r>
      <w:r>
        <w:rPr>
          <w:color w:val="000000"/>
          <w:spacing w:val="0"/>
          <w:w w:val="100"/>
          <w:position w:val="0"/>
        </w:rPr>
        <w:t>ATM、POS</w:t>
      </w:r>
      <w:r>
        <w:rPr>
          <w:color w:val="000000"/>
          <w:spacing w:val="0"/>
          <w:w w:val="100"/>
          <w:position w:val="0"/>
        </w:rPr>
        <w:t>和其他电子渠道，从结算类账户发起的账务变动类业务笔数和金额。包括网上支付、 电话支付、移动支付、</w:t>
      </w:r>
      <w:r>
        <w:rPr>
          <w:color w:val="000000"/>
          <w:spacing w:val="0"/>
          <w:w w:val="100"/>
          <w:position w:val="0"/>
        </w:rPr>
        <w:t>ATM</w:t>
      </w:r>
      <w:r>
        <w:rPr>
          <w:color w:val="000000"/>
          <w:spacing w:val="0"/>
          <w:w w:val="100"/>
          <w:position w:val="0"/>
        </w:rPr>
        <w:t>业务、</w:t>
      </w:r>
      <w:r>
        <w:rPr>
          <w:color w:val="000000"/>
          <w:spacing w:val="0"/>
          <w:w w:val="100"/>
          <w:position w:val="0"/>
        </w:rPr>
        <w:t>POS</w:t>
      </w:r>
      <w:r>
        <w:rPr>
          <w:color w:val="000000"/>
          <w:spacing w:val="0"/>
          <w:w w:val="100"/>
          <w:position w:val="0"/>
        </w:rPr>
        <w:t>业务和其他电子支付等六种业务类型。）</w:t>
      </w:r>
      <w:r>
        <w:rPr>
          <w:color w:val="000000"/>
          <w:spacing w:val="0"/>
          <w:w w:val="100"/>
          <w:position w:val="0"/>
        </w:rPr>
        <w:t xml:space="preserve">364. </w:t>
      </w:r>
      <w:r>
        <w:rPr>
          <w:color w:val="000000"/>
          <w:spacing w:val="0"/>
          <w:w w:val="100"/>
          <w:position w:val="0"/>
        </w:rPr>
        <w:t>88亿笔，金额</w:t>
      </w:r>
      <w:r>
        <w:rPr>
          <w:color w:val="000000"/>
          <w:spacing w:val="0"/>
          <w:w w:val="100"/>
          <w:position w:val="0"/>
        </w:rPr>
        <w:t>519.69</w:t>
      </w:r>
      <w:r>
        <w:rPr>
          <w:color w:val="000000"/>
          <w:spacing w:val="0"/>
          <w:w w:val="100"/>
          <w:position w:val="0"/>
        </w:rPr>
        <w:t>万亿元。其中，网上 支付业务</w:t>
      </w:r>
      <w:r>
        <w:rPr>
          <w:color w:val="000000"/>
          <w:spacing w:val="0"/>
          <w:w w:val="100"/>
          <w:position w:val="0"/>
        </w:rPr>
        <w:t>116.07</w:t>
      </w:r>
      <w:r>
        <w:rPr>
          <w:color w:val="000000"/>
          <w:spacing w:val="0"/>
          <w:w w:val="100"/>
          <w:position w:val="0"/>
        </w:rPr>
        <w:t>亿笔，金额</w:t>
      </w:r>
      <w:r>
        <w:rPr>
          <w:color w:val="000000"/>
          <w:spacing w:val="0"/>
          <w:w w:val="100"/>
          <w:position w:val="0"/>
        </w:rPr>
        <w:t>433.93</w:t>
      </w:r>
      <w:r>
        <w:rPr>
          <w:color w:val="000000"/>
          <w:spacing w:val="0"/>
          <w:w w:val="100"/>
          <w:position w:val="0"/>
        </w:rPr>
        <w:t>万亿元，同比分别增长41.34%和0.26%；电话支付业务</w:t>
      </w:r>
      <w:r>
        <w:rPr>
          <w:color w:val="000000"/>
          <w:spacing w:val="0"/>
          <w:w w:val="100"/>
          <w:position w:val="0"/>
        </w:rPr>
        <w:t>9316.04</w:t>
      </w:r>
      <w:r>
        <w:rPr>
          <w:color w:val="000000"/>
          <w:spacing w:val="0"/>
          <w:w w:val="100"/>
          <w:position w:val="0"/>
        </w:rPr>
        <w:t>万笔，金额</w:t>
      </w:r>
      <w:r>
        <w:rPr>
          <w:color w:val="000000"/>
          <w:spacing w:val="0"/>
          <w:w w:val="100"/>
          <w:position w:val="0"/>
        </w:rPr>
        <w:t>5.67</w:t>
      </w:r>
      <w:r>
        <w:rPr>
          <w:color w:val="000000"/>
          <w:spacing w:val="0"/>
          <w:w w:val="100"/>
          <w:position w:val="0"/>
        </w:rPr>
        <w:t>万亿元，同 比分别增长19.10%和19.18%；移动支付业务</w:t>
      </w:r>
      <w:r>
        <w:rPr>
          <w:color w:val="000000"/>
          <w:spacing w:val="0"/>
          <w:w w:val="100"/>
          <w:position w:val="0"/>
        </w:rPr>
        <w:t>66.29</w:t>
      </w:r>
      <w:r>
        <w:rPr>
          <w:color w:val="000000"/>
          <w:spacing w:val="0"/>
          <w:w w:val="100"/>
          <w:position w:val="0"/>
        </w:rPr>
        <w:t>亿笔，金额</w:t>
      </w:r>
      <w:r>
        <w:rPr>
          <w:color w:val="000000"/>
          <w:spacing w:val="0"/>
          <w:w w:val="100"/>
          <w:position w:val="0"/>
        </w:rPr>
        <w:t>35.33</w:t>
      </w:r>
      <w:r>
        <w:rPr>
          <w:color w:val="000000"/>
          <w:spacing w:val="0"/>
          <w:w w:val="100"/>
          <w:position w:val="0"/>
        </w:rPr>
        <w:t>万亿元，同比分别增长45.97%和94.45%。</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第三季度，非银行支付机构处理网络支付业务</w:t>
      </w:r>
      <w:r>
        <w:rPr>
          <w:color w:val="000000"/>
          <w:spacing w:val="0"/>
          <w:w w:val="100"/>
          <w:position w:val="0"/>
        </w:rPr>
        <w:t>440.28</w:t>
      </w:r>
      <w:r>
        <w:rPr>
          <w:color w:val="000000"/>
          <w:spacing w:val="0"/>
          <w:w w:val="100"/>
          <w:position w:val="0"/>
        </w:rPr>
        <w:t>亿笔，金额</w:t>
      </w:r>
      <w:r>
        <w:rPr>
          <w:color w:val="000000"/>
          <w:spacing w:val="0"/>
          <w:w w:val="100"/>
          <w:position w:val="0"/>
        </w:rPr>
        <w:t>26.34</w:t>
      </w:r>
      <w:r>
        <w:rPr>
          <w:color w:val="000000"/>
          <w:spacing w:val="0"/>
          <w:w w:val="100"/>
          <w:position w:val="0"/>
        </w:rPr>
        <w:t>万亿元，同比分别增长106.83%和105.82%。</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上述数据显示，电子支付持续保持高增长趋势，其中，移动支付交易笔数和交易金额增长速度明显，第三季度移动支付 交易金额与去年同期相比几乎翻番，这说明移动支付已经成为人们日常消费结算中最常选用结算方式之一，未来我们还是持 续看好移动支付的增长空间，在过去一年，移动支付除了有二维码支付的模式，随着苹果支付入华，也兴起了 </w:t>
      </w:r>
      <w:r>
        <w:rPr>
          <w:color w:val="000000"/>
          <w:spacing w:val="0"/>
          <w:w w:val="100"/>
          <w:position w:val="0"/>
        </w:rPr>
        <w:t>NFC</w:t>
      </w:r>
      <w:r>
        <w:rPr>
          <w:color w:val="000000"/>
          <w:spacing w:val="0"/>
          <w:w w:val="100"/>
          <w:position w:val="0"/>
        </w:rPr>
        <w:t xml:space="preserve">支付模式 </w:t>
      </w:r>
      <w:r>
        <w:rPr>
          <w:color w:val="000000"/>
          <w:spacing w:val="0"/>
          <w:w w:val="100"/>
          <w:position w:val="0"/>
        </w:rPr>
        <w:t>的移动支付，华为、小米等手机厂商借机也纷纷加入了移动支付的生态圈。我们预计未来3年，电子支付行业会继续保持活 跃性，随着生物识别技术的完善和精准度的提高、人工智能技术的成熟，不排除未来还会有颠覆行业的新兴支付方式出现和 普及。</w:t>
      </w:r>
    </w:p>
    <w:p>
      <w:pPr>
        <w:pStyle w:val="Style28"/>
        <w:keepNext w:val="0"/>
        <w:keepLines w:val="0"/>
        <w:widowControl w:val="0"/>
        <w:numPr>
          <w:ilvl w:val="0"/>
          <w:numId w:val="15"/>
        </w:numPr>
        <w:shd w:val="clear" w:color="auto" w:fill="auto"/>
        <w:bidi w:val="0"/>
        <w:spacing w:before="0" w:after="0" w:line="312" w:lineRule="exact"/>
        <w:ind w:left="0" w:right="0" w:firstLine="380"/>
        <w:jc w:val="both"/>
      </w:pPr>
      <w:bookmarkStart w:id="257" w:name="bookmark257"/>
      <w:bookmarkEnd w:id="257"/>
      <w:r>
        <w:rPr>
          <w:color w:val="000000"/>
          <w:spacing w:val="0"/>
          <w:w w:val="100"/>
          <w:position w:val="0"/>
        </w:rPr>
        <w:t>农信银支付清算系统业务量保持高位增长。2016年第三季度，农信银支付清算系统处理业务</w:t>
      </w:r>
      <w:r>
        <w:rPr>
          <w:color w:val="000000"/>
          <w:spacing w:val="0"/>
          <w:w w:val="100"/>
          <w:position w:val="0"/>
        </w:rPr>
        <w:t>4.49</w:t>
      </w:r>
      <w:r>
        <w:rPr>
          <w:color w:val="000000"/>
          <w:spacing w:val="0"/>
          <w:w w:val="100"/>
          <w:position w:val="0"/>
        </w:rPr>
        <w:t>亿笔，金额1</w:t>
      </w:r>
      <w:r>
        <w:rPr>
          <w:color w:val="000000"/>
          <w:spacing w:val="0"/>
          <w:w w:val="100"/>
          <w:position w:val="0"/>
        </w:rPr>
        <w:t>.37</w:t>
      </w:r>
      <w:r>
        <w:rPr>
          <w:color w:val="000000"/>
          <w:spacing w:val="0"/>
          <w:w w:val="100"/>
          <w:position w:val="0"/>
        </w:rPr>
        <w:t>万 亿元，同比分别增长193.79%和55.79%。日均处理业务</w:t>
      </w:r>
      <w:r>
        <w:rPr>
          <w:color w:val="000000"/>
          <w:spacing w:val="0"/>
          <w:w w:val="100"/>
          <w:position w:val="0"/>
        </w:rPr>
        <w:t xml:space="preserve">487. </w:t>
      </w:r>
      <w:r>
        <w:rPr>
          <w:color w:val="000000"/>
          <w:spacing w:val="0"/>
          <w:w w:val="100"/>
          <w:position w:val="0"/>
        </w:rPr>
        <w:t>55万笔，金额</w:t>
      </w:r>
      <w:r>
        <w:rPr>
          <w:color w:val="000000"/>
          <w:spacing w:val="0"/>
          <w:w w:val="100"/>
          <w:position w:val="0"/>
        </w:rPr>
        <w:t>148.69</w:t>
      </w:r>
      <w:r>
        <w:rPr>
          <w:color w:val="000000"/>
          <w:spacing w:val="0"/>
          <w:w w:val="100"/>
          <w:position w:val="0"/>
        </w:rPr>
        <w:t>亿元。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上述数据显示，我国农村电子支付交易量和交易笔数都增长迅猛，交易笔数与同期相比增长近200%，我们认为这和电子 支付进入农村市场较晚的原因有关，目前该市场还处于前期爆发增长阶段，我国农村电子支付服务市场值得持续关注。</w:t>
      </w:r>
    </w:p>
    <w:p>
      <w:pPr>
        <w:pStyle w:val="Style28"/>
        <w:keepNext w:val="0"/>
        <w:keepLines w:val="0"/>
        <w:widowControl w:val="0"/>
        <w:numPr>
          <w:ilvl w:val="0"/>
          <w:numId w:val="17"/>
        </w:numPr>
        <w:shd w:val="clear" w:color="auto" w:fill="auto"/>
        <w:bidi w:val="0"/>
        <w:spacing w:before="0" w:after="0" w:line="312" w:lineRule="exact"/>
        <w:ind w:left="0" w:right="0" w:firstLine="0"/>
        <w:jc w:val="left"/>
      </w:pPr>
      <w:bookmarkStart w:id="258" w:name="bookmark258"/>
      <w:bookmarkEnd w:id="258"/>
      <w:r>
        <w:rPr>
          <w:color w:val="000000"/>
          <w:spacing w:val="0"/>
          <w:w w:val="100"/>
          <w:position w:val="0"/>
        </w:rPr>
        <w:t>电子支付产业发展趋势</w:t>
      </w:r>
    </w:p>
    <w:p>
      <w:pPr>
        <w:pStyle w:val="Style28"/>
        <w:keepNext w:val="0"/>
        <w:keepLines w:val="0"/>
        <w:widowControl w:val="0"/>
        <w:numPr>
          <w:ilvl w:val="0"/>
          <w:numId w:val="19"/>
        </w:numPr>
        <w:shd w:val="clear" w:color="auto" w:fill="auto"/>
        <w:bidi w:val="0"/>
        <w:spacing w:before="0" w:after="0" w:line="312" w:lineRule="exact"/>
        <w:ind w:left="0" w:right="0" w:firstLine="380"/>
        <w:jc w:val="left"/>
      </w:pPr>
      <w:bookmarkStart w:id="259" w:name="bookmark259"/>
      <w:bookmarkEnd w:id="259"/>
      <w:r>
        <w:rPr>
          <w:color w:val="000000"/>
          <w:spacing w:val="0"/>
          <w:w w:val="100"/>
          <w:position w:val="0"/>
        </w:rPr>
        <w:t>POS</w:t>
      </w:r>
      <w:r>
        <w:rPr>
          <w:color w:val="000000"/>
          <w:spacing w:val="0"/>
          <w:w w:val="100"/>
          <w:position w:val="0"/>
        </w:rPr>
        <w:t>智能化升级，功能强大兼容全渠道支付</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近几年，我国移动支付市场发展迅速，移动支付已广泛应用于线下各场景，市场参与者众多。移动支付的普及以及相关 多样化</w:t>
      </w:r>
      <w:r>
        <w:rPr>
          <w:color w:val="000000"/>
          <w:spacing w:val="0"/>
          <w:w w:val="100"/>
          <w:position w:val="0"/>
        </w:rPr>
        <w:t>APP</w:t>
      </w:r>
      <w:r>
        <w:rPr>
          <w:color w:val="000000"/>
          <w:spacing w:val="0"/>
          <w:w w:val="100"/>
          <w:position w:val="0"/>
        </w:rPr>
        <w:t>的应用对</w:t>
      </w:r>
      <w:r>
        <w:rPr>
          <w:color w:val="000000"/>
          <w:spacing w:val="0"/>
          <w:w w:val="100"/>
          <w:position w:val="0"/>
        </w:rPr>
        <w:t>POS</w:t>
      </w:r>
      <w:r>
        <w:rPr>
          <w:color w:val="000000"/>
          <w:spacing w:val="0"/>
          <w:w w:val="100"/>
          <w:position w:val="0"/>
        </w:rPr>
        <w:t>终端提出了更高的要求，从而倒逼了智能</w:t>
      </w:r>
      <w:r>
        <w:rPr>
          <w:color w:val="000000"/>
          <w:spacing w:val="0"/>
          <w:w w:val="100"/>
          <w:position w:val="0"/>
        </w:rPr>
        <w:t>POS</w:t>
      </w:r>
      <w:r>
        <w:rPr>
          <w:color w:val="000000"/>
          <w:spacing w:val="0"/>
          <w:w w:val="100"/>
          <w:position w:val="0"/>
        </w:rPr>
        <w:t>的发展。智能</w:t>
      </w:r>
      <w:r>
        <w:rPr>
          <w:color w:val="000000"/>
          <w:spacing w:val="0"/>
          <w:w w:val="100"/>
          <w:position w:val="0"/>
        </w:rPr>
        <w:t>POS</w:t>
      </w:r>
      <w:r>
        <w:rPr>
          <w:color w:val="000000"/>
          <w:spacing w:val="0"/>
          <w:w w:val="100"/>
          <w:position w:val="0"/>
        </w:rPr>
        <w:t>在传统</w:t>
      </w:r>
      <w:r>
        <w:rPr>
          <w:color w:val="000000"/>
          <w:spacing w:val="0"/>
          <w:w w:val="100"/>
          <w:position w:val="0"/>
        </w:rPr>
        <w:t>POS</w:t>
      </w:r>
      <w:r>
        <w:rPr>
          <w:color w:val="000000"/>
          <w:spacing w:val="0"/>
          <w:w w:val="100"/>
          <w:position w:val="0"/>
        </w:rPr>
        <w:t>的基础上升级换代，在整合 兼容各种支付方式之外，更将</w:t>
      </w:r>
      <w:r>
        <w:rPr>
          <w:color w:val="000000"/>
          <w:spacing w:val="0"/>
          <w:w w:val="100"/>
          <w:position w:val="0"/>
        </w:rPr>
        <w:t>POS</w:t>
      </w:r>
      <w:r>
        <w:rPr>
          <w:color w:val="000000"/>
          <w:spacing w:val="0"/>
          <w:w w:val="100"/>
          <w:position w:val="0"/>
        </w:rPr>
        <w:t xml:space="preserve">机由一个简单的支付机具升级成为了集“支付入口 +数据中心+营销管理平台+金融服务平台” 为一体的综合性管理平台，赋予了 </w:t>
      </w:r>
      <w:r>
        <w:rPr>
          <w:color w:val="000000"/>
          <w:spacing w:val="0"/>
          <w:w w:val="100"/>
          <w:position w:val="0"/>
        </w:rPr>
        <w:t>POS</w:t>
      </w:r>
      <w:r>
        <w:rPr>
          <w:color w:val="000000"/>
          <w:spacing w:val="0"/>
          <w:w w:val="100"/>
          <w:position w:val="0"/>
        </w:rPr>
        <w:t>机新的商业角色。</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近年来，我国移动支付持续增长。</w:t>
      </w:r>
      <w:r>
        <w:rPr>
          <w:color w:val="000000"/>
          <w:spacing w:val="0"/>
          <w:w w:val="100"/>
          <w:position w:val="0"/>
        </w:rPr>
        <w:t>2009-2016</w:t>
      </w:r>
      <w:r>
        <w:rPr>
          <w:color w:val="000000"/>
          <w:spacing w:val="0"/>
          <w:w w:val="100"/>
          <w:position w:val="0"/>
        </w:rPr>
        <w:t>年间，我国非现金交易规模及移动支付交易规模均大幅提升，2016年更是 实现了高速增长的态势,2016年第三季度,我国移动支付交易规模达到</w:t>
      </w:r>
      <w:r>
        <w:rPr>
          <w:color w:val="000000"/>
          <w:spacing w:val="0"/>
          <w:w w:val="100"/>
          <w:position w:val="0"/>
        </w:rPr>
        <w:t xml:space="preserve">35. </w:t>
      </w:r>
      <w:r>
        <w:rPr>
          <w:color w:val="000000"/>
          <w:spacing w:val="0"/>
          <w:w w:val="100"/>
          <w:position w:val="0"/>
        </w:rPr>
        <w:t>33万亿元，业务</w:t>
      </w:r>
      <w:r>
        <w:rPr>
          <w:color w:val="000000"/>
          <w:spacing w:val="0"/>
          <w:w w:val="100"/>
          <w:position w:val="0"/>
        </w:rPr>
        <w:t xml:space="preserve">66. </w:t>
      </w:r>
      <w:r>
        <w:rPr>
          <w:color w:val="000000"/>
          <w:spacing w:val="0"/>
          <w:w w:val="100"/>
          <w:position w:val="0"/>
        </w:rPr>
        <w:t>29笔，同比增长</w:t>
      </w:r>
      <w:r>
        <w:rPr>
          <w:color w:val="000000"/>
          <w:spacing w:val="0"/>
          <w:w w:val="100"/>
          <w:position w:val="0"/>
        </w:rPr>
        <w:t xml:space="preserve">94. </w:t>
      </w:r>
      <w:r>
        <w:rPr>
          <w:color w:val="000000"/>
          <w:spacing w:val="0"/>
          <w:w w:val="100"/>
          <w:position w:val="0"/>
        </w:rPr>
        <w:t>45%和45.97%。</w:t>
      </w:r>
    </w:p>
    <w:p>
      <w:pPr>
        <w:pStyle w:val="Style28"/>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2010-2016</w:t>
      </w:r>
      <w:r>
        <w:rPr>
          <w:color w:val="000000"/>
          <w:spacing w:val="0"/>
          <w:w w:val="100"/>
          <w:position w:val="0"/>
        </w:rPr>
        <w:t>年间，我国移动</w:t>
      </w:r>
      <w:r>
        <w:rPr>
          <w:color w:val="000000"/>
          <w:spacing w:val="0"/>
          <w:w w:val="100"/>
          <w:position w:val="0"/>
        </w:rPr>
        <w:t>(3G/4G</w:t>
      </w:r>
      <w:r>
        <w:rPr>
          <w:color w:val="000000"/>
          <w:spacing w:val="0"/>
          <w:w w:val="100"/>
          <w:position w:val="0"/>
        </w:rPr>
        <w:t>)用户规模及占比不断上升。截至2016年11月份，仅中国移动</w:t>
      </w:r>
      <w:r>
        <w:rPr>
          <w:color w:val="000000"/>
          <w:spacing w:val="0"/>
          <w:w w:val="100"/>
          <w:position w:val="0"/>
        </w:rPr>
        <w:t>4G</w:t>
      </w:r>
      <w:r>
        <w:rPr>
          <w:color w:val="000000"/>
          <w:spacing w:val="0"/>
          <w:w w:val="100"/>
          <w:position w:val="0"/>
        </w:rPr>
        <w:t>用户数量就达到5 亿人，多数消费者表示曾使用移动支付。</w:t>
      </w:r>
      <w:r>
        <w:rPr>
          <w:color w:val="000000"/>
          <w:spacing w:val="0"/>
          <w:w w:val="100"/>
          <w:position w:val="0"/>
        </w:rPr>
        <w:t>4G</w:t>
      </w:r>
      <w:r>
        <w:rPr>
          <w:color w:val="000000"/>
          <w:spacing w:val="0"/>
          <w:w w:val="100"/>
          <w:position w:val="0"/>
        </w:rPr>
        <w:t>网络已实现了乡镇以上的连续覆盖、行政村的热点覆盖，以及高铁、地铁、重点 景区的基本覆盖，并已与114个国家和地区实现</w:t>
      </w:r>
      <w:r>
        <w:rPr>
          <w:color w:val="000000"/>
          <w:spacing w:val="0"/>
          <w:w w:val="100"/>
          <w:position w:val="0"/>
        </w:rPr>
        <w:t>4G</w:t>
      </w:r>
      <w:r>
        <w:rPr>
          <w:color w:val="000000"/>
          <w:spacing w:val="0"/>
          <w:w w:val="100"/>
          <w:position w:val="0"/>
        </w:rPr>
        <w:t>漫游。随着国内高质电信网络的快速建成，对移动终端的使用推广以及移 动端应用起了积极核心的推动作用。高速</w:t>
      </w:r>
      <w:r>
        <w:rPr>
          <w:color w:val="000000"/>
          <w:spacing w:val="0"/>
          <w:w w:val="100"/>
          <w:position w:val="0"/>
        </w:rPr>
        <w:t>4G</w:t>
      </w:r>
      <w:r>
        <w:rPr>
          <w:color w:val="000000"/>
          <w:spacing w:val="0"/>
          <w:w w:val="100"/>
          <w:position w:val="0"/>
        </w:rPr>
        <w:t>网络下，国内人们的生活通过移动终端的使用变得越来越高效、便捷，在城市里 接入网络已几乎不再受时间、地域的限制，电子支付以及移动端应用已渗透进人们的衣食住行中，以往的普通</w:t>
      </w:r>
      <w:r>
        <w:rPr>
          <w:color w:val="000000"/>
          <w:spacing w:val="0"/>
          <w:w w:val="100"/>
          <w:position w:val="0"/>
        </w:rPr>
        <w:t>POS</w:t>
      </w:r>
      <w:r>
        <w:rPr>
          <w:color w:val="000000"/>
          <w:spacing w:val="0"/>
          <w:w w:val="100"/>
          <w:position w:val="0"/>
        </w:rPr>
        <w:t>已不能再 满足移动端多样化的需求，所以在移动互联网的趋势下，行业对智能</w:t>
      </w:r>
      <w:r>
        <w:rPr>
          <w:color w:val="000000"/>
          <w:spacing w:val="0"/>
          <w:w w:val="100"/>
          <w:position w:val="0"/>
        </w:rPr>
        <w:t>POS</w:t>
      </w:r>
      <w:r>
        <w:rPr>
          <w:color w:val="000000"/>
          <w:spacing w:val="0"/>
          <w:w w:val="100"/>
          <w:position w:val="0"/>
        </w:rPr>
        <w:t>的需求将会爆发，我们预测未来几年将是智能</w:t>
      </w:r>
      <w:r>
        <w:rPr>
          <w:color w:val="000000"/>
          <w:spacing w:val="0"/>
          <w:w w:val="100"/>
          <w:position w:val="0"/>
        </w:rPr>
        <w:t xml:space="preserve">POS </w:t>
      </w:r>
      <w:r>
        <w:rPr>
          <w:color w:val="000000"/>
          <w:spacing w:val="0"/>
          <w:w w:val="100"/>
          <w:position w:val="0"/>
        </w:rPr>
        <w:t>高速增长的时期。</w:t>
      </w:r>
    </w:p>
    <w:p>
      <w:pPr>
        <w:widowControl w:val="0"/>
        <w:jc w:val="left"/>
        <w:rPr>
          <w:sz w:val="2"/>
          <w:szCs w:val="2"/>
        </w:rPr>
      </w:pPr>
      <w:r>
        <w:drawing>
          <wp:inline>
            <wp:extent cx="5078095" cy="16827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5078095" cy="1682750"/>
                    </a:xfrm>
                    <a:prstGeom prst="rect"/>
                  </pic:spPr>
                </pic:pic>
              </a:graphicData>
            </a:graphic>
          </wp:inline>
        </w:drawing>
      </w:r>
    </w:p>
    <w:p>
      <w:pPr>
        <w:widowControl w:val="0"/>
      </w:pP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资料来源：东方财富</w:t>
      </w:r>
      <w:r>
        <w:rPr>
          <w:rFonts w:ascii="Times New Roman" w:eastAsia="Times New Roman" w:hAnsi="Times New Roman" w:cs="Times New Roman"/>
          <w:color w:val="000000"/>
          <w:spacing w:val="0"/>
          <w:w w:val="100"/>
          <w:position w:val="0"/>
        </w:rPr>
        <w:t>C hoice</w:t>
      </w:r>
      <w:r>
        <w:rPr>
          <w:color w:val="000000"/>
          <w:spacing w:val="0"/>
          <w:w w:val="100"/>
          <w:position w:val="0"/>
        </w:rPr>
        <w:t>数据</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2020年我国将实现</w:t>
      </w:r>
      <w:r>
        <w:rPr>
          <w:color w:val="000000"/>
          <w:spacing w:val="0"/>
          <w:w w:val="100"/>
          <w:position w:val="0"/>
        </w:rPr>
        <w:t>5G</w:t>
      </w:r>
      <w:r>
        <w:rPr>
          <w:color w:val="000000"/>
          <w:spacing w:val="0"/>
          <w:w w:val="100"/>
          <w:position w:val="0"/>
        </w:rPr>
        <w:t>网络商业化。中国移动已经为</w:t>
      </w:r>
      <w:r>
        <w:rPr>
          <w:color w:val="000000"/>
          <w:spacing w:val="0"/>
          <w:w w:val="100"/>
          <w:position w:val="0"/>
        </w:rPr>
        <w:t>5G</w:t>
      </w:r>
      <w:r>
        <w:rPr>
          <w:color w:val="000000"/>
          <w:spacing w:val="0"/>
          <w:w w:val="100"/>
          <w:position w:val="0"/>
        </w:rPr>
        <w:t>网络的上市制定出了新的时间表：2016年启动</w:t>
      </w:r>
      <w:r>
        <w:rPr>
          <w:color w:val="000000"/>
          <w:spacing w:val="0"/>
          <w:w w:val="100"/>
          <w:position w:val="0"/>
        </w:rPr>
        <w:t>5G</w:t>
      </w:r>
      <w:r>
        <w:rPr>
          <w:color w:val="000000"/>
          <w:spacing w:val="0"/>
          <w:w w:val="100"/>
          <w:position w:val="0"/>
        </w:rPr>
        <w:t xml:space="preserve">技术试验、标准定 制及产品开发;2017、2018年将分别启动外场试验，并开展面向商用化规模实验;到2020年，中国移动将按照国家规划，完成 </w:t>
      </w:r>
      <w:r>
        <w:rPr>
          <w:color w:val="000000"/>
          <w:spacing w:val="0"/>
          <w:w w:val="100"/>
          <w:position w:val="0"/>
        </w:rPr>
        <w:t>5G</w:t>
      </w:r>
      <w:r>
        <w:rPr>
          <w:color w:val="000000"/>
          <w:spacing w:val="0"/>
          <w:w w:val="100"/>
          <w:position w:val="0"/>
        </w:rPr>
        <w:t>的规模商用。中国移动打造的</w:t>
      </w:r>
      <w:r>
        <w:rPr>
          <w:color w:val="000000"/>
          <w:spacing w:val="0"/>
          <w:w w:val="100"/>
          <w:position w:val="0"/>
        </w:rPr>
        <w:t>5G</w:t>
      </w:r>
      <w:r>
        <w:rPr>
          <w:color w:val="000000"/>
          <w:spacing w:val="0"/>
          <w:w w:val="100"/>
          <w:position w:val="0"/>
        </w:rPr>
        <w:t>网络，网速是</w:t>
      </w:r>
      <w:r>
        <w:rPr>
          <w:color w:val="000000"/>
          <w:spacing w:val="0"/>
          <w:w w:val="100"/>
          <w:position w:val="0"/>
        </w:rPr>
        <w:t>4G</w:t>
      </w:r>
      <w:r>
        <w:rPr>
          <w:color w:val="000000"/>
          <w:spacing w:val="0"/>
          <w:w w:val="100"/>
          <w:position w:val="0"/>
        </w:rPr>
        <w:t>网速的12倍以上，</w:t>
      </w:r>
      <w:r>
        <w:rPr>
          <w:color w:val="000000"/>
          <w:spacing w:val="0"/>
          <w:w w:val="100"/>
          <w:position w:val="0"/>
        </w:rPr>
        <w:t>5G</w:t>
      </w:r>
      <w:r>
        <w:rPr>
          <w:color w:val="000000"/>
          <w:spacing w:val="0"/>
          <w:w w:val="100"/>
          <w:position w:val="0"/>
        </w:rPr>
        <w:t>的时延已达到毫秒量级，通信敏捷度是</w:t>
      </w:r>
      <w:r>
        <w:rPr>
          <w:color w:val="000000"/>
          <w:spacing w:val="0"/>
          <w:w w:val="100"/>
          <w:position w:val="0"/>
        </w:rPr>
        <w:t>4G</w:t>
      </w:r>
      <w:r>
        <w:rPr>
          <w:color w:val="000000"/>
          <w:spacing w:val="0"/>
          <w:w w:val="100"/>
          <w:position w:val="0"/>
        </w:rPr>
        <w:t>的10倍。更 重要的是，中国移动还赋予了</w:t>
      </w:r>
      <w:r>
        <w:rPr>
          <w:color w:val="000000"/>
          <w:spacing w:val="0"/>
          <w:w w:val="100"/>
          <w:position w:val="0"/>
        </w:rPr>
        <w:t>5G</w:t>
      </w:r>
      <w:r>
        <w:rPr>
          <w:color w:val="000000"/>
          <w:spacing w:val="0"/>
          <w:w w:val="100"/>
          <w:position w:val="0"/>
        </w:rPr>
        <w:t>网络万物互联的属性。在</w:t>
      </w:r>
      <w:r>
        <w:rPr>
          <w:color w:val="000000"/>
          <w:spacing w:val="0"/>
          <w:w w:val="100"/>
          <w:position w:val="0"/>
        </w:rPr>
        <w:t>5G</w:t>
      </w:r>
      <w:r>
        <w:rPr>
          <w:color w:val="000000"/>
          <w:spacing w:val="0"/>
          <w:w w:val="100"/>
          <w:position w:val="0"/>
        </w:rPr>
        <w:t>的低时延下，人们可以接入无人汽车、</w:t>
      </w:r>
      <w:r>
        <w:rPr>
          <w:color w:val="000000"/>
          <w:spacing w:val="0"/>
          <w:w w:val="100"/>
          <w:position w:val="0"/>
        </w:rPr>
        <w:t>VR、AR</w:t>
      </w:r>
      <w:r>
        <w:rPr>
          <w:color w:val="000000"/>
          <w:spacing w:val="0"/>
          <w:w w:val="100"/>
          <w:position w:val="0"/>
        </w:rPr>
        <w:t>等</w:t>
      </w:r>
      <w:r>
        <w:rPr>
          <w:color w:val="000000"/>
          <w:spacing w:val="0"/>
          <w:w w:val="100"/>
          <w:position w:val="0"/>
        </w:rPr>
        <w:t>4G</w:t>
      </w:r>
      <w:r>
        <w:rPr>
          <w:color w:val="000000"/>
          <w:spacing w:val="0"/>
          <w:w w:val="100"/>
          <w:position w:val="0"/>
        </w:rPr>
        <w:t>网络所不能支 撑的应用，智能交通、远程操控、全景视频等新科技都将在</w:t>
      </w:r>
      <w:r>
        <w:rPr>
          <w:color w:val="000000"/>
          <w:spacing w:val="0"/>
          <w:w w:val="100"/>
          <w:position w:val="0"/>
        </w:rPr>
        <w:t>5G</w:t>
      </w:r>
      <w:r>
        <w:rPr>
          <w:color w:val="000000"/>
          <w:spacing w:val="0"/>
          <w:w w:val="100"/>
          <w:position w:val="0"/>
        </w:rPr>
        <w:t>框架下成为现实。所以，我们预测在万物互联的时代里，电子 支付将会嵌入更多的媒介，支付行为将更为简单方便，智能</w:t>
      </w:r>
      <w:r>
        <w:rPr>
          <w:color w:val="000000"/>
          <w:spacing w:val="0"/>
          <w:w w:val="100"/>
          <w:position w:val="0"/>
        </w:rPr>
        <w:t>POS</w:t>
      </w:r>
      <w:r>
        <w:rPr>
          <w:color w:val="000000"/>
          <w:spacing w:val="0"/>
          <w:w w:val="100"/>
          <w:position w:val="0"/>
        </w:rPr>
        <w:t>将会被赋予更多的职能，作为接入多样媒介统一的支付端口。</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如今，国内智能</w:t>
      </w:r>
      <w:r>
        <w:rPr>
          <w:color w:val="000000"/>
          <w:spacing w:val="0"/>
          <w:w w:val="100"/>
          <w:position w:val="0"/>
        </w:rPr>
        <w:t>POS</w:t>
      </w:r>
      <w:r>
        <w:rPr>
          <w:color w:val="000000"/>
          <w:spacing w:val="0"/>
          <w:w w:val="100"/>
          <w:position w:val="0"/>
        </w:rPr>
        <w:t>机具的技术标准已经成熟，主流</w:t>
      </w:r>
      <w:r>
        <w:rPr>
          <w:color w:val="000000"/>
          <w:spacing w:val="0"/>
          <w:w w:val="100"/>
          <w:position w:val="0"/>
        </w:rPr>
        <w:t>POS</w:t>
      </w:r>
      <w:r>
        <w:rPr>
          <w:color w:val="000000"/>
          <w:spacing w:val="0"/>
          <w:w w:val="100"/>
          <w:position w:val="0"/>
        </w:rPr>
        <w:t>生产厂商已具备量产智能</w:t>
      </w:r>
      <w:r>
        <w:rPr>
          <w:color w:val="000000"/>
          <w:spacing w:val="0"/>
          <w:w w:val="100"/>
          <w:position w:val="0"/>
        </w:rPr>
        <w:t>POS</w:t>
      </w:r>
      <w:r>
        <w:rPr>
          <w:color w:val="000000"/>
          <w:spacing w:val="0"/>
          <w:w w:val="100"/>
          <w:position w:val="0"/>
        </w:rPr>
        <w:t>能力，在技术和安全方面为消费 者交易过程提供了支持和保障。与此同时，我国银行卡线下收单行业在相关政策约束下发展逐渐规范化；刷卡手续费改革、 取消信用卡滞纳金等政策也提高了消费者卡消费积极性，促进了银行卡收单行业规模的增长，间接带动了智能</w:t>
      </w:r>
      <w:r>
        <w:rPr>
          <w:color w:val="000000"/>
          <w:spacing w:val="0"/>
          <w:w w:val="100"/>
          <w:position w:val="0"/>
        </w:rPr>
        <w:t>POS</w:t>
      </w:r>
      <w:r>
        <w:rPr>
          <w:color w:val="000000"/>
          <w:spacing w:val="0"/>
          <w:w w:val="100"/>
          <w:position w:val="0"/>
        </w:rPr>
        <w:t>的发展。 所以，我们预测2017年将会成为智能</w:t>
      </w:r>
      <w:r>
        <w:rPr>
          <w:color w:val="000000"/>
          <w:spacing w:val="0"/>
          <w:w w:val="100"/>
          <w:position w:val="0"/>
        </w:rPr>
        <w:t>POS</w:t>
      </w:r>
      <w:r>
        <w:rPr>
          <w:color w:val="000000"/>
          <w:spacing w:val="0"/>
          <w:w w:val="100"/>
          <w:position w:val="0"/>
        </w:rPr>
        <w:t>爆发的元年。</w:t>
      </w:r>
    </w:p>
    <w:p>
      <w:pPr>
        <w:widowControl w:val="0"/>
        <w:jc w:val="left"/>
        <w:rPr>
          <w:sz w:val="2"/>
          <w:szCs w:val="2"/>
        </w:rPr>
      </w:pPr>
      <w:r>
        <w:drawing>
          <wp:inline>
            <wp:extent cx="3212465" cy="224345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stretch/>
                  </pic:blipFill>
                  <pic:spPr>
                    <a:xfrm>
                      <a:ext cx="3212465" cy="2243455"/>
                    </a:xfrm>
                    <a:prstGeom prst="rect"/>
                  </pic:spPr>
                </pic:pic>
              </a:graphicData>
            </a:graphic>
          </wp:inline>
        </w:drawing>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图片来源：新国都智能</w:t>
      </w:r>
      <w:r>
        <w:rPr>
          <w:rFonts w:ascii="Times New Roman" w:eastAsia="Times New Roman" w:hAnsi="Times New Roman" w:cs="Times New Roman"/>
          <w:color w:val="000000"/>
          <w:spacing w:val="0"/>
          <w:w w:val="100"/>
          <w:position w:val="0"/>
        </w:rPr>
        <w:t>POSN5</w:t>
      </w:r>
      <w:r>
        <w:rPr>
          <w:color w:val="000000"/>
          <w:spacing w:val="0"/>
          <w:w w:val="100"/>
          <w:position w:val="0"/>
        </w:rPr>
        <w:t>官网宣传照</w:t>
      </w:r>
    </w:p>
    <w:p>
      <w:pPr>
        <w:pStyle w:val="Style28"/>
        <w:keepNext w:val="0"/>
        <w:keepLines w:val="0"/>
        <w:widowControl w:val="0"/>
        <w:shd w:val="clear" w:color="auto" w:fill="auto"/>
        <w:tabs>
          <w:tab w:pos="678" w:val="left"/>
        </w:tabs>
        <w:bidi w:val="0"/>
        <w:spacing w:before="0" w:after="0" w:line="312" w:lineRule="exact"/>
        <w:ind w:left="0" w:right="0" w:firstLine="380"/>
        <w:jc w:val="both"/>
      </w:pPr>
      <w:bookmarkStart w:id="260" w:name="bookmark260"/>
      <w:r>
        <w:rPr>
          <w:color w:val="000000"/>
          <w:spacing w:val="0"/>
          <w:w w:val="100"/>
          <w:position w:val="0"/>
        </w:rPr>
        <w:t>2</w:t>
      </w:r>
      <w:bookmarkEnd w:id="260"/>
      <w:r>
        <w:rPr>
          <w:color w:val="000000"/>
          <w:spacing w:val="0"/>
          <w:w w:val="100"/>
          <w:position w:val="0"/>
        </w:rPr>
        <w:t>）</w:t>
        <w:tab/>
        <w:t>银行卡刷卡手续费下调新政落地，收单机构洗牌在即</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国家发改委、人民银行印发《关于完善银行卡刷卡手续费定价机制的通知》，完善银行卡刷卡手续费定价机制，从总体 上降低收费水平，调整后的刷卡手续费政策已从2016年9月6日起正式实施。费率大幅下调，减轻商户负担，</w:t>
      </w:r>
      <w:r>
        <w:rPr>
          <w:color w:val="000000"/>
          <w:spacing w:val="0"/>
          <w:w w:val="100"/>
          <w:position w:val="0"/>
        </w:rPr>
        <w:t>POS</w:t>
      </w:r>
      <w:r>
        <w:rPr>
          <w:color w:val="000000"/>
          <w:spacing w:val="0"/>
          <w:w w:val="100"/>
          <w:position w:val="0"/>
        </w:rPr>
        <w:t>渗透率有望 提升。有效遏制“套码/套现”，收单机构灰色收益将大幅降低。取消行业分类，过去将高费率行业“套码”至低费率行业, 以此在商户端恶性竞争并套取超额收益将基本杜绝。由于传统收单手续费方面的利润将呈现下降趋势，预计未来会有越来越 多难以为继的中小型第三方支付机构选择被并购，行业集中度将显着提升。</w:t>
      </w:r>
    </w:p>
    <w:p>
      <w:pPr>
        <w:pStyle w:val="Style28"/>
        <w:keepNext w:val="0"/>
        <w:keepLines w:val="0"/>
        <w:widowControl w:val="0"/>
        <w:shd w:val="clear" w:color="auto" w:fill="auto"/>
        <w:tabs>
          <w:tab w:pos="678" w:val="left"/>
        </w:tabs>
        <w:bidi w:val="0"/>
        <w:spacing w:before="0" w:after="0" w:line="312" w:lineRule="exact"/>
        <w:ind w:left="0" w:right="0" w:firstLine="380"/>
        <w:jc w:val="both"/>
      </w:pPr>
      <w:bookmarkStart w:id="261" w:name="bookmark261"/>
      <w:r>
        <w:rPr>
          <w:color w:val="000000"/>
          <w:spacing w:val="0"/>
          <w:w w:val="100"/>
          <w:position w:val="0"/>
        </w:rPr>
        <w:t>3</w:t>
      </w:r>
      <w:bookmarkEnd w:id="261"/>
      <w:r>
        <w:rPr>
          <w:color w:val="000000"/>
          <w:spacing w:val="0"/>
          <w:w w:val="100"/>
          <w:position w:val="0"/>
        </w:rPr>
        <w:t>）</w:t>
        <w:tab/>
        <w:t>基础的支付服务上升到商户运营增值类服务</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消费者在日常生活的各种活动中会产生许多数据，例如支付活动就可以产生和累计很多有用的基础数据，这些数据可以 被合理进行利用来帮助商户分析消费者行为，针对其消费特征和偏好制定或改善营销策略，提高用户粘性或忠诚度，开发用 户潜在消费需求，从而为商户产生巨大的利益。随着智能</w:t>
      </w:r>
      <w:r>
        <w:rPr>
          <w:color w:val="000000"/>
          <w:spacing w:val="0"/>
          <w:w w:val="100"/>
          <w:position w:val="0"/>
        </w:rPr>
        <w:t>POS</w:t>
      </w:r>
      <w:r>
        <w:rPr>
          <w:color w:val="000000"/>
          <w:spacing w:val="0"/>
          <w:w w:val="100"/>
          <w:position w:val="0"/>
        </w:rPr>
        <w:t>的普及，再加之智能</w:t>
      </w:r>
      <w:r>
        <w:rPr>
          <w:color w:val="000000"/>
          <w:spacing w:val="0"/>
          <w:w w:val="100"/>
          <w:position w:val="0"/>
        </w:rPr>
        <w:t>POS</w:t>
      </w:r>
      <w:r>
        <w:rPr>
          <w:color w:val="000000"/>
          <w:spacing w:val="0"/>
          <w:w w:val="100"/>
          <w:position w:val="0"/>
        </w:rPr>
        <w:t>可以利用大数据挖掘技术以及云计算技 术，为商户实现商家与消费者的多种互动，例如卡券派发，会员管理等更多更加强大便捷的服务，给商户带来利润上的提升。 其次，由于银行卡扣率的降低，从而使得支付公司从基础支付服务能够获得的收入减少，第三方支付公司不得不从仅提供基 础支付服务的商业模式转型至提供更有竞争力的增值服务模式从而增大利润，所以我们认为未来第三方支付公司都会在底层 的支付服务的基础上，衍生出更多的符合市场需求的商户运营服务。</w:t>
      </w:r>
    </w:p>
    <w:p>
      <w:pPr>
        <w:pStyle w:val="Style28"/>
        <w:keepNext w:val="0"/>
        <w:keepLines w:val="0"/>
        <w:widowControl w:val="0"/>
        <w:shd w:val="clear" w:color="auto" w:fill="auto"/>
        <w:tabs>
          <w:tab w:pos="683" w:val="left"/>
        </w:tabs>
        <w:bidi w:val="0"/>
        <w:spacing w:before="0" w:after="0" w:line="312" w:lineRule="exact"/>
        <w:ind w:left="0" w:right="0" w:firstLine="380"/>
        <w:jc w:val="both"/>
      </w:pPr>
      <w:bookmarkStart w:id="262" w:name="bookmark262"/>
      <w:r>
        <w:rPr>
          <w:color w:val="000000"/>
          <w:spacing w:val="0"/>
          <w:w w:val="100"/>
          <w:position w:val="0"/>
        </w:rPr>
        <w:t>4</w:t>
      </w:r>
      <w:bookmarkEnd w:id="262"/>
      <w:r>
        <w:rPr>
          <w:color w:val="000000"/>
          <w:spacing w:val="0"/>
          <w:w w:val="100"/>
          <w:position w:val="0"/>
        </w:rPr>
        <w:t>）</w:t>
        <w:tab/>
        <w:t>数字货币元年已至，支付行业影响深远</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由央行推动的基于区块链技术的数字票据交易平台近期已测试成功，由央行发行的法定数字货币也已在该平台试运行。 央行旗下的数字货币研究所也将正式挂牌。央行数字货币研发进程超出了市场的预期，这将提升行业对数字货币研发进展与 相关具体应用的关注度，也将带动支付等数字货币应用领域的进一步发展。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央行数字货币是由央行发行、加密、有国家信用支撑的法定货币，其本质与流通纸币相同；其发行、流通基于现行“央 行-商行”二元体系，仅在运送及保存方式上有所改变。然而，央行数字货币区别于纸币，由数字加密存储，并利用区块链 技术，对加密数字货币的传输内容和流通路径进行记录和存储，并通过建立分布式账本实现共享，这使得央行数字货币的流 通路径完全可循并不可篡改，具备极强的可追溯性；作为底层的金融基础设施，其问世及在各交易场景的渗透，或将重塑整 个金融体系。蚂蚁金服旗下支付宝爱心捐赠平台目前已全面引入区块链技术，并向公益机构开放，签约机构经审核后均可自 助发布基于区块链的公益项目。</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央行数字货币落地后，政府可利用其可追溯性等特征精确控制货币供给量及去向，优化货币政策的执行。由于其无具体 实物形态存在且采用点对点清算模式，包括印钞、运钞、流通等在内的货币流通成本将全面大幅下降，货币流通效率将显著 上升。另外，监管当局及政府相关部门可以监控资金流向，打击洗钱、逃漏税等违法行为，优化精准扶贫、个税改革等政策 的落实。</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中国人民银行行长周小川接受于2月15日出版的《财新周刊》采访时再次谈及数字货币：数字货币体系的建立十分必要， 未来，数字货币与现金将在长时间内并行、逐步替代；作为法定货币的数字货币必将由央行发行，并通过技术、法律等手段 保障其安全性。从央行给数字货币的定义和相关对外宣传，我们预计在未来数字货币极大可能取代纸币。即使是在当下，由 </w:t>
      </w:r>
      <w:r>
        <w:rPr>
          <w:color w:val="000000"/>
          <w:spacing w:val="0"/>
          <w:w w:val="100"/>
          <w:position w:val="0"/>
        </w:rPr>
        <w:t xml:space="preserve">于移动支付应用在人们日常生活中的普及，“无纸币”的时代已经悄然开启，若未来，数字货币肩负完全取代纸币的使命公 开发行，对支付行业必将产生深远影响。移动支付及相关应用的流行倒逼了 </w:t>
      </w:r>
      <w:r>
        <w:rPr>
          <w:color w:val="000000"/>
          <w:spacing w:val="0"/>
          <w:w w:val="100"/>
          <w:position w:val="0"/>
        </w:rPr>
        <w:t>POS</w:t>
      </w:r>
      <w:r>
        <w:rPr>
          <w:color w:val="000000"/>
          <w:spacing w:val="0"/>
          <w:w w:val="100"/>
          <w:position w:val="0"/>
        </w:rPr>
        <w:t>机智能化升级，所以我们预计未来数字货币 的大范围发行使用必将会再次革新金融机具</w:t>
      </w:r>
      <w:r>
        <w:rPr>
          <w:color w:val="000000"/>
          <w:spacing w:val="0"/>
          <w:w w:val="100"/>
          <w:position w:val="0"/>
        </w:rPr>
        <w:t>POS</w:t>
      </w:r>
      <w:r>
        <w:rPr>
          <w:color w:val="000000"/>
          <w:spacing w:val="0"/>
          <w:w w:val="100"/>
          <w:position w:val="0"/>
        </w:rPr>
        <w:t>机的技术和形态。</w:t>
      </w:r>
    </w:p>
    <w:p>
      <w:pPr>
        <w:pStyle w:val="Style28"/>
        <w:keepNext w:val="0"/>
        <w:keepLines w:val="0"/>
        <w:widowControl w:val="0"/>
        <w:numPr>
          <w:ilvl w:val="0"/>
          <w:numId w:val="21"/>
        </w:numPr>
        <w:shd w:val="clear" w:color="auto" w:fill="auto"/>
        <w:tabs>
          <w:tab w:pos="678" w:val="left"/>
        </w:tabs>
        <w:bidi w:val="0"/>
        <w:spacing w:before="0" w:after="0" w:line="312" w:lineRule="exact"/>
        <w:ind w:left="0" w:right="0" w:firstLine="380"/>
        <w:jc w:val="both"/>
      </w:pPr>
      <w:bookmarkStart w:id="263" w:name="bookmark263"/>
      <w:bookmarkEnd w:id="263"/>
      <w:r>
        <w:rPr>
          <w:color w:val="000000"/>
          <w:spacing w:val="0"/>
          <w:w w:val="100"/>
          <w:position w:val="0"/>
        </w:rPr>
        <w:t>第三方支付机构监管趋严，监管政策方向明朗</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2017年1月份，央行宣布，正式对第三方支付机构客户备付金实施集中管存，第三方支付机构迎来新政。新政的具体实 施是从2017年4月17日起，第三方支付机构将会把客户备付金留存余额按照一定比例交存至央行指定专用存款账户，且该账 户资金暂不计付利息。未交存的备付金部分则仍可享有利息收入。新政将按照支付机构的业务类型和分类评级结果综合确定 交存比例，根据不同的评级，交存比例分别为12%、14%、16%、18%、20%、24%。新政出来前，备付金主要存在两个问题：一 是规模增长快，账户存放分散，管理难度大：近年来随着电子商务和互联网金融的兴起，客户备付金规模增长非常迅速， </w:t>
      </w:r>
      <w:r>
        <w:rPr>
          <w:color w:val="000000"/>
          <w:spacing w:val="0"/>
          <w:w w:val="100"/>
          <w:position w:val="0"/>
        </w:rPr>
        <w:t>2013-2016</w:t>
      </w:r>
      <w:r>
        <w:rPr>
          <w:color w:val="000000"/>
          <w:spacing w:val="0"/>
          <w:w w:val="100"/>
          <w:position w:val="0"/>
        </w:rPr>
        <w:t>年复合增长率超过50%，截至2016年三季度，267家支付机构客户备付金合计超过4600亿元。支付机构在多家银行 开立账户，平均每家开立客户备付金账户13个，分散存放不利于机构的统筹管理，加大了流动性风险；二是违规操作，偏离 主业，破坏行业发展：一些支付机构违规占用客户备付金用于购买理财产品或其他高风险投资，或通过备付金账户办理跨行 资金清算，甚至有支付机构借此便利为洗钱等犯罪活动提供通道。新规的主要目的就是为了保护资金安全，政策引导第三方 支付机构回归主业经营，维护支付市场公平竞争。</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由于前几年第三方支付市场爆发增长，支付市场也经历了从野蛮生长到行业整合与规范的阶段，随着政府部门对支付市 场的监管加强，我们预计第三方支付公司在未来会在越来越完善的政策规则下经营，我们预计未来还会有新的关于支付市场 监管的政策法规出台。</w:t>
      </w:r>
    </w:p>
    <w:p>
      <w:pPr>
        <w:pStyle w:val="Style28"/>
        <w:keepNext w:val="0"/>
        <w:keepLines w:val="0"/>
        <w:widowControl w:val="0"/>
        <w:numPr>
          <w:ilvl w:val="0"/>
          <w:numId w:val="21"/>
        </w:numPr>
        <w:shd w:val="clear" w:color="auto" w:fill="auto"/>
        <w:tabs>
          <w:tab w:pos="678" w:val="left"/>
        </w:tabs>
        <w:bidi w:val="0"/>
        <w:spacing w:before="0" w:after="0" w:line="312" w:lineRule="exact"/>
        <w:ind w:left="0" w:right="0" w:firstLine="380"/>
        <w:jc w:val="both"/>
      </w:pPr>
      <w:bookmarkStart w:id="264" w:name="bookmark264"/>
      <w:bookmarkEnd w:id="264"/>
      <w:r>
        <w:rPr>
          <w:color w:val="000000"/>
          <w:spacing w:val="0"/>
          <w:w w:val="100"/>
          <w:position w:val="0"/>
        </w:rPr>
        <w:t>人工智能+</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人工智能是研究、开发用于模拟、延伸和扩展人类智能的理论、方法、技术及应用系统的一门新的技术科学。人工智能 正在从专有人工智能向通用人工智能发展过渡，由互联网技术群和应用场景互为推动，协同发展，自我演进。人工智能已不 再局限于模拟人的行为结果，而拓展到“泛智能”应用，即更好地解决问题和解决更复杂的问题。这些问题既包含人在信息 爆炸时代面临的信息接受和处理困难的问题，也包含企业面临的运营成本逐步增加、消费者诉求和行为模式转变、商业模式 被颠覆等问题。</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目前，多个行业已经出现人工智能的身影。在医疗行业，随着百度人工智能研发成果频出，百度机器人备受关注，百度 对于健康医疗这一巨大市场的战略开始由最初简单的挂号服务升级成初级问诊，百度也表示将进一步加大在医疗领域</w:t>
      </w:r>
      <w:r>
        <w:rPr>
          <w:color w:val="000000"/>
          <w:spacing w:val="0"/>
          <w:w w:val="100"/>
          <w:position w:val="0"/>
        </w:rPr>
        <w:t>AI</w:t>
      </w:r>
      <w:r>
        <w:rPr>
          <w:color w:val="000000"/>
          <w:spacing w:val="0"/>
          <w:w w:val="100"/>
          <w:position w:val="0"/>
        </w:rPr>
        <w:t>和服 务的投入，比如智能问诊、百度医生</w:t>
      </w:r>
      <w:r>
        <w:rPr>
          <w:color w:val="000000"/>
          <w:spacing w:val="0"/>
          <w:w w:val="100"/>
          <w:position w:val="0"/>
        </w:rPr>
        <w:t>app</w:t>
      </w:r>
      <w:r>
        <w:rPr>
          <w:color w:val="000000"/>
          <w:spacing w:val="0"/>
          <w:w w:val="100"/>
          <w:position w:val="0"/>
        </w:rPr>
        <w:t>等；在制造行业，机器人的迅速发展使得传统制造业不再需要大量工人，智能流水 线的出现让工人们从繁重、重复的体力劳动中解脱出来，智能调节厂房内的各项指标、分配资源，从而实现无人厂房；在金 融行业，充分利用分析大量数据的人工智能，能够对金融市场的走向进行较为准确的预测，并给出合理的建议。人工智能将 会被利用在更多的行业，无论是在生活还是工作中，人工智能可以起到很好的协助作用并且提高效率。</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我们预计在未来电子支付行业也将和人工智能发生碰撞，支付是天然的大数据入口，每个人每天只要有交易就会积累数 据，然而数据是人工智能的基础，经过长时间的日积月累，每个人积累下的支付数据已可以为人工智能提供最好的原材料， 人工智能从庞大的、复杂的、无序的个体数据中发现更为本质、更能解释世界以及个人的规律，并复合多个规律共同作用， 以解决问题和提高效率。所以，电子支付行业在结合人工智能技术后可以衍生出许多更深层次的应用从而更好地服务人们。</w:t>
      </w:r>
    </w:p>
    <w:p>
      <w:pPr>
        <w:pStyle w:val="Style28"/>
        <w:keepNext w:val="0"/>
        <w:keepLines w:val="0"/>
        <w:widowControl w:val="0"/>
        <w:numPr>
          <w:ilvl w:val="0"/>
          <w:numId w:val="17"/>
        </w:numPr>
        <w:shd w:val="clear" w:color="auto" w:fill="auto"/>
        <w:bidi w:val="0"/>
        <w:spacing w:before="0" w:after="0" w:line="312" w:lineRule="exact"/>
        <w:ind w:left="0" w:right="0" w:firstLine="0"/>
        <w:jc w:val="left"/>
      </w:pPr>
      <w:bookmarkStart w:id="265" w:name="bookmark265"/>
      <w:bookmarkEnd w:id="265"/>
      <w:r>
        <w:rPr>
          <w:color w:val="000000"/>
          <w:spacing w:val="0"/>
          <w:w w:val="100"/>
          <w:position w:val="0"/>
        </w:rPr>
        <w:t>竞争对手情况</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在国内金融</w:t>
      </w:r>
      <w:r>
        <w:rPr>
          <w:color w:val="000000"/>
          <w:spacing w:val="0"/>
          <w:w w:val="100"/>
          <w:position w:val="0"/>
        </w:rPr>
        <w:t>POS</w:t>
      </w:r>
      <w:r>
        <w:rPr>
          <w:color w:val="000000"/>
          <w:spacing w:val="0"/>
          <w:w w:val="100"/>
          <w:position w:val="0"/>
        </w:rPr>
        <w:t>细分行业里，整体市场格局每年相对稳定，能与公司形成有效市场竞争威胁的电子支付受理终端设备的 主要品牌有百富、联迪、惠尔丰、新大陆。在国内市场各大</w:t>
      </w:r>
      <w:r>
        <w:rPr>
          <w:color w:val="000000"/>
          <w:spacing w:val="0"/>
          <w:w w:val="100"/>
          <w:position w:val="0"/>
        </w:rPr>
        <w:t>POS</w:t>
      </w:r>
      <w:r>
        <w:rPr>
          <w:color w:val="000000"/>
          <w:spacing w:val="0"/>
          <w:w w:val="100"/>
          <w:position w:val="0"/>
        </w:rPr>
        <w:t>厂商竞争已变得非常充分的背景下，各大厂商逐渐把销售增 长重点转向海外市场，据尼尔森2015年报告统计，新国都、惠尔丰、新大陆都出现在海外市场</w:t>
      </w:r>
      <w:r>
        <w:rPr>
          <w:color w:val="000000"/>
          <w:spacing w:val="0"/>
          <w:w w:val="100"/>
          <w:position w:val="0"/>
        </w:rPr>
        <w:t>POS</w:t>
      </w:r>
      <w:r>
        <w:rPr>
          <w:color w:val="000000"/>
          <w:spacing w:val="0"/>
          <w:w w:val="100"/>
          <w:position w:val="0"/>
        </w:rPr>
        <w:t>出货量前20的名单，在本 年度里，海外出货量各自继续保持增长。随着移动支付不断向线下市场渗透，过去以</w:t>
      </w:r>
      <w:r>
        <w:rPr>
          <w:color w:val="000000"/>
          <w:spacing w:val="0"/>
          <w:w w:val="100"/>
          <w:position w:val="0"/>
        </w:rPr>
        <w:t>POS</w:t>
      </w:r>
      <w:r>
        <w:rPr>
          <w:color w:val="000000"/>
          <w:spacing w:val="0"/>
          <w:w w:val="100"/>
          <w:position w:val="0"/>
        </w:rPr>
        <w:t>刷卡为主的线下支付市场在近两年 逐渐变得支付方式多样化，线下市场不再只被</w:t>
      </w:r>
      <w:r>
        <w:rPr>
          <w:color w:val="000000"/>
          <w:spacing w:val="0"/>
          <w:w w:val="100"/>
          <w:position w:val="0"/>
        </w:rPr>
        <w:t>POS</w:t>
      </w:r>
      <w:r>
        <w:rPr>
          <w:color w:val="000000"/>
          <w:spacing w:val="0"/>
          <w:w w:val="100"/>
          <w:position w:val="0"/>
        </w:rPr>
        <w:t>收单这一种电子支付方式所垄断，移动支付在本年度更是通过其所处理的 交易笔数和交易量确定了在线下支付市场的地位，就目前的发展态势来看，我们认为未来线下支付市场会变成</w:t>
      </w:r>
      <w:r>
        <w:rPr>
          <w:color w:val="000000"/>
          <w:spacing w:val="0"/>
          <w:w w:val="100"/>
          <w:position w:val="0"/>
        </w:rPr>
        <w:t>POS</w:t>
      </w:r>
      <w:r>
        <w:rPr>
          <w:color w:val="000000"/>
          <w:spacing w:val="0"/>
          <w:w w:val="100"/>
          <w:position w:val="0"/>
        </w:rPr>
        <w:t>刷卡收单 和移动支付两架马车并驾齐驱的形式，各自在不同的支付场景中发挥各自的优势。另外，移动支付的普及对支付工具产生新 的需求，对电子支付技术和服务厂商带来新的服务客户，电子支付技术服务厂商与支付机构的合作越来越多，不排除两者之 间的合作会加强双方业务的融合趋势。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随着电子支付行业不断创新演变，电子支付产业链上下游以及相关行业、技术整合趋势加强，本年度，就有新大陆收购 </w:t>
      </w:r>
      <w:r>
        <w:rPr>
          <w:color w:val="000000"/>
          <w:spacing w:val="0"/>
          <w:w w:val="100"/>
          <w:position w:val="0"/>
        </w:rPr>
        <w:t>国通星驿来切入进第三方支付收单市场；百富环球收购意大利支付公司增强其在海外市场的实力；蚂蚁金服收购美国生物识 别公司</w:t>
      </w:r>
      <w:r>
        <w:rPr>
          <w:color w:val="000000"/>
          <w:spacing w:val="0"/>
          <w:w w:val="100"/>
          <w:position w:val="0"/>
        </w:rPr>
        <w:t>EYEVERIF Y</w:t>
      </w:r>
      <w:r>
        <w:rPr>
          <w:color w:val="000000"/>
          <w:spacing w:val="0"/>
          <w:w w:val="100"/>
          <w:position w:val="0"/>
        </w:rPr>
        <w:t>进行相关技术储备等等，电子支付是充满活力的一个行业，新的技术、新的产品的研发和创新、新的服务 模式革新，都将在主流设备厂商之间掀起新一轮的技术和产品、服务的革新，所以电子支付行业主要参与者通过不断的整合 资源来加强自身的实力、提高抗风险的能力。</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海外市场，目前还是惠尔丰、安智世界两大</w:t>
      </w:r>
      <w:r>
        <w:rPr>
          <w:color w:val="000000"/>
          <w:spacing w:val="0"/>
          <w:w w:val="100"/>
          <w:position w:val="0"/>
        </w:rPr>
        <w:t>POS</w:t>
      </w:r>
      <w:r>
        <w:rPr>
          <w:color w:val="000000"/>
          <w:spacing w:val="0"/>
          <w:w w:val="100"/>
          <w:position w:val="0"/>
        </w:rPr>
        <w:t>生产商巨头占据绝对的优势，由于其发展时期较早，最先进入电子支付 市场，并且以</w:t>
      </w:r>
      <w:r>
        <w:rPr>
          <w:color w:val="000000"/>
          <w:spacing w:val="0"/>
          <w:w w:val="100"/>
          <w:position w:val="0"/>
        </w:rPr>
        <w:t>POS</w:t>
      </w:r>
      <w:r>
        <w:rPr>
          <w:color w:val="000000"/>
          <w:spacing w:val="0"/>
          <w:w w:val="100"/>
          <w:position w:val="0"/>
        </w:rPr>
        <w:t>机产品为切入点，叠加物理硬件上运行的软件服务以及为客户定制开发运行</w:t>
      </w:r>
      <w:r>
        <w:rPr>
          <w:color w:val="000000"/>
          <w:spacing w:val="0"/>
          <w:w w:val="100"/>
          <w:position w:val="0"/>
        </w:rPr>
        <w:t>POS、</w:t>
      </w:r>
      <w:r>
        <w:rPr>
          <w:color w:val="000000"/>
          <w:spacing w:val="0"/>
          <w:w w:val="100"/>
          <w:position w:val="0"/>
        </w:rPr>
        <w:t>处理支付交易等一系列系 统开发服务，不断增加其与客户之间的粘性，从而深深的在该市场上扎下根。另外，作为国内企业，对海外其他国家的市场 以及商业文化的不了解以及海外客户对国内厂商的认知不足也是国内</w:t>
      </w:r>
      <w:r>
        <w:rPr>
          <w:color w:val="000000"/>
          <w:spacing w:val="0"/>
          <w:w w:val="100"/>
          <w:position w:val="0"/>
        </w:rPr>
        <w:t>POS</w:t>
      </w:r>
      <w:r>
        <w:rPr>
          <w:color w:val="000000"/>
          <w:spacing w:val="0"/>
          <w:w w:val="100"/>
          <w:position w:val="0"/>
        </w:rPr>
        <w:t>厂商开拓海外市场的难点之一，继2014年新国都海 外市场订单取得突破之后，2015年新国都收购美国</w:t>
      </w:r>
      <w:r>
        <w:rPr>
          <w:color w:val="000000"/>
          <w:spacing w:val="0"/>
          <w:w w:val="100"/>
          <w:position w:val="0"/>
        </w:rPr>
        <w:t>ExaDigm，</w:t>
      </w:r>
      <w:r>
        <w:rPr>
          <w:color w:val="000000"/>
          <w:spacing w:val="0"/>
          <w:w w:val="100"/>
          <w:position w:val="0"/>
        </w:rPr>
        <w:t>新国都进一步加强了海外市场业务发展的战略布局，而新国都 完整的电子支付产业链布局和中国制造的成本优势，将提高其在国际市场上的综合竞争力。</w:t>
      </w:r>
    </w:p>
    <w:p>
      <w:pPr>
        <w:pStyle w:val="Style28"/>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终上所述，国内电子支付服务行业正面对机会和挑战共存的局面，无论是对于传统的</w:t>
      </w:r>
      <w:r>
        <w:rPr>
          <w:color w:val="000000"/>
          <w:spacing w:val="0"/>
          <w:w w:val="100"/>
          <w:position w:val="0"/>
        </w:rPr>
        <w:t>POS</w:t>
      </w:r>
      <w:r>
        <w:rPr>
          <w:color w:val="000000"/>
          <w:spacing w:val="0"/>
          <w:w w:val="100"/>
          <w:position w:val="0"/>
        </w:rPr>
        <w:t>终端设备生产厂商，还是对于 代表新型支付技术与设备的互联网移动支付参与者，如何把握住市场的变化，抓住未来市场发展的主流趋势，是所有市场参 与者共同面对的挑战与机会。</w:t>
      </w:r>
    </w:p>
    <w:p>
      <w:pPr>
        <w:pStyle w:val="Style28"/>
        <w:keepNext w:val="0"/>
        <w:keepLines w:val="0"/>
        <w:widowControl w:val="0"/>
        <w:shd w:val="clear" w:color="auto" w:fill="auto"/>
        <w:bidi w:val="0"/>
        <w:spacing w:before="0" w:after="0"/>
        <w:ind w:left="0" w:right="0" w:firstLine="0"/>
        <w:jc w:val="left"/>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、公司的主要优势与困难</w:t>
      </w:r>
    </w:p>
    <w:p>
      <w:pPr>
        <w:pStyle w:val="Style28"/>
        <w:keepNext w:val="0"/>
        <w:keepLines w:val="0"/>
        <w:widowControl w:val="0"/>
        <w:shd w:val="clear" w:color="auto" w:fill="auto"/>
        <w:bidi w:val="0"/>
        <w:spacing w:before="0" w:after="0" w:line="312" w:lineRule="exact"/>
        <w:ind w:left="0" w:right="0" w:firstLine="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1</w:t>
      </w:r>
      <w:r>
        <w:rPr>
          <w:color w:val="000000"/>
          <w:spacing w:val="0"/>
          <w:w w:val="100"/>
          <w:position w:val="0"/>
        </w:rPr>
        <w:t>）公司的主要优势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在移动互联网、物联网、智能化的大浪潮中，电子支付行业已发生了巨大的变化并且这种变化还在继续演变，充满不确 定性，在这种情况背景下，新国都的主要竞争优势体现在以下几个方面：</w:t>
      </w:r>
    </w:p>
    <w:p>
      <w:pPr>
        <w:pStyle w:val="Style28"/>
        <w:keepNext w:val="0"/>
        <w:keepLines w:val="0"/>
        <w:widowControl w:val="0"/>
        <w:shd w:val="clear" w:color="auto" w:fill="auto"/>
        <w:tabs>
          <w:tab w:pos="669" w:val="left"/>
        </w:tabs>
        <w:bidi w:val="0"/>
        <w:spacing w:before="0" w:after="0" w:line="312" w:lineRule="exact"/>
        <w:ind w:left="0" w:right="0" w:firstLine="380"/>
        <w:jc w:val="both"/>
      </w:pPr>
      <w:bookmarkStart w:id="268" w:name="bookmark268"/>
      <w:r>
        <w:rPr>
          <w:color w:val="000000"/>
          <w:spacing w:val="0"/>
          <w:w w:val="100"/>
          <w:position w:val="0"/>
        </w:rPr>
        <w:t>1</w:t>
      </w:r>
      <w:bookmarkEnd w:id="268"/>
      <w:r>
        <w:rPr>
          <w:color w:val="000000"/>
          <w:spacing w:val="0"/>
          <w:w w:val="100"/>
          <w:position w:val="0"/>
        </w:rPr>
        <w:t>）</w:t>
        <w:tab/>
        <w:t>核心业务布局优势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十几年专注于电子支付领域，拥有专业的电子支付技术综合解决方案提供能力。互联网+的浪潮已经开始冲击我国经济 领域的各行各业，我国社会生活正在不断的被移动互联网进行深入的改造。新国都传统优势领域一一电子支付作为移动互联 网时代下，经济活动中的核心环节，在经济活动和商业生态圈里开始扮演越来越重要的角色，它将成为线上线下结合的商业 模式中核心的一环，电子支付受理终端设备日益成为抢占商业大数据的重要运营端口。新国都专注于电子支付领域十几年， 积累了非常丰富的行业经验和商业资源，新国都将借助自身多年积累的行业经验和</w:t>
      </w:r>
      <w:r>
        <w:rPr>
          <w:color w:val="000000"/>
          <w:spacing w:val="0"/>
          <w:w w:val="100"/>
          <w:position w:val="0"/>
        </w:rPr>
        <w:t>IT</w:t>
      </w:r>
      <w:r>
        <w:rPr>
          <w:color w:val="000000"/>
          <w:spacing w:val="0"/>
          <w:w w:val="100"/>
          <w:position w:val="0"/>
        </w:rPr>
        <w:t>软硬件综合能力，基于金融</w:t>
      </w:r>
      <w:r>
        <w:rPr>
          <w:color w:val="000000"/>
          <w:spacing w:val="0"/>
          <w:w w:val="100"/>
          <w:position w:val="0"/>
        </w:rPr>
        <w:t>POS</w:t>
      </w:r>
      <w:r>
        <w:rPr>
          <w:color w:val="000000"/>
          <w:spacing w:val="0"/>
          <w:w w:val="100"/>
          <w:position w:val="0"/>
        </w:rPr>
        <w:t>机的线 上线下支付入口优势，增强数据分析处理能力和应用服务，整合产业上下游核心资源，使公司获得持续、稳健的盈利能力。</w:t>
      </w:r>
    </w:p>
    <w:p>
      <w:pPr>
        <w:pStyle w:val="Style28"/>
        <w:keepNext w:val="0"/>
        <w:keepLines w:val="0"/>
        <w:widowControl w:val="0"/>
        <w:shd w:val="clear" w:color="auto" w:fill="auto"/>
        <w:tabs>
          <w:tab w:pos="678" w:val="left"/>
        </w:tabs>
        <w:bidi w:val="0"/>
        <w:spacing w:before="0" w:after="0" w:line="312" w:lineRule="exact"/>
        <w:ind w:left="0" w:right="0" w:firstLine="380"/>
        <w:jc w:val="both"/>
      </w:pPr>
      <w:bookmarkStart w:id="269" w:name="bookmark269"/>
      <w:r>
        <w:rPr>
          <w:color w:val="000000"/>
          <w:spacing w:val="0"/>
          <w:w w:val="100"/>
          <w:position w:val="0"/>
        </w:rPr>
        <w:t>2</w:t>
      </w:r>
      <w:bookmarkEnd w:id="269"/>
      <w:r>
        <w:rPr>
          <w:color w:val="000000"/>
          <w:spacing w:val="0"/>
          <w:w w:val="100"/>
          <w:position w:val="0"/>
        </w:rPr>
        <w:t>）</w:t>
        <w:tab/>
        <w:t>供应链管理体系和产业资源优势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公司拥有完善的产品研发体系、市场营销体系、生产制造体系、质量管控体系、人力资源体系，有利于整合各个业务链 之资源，实现核心资源的优化配置，控制生产成本和产品质量的同时进行产品和商业模式创新。</w:t>
      </w:r>
    </w:p>
    <w:p>
      <w:pPr>
        <w:pStyle w:val="Style28"/>
        <w:keepNext w:val="0"/>
        <w:keepLines w:val="0"/>
        <w:widowControl w:val="0"/>
        <w:shd w:val="clear" w:color="auto" w:fill="auto"/>
        <w:tabs>
          <w:tab w:pos="678" w:val="left"/>
        </w:tabs>
        <w:bidi w:val="0"/>
        <w:spacing w:before="0" w:after="0" w:line="312" w:lineRule="exact"/>
        <w:ind w:left="0" w:right="0" w:firstLine="380"/>
        <w:jc w:val="both"/>
      </w:pPr>
      <w:bookmarkStart w:id="270" w:name="bookmark270"/>
      <w:r>
        <w:rPr>
          <w:color w:val="000000"/>
          <w:spacing w:val="0"/>
          <w:w w:val="100"/>
          <w:position w:val="0"/>
        </w:rPr>
        <w:t>3</w:t>
      </w:r>
      <w:bookmarkEnd w:id="270"/>
      <w:r>
        <w:rPr>
          <w:color w:val="000000"/>
          <w:spacing w:val="0"/>
          <w:w w:val="100"/>
          <w:position w:val="0"/>
        </w:rPr>
        <w:t>）</w:t>
        <w:tab/>
        <w:t>产品和服务的质量优势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自公司成立以来，对产品质量精益求精，以打造低成本、高质量、快速响应的供应链管理体系为核心价值，公司一方面 通过生产效率提升、生产直通率提升、工艺优化等活动与项目，在保障产品高效安全的前提下，进一步提升整体工效与品质； 另一方面，通过不断推动研发创新，持续优化产品成本，确保产品开发能够如期高质量的实现交付。</w:t>
      </w:r>
    </w:p>
    <w:p>
      <w:pPr>
        <w:pStyle w:val="Style28"/>
        <w:keepNext w:val="0"/>
        <w:keepLines w:val="0"/>
        <w:widowControl w:val="0"/>
        <w:shd w:val="clear" w:color="auto" w:fill="auto"/>
        <w:tabs>
          <w:tab w:pos="683" w:val="left"/>
        </w:tabs>
        <w:bidi w:val="0"/>
        <w:spacing w:before="0" w:after="0" w:line="312" w:lineRule="exact"/>
        <w:ind w:left="0" w:right="0" w:firstLine="380"/>
        <w:jc w:val="both"/>
      </w:pPr>
      <w:bookmarkStart w:id="271" w:name="bookmark271"/>
      <w:r>
        <w:rPr>
          <w:color w:val="000000"/>
          <w:spacing w:val="0"/>
          <w:w w:val="100"/>
          <w:position w:val="0"/>
        </w:rPr>
        <w:t>4</w:t>
      </w:r>
      <w:bookmarkEnd w:id="271"/>
      <w:r>
        <w:rPr>
          <w:color w:val="000000"/>
          <w:spacing w:val="0"/>
          <w:w w:val="100"/>
          <w:position w:val="0"/>
        </w:rPr>
        <w:t>）</w:t>
        <w:tab/>
        <w:t>管理优势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公司在自身管理能力建设方面取得了长足的进展，主要体现在战略梳理、业绩与考核、预算管理、经营计划拆解与落实、 流程化管理、信息化管理、精细化管理等方面，公司已经初步具备了对外输出管理的能力。管理能力的提升和公司制度的优 化也保障了公司主营业务的稳健增长，以及外延式扩张的稳步推进。</w:t>
      </w:r>
    </w:p>
    <w:p>
      <w:pPr>
        <w:pStyle w:val="Style28"/>
        <w:keepNext w:val="0"/>
        <w:keepLines w:val="0"/>
        <w:widowControl w:val="0"/>
        <w:shd w:val="clear" w:color="auto" w:fill="auto"/>
        <w:tabs>
          <w:tab w:pos="683" w:val="left"/>
        </w:tabs>
        <w:bidi w:val="0"/>
        <w:spacing w:before="0" w:after="0" w:line="312" w:lineRule="exact"/>
        <w:ind w:left="0" w:right="0" w:firstLine="380"/>
        <w:jc w:val="both"/>
      </w:pPr>
      <w:bookmarkStart w:id="272" w:name="bookmark272"/>
      <w:r>
        <w:rPr>
          <w:color w:val="000000"/>
          <w:spacing w:val="0"/>
          <w:w w:val="100"/>
          <w:position w:val="0"/>
        </w:rPr>
        <w:t>5</w:t>
      </w:r>
      <w:bookmarkEnd w:id="272"/>
      <w:r>
        <w:rPr>
          <w:color w:val="000000"/>
          <w:spacing w:val="0"/>
          <w:w w:val="100"/>
          <w:position w:val="0"/>
        </w:rPr>
        <w:t>）</w:t>
        <w:tab/>
        <w:t>资本市场优势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公司在创业板成功上市后，目前仍是国内电子支付行业少数拥有资本市场支持的公司之一。国内资本市场的改革，尤其 是</w:t>
      </w:r>
      <w:r>
        <w:rPr>
          <w:color w:val="000000"/>
          <w:spacing w:val="0"/>
          <w:w w:val="100"/>
          <w:position w:val="0"/>
        </w:rPr>
        <w:t>A</w:t>
      </w:r>
      <w:r>
        <w:rPr>
          <w:color w:val="000000"/>
          <w:spacing w:val="0"/>
          <w:w w:val="100"/>
          <w:position w:val="0"/>
        </w:rPr>
        <w:t>股上市公司融资制度的不断完善，融资方式的持续创新，为公司未来的业务发展和战略实施提供了保障。公司将围绕未 来战略发展规划，充分发挥公司资本市场优势，以市值促进产业发展，以产业发展夯实市值基础的方式，将公司推入一个产 融结合、快速扩张的良性发展通道。</w:t>
      </w:r>
    </w:p>
    <w:p>
      <w:pPr>
        <w:pStyle w:val="Style28"/>
        <w:keepNext w:val="0"/>
        <w:keepLines w:val="0"/>
        <w:widowControl w:val="0"/>
        <w:shd w:val="clear" w:color="auto" w:fill="auto"/>
        <w:tabs>
          <w:tab w:pos="683" w:val="left"/>
        </w:tabs>
        <w:bidi w:val="0"/>
        <w:spacing w:before="0" w:after="0" w:line="312" w:lineRule="exact"/>
        <w:ind w:left="0" w:right="0" w:firstLine="380"/>
        <w:jc w:val="both"/>
      </w:pPr>
      <w:bookmarkStart w:id="273" w:name="bookmark273"/>
      <w:r>
        <w:rPr>
          <w:color w:val="000000"/>
          <w:spacing w:val="0"/>
          <w:w w:val="100"/>
          <w:position w:val="0"/>
        </w:rPr>
        <w:t>6</w:t>
      </w:r>
      <w:bookmarkEnd w:id="273"/>
      <w:r>
        <w:rPr>
          <w:color w:val="000000"/>
          <w:spacing w:val="0"/>
          <w:w w:val="100"/>
          <w:position w:val="0"/>
        </w:rPr>
        <w:t>）</w:t>
        <w:tab/>
        <w:t>专利及技术优势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公司始终坚持自主研发道路，在产品和技术研发方面持续加大投入，报告期内，公司研发费用投入占营业收入13.22%。 截止报告期末，公司取得专利、计算机软件著作权及软件产品等研发成果如下：220项国家专利，其中发明专利55项，国际 专利2项；获得软件著作权证书170项，完成软件产品登记58项，拥有商标87项。上述科研成果为公司的持续发展保驾护航， </w:t>
      </w:r>
      <w:r>
        <w:rPr>
          <w:color w:val="000000"/>
          <w:spacing w:val="0"/>
          <w:w w:val="100"/>
          <w:position w:val="0"/>
        </w:rPr>
        <w:t>成为公司的核心竞争力之一。</w:t>
      </w:r>
    </w:p>
    <w:p>
      <w:pPr>
        <w:pStyle w:val="Style28"/>
        <w:keepNext w:val="0"/>
        <w:keepLines w:val="0"/>
        <w:widowControl w:val="0"/>
        <w:shd w:val="clear" w:color="auto" w:fill="auto"/>
        <w:bidi w:val="0"/>
        <w:spacing w:before="0" w:after="0" w:line="316" w:lineRule="exact"/>
        <w:ind w:left="0" w:right="0" w:firstLine="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2</w:t>
      </w:r>
      <w:r>
        <w:rPr>
          <w:color w:val="000000"/>
          <w:spacing w:val="0"/>
          <w:w w:val="100"/>
          <w:position w:val="0"/>
        </w:rPr>
        <w:t>）公司的主要困难</w:t>
      </w:r>
    </w:p>
    <w:p>
      <w:pPr>
        <w:pStyle w:val="Style2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公司目前的主要困难在于：</w:t>
      </w:r>
    </w:p>
    <w:p>
      <w:pPr>
        <w:pStyle w:val="Style28"/>
        <w:keepNext w:val="0"/>
        <w:keepLines w:val="0"/>
        <w:widowControl w:val="0"/>
        <w:shd w:val="clear" w:color="auto" w:fill="auto"/>
        <w:tabs>
          <w:tab w:pos="658" w:val="left"/>
        </w:tabs>
        <w:bidi w:val="0"/>
        <w:spacing w:before="0" w:after="0" w:line="316" w:lineRule="exact"/>
        <w:ind w:left="0" w:right="0" w:firstLine="360"/>
        <w:jc w:val="both"/>
      </w:pPr>
      <w:bookmarkStart w:id="275" w:name="bookmark275"/>
      <w:r>
        <w:rPr>
          <w:color w:val="000000"/>
          <w:spacing w:val="0"/>
          <w:w w:val="100"/>
          <w:position w:val="0"/>
        </w:rPr>
        <w:t>1</w:t>
      </w:r>
      <w:bookmarkEnd w:id="275"/>
      <w:r>
        <w:rPr>
          <w:color w:val="000000"/>
          <w:spacing w:val="0"/>
          <w:w w:val="100"/>
          <w:position w:val="0"/>
        </w:rPr>
        <w:t>）</w:t>
        <w:tab/>
        <w:t>资金紧缺，急需储备资金以支持公司业务快速发展。公司在技术和产品研发投入、市场拓展、服务模式创新、外延 扩张等方面都需要加大资金投入，但公司账上自有资金不足以支撑公司快速发展，公司需要结合不同融资手段、通过优化资 本机构合理进行融资规划，以支持公司业务快速发展，唯有如此，才能使公司抓住市场机会，完成业务的跨越式大发展。</w:t>
      </w:r>
    </w:p>
    <w:p>
      <w:pPr>
        <w:pStyle w:val="Style28"/>
        <w:keepNext w:val="0"/>
        <w:keepLines w:val="0"/>
        <w:widowControl w:val="0"/>
        <w:shd w:val="clear" w:color="auto" w:fill="auto"/>
        <w:tabs>
          <w:tab w:pos="658" w:val="left"/>
        </w:tabs>
        <w:bidi w:val="0"/>
        <w:spacing w:before="0" w:after="0" w:line="316" w:lineRule="exact"/>
        <w:ind w:left="0" w:right="0" w:firstLine="360"/>
        <w:jc w:val="both"/>
      </w:pPr>
      <w:bookmarkStart w:id="276" w:name="bookmark276"/>
      <w:r>
        <w:rPr>
          <w:color w:val="000000"/>
          <w:spacing w:val="0"/>
          <w:w w:val="100"/>
          <w:position w:val="0"/>
        </w:rPr>
        <w:t>2</w:t>
      </w:r>
      <w:bookmarkEnd w:id="276"/>
      <w:r>
        <w:rPr>
          <w:color w:val="000000"/>
          <w:spacing w:val="0"/>
          <w:w w:val="100"/>
          <w:position w:val="0"/>
        </w:rPr>
        <w:t>）</w:t>
        <w:tab/>
        <w:t>海外市场资源不足，需要进一步加大海外市场的投入。由于专注于国内市场而海外市场的开拓时间较晚，海外市场 业务的经验仍然是短板，公司将计划在未来两年加大海外市场的投入，建设相对完善的海外营销服务体系。</w:t>
      </w:r>
    </w:p>
    <w:p>
      <w:pPr>
        <w:pStyle w:val="Style28"/>
        <w:keepNext w:val="0"/>
        <w:keepLines w:val="0"/>
        <w:widowControl w:val="0"/>
        <w:shd w:val="clear" w:color="auto" w:fill="auto"/>
        <w:tabs>
          <w:tab w:pos="658" w:val="left"/>
        </w:tabs>
        <w:bidi w:val="0"/>
        <w:spacing w:before="0" w:after="0" w:line="316" w:lineRule="exact"/>
        <w:ind w:left="0" w:right="0" w:firstLine="360"/>
        <w:jc w:val="both"/>
      </w:pPr>
      <w:bookmarkStart w:id="277" w:name="bookmark277"/>
      <w:r>
        <w:rPr>
          <w:color w:val="000000"/>
          <w:spacing w:val="0"/>
          <w:w w:val="100"/>
          <w:position w:val="0"/>
        </w:rPr>
        <w:t>3</w:t>
      </w:r>
      <w:bookmarkEnd w:id="277"/>
      <w:r>
        <w:rPr>
          <w:color w:val="000000"/>
          <w:spacing w:val="0"/>
          <w:w w:val="100"/>
          <w:position w:val="0"/>
        </w:rPr>
        <w:t>）</w:t>
        <w:tab/>
        <w:t>高端专业人才不足，限制公司业务发展。随着电子支付行业与互联网行业等其他行业的融合加快，电子支付技术更 新换代的速度加快，公司急缺深刻理解和把握电子支付行业变化趋势、互联网市场机会的技术、市场和管理人才团队，尤其 是优秀的运营人才和团队。高端人才的短缺，成为制约公司市场创新、产品和技术创新、管理创新的关键因素。</w:t>
      </w:r>
    </w:p>
    <w:p>
      <w:pPr>
        <w:pStyle w:val="Style28"/>
        <w:keepNext w:val="0"/>
        <w:keepLines w:val="0"/>
        <w:widowControl w:val="0"/>
        <w:shd w:val="clear" w:color="auto" w:fill="auto"/>
        <w:tabs>
          <w:tab w:pos="658" w:val="left"/>
        </w:tabs>
        <w:bidi w:val="0"/>
        <w:spacing w:before="0" w:after="0" w:line="316" w:lineRule="exact"/>
        <w:ind w:left="0" w:right="0" w:firstLine="360"/>
        <w:jc w:val="both"/>
      </w:pPr>
      <w:bookmarkStart w:id="278" w:name="bookmark278"/>
      <w:r>
        <w:rPr>
          <w:color w:val="000000"/>
          <w:spacing w:val="0"/>
          <w:w w:val="100"/>
          <w:position w:val="0"/>
        </w:rPr>
        <w:t>4</w:t>
      </w:r>
      <w:bookmarkEnd w:id="278"/>
      <w:r>
        <w:rPr>
          <w:color w:val="000000"/>
          <w:spacing w:val="0"/>
          <w:w w:val="100"/>
          <w:position w:val="0"/>
        </w:rPr>
        <w:t>）</w:t>
        <w:tab/>
        <w:t>管理能力不足成为制约公司发展的关键因素。在企业管理方面，虽然公司在企业管理升级方面投入了大量资金，但 是随着电子支付行业的变化日新月异，尤其是互联网业务与传统生产制造业的业务流程存在明显差异，如何快速响应市场变 化，是摆在公司管理层面前的一个难题。随着公司外延扩张的进行，如何在完成并购交割后，做好并购后整合管理，都成为 考验公司综合管理能力和管理输出能力的关键所在，这已经成为公司未来发展过程中不可忽视的制约因素。</w:t>
      </w:r>
    </w:p>
    <w:p>
      <w:pPr>
        <w:pStyle w:val="Style28"/>
        <w:keepNext w:val="0"/>
        <w:keepLines w:val="0"/>
        <w:widowControl w:val="0"/>
        <w:shd w:val="clear" w:color="auto" w:fill="auto"/>
        <w:tabs>
          <w:tab w:pos="663" w:val="left"/>
        </w:tabs>
        <w:bidi w:val="0"/>
        <w:spacing w:before="0" w:after="0" w:line="311" w:lineRule="exact"/>
        <w:ind w:left="0" w:right="0" w:firstLine="360"/>
        <w:jc w:val="both"/>
      </w:pPr>
      <w:bookmarkStart w:id="279" w:name="bookmark279"/>
      <w:r>
        <w:rPr>
          <w:color w:val="000000"/>
          <w:spacing w:val="0"/>
          <w:w w:val="100"/>
          <w:position w:val="0"/>
          <w:shd w:val="clear" w:color="auto" w:fill="FFFFFF"/>
        </w:rPr>
        <w:t>5</w:t>
      </w:r>
      <w:bookmarkEnd w:id="279"/>
      <w:r>
        <w:rPr>
          <w:color w:val="000000"/>
          <w:spacing w:val="0"/>
          <w:w w:val="100"/>
          <w:position w:val="0"/>
          <w:shd w:val="clear" w:color="auto" w:fill="FFFFFF"/>
        </w:rPr>
        <w:t>）</w:t>
        <w:tab/>
        <w:t>围绕企业发展和投融资服务的综合财务管理能力亟待升级。随着公司业务和战略落地，将增大对于资金的需求，对 新国都的财务管理和风险控制提出了全新的挑战。新国都会在合理安排自有资金基础上，利用多层次的资本市场，开展全方 位的融资规划，控制公司的财务风险，也确保公司未来发展资金需求，为公司的长远发展奠定基础，为股东创造最大效益。</w:t>
      </w:r>
    </w:p>
    <w:p>
      <w:pPr>
        <w:pStyle w:val="Style28"/>
        <w:keepNext w:val="0"/>
        <w:keepLines w:val="0"/>
        <w:widowControl w:val="0"/>
        <w:shd w:val="clear" w:color="auto" w:fill="auto"/>
        <w:tabs>
          <w:tab w:pos="643" w:val="left"/>
        </w:tabs>
        <w:bidi w:val="0"/>
        <w:spacing w:before="0" w:after="0" w:line="311" w:lineRule="exact"/>
        <w:ind w:left="0" w:right="0" w:firstLine="0"/>
        <w:jc w:val="both"/>
      </w:pPr>
      <w:bookmarkStart w:id="280" w:name="bookmark280"/>
      <w:r>
        <w:rPr>
          <w:rFonts w:ascii="Times New Roman" w:eastAsia="Times New Roman" w:hAnsi="Times New Roman" w:cs="Times New Roman"/>
          <w:color w:val="000000"/>
          <w:spacing w:val="0"/>
          <w:w w:val="100"/>
          <w:position w:val="0"/>
        </w:rPr>
        <w:t>3</w:t>
      </w:r>
      <w:bookmarkEnd w:id="280"/>
      <w:r>
        <w:rPr>
          <w:color w:val="000000"/>
          <w:spacing w:val="0"/>
          <w:w w:val="100"/>
          <w:position w:val="0"/>
        </w:rPr>
        <w:t>、公司未来发展战略</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公司未来发展战略是作为公司长远业务发展以及核心资源布局的方向指南针，公司未来几年的经营计划都将围绕着该战 略来进行规划和实施，2016年新国都制定了 “实体经济结合虚拟经济，以实体经济为本，虚拟经济为变现方式”的战略框架, 该战略框架主要从三个方面推进：一，利用公司多年的电子支付行业经验，以电子支付为抓手，向电子支付产业链上下游拓 展，加强支付产业链的资源整合；二，围绕交易环节，从征信、支付运营切入，进行战略布局，重点开展以支付数据为基础 的大数据运营模式探索，加强征信服务的投入，以电子支付服务行业的健康发展为己任，建设电子支付安全受理环境；三， 依托</w:t>
      </w:r>
      <w:r>
        <w:rPr>
          <w:color w:val="000000"/>
          <w:spacing w:val="0"/>
          <w:w w:val="100"/>
          <w:position w:val="0"/>
        </w:rPr>
        <w:t>IT</w:t>
      </w:r>
      <w:r>
        <w:rPr>
          <w:color w:val="000000"/>
          <w:spacing w:val="0"/>
          <w:w w:val="100"/>
          <w:position w:val="0"/>
        </w:rPr>
        <w:t>软硬件技术能力，重点投入智能领域的研发与运营，在未来全民智能化的大发展时代获得一席之地。</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以电子支付为聚点，布局融合生物识别、大数据、人工智能、区块链等前沿技术，在以增强自身电子支付主营业务以及 抓住支付市场发展新机遇的基础上，衍生发展前沿技术+支付的外围新业务，增加公司盈利点，提高公司的持续盈利能力和 业务抗风险能力。</w:t>
      </w:r>
    </w:p>
    <w:p>
      <w:pPr>
        <w:pStyle w:val="Style28"/>
        <w:keepNext w:val="0"/>
        <w:keepLines w:val="0"/>
        <w:widowControl w:val="0"/>
        <w:shd w:val="clear" w:color="auto" w:fill="auto"/>
        <w:tabs>
          <w:tab w:pos="380" w:val="left"/>
        </w:tabs>
        <w:bidi w:val="0"/>
        <w:spacing w:before="0" w:after="0" w:line="311" w:lineRule="exact"/>
        <w:ind w:left="0" w:right="0" w:firstLine="0"/>
        <w:jc w:val="left"/>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1</w:t>
      </w:r>
      <w:r>
        <w:rPr>
          <w:color w:val="000000"/>
          <w:spacing w:val="0"/>
          <w:w w:val="100"/>
          <w:position w:val="0"/>
        </w:rPr>
        <w:t>）</w:t>
        <w:tab/>
        <w:t>积极开拓海外市场</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由于国内市场趋于稳定和饱和，加大力度开拓海外市场已经成为了新国都在主营业务方面急需的业务拓展方向和新的盈 利点。新国都已于2015年成功收购了美国</w:t>
      </w:r>
      <w:r>
        <w:rPr>
          <w:color w:val="000000"/>
          <w:spacing w:val="0"/>
          <w:w w:val="100"/>
          <w:position w:val="0"/>
        </w:rPr>
        <w:t>ExaDigm,Inc.</w:t>
      </w:r>
      <w:r>
        <w:rPr>
          <w:color w:val="000000"/>
          <w:spacing w:val="0"/>
          <w:w w:val="100"/>
          <w:position w:val="0"/>
        </w:rPr>
        <w:t>公司，通过整合资源，利用该公司行业定位和影响力，初步成功打入 国际市场，公司计划继续将业务进驻和拓展到印度、独联体、东南亚、中东、非洲、欧洲、美洲以及大洋洲等其他地区。</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由于海外市场具有不同于国内市场的环境，公司根据不同海外市场的当地特点，研发适应市场需求的产品，在区域市场、 目标客户、销售渠道、产品策略和营销组织方面进行优化组合选择，以确保增大新国都海外市场开拓的成功几率，最终为公 司的股东创造价值。</w:t>
      </w:r>
    </w:p>
    <w:p>
      <w:pPr>
        <w:pStyle w:val="Style28"/>
        <w:keepNext w:val="0"/>
        <w:keepLines w:val="0"/>
        <w:widowControl w:val="0"/>
        <w:shd w:val="clear" w:color="auto" w:fill="auto"/>
        <w:tabs>
          <w:tab w:pos="380" w:val="left"/>
        </w:tabs>
        <w:bidi w:val="0"/>
        <w:spacing w:before="0" w:after="0" w:line="311" w:lineRule="exact"/>
        <w:ind w:left="0" w:right="0" w:firstLine="0"/>
        <w:jc w:val="left"/>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2</w:t>
      </w:r>
      <w:r>
        <w:rPr>
          <w:color w:val="000000"/>
          <w:spacing w:val="0"/>
          <w:w w:val="100"/>
          <w:position w:val="0"/>
        </w:rPr>
        <w:t>）</w:t>
        <w:tab/>
        <w:t>围绕交易环节，利用大数据分析技术，着力打造移动互联网时代的征信服务能力</w:t>
      </w:r>
    </w:p>
    <w:p>
      <w:pPr>
        <w:pStyle w:val="Style2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征信体系的搭建解决了互联网时代各种交易场景中，各交易对手之间的信任问题。征信机构提供的信用报告、信用评估、 信用信息咨询等服务，能够辅助判断和控制交易的信用风险。但传统金融对用户的信用定价的成本过于高昂，征信服务要拓 展利用各种场景中的交易数据、生产生活数据，从多维角度，实时、立体地评价和刻画交易对手的信用全景状况，从而有效 的提高交易效率，降低风险管理成本。</w:t>
      </w:r>
    </w:p>
    <w:p>
      <w:pPr>
        <w:pStyle w:val="Style2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新国都拟将征信业务与支付大数据相结合，充分利用公司在行业内累积的经验及商户资源，围绕电子支付业务和互联网 应有业务流程，重点加强征信服务能力建设，提高公司在产业快速发展过程的风控服务能力；积极探索以支付数据为基础的 大数据运营，以电子支付服务行业的健康发展为己任，积极建设电子支付安全受理环境。</w:t>
      </w:r>
    </w:p>
    <w:p>
      <w:pPr>
        <w:pStyle w:val="Style2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 xml:space="preserve">在征信体系建设完善和风控能力提高的基础上，公司能够有效识别个人或者商户的信用风险，从而提供征信风控方面的 </w:t>
      </w:r>
      <w:r>
        <w:rPr>
          <w:color w:val="000000"/>
          <w:spacing w:val="0"/>
          <w:w w:val="100"/>
          <w:position w:val="0"/>
        </w:rPr>
        <w:t>增值服务，例如协助客户为商户提供金融服务，以增加客户的盈利点，间接为公司增加营业收入。</w:t>
      </w:r>
    </w:p>
    <w:p>
      <w:pPr>
        <w:pStyle w:val="Style28"/>
        <w:keepNext w:val="0"/>
        <w:keepLines w:val="0"/>
        <w:widowControl w:val="0"/>
        <w:numPr>
          <w:ilvl w:val="0"/>
          <w:numId w:val="23"/>
        </w:numPr>
        <w:shd w:val="clear" w:color="auto" w:fill="auto"/>
        <w:bidi w:val="0"/>
        <w:spacing w:before="0" w:after="0" w:line="315" w:lineRule="exact"/>
        <w:ind w:left="0" w:right="0" w:firstLine="0"/>
        <w:jc w:val="left"/>
      </w:pPr>
      <w:bookmarkStart w:id="283" w:name="bookmark283"/>
      <w:bookmarkEnd w:id="283"/>
      <w:r>
        <w:rPr>
          <w:color w:val="000000"/>
          <w:spacing w:val="0"/>
          <w:w w:val="100"/>
          <w:position w:val="0"/>
        </w:rPr>
        <w:t>依托</w:t>
      </w:r>
      <w:r>
        <w:rPr>
          <w:rFonts w:ascii="Times New Roman" w:eastAsia="Times New Roman" w:hAnsi="Times New Roman" w:cs="Times New Roman"/>
          <w:color w:val="000000"/>
          <w:spacing w:val="0"/>
          <w:w w:val="100"/>
          <w:position w:val="0"/>
        </w:rPr>
        <w:t>IT</w:t>
      </w:r>
      <w:r>
        <w:rPr>
          <w:color w:val="000000"/>
          <w:spacing w:val="0"/>
          <w:w w:val="100"/>
          <w:position w:val="0"/>
        </w:rPr>
        <w:t>软硬件研发经验和生物识别技术，重点投入智能领域，探寻新型支付技术</w:t>
      </w:r>
    </w:p>
    <w:p>
      <w:pPr>
        <w:pStyle w:val="Style28"/>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基于公司多年在</w:t>
      </w:r>
      <w:r>
        <w:rPr>
          <w:color w:val="000000"/>
          <w:spacing w:val="0"/>
          <w:w w:val="100"/>
          <w:position w:val="0"/>
        </w:rPr>
        <w:t>IT</w:t>
      </w:r>
      <w:r>
        <w:rPr>
          <w:color w:val="000000"/>
          <w:spacing w:val="0"/>
          <w:w w:val="100"/>
          <w:position w:val="0"/>
        </w:rPr>
        <w:t>软硬件研发的经验和能力，新国都将在智能领域研发投入资源，获得智能化时代的市场发展红利，并 且充分利用公司目前已储备的生物识别技术，探寻新型黑科技支付方式以及战略延展至智能硬件和安防领域，为公司增加新 的业务收入来源。</w:t>
      </w:r>
    </w:p>
    <w:p>
      <w:pPr>
        <w:pStyle w:val="Style28"/>
        <w:keepNext w:val="0"/>
        <w:keepLines w:val="0"/>
        <w:widowControl w:val="0"/>
        <w:shd w:val="clear" w:color="auto" w:fill="auto"/>
        <w:tabs>
          <w:tab w:pos="335" w:val="left"/>
        </w:tabs>
        <w:bidi w:val="0"/>
        <w:spacing w:before="0" w:after="0"/>
        <w:ind w:left="0" w:right="0" w:firstLine="0"/>
        <w:jc w:val="left"/>
      </w:pPr>
      <w:bookmarkStart w:id="284" w:name="bookmark284"/>
      <w:r>
        <w:rPr>
          <w:rFonts w:ascii="Times New Roman" w:eastAsia="Times New Roman" w:hAnsi="Times New Roman" w:cs="Times New Roman"/>
          <w:color w:val="000000"/>
          <w:spacing w:val="0"/>
          <w:w w:val="100"/>
          <w:position w:val="0"/>
        </w:rPr>
        <w:t>4</w:t>
      </w:r>
      <w:bookmarkEnd w:id="284"/>
      <w:r>
        <w:rPr>
          <w:color w:val="000000"/>
          <w:spacing w:val="0"/>
          <w:w w:val="100"/>
          <w:position w:val="0"/>
        </w:rPr>
        <w:t>、</w:t>
        <w:tab/>
        <w:t>公司未来经营计划</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2017年，公司将充分把握电子支付市场新机会，重点推广公司首款智能</w:t>
      </w:r>
      <w:r>
        <w:rPr>
          <w:color w:val="000000"/>
          <w:spacing w:val="0"/>
          <w:w w:val="100"/>
          <w:position w:val="0"/>
        </w:rPr>
        <w:t>POSN5</w:t>
      </w:r>
      <w:r>
        <w:rPr>
          <w:color w:val="000000"/>
          <w:spacing w:val="0"/>
          <w:w w:val="100"/>
          <w:position w:val="0"/>
        </w:rPr>
        <w:t>在市场的影响力，进一步拓展和深入海外 市场，同时继续实施集团战略转型计划，力争战略尽快落地。公司的经营将会围绕下面几个方面展开：</w:t>
      </w:r>
    </w:p>
    <w:p>
      <w:pPr>
        <w:pStyle w:val="Style28"/>
        <w:keepNext w:val="0"/>
        <w:keepLines w:val="0"/>
        <w:widowControl w:val="0"/>
        <w:numPr>
          <w:ilvl w:val="0"/>
          <w:numId w:val="25"/>
        </w:numPr>
        <w:shd w:val="clear" w:color="auto" w:fill="auto"/>
        <w:tabs>
          <w:tab w:pos="398" w:val="left"/>
        </w:tabs>
        <w:bidi w:val="0"/>
        <w:spacing w:before="0" w:after="0" w:line="315" w:lineRule="exact"/>
        <w:ind w:left="0" w:right="0" w:firstLine="0"/>
        <w:jc w:val="left"/>
      </w:pPr>
      <w:bookmarkStart w:id="285" w:name="bookmark285"/>
      <w:bookmarkEnd w:id="285"/>
      <w:r>
        <w:rPr>
          <w:color w:val="000000"/>
          <w:spacing w:val="0"/>
          <w:w w:val="100"/>
          <w:position w:val="0"/>
        </w:rPr>
        <w:t>聚焦主营业务、保持主营收入持续增长</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2017年主营业务增长的两大驱动因素分别是智能</w:t>
      </w:r>
      <w:r>
        <w:rPr>
          <w:color w:val="000000"/>
          <w:spacing w:val="0"/>
          <w:w w:val="100"/>
          <w:position w:val="0"/>
        </w:rPr>
        <w:t>POS</w:t>
      </w:r>
      <w:r>
        <w:rPr>
          <w:color w:val="000000"/>
          <w:spacing w:val="0"/>
          <w:w w:val="100"/>
          <w:position w:val="0"/>
        </w:rPr>
        <w:t>新机遇和深入开拓海外电子支付市场，移动支付、电子支付的快速 发展倒逼了</w:t>
      </w:r>
      <w:r>
        <w:rPr>
          <w:color w:val="000000"/>
          <w:spacing w:val="0"/>
          <w:w w:val="100"/>
          <w:position w:val="0"/>
        </w:rPr>
        <w:t>POS</w:t>
      </w:r>
      <w:r>
        <w:rPr>
          <w:color w:val="000000"/>
          <w:spacing w:val="0"/>
          <w:w w:val="100"/>
          <w:position w:val="0"/>
        </w:rPr>
        <w:t>机的智能化升级，在支付方式多样化的背景下，传统</w:t>
      </w:r>
      <w:r>
        <w:rPr>
          <w:color w:val="000000"/>
          <w:spacing w:val="0"/>
          <w:w w:val="100"/>
          <w:position w:val="0"/>
        </w:rPr>
        <w:t>POSS</w:t>
      </w:r>
      <w:r>
        <w:rPr>
          <w:color w:val="000000"/>
          <w:spacing w:val="0"/>
          <w:w w:val="100"/>
          <w:position w:val="0"/>
        </w:rPr>
        <w:t xml:space="preserve">无法满足商户以及消费者的支付和商业需求，智能 </w:t>
      </w:r>
      <w:r>
        <w:rPr>
          <w:color w:val="000000"/>
          <w:spacing w:val="0"/>
          <w:w w:val="100"/>
          <w:position w:val="0"/>
        </w:rPr>
        <w:t>POS</w:t>
      </w:r>
      <w:r>
        <w:rPr>
          <w:color w:val="000000"/>
          <w:spacing w:val="0"/>
          <w:w w:val="100"/>
          <w:position w:val="0"/>
        </w:rPr>
        <w:t>也受到了银联、商业银行以及第三方支付公司的关注，公司为顺应市场发展，抓住新机遇，力争通过公司首款智能受理 终端设备继续保持市场领先地位。</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在海外业务开展方面，公司将在海外产品技术支持及维护、海外市场新产品研发、海外产品国际测试认证、准入和海外 市场拓展这几个方面增加投入，同时加强海外市场售后服务体系建设投入，巩固已有市场订单，开拓新市场业务。布局海外 销售渠道和品牌，加快进入步伐，加大品牌宣传力度，重点提高订单覆盖区域售后服务水平。</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通过这两部分业务对主营业务的驱动，公司有信心继续保持主营业务持续增长的趋势，为国家实体经济贡献来自新国都 的一份力量。</w:t>
      </w:r>
    </w:p>
    <w:p>
      <w:pPr>
        <w:pStyle w:val="Style28"/>
        <w:keepNext w:val="0"/>
        <w:keepLines w:val="0"/>
        <w:widowControl w:val="0"/>
        <w:numPr>
          <w:ilvl w:val="0"/>
          <w:numId w:val="25"/>
        </w:numPr>
        <w:shd w:val="clear" w:color="auto" w:fill="auto"/>
        <w:tabs>
          <w:tab w:pos="398" w:val="left"/>
        </w:tabs>
        <w:bidi w:val="0"/>
        <w:spacing w:before="0" w:after="0" w:line="315" w:lineRule="exact"/>
        <w:ind w:left="0" w:right="0" w:firstLine="0"/>
        <w:jc w:val="left"/>
      </w:pPr>
      <w:bookmarkStart w:id="286" w:name="bookmark286"/>
      <w:bookmarkEnd w:id="286"/>
      <w:r>
        <w:rPr>
          <w:color w:val="000000"/>
          <w:spacing w:val="0"/>
          <w:w w:val="100"/>
          <w:position w:val="0"/>
        </w:rPr>
        <w:t>继续整合电子支付产业链上下游核心资源</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公司已储备生物识别技术以及物联网云技术等，在</w:t>
      </w:r>
      <w:r>
        <w:rPr>
          <w:color w:val="000000"/>
          <w:spacing w:val="0"/>
          <w:w w:val="100"/>
          <w:position w:val="0"/>
        </w:rPr>
        <w:t>S</w:t>
      </w:r>
      <w:r>
        <w:rPr>
          <w:color w:val="000000"/>
          <w:spacing w:val="0"/>
          <w:w w:val="100"/>
          <w:position w:val="0"/>
        </w:rPr>
        <w:t>有技术资源基础上，公司会继续探寻技术变现的商业机会，对已有 相关技术进行整合，并与支付相结合。2017年里，公司会继续跟进电子支付市场技术的发展方向，提前做好相关技术的研发 布局工作，同时公司也会加强创新支付技术的研发工作。在技术领域方面，本年度公司计划继续重点关注智能硬件、大数据、 人工智能、生物识别等相关领域技术。</w:t>
      </w:r>
    </w:p>
    <w:p>
      <w:pPr>
        <w:pStyle w:val="Style28"/>
        <w:keepNext w:val="0"/>
        <w:keepLines w:val="0"/>
        <w:widowControl w:val="0"/>
        <w:numPr>
          <w:ilvl w:val="0"/>
          <w:numId w:val="25"/>
        </w:numPr>
        <w:shd w:val="clear" w:color="auto" w:fill="auto"/>
        <w:tabs>
          <w:tab w:pos="398" w:val="left"/>
        </w:tabs>
        <w:bidi w:val="0"/>
        <w:spacing w:before="0" w:after="0" w:line="315" w:lineRule="exact"/>
        <w:ind w:left="0" w:right="0" w:firstLine="0"/>
        <w:jc w:val="left"/>
      </w:pPr>
      <w:bookmarkStart w:id="287" w:name="bookmark287"/>
      <w:bookmarkEnd w:id="287"/>
      <w:r>
        <w:rPr>
          <w:color w:val="000000"/>
          <w:spacing w:val="0"/>
          <w:w w:val="100"/>
          <w:position w:val="0"/>
        </w:rPr>
        <w:t>加强投后管理工作、突显各板块业务之间的协同性</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在新国都集团战略转型计划里，产业并购以及核心技术并购对集团战略落地有着重大积极促进和推动作用，为了更好的 和并入公司业务资源达到战略合作、协同促进作用，投后管理的工作就起到了关键作用，在2017年里，公司计划通过更有效 的投后管理工作，使各板块之间协同发展、共荣共生、相互促进，真正突显协同效应。</w:t>
      </w:r>
    </w:p>
    <w:p>
      <w:pPr>
        <w:pStyle w:val="Style28"/>
        <w:keepNext w:val="0"/>
        <w:keepLines w:val="0"/>
        <w:widowControl w:val="0"/>
        <w:numPr>
          <w:ilvl w:val="0"/>
          <w:numId w:val="25"/>
        </w:numPr>
        <w:shd w:val="clear" w:color="auto" w:fill="auto"/>
        <w:tabs>
          <w:tab w:pos="398" w:val="left"/>
        </w:tabs>
        <w:bidi w:val="0"/>
        <w:spacing w:before="0" w:after="0" w:line="315" w:lineRule="exact"/>
        <w:ind w:left="0" w:right="0" w:firstLine="0"/>
        <w:jc w:val="left"/>
      </w:pPr>
      <w:bookmarkStart w:id="288" w:name="bookmark288"/>
      <w:bookmarkEnd w:id="288"/>
      <w:r>
        <w:rPr>
          <w:color w:val="000000"/>
          <w:spacing w:val="0"/>
          <w:w w:val="100"/>
          <w:position w:val="0"/>
        </w:rPr>
        <w:t>完善集团化进程，继续加强集团品牌体系建设</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在2016年里，虽然公司已经完成把金融</w:t>
      </w:r>
      <w:r>
        <w:rPr>
          <w:color w:val="000000"/>
          <w:spacing w:val="0"/>
          <w:w w:val="100"/>
          <w:position w:val="0"/>
        </w:rPr>
        <w:t>POS</w:t>
      </w:r>
      <w:r>
        <w:rPr>
          <w:color w:val="000000"/>
          <w:spacing w:val="0"/>
          <w:w w:val="100"/>
          <w:position w:val="0"/>
        </w:rPr>
        <w:t>业务从母公司剥离的工作，目前，母公司下面各个业务板块并驾齐驱，但是 还是有一些流程需要重新梳理以及组织架构需要调整，所以在2017年里，公司打算完善集团化进程的工作，优化内部管理， 真正以集团化的形式进行运营。另外，在集团化进程落地过程中，公司也会继续加强新国都品牌形象打造和宣传工作。</w:t>
      </w:r>
    </w:p>
    <w:p>
      <w:pPr>
        <w:pStyle w:val="Style28"/>
        <w:keepNext w:val="0"/>
        <w:keepLines w:val="0"/>
        <w:widowControl w:val="0"/>
        <w:numPr>
          <w:ilvl w:val="0"/>
          <w:numId w:val="25"/>
        </w:numPr>
        <w:shd w:val="clear" w:color="auto" w:fill="auto"/>
        <w:tabs>
          <w:tab w:pos="398" w:val="left"/>
        </w:tabs>
        <w:bidi w:val="0"/>
        <w:spacing w:before="0" w:after="0" w:line="315" w:lineRule="exact"/>
        <w:ind w:left="0" w:right="0" w:firstLine="0"/>
        <w:jc w:val="left"/>
      </w:pPr>
      <w:bookmarkStart w:id="289" w:name="bookmark289"/>
      <w:bookmarkEnd w:id="289"/>
      <w:r>
        <w:rPr>
          <w:color w:val="000000"/>
          <w:spacing w:val="0"/>
          <w:w w:val="100"/>
          <w:position w:val="0"/>
        </w:rPr>
        <w:t>继续加强管理团队能力建设，在员工里树立属于新国都的特色文化</w:t>
      </w:r>
    </w:p>
    <w:p>
      <w:pPr>
        <w:pStyle w:val="Style28"/>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集团公司的业务正在快速的发展，战略转型逐渐落地，</w:t>
      </w:r>
      <w:r>
        <w:rPr>
          <w:color w:val="000000"/>
          <w:spacing w:val="0"/>
          <w:w w:val="100"/>
          <w:position w:val="0"/>
        </w:rPr>
        <w:t>S</w:t>
      </w:r>
      <w:r>
        <w:rPr>
          <w:color w:val="000000"/>
          <w:spacing w:val="0"/>
          <w:w w:val="100"/>
          <w:position w:val="0"/>
        </w:rPr>
        <w:t>布局多个业务领域，集团生态体系雏形显现，在这过程中对管 理团队的能力要求加大，集团公司计划为了配合公司多元化战略业务布局的发展，在相关领域培养和招募专业人才，确保公 司的战略发展顺利进行。明确奖惩机制，对业绩有贡献的团队进行积极激励，充分调动员工的积极性，实实在在地把员工的 利益和集团公司利益绑在一起。</w:t>
      </w:r>
    </w:p>
    <w:p>
      <w:pPr>
        <w:pStyle w:val="Style28"/>
        <w:keepNext w:val="0"/>
        <w:keepLines w:val="0"/>
        <w:widowControl w:val="0"/>
        <w:shd w:val="clear" w:color="auto" w:fill="auto"/>
        <w:tabs>
          <w:tab w:pos="335" w:val="left"/>
        </w:tabs>
        <w:bidi w:val="0"/>
        <w:spacing w:before="0" w:after="0"/>
        <w:ind w:left="0" w:right="0" w:firstLine="0"/>
        <w:jc w:val="left"/>
      </w:pPr>
      <w:bookmarkStart w:id="290" w:name="bookmark290"/>
      <w:r>
        <w:rPr>
          <w:rFonts w:ascii="Times New Roman" w:eastAsia="Times New Roman" w:hAnsi="Times New Roman" w:cs="Times New Roman"/>
          <w:color w:val="000000"/>
          <w:spacing w:val="0"/>
          <w:w w:val="100"/>
          <w:position w:val="0"/>
        </w:rPr>
        <w:t>5</w:t>
      </w:r>
      <w:bookmarkEnd w:id="290"/>
      <w:r>
        <w:rPr>
          <w:color w:val="000000"/>
          <w:spacing w:val="0"/>
          <w:w w:val="100"/>
          <w:position w:val="0"/>
        </w:rPr>
        <w:t>、</w:t>
        <w:tab/>
        <w:t>公司可能面对的风险因素分析</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)政策法规及行业风险</w:t>
      </w:r>
    </w:p>
    <w:p>
      <w:pPr>
        <w:pStyle w:val="Style2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 xml:space="preserve">随着信息技术在支付领域得到广泛的应用，支付基础设施建设取得了重大发展，非现金支付工具日益普及且创新不断， 支付服务环境大幅改善，有效支持了实体经济的发展。由于电子支付业务的类金融属性，其合法合规合理开展，对我国金融 体系的安全有着重要影响，因此，电子支付服务业务主体、业务全流程一直以来都是金融监管机构重点监控的范围。2015 年以来，国家发展改革委、中国人民银行先后发布了《关于实施银行卡清算机构准入管理的决定》、《中国人民银行关于加 强银行卡收单业务外包管理的通知》、《非银行支付机构网络支付业务管理办法》、《关于完善银行卡刷卡手续费定价机制 的通知》等重要监管文件，对电子支付行业从参与主体、业务流程、交易权限等方面进行了全方位的规定，对行业产生了深 </w:t>
      </w:r>
      <w:r>
        <w:rPr>
          <w:color w:val="000000"/>
          <w:spacing w:val="0"/>
          <w:w w:val="100"/>
          <w:position w:val="0"/>
        </w:rPr>
        <w:t>远影响。</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针对该风险，公司也在把握行业政策，研究行业发展趋势，坚持电子支付安全、金融体系安全，加强公司相关业务的流 程控制的业务原则，积极应对行业监管给行业发展带来的新变化、新机遇和新挑战。</w:t>
      </w:r>
    </w:p>
    <w:p>
      <w:pPr>
        <w:pStyle w:val="Style28"/>
        <w:keepNext w:val="0"/>
        <w:keepLines w:val="0"/>
        <w:widowControl w:val="0"/>
        <w:shd w:val="clear" w:color="auto" w:fill="auto"/>
        <w:tabs>
          <w:tab w:pos="387" w:val="left"/>
        </w:tabs>
        <w:bidi w:val="0"/>
        <w:spacing w:before="0" w:after="0" w:line="314" w:lineRule="exact"/>
        <w:ind w:left="0" w:right="0" w:firstLine="0"/>
        <w:jc w:val="left"/>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2</w:t>
      </w:r>
      <w:r>
        <w:rPr>
          <w:color w:val="000000"/>
          <w:spacing w:val="0"/>
          <w:w w:val="100"/>
          <w:position w:val="0"/>
        </w:rPr>
        <w:t>）</w:t>
        <w:tab/>
        <w:t>兼并收购带来的财务风险、商誉减值风险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公司因为战略发展需要，通过兼并收购等方式，获得新业务和新市场的同时，也会增大财务压力和增加财务风险，这对 公司财务管理和风险控制提出了更高的要求。兼并收购的财务风险主要有：对被并购企业价值评估不当的定价风险，能否足 额筹集并购资金的融资风险，在现金支付方式的收购中会尤其突出的偿债风险和交易完成后对被并购企业的业务整合风险。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而在整体经济相对疲弱的大环境下，被并购企业经营及盈利状况不达预期风险也相应增大，这会对上市公司盈利增速造 成拖累，兼并收购中产生的商誉也将面临计提减值的压力。</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针对该风险，公司将增强财务管理团队，建立更加严格的风险控制体系；审慎选择并购标的，加强对其尽职调查降低定 价风险；及时采取多种方式融资以获得所需资金，避免过度负债，根据实际情况选择自有资本、权益资本和债务资本，降低 融资风险，合理选择支付方式、时间及数量降低偿债风险；对于被并购企业实现战略整合、人力资源整合、文化整合和财务 管理体系的整合，达到整合后企业价值最大化的目标。</w:t>
      </w:r>
    </w:p>
    <w:p>
      <w:pPr>
        <w:pStyle w:val="Style28"/>
        <w:keepNext w:val="0"/>
        <w:keepLines w:val="0"/>
        <w:widowControl w:val="0"/>
        <w:shd w:val="clear" w:color="auto" w:fill="auto"/>
        <w:tabs>
          <w:tab w:pos="387" w:val="left"/>
        </w:tabs>
        <w:bidi w:val="0"/>
        <w:spacing w:before="0" w:after="0" w:line="314" w:lineRule="exact"/>
        <w:ind w:left="0" w:right="0" w:firstLine="0"/>
        <w:jc w:val="left"/>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3</w:t>
      </w:r>
      <w:r>
        <w:rPr>
          <w:color w:val="000000"/>
          <w:spacing w:val="0"/>
          <w:w w:val="100"/>
          <w:position w:val="0"/>
        </w:rPr>
        <w:t>）</w:t>
        <w:tab/>
        <w:t>产品、技术和服务等不能满足市场需求的风险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公司已经积极开展基于移动互联网的产品、技术和服务的创新探索，但由于电子支付行业、征信服务等业务本身具备的 复杂程度，以及行业发展带来的行业变化加速，业务需求及发展的试错成本越来越高，且这些业务目前都面临着商业模式上 的创新，需要公司进行不断的探讨和研究，这导致公司现有产品、技术和服务的创新速度可能跟不上市场的变化，不能满足 市场需求，导致公司的盈利能力低于预期。</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针对该风险，公司将采取积极引进高端人才的策略，尤其是引进有过成功的基于案例的高端人才，积极并购在公司战略 布局领域拥有较高市场份额，商业模式已获得市场验证的公司，以提高公司对未来业务的把握能力。</w:t>
      </w:r>
    </w:p>
    <w:p>
      <w:pPr>
        <w:pStyle w:val="Style28"/>
        <w:keepNext w:val="0"/>
        <w:keepLines w:val="0"/>
        <w:widowControl w:val="0"/>
        <w:shd w:val="clear" w:color="auto" w:fill="auto"/>
        <w:tabs>
          <w:tab w:pos="387" w:val="left"/>
        </w:tabs>
        <w:bidi w:val="0"/>
        <w:spacing w:before="0" w:after="0" w:line="314" w:lineRule="exact"/>
        <w:ind w:left="0" w:right="0" w:firstLine="0"/>
        <w:jc w:val="left"/>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rPr>
        <w:t>4</w:t>
      </w:r>
      <w:r>
        <w:rPr>
          <w:color w:val="000000"/>
          <w:spacing w:val="0"/>
          <w:w w:val="100"/>
          <w:position w:val="0"/>
        </w:rPr>
        <w:t>）</w:t>
        <w:tab/>
        <w:t>战略转型进度低于预期甚至失败的风险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公司原有业务以电子支付终端制造业务为主，根据公司战略发展规划，公司未来的业务将涵盖研发、制造、运营服务等 各个领域，在各种因素影响下，公司存在战略落地速度、效率和质量可能低于预期，甚至战略转型失败的风险。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对于传统企业而言，拥抱新经济是一条切实可行但并不好走的转型路径。而新经济的重要组成部分是以互联网手段使用 为基础。回顾产业发展的历史，第一代新经济指向互联网本身，而现在则是“互联网+”，但浮于表层的“互联网+”并不能 帮助企业突破原有的增长轨迹，也无法企及更高的发展空间。真正的发展突破要利用互联网技术来提升传统企业的经营管理 模式，有效降低企业管理成本，对企业的生产和工作流程进行系统化的改造，这不仅需要时间来沉淀，也需要企业的管理层 具备过人的胆识和智慧，才能顺利完成企业的提升。</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针对此风险，公司管理层深知战略转型并不能一蹴而就，做好了长期的准备，已经在着手管理架构的重建，新经济新模 式下相关人力资源的储备，保持稳步战略布局的耐心和节奏，以及进行资金实力储备。</w:t>
      </w:r>
    </w:p>
    <w:p>
      <w:pPr>
        <w:pStyle w:val="Style28"/>
        <w:keepNext w:val="0"/>
        <w:keepLines w:val="0"/>
        <w:widowControl w:val="0"/>
        <w:shd w:val="clear" w:color="auto" w:fill="auto"/>
        <w:tabs>
          <w:tab w:pos="392" w:val="left"/>
        </w:tabs>
        <w:bidi w:val="0"/>
        <w:spacing w:before="0" w:after="0" w:line="314" w:lineRule="exact"/>
        <w:ind w:left="0" w:right="0" w:firstLine="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5</w:t>
      </w:r>
      <w:r>
        <w:rPr>
          <w:color w:val="000000"/>
          <w:spacing w:val="0"/>
          <w:w w:val="100"/>
          <w:position w:val="0"/>
        </w:rPr>
        <w:t>）</w:t>
        <w:tab/>
        <w:t>管理团队不能适应公司发展需求的风险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公司未来的战略规划和业务发展将主要围绕运营服务开展，但公司现有中高层管理人员、员工团队并不具备良好的运营 管理经验，不能很好的适应公司未来发展需求。人才是公司未来战略实施的核心要素，因此，公司如果不能成功引入高端运 营管理人才，则有可能导致公司业务发展无法突破现有瓶颈。</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针对该风险，公司已经开始根据业务需求，有意识的进行人才结构优化工作，调整岗位，裁汰冗员，并通过主动收购， 吸收优秀的互联网业务团队加入，逐步为公司的管理团队引入互联网业务经营人才队伍。</w:t>
      </w:r>
    </w:p>
    <w:p>
      <w:pPr>
        <w:pStyle w:val="Style28"/>
        <w:keepNext w:val="0"/>
        <w:keepLines w:val="0"/>
        <w:widowControl w:val="0"/>
        <w:shd w:val="clear" w:color="auto" w:fill="auto"/>
        <w:tabs>
          <w:tab w:pos="392" w:val="left"/>
        </w:tabs>
        <w:bidi w:val="0"/>
        <w:spacing w:before="0" w:after="0" w:line="314" w:lineRule="exact"/>
        <w:ind w:left="0" w:right="0" w:firstLine="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6</w:t>
      </w:r>
      <w:r>
        <w:rPr>
          <w:color w:val="000000"/>
          <w:spacing w:val="0"/>
          <w:w w:val="100"/>
          <w:position w:val="0"/>
        </w:rPr>
        <w:t>）</w:t>
        <w:tab/>
        <w:t>关于发起设立保险公司的审批风险及运营风险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2015年6月10日，公司召开第三届董事会第十二次（临时）会议及第三届监事会第十二次会议审议通过《审议参与发起 设立相互人寿保险公司（或组织）的议案》，公司出借自有资金5,000万元，参与发起设立相互人寿保险公司（或组织）， 出借资金后公司拟占相互人寿保险公司（或组织）初始运营资金的5%。2016年6月22日收到中国保险监督管理委员会《关于 筹建信美人寿相互保险社的批复》（保监许可[2016]551号），但由于保险公司的开业需经中国保监会批准，客观上存在不 被批准的可能性，因此本项出借资金计划的实施存在不确定性。另，由于法律或监管规定的变化，可能影响保险公司的正常 运营，或消弱其投资收益的风险。</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针对此风险，信美筹备组凭借其专业优势积极准备筹建工作并及时将相关情况上报保监会，同时主动关注相关政策变化 </w:t>
      </w:r>
      <w:r>
        <w:rPr>
          <w:color w:val="000000"/>
          <w:spacing w:val="0"/>
          <w:w w:val="100"/>
          <w:position w:val="0"/>
        </w:rPr>
        <w:t>积极采取应对措施降低风险。</w:t>
      </w:r>
    </w:p>
    <w:p>
      <w:pPr>
        <w:pStyle w:val="Style28"/>
        <w:keepNext w:val="0"/>
        <w:keepLines w:val="0"/>
        <w:widowControl w:val="0"/>
        <w:numPr>
          <w:ilvl w:val="0"/>
          <w:numId w:val="27"/>
        </w:numPr>
        <w:shd w:val="clear" w:color="auto" w:fill="auto"/>
        <w:tabs>
          <w:tab w:pos="427" w:val="left"/>
        </w:tabs>
        <w:bidi w:val="0"/>
        <w:spacing w:before="0" w:after="0" w:line="315" w:lineRule="exact"/>
        <w:ind w:left="0" w:right="0" w:firstLine="0"/>
        <w:jc w:val="left"/>
      </w:pPr>
      <w:bookmarkStart w:id="296" w:name="bookmark296"/>
      <w:bookmarkEnd w:id="296"/>
      <w:r>
        <w:rPr>
          <w:color w:val="000000"/>
          <w:spacing w:val="0"/>
          <w:w w:val="100"/>
          <w:position w:val="0"/>
        </w:rPr>
        <w:t>增资大岩资本的决策风险</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由于大岩资本属于私募管理机构，其业务经营受内外金融市场、政治与经济环境影响较多，可能对大岩资本经营产生不 利影响。同时鉴于业务环节的复杂性、合作机构的多元性，存在因员工道德风险而带来财务损失、声誉损失、引发赔偿、诉 讼或监管处罚等风险。业绩承诺期内大岩资本若无法兑现承诺，将给公司带来长期股权投资的减计风险。在整体经济相对疲 弱的大环境下，如果被投资公司经营及盈利状况不达预期，本次股权投资面临计提资产减值损失之风险。</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针对此风险，公司通过派立董事，设立增资款共管账户，针对核心技术人员签订保密协议及竞业禁止协议等，设置业绩 承诺指标等方式降低风险。</w:t>
      </w:r>
    </w:p>
    <w:p>
      <w:pPr>
        <w:pStyle w:val="Style28"/>
        <w:keepNext w:val="0"/>
        <w:keepLines w:val="0"/>
        <w:widowControl w:val="0"/>
        <w:numPr>
          <w:ilvl w:val="0"/>
          <w:numId w:val="27"/>
        </w:numPr>
        <w:shd w:val="clear" w:color="auto" w:fill="auto"/>
        <w:tabs>
          <w:tab w:pos="427" w:val="left"/>
        </w:tabs>
        <w:bidi w:val="0"/>
        <w:spacing w:before="0" w:after="0" w:line="315" w:lineRule="exact"/>
        <w:ind w:left="0" w:right="0" w:firstLine="0"/>
        <w:jc w:val="left"/>
      </w:pPr>
      <w:bookmarkStart w:id="297" w:name="bookmark297"/>
      <w:bookmarkEnd w:id="297"/>
      <w:r>
        <w:rPr>
          <w:color w:val="000000"/>
          <w:spacing w:val="0"/>
          <w:w w:val="100"/>
          <w:position w:val="0"/>
        </w:rPr>
        <w:t>非公开发行股票发行不成功的风险</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公司2016年非公开发行股票预案已于2017年3月22日获得中国证券监督管理委员会发行审核委员会审核通过，目前公司 尚未收到中国证监会的书面核准文件，公司将于收到书面核准后尽快完成发行事宜，能否收到证监会书面核准文件及后续发 行过程是否顺利尚存在不确定性，同时该事项受到国内证券市场及政策因素影响存在被发行人终止的风险。</w:t>
      </w:r>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针对此风险，公司将通过诚信经营，努力提高业绩，保证公司经营情况满足非公开发行股票要求条件。</w:t>
      </w:r>
    </w:p>
    <w:p>
      <w:pPr>
        <w:pStyle w:val="Style28"/>
        <w:keepNext w:val="0"/>
        <w:keepLines w:val="0"/>
        <w:widowControl w:val="0"/>
        <w:numPr>
          <w:ilvl w:val="0"/>
          <w:numId w:val="27"/>
        </w:numPr>
        <w:shd w:val="clear" w:color="auto" w:fill="auto"/>
        <w:tabs>
          <w:tab w:pos="431" w:val="left"/>
        </w:tabs>
        <w:bidi w:val="0"/>
        <w:spacing w:before="0" w:after="0" w:line="315" w:lineRule="exact"/>
        <w:ind w:left="0" w:right="0" w:firstLine="0"/>
        <w:jc w:val="left"/>
      </w:pPr>
      <w:bookmarkStart w:id="298" w:name="bookmark298"/>
      <w:bookmarkEnd w:id="298"/>
      <w:r>
        <w:rPr>
          <w:color w:val="000000"/>
          <w:spacing w:val="0"/>
          <w:w w:val="100"/>
          <w:position w:val="0"/>
        </w:rPr>
        <w:t>收购长沙公信诚丰</w:t>
      </w:r>
      <w:r>
        <w:rPr>
          <w:rFonts w:ascii="Times New Roman" w:eastAsia="Times New Roman" w:hAnsi="Times New Roman" w:cs="Times New Roman"/>
          <w:color w:val="000000"/>
          <w:spacing w:val="0"/>
          <w:w w:val="100"/>
          <w:position w:val="0"/>
        </w:rPr>
        <w:t>100%</w:t>
      </w:r>
      <w:r>
        <w:rPr>
          <w:color w:val="000000"/>
          <w:spacing w:val="0"/>
          <w:w w:val="100"/>
          <w:position w:val="0"/>
        </w:rPr>
        <w:t>股权的风险</w:t>
      </w:r>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公信诚丰专注于提供基于大数据技术的社会征信数据服务，行业政策的变化、新客户的拓展及其经营税务均存在风险， 公信诚丰于2015年取得国家级高新技术企业证书，按15%的税率缴纳企业所得税，如果公信诚丰享受的所得税优惠政策发生 变化、不能通过高新技术企业复审或发生其他与税收相关的不利事件，将对其经营业绩产生不利影响。公信诚丰存在客户集 中度高、核心技术人员依赖性高、交易标的增值率较高的风险，同时存在股权收购交易形成的商誉减值、公信诚丰业绩未达 预期及业绩补偿实施的违约风险、整合风险。</w:t>
      </w:r>
    </w:p>
    <w:p>
      <w:pPr>
        <w:pStyle w:val="Style28"/>
        <w:keepNext w:val="0"/>
        <w:keepLines w:val="0"/>
        <w:widowControl w:val="0"/>
        <w:shd w:val="clear" w:color="auto" w:fill="auto"/>
        <w:bidi w:val="0"/>
        <w:spacing w:before="0" w:after="380" w:line="315" w:lineRule="exact"/>
        <w:ind w:left="0" w:right="0" w:firstLine="360"/>
        <w:jc w:val="left"/>
      </w:pPr>
      <w:r>
        <w:rPr>
          <w:color w:val="000000"/>
          <w:spacing w:val="0"/>
          <w:w w:val="100"/>
          <w:position w:val="0"/>
        </w:rPr>
        <w:t>针对此风险，公司通过向公信诚丰派立董事、管理人员及财务人员，设立共管账户，针对核心技术人员签订保密协议及 竞业禁止协议等，设置业绩承诺指标等方式降低风险。</w:t>
      </w:r>
    </w:p>
    <w:p>
      <w:pPr>
        <w:pStyle w:val="Style25"/>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十、接待调研、沟通、采访等活动登记表</w:t>
      </w:r>
      <w:bookmarkEnd w:id="299"/>
      <w:bookmarkEnd w:id="300"/>
      <w:bookmarkEnd w:id="301"/>
    </w:p>
    <w:p>
      <w:pPr>
        <w:pStyle w:val="Style33"/>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、报告期内接待调研、沟通、采访等活动登记表</w:t>
      </w:r>
      <w:bookmarkEnd w:id="302"/>
      <w:bookmarkEnd w:id="303"/>
      <w:bookmarkEnd w:id="30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具体请查看公布于巨潮资讯网的《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具体请查看公布于巨潮资讯网的《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日投资者关系活动记录表》</w:t>
            </w:r>
          </w:p>
        </w:tc>
      </w:tr>
    </w:tbl>
    <w:p>
      <w:pPr>
        <w:sectPr>
          <w:footnotePr>
            <w:pos w:val="pageBottom"/>
            <w:numFmt w:val="decimal"/>
            <w:numRestart w:val="continuous"/>
          </w:footnotePr>
          <w:pgSz w:w="11900" w:h="16840"/>
          <w:pgMar w:top="1378" w:right="1054" w:bottom="1464" w:left="1063"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306" w:name="bookmark306"/>
      <w:bookmarkStart w:id="307" w:name="bookmark307"/>
      <w:bookmarkStart w:id="308" w:name="bookmark308"/>
      <w:r>
        <w:rPr>
          <w:color w:val="000000"/>
          <w:spacing w:val="0"/>
          <w:w w:val="100"/>
          <w:position w:val="0"/>
        </w:rPr>
        <w:t>第五节重要事项</w:t>
      </w:r>
      <w:bookmarkEnd w:id="306"/>
      <w:bookmarkEnd w:id="307"/>
      <w:bookmarkEnd w:id="308"/>
    </w:p>
    <w:p>
      <w:pPr>
        <w:pStyle w:val="Style25"/>
        <w:keepNext/>
        <w:keepLines/>
        <w:widowControl w:val="0"/>
        <w:shd w:val="clear" w:color="auto" w:fill="auto"/>
        <w:bidi w:val="0"/>
        <w:spacing w:before="0" w:after="220" w:line="240" w:lineRule="auto"/>
        <w:ind w:left="0" w:right="0" w:firstLine="0"/>
        <w:jc w:val="left"/>
      </w:pPr>
      <w:bookmarkStart w:id="309" w:name="bookmark309"/>
      <w:bookmarkStart w:id="310" w:name="bookmark310"/>
      <w:bookmarkStart w:id="311" w:name="bookmark311"/>
      <w:bookmarkStart w:id="312" w:name="bookmark312"/>
      <w:bookmarkStart w:id="313" w:name="bookmark313"/>
      <w:r>
        <w:rPr>
          <w:color w:val="000000"/>
          <w:spacing w:val="0"/>
          <w:w w:val="100"/>
          <w:position w:val="0"/>
          <w:sz w:val="24"/>
          <w:szCs w:val="24"/>
        </w:rPr>
        <w:t>一</w:t>
      </w:r>
      <w:bookmarkEnd w:id="312"/>
      <w:r>
        <w:rPr>
          <w:color w:val="000000"/>
          <w:spacing w:val="0"/>
          <w:w w:val="100"/>
          <w:position w:val="0"/>
          <w:sz w:val="24"/>
          <w:szCs w:val="24"/>
        </w:rPr>
        <w:t>、公司普通股利润分配及资本公积金转增股本情况</w:t>
      </w:r>
      <w:bookmarkEnd w:id="310"/>
      <w:bookmarkEnd w:id="311"/>
      <w:bookmarkEnd w:id="313"/>
      <w:bookmarkEnd w:id="309"/>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 xml:space="preserve">2016年4月18日公司召开第三届董事会第二十六次会议及第三届监事会第二十五次会议，2016年5月11日公司召开2015 年年度股东大会审议通过了 2015年度利润分配方案：公司以总股本231,021,360股为基数，向全体股东每10股派发现金股利 </w:t>
      </w:r>
      <w:r>
        <w:rPr>
          <w:color w:val="000000"/>
          <w:spacing w:val="0"/>
          <w:w w:val="100"/>
          <w:position w:val="0"/>
        </w:rPr>
        <w:t>0.5</w:t>
      </w:r>
      <w:r>
        <w:rPr>
          <w:color w:val="000000"/>
          <w:spacing w:val="0"/>
          <w:w w:val="100"/>
          <w:position w:val="0"/>
        </w:rPr>
        <w:t>元人民币（含税）。该利润分配方案已于2016年5月20日实施完毕。</w:t>
      </w:r>
    </w:p>
    <w:p>
      <w:pPr>
        <w:pStyle w:val="Style31"/>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2017年4月17日公司召开第三届董事会第四十一次会议及第三届监事会第四十次会议，审议通过2016年度利润分配方案 为以公司2016年12月31日经中国证券登记结算有限责任公司深圳分公司登记的总股本235,481,280为基数，向全体股东每10 股派发现金股利</w:t>
      </w:r>
      <w:r>
        <w:rPr>
          <w:color w:val="000000"/>
          <w:spacing w:val="0"/>
          <w:w w:val="100"/>
          <w:position w:val="0"/>
        </w:rPr>
        <w:t>0.6</w:t>
      </w:r>
      <w:r>
        <w:rPr>
          <w:color w:val="000000"/>
          <w:spacing w:val="0"/>
          <w:w w:val="100"/>
          <w:position w:val="0"/>
        </w:rPr>
        <w:t>元人民币（含税），共分配</w:t>
      </w:r>
      <w:r>
        <w:rPr>
          <w:color w:val="000000"/>
          <w:spacing w:val="0"/>
          <w:w w:val="100"/>
          <w:position w:val="0"/>
        </w:rPr>
        <w:t>1,412.88768</w:t>
      </w:r>
      <w:r>
        <w:rPr>
          <w:color w:val="000000"/>
          <w:spacing w:val="0"/>
          <w:w w:val="100"/>
          <w:position w:val="0"/>
        </w:rPr>
        <w:t>万元。该利润分配方案将提交股东大会审议。</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235,481,280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14,128,876.80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162,527,002.30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8" w:hRule="exact"/>
        </w:trPr>
        <w:tc>
          <w:tcPr>
            <w:gridSpan w:val="2"/>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1.2014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年度利润分配方案，公司以总股本</w:t>
      </w:r>
      <w:r>
        <w:rPr>
          <w:rFonts w:ascii="Times New Roman" w:eastAsia="Times New Roman" w:hAnsi="Times New Roman" w:cs="Times New Roman"/>
          <w:color w:val="000000"/>
          <w:spacing w:val="0"/>
          <w:w w:val="100"/>
          <w:position w:val="0"/>
        </w:rPr>
        <w:t>114,300,000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1,143</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年度公司未进行资本公积金转增股 本。</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年度利润分配方案，公司以总股本</w:t>
      </w:r>
      <w:r>
        <w:rPr>
          <w:rFonts w:ascii="Times New Roman" w:eastAsia="Times New Roman" w:hAnsi="Times New Roman" w:cs="Times New Roman"/>
          <w:color w:val="000000"/>
          <w:spacing w:val="0"/>
          <w:w w:val="100"/>
          <w:position w:val="0"/>
        </w:rPr>
        <w:t>114,300,000</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w:t>
      </w:r>
      <w:r>
        <w:rPr>
          <w:color w:val="000000"/>
          <w:spacing w:val="0"/>
          <w:w w:val="100"/>
          <w:position w:val="0"/>
        </w:rPr>
        <w:t>元人民币（含税）。同时，以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114,300,000</w:t>
      </w:r>
      <w:r>
        <w:rPr>
          <w:color w:val="000000"/>
          <w:spacing w:val="0"/>
          <w:w w:val="100"/>
          <w:position w:val="0"/>
        </w:rPr>
        <w:t>为基数，由资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rPr>
        <w:t>114,300,000</w:t>
      </w:r>
      <w:r>
        <w:rPr>
          <w:color w:val="000000"/>
          <w:spacing w:val="0"/>
          <w:w w:val="100"/>
          <w:position w:val="0"/>
        </w:rPr>
        <w:t>股，转增股本完成后，公司总股本为</w:t>
      </w:r>
      <w:r>
        <w:rPr>
          <w:rFonts w:ascii="Times New Roman" w:eastAsia="Times New Roman" w:hAnsi="Times New Roman" w:cs="Times New Roman"/>
          <w:color w:val="000000"/>
          <w:spacing w:val="0"/>
          <w:w w:val="100"/>
          <w:position w:val="0"/>
        </w:rPr>
        <w:t>228,600,000</w:t>
      </w:r>
      <w:r>
        <w:rPr>
          <w:color w:val="000000"/>
          <w:spacing w:val="0"/>
          <w:w w:val="100"/>
          <w:position w:val="0"/>
        </w:rPr>
        <w:t>股。</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3.2016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年度利润分配方案：公司以总股本</w:t>
      </w:r>
      <w:r>
        <w:rPr>
          <w:rFonts w:ascii="Times New Roman" w:eastAsia="Times New Roman" w:hAnsi="Times New Roman" w:cs="Times New Roman"/>
          <w:color w:val="000000"/>
          <w:spacing w:val="0"/>
          <w:w w:val="100"/>
          <w:position w:val="0"/>
        </w:rPr>
        <w:t>231,021,360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w:t>
      </w:r>
      <w:r>
        <w:rPr>
          <w:color w:val="000000"/>
          <w:spacing w:val="0"/>
          <w:w w:val="100"/>
          <w:position w:val="0"/>
        </w:rPr>
        <w:t>元人民币（含税）。</w:t>
      </w:r>
      <w:r>
        <w:rPr>
          <w:rFonts w:ascii="Times New Roman" w:eastAsia="Times New Roman" w:hAnsi="Times New Roman" w:cs="Times New Roman"/>
          <w:color w:val="000000"/>
          <w:spacing w:val="0"/>
          <w:w w:val="100"/>
          <w:position w:val="0"/>
        </w:rPr>
        <w:t>2015</w:t>
      </w:r>
      <w:r>
        <w:rPr>
          <w:color w:val="000000"/>
          <w:spacing w:val="0"/>
          <w:w w:val="100"/>
          <w:position w:val="0"/>
        </w:rPr>
        <w:t>年度公司未进行资本公积金转增股本。</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14,128,876.80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139,021,692.71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11,551,068.00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85,495,853.97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5,715,000.00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79,581,385.94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二</w:t>
      </w:r>
      <w:bookmarkEnd w:id="316"/>
      <w:r>
        <w:rPr>
          <w:color w:val="000000"/>
          <w:spacing w:val="0"/>
          <w:w w:val="100"/>
          <w:position w:val="0"/>
          <w:sz w:val="24"/>
          <w:szCs w:val="24"/>
        </w:rPr>
        <w:t>、承诺事项履行情况</w:t>
      </w:r>
      <w:bookmarkEnd w:id="314"/>
      <w:bookmarkEnd w:id="315"/>
      <w:bookmarkEnd w:id="317"/>
    </w:p>
    <w:p>
      <w:pPr>
        <w:pStyle w:val="Style33"/>
        <w:keepNext/>
        <w:keepLines/>
        <w:widowControl w:val="0"/>
        <w:shd w:val="clear" w:color="auto" w:fill="auto"/>
        <w:bidi w:val="0"/>
        <w:spacing w:before="0" w:after="360" w:line="326" w:lineRule="exact"/>
        <w:ind w:left="0" w:right="0" w:firstLine="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、公司实际控制人、股东、关联方、收购人以及公司等承诺相关方在报告期内履行完毕及截至报告期末 尚未履行完毕的承诺事项</w:t>
      </w:r>
      <w:bookmarkEnd w:id="318"/>
      <w:bookmarkEnd w:id="319"/>
      <w:bookmarkEnd w:id="32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7"/>
        <w:gridCol w:w="1128"/>
        <w:gridCol w:w="1123"/>
        <w:gridCol w:w="1133"/>
        <w:gridCol w:w="1123"/>
        <w:gridCol w:w="1123"/>
        <w:gridCol w:w="111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49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为避免同业 竞争损害公 司及其他股 东的利益，公 司实际控制 人刘祥及持 股</w:t>
            </w:r>
            <w:r>
              <w:rPr>
                <w:rFonts w:ascii="Times New Roman" w:eastAsia="Times New Roman" w:hAnsi="Times New Roman" w:cs="Times New Roman"/>
                <w:color w:val="000000"/>
                <w:spacing w:val="0"/>
                <w:w w:val="100"/>
                <w:position w:val="0"/>
              </w:rPr>
              <w:t>5%</w:t>
            </w:r>
            <w:r>
              <w:rPr>
                <w:color w:val="000000"/>
                <w:spacing w:val="0"/>
                <w:w w:val="100"/>
                <w:position w:val="0"/>
              </w:rPr>
              <w:t>以上的 股东刘亚、江 汉共同出具 了《关于避免 同业竞争的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253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承诺函》，做 出了以下承 诺：（</w:t>
            </w:r>
            <w:r>
              <w:rPr>
                <w:rFonts w:ascii="Times New Roman" w:eastAsia="Times New Roman" w:hAnsi="Times New Roman" w:cs="Times New Roman"/>
                <w:color w:val="000000"/>
                <w:spacing w:val="0"/>
                <w:w w:val="100"/>
                <w:position w:val="0"/>
              </w:rPr>
              <w:t>1</w:t>
            </w:r>
            <w:r>
              <w:rPr>
                <w:color w:val="000000"/>
                <w:spacing w:val="0"/>
                <w:w w:val="100"/>
                <w:position w:val="0"/>
              </w:rPr>
              <w:t>）刘祥、 刘亚及江汉 共同保证，不 以自营或以 合资、合作等 方式经营任 何与发行人 现从事的业 务有竞争的 业务，刘祥、 刘亚及江汉 现有的或将 来成立的全 资子公司、控 股子公司以 及其他受刘 祥、刘亚及江 汉控制的企 业亦不会经 营与发行人 现从事的业 务有竞争的 业务。（</w:t>
            </w:r>
            <w:r>
              <w:rPr>
                <w:rFonts w:ascii="Times New Roman" w:eastAsia="Times New Roman" w:hAnsi="Times New Roman" w:cs="Times New Roman"/>
                <w:color w:val="000000"/>
                <w:spacing w:val="0"/>
                <w:w w:val="100"/>
                <w:position w:val="0"/>
              </w:rPr>
              <w:t xml:space="preserve">2 </w:t>
            </w:r>
            <w:r>
              <w:rPr>
                <w:color w:val="000000"/>
                <w:spacing w:val="0"/>
                <w:w w:val="100"/>
                <w:position w:val="0"/>
              </w:rPr>
              <w:t>）如 违反上述承 诺，刘祥、刘 亚及江汉同 意承担给发 行人造成的 全部损失。</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）本承诺 函自出具之 日起生效，并 在刘祥、刘亚 及江汉作为 发行人股东 或关联方的 整个期间持 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34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公司实际控 制人刘祥及 关联股东刘 亚和江汉共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380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同承诺:</w:t>
            </w:r>
            <w:r>
              <w:rPr>
                <w:rFonts w:ascii="Times New Roman" w:eastAsia="Times New Roman" w:hAnsi="Times New Roman" w:cs="Times New Roman"/>
                <w:color w:val="000000"/>
                <w:spacing w:val="0"/>
                <w:w w:val="100"/>
                <w:position w:val="0"/>
              </w:rPr>
              <w:t>“</w:t>
            </w:r>
            <w:r>
              <w:rPr>
                <w:color w:val="000000"/>
                <w:spacing w:val="0"/>
                <w:w w:val="100"/>
                <w:position w:val="0"/>
              </w:rPr>
              <w:t>如公 司</w:t>
            </w:r>
            <w:r>
              <w:rPr>
                <w:rFonts w:ascii="Times New Roman" w:eastAsia="Times New Roman" w:hAnsi="Times New Roman" w:cs="Times New Roman"/>
                <w:color w:val="000000"/>
                <w:spacing w:val="0"/>
                <w:w w:val="100"/>
                <w:position w:val="0"/>
              </w:rPr>
              <w:t>（</w:t>
            </w:r>
            <w:r>
              <w:rPr>
                <w:color w:val="000000"/>
                <w:spacing w:val="0"/>
                <w:w w:val="100"/>
                <w:position w:val="0"/>
              </w:rPr>
              <w:t>含下属子 公司</w:t>
            </w:r>
            <w:r>
              <w:rPr>
                <w:rFonts w:ascii="Times New Roman" w:eastAsia="Times New Roman" w:hAnsi="Times New Roman" w:cs="Times New Roman"/>
                <w:color w:val="000000"/>
                <w:spacing w:val="0"/>
                <w:w w:val="100"/>
                <w:position w:val="0"/>
              </w:rPr>
              <w:t>）</w:t>
            </w:r>
            <w:r>
              <w:rPr>
                <w:color w:val="000000"/>
                <w:spacing w:val="0"/>
                <w:w w:val="100"/>
                <w:position w:val="0"/>
              </w:rPr>
              <w:t>因任何 违反税收征 管的法律、法 规而遭受税 务主管机关 追讨欠税并 处罚的情况， 本人同意全 额承担相关 的责任。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6326" w:hRule="exact"/>
        </w:trPr>
        <w:tc>
          <w:tcPr>
            <w:vMerge/>
            <w:tcBorders>
              <w:left w:val="single" w:sz="4"/>
            </w:tcBorders>
            <w:shd w:val="clear" w:color="auto" w:fill="D4D4D4"/>
            <w:vAlign w:val="top"/>
          </w:tcPr>
          <w:p>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公司实际控 制人及持股 </w:t>
            </w:r>
            <w:r>
              <w:rPr>
                <w:rFonts w:ascii="Times New Roman" w:eastAsia="Times New Roman" w:hAnsi="Times New Roman" w:cs="Times New Roman"/>
                <w:color w:val="000000"/>
                <w:spacing w:val="0"/>
                <w:w w:val="100"/>
                <w:position w:val="0"/>
              </w:rPr>
              <w:t>5%</w:t>
            </w:r>
            <w:r>
              <w:rPr>
                <w:color w:val="000000"/>
                <w:spacing w:val="0"/>
                <w:w w:val="100"/>
                <w:position w:val="0"/>
              </w:rPr>
              <w:t>以上股东 刘祥、刘亚、 江汉出具承 诺函：</w:t>
            </w:r>
            <w:r>
              <w:rPr>
                <w:rFonts w:ascii="Times New Roman" w:eastAsia="Times New Roman" w:hAnsi="Times New Roman" w:cs="Times New Roman"/>
                <w:color w:val="000000"/>
                <w:spacing w:val="0"/>
                <w:w w:val="100"/>
                <w:position w:val="0"/>
              </w:rPr>
              <w:t>“</w:t>
            </w:r>
            <w:r>
              <w:rPr>
                <w:color w:val="000000"/>
                <w:spacing w:val="0"/>
                <w:w w:val="100"/>
                <w:position w:val="0"/>
              </w:rPr>
              <w:t>如今后 贵司因上市 前执行住房 公积金政策 事宜被要求 补缴住房公 积金、缴纳罚 款或因此而 遭受任何损 失时，我们将 及时、无条 件、全额补偿 贵司由此遭 受的一切损 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r>
        <w:trPr>
          <w:trHeight w:val="38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制人刘祥及 关联股东刘 亚和江汉共 同承诺:</w:t>
            </w:r>
            <w:r>
              <w:rPr>
                <w:rFonts w:ascii="Times New Roman" w:eastAsia="Times New Roman" w:hAnsi="Times New Roman" w:cs="Times New Roman"/>
                <w:color w:val="000000"/>
                <w:spacing w:val="0"/>
                <w:w w:val="100"/>
                <w:position w:val="0"/>
              </w:rPr>
              <w:t>“</w:t>
            </w:r>
            <w:r>
              <w:rPr>
                <w:color w:val="000000"/>
                <w:spacing w:val="0"/>
                <w:w w:val="100"/>
                <w:position w:val="0"/>
              </w:rPr>
              <w:t>在中 国证监会核 准发行人本 次发行股票 并上市，且发 行人公开发 行的股票在 证券交易所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2"/>
        <w:gridCol w:w="1123"/>
        <w:gridCol w:w="1123"/>
        <w:gridCol w:w="1133"/>
        <w:gridCol w:w="1123"/>
        <w:gridCol w:w="1123"/>
        <w:gridCol w:w="1118"/>
      </w:tblGrid>
      <w:tr>
        <w:trPr>
          <w:trHeight w:val="50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正式挂牌后， 若因公司租 赁厂房的产 权瑕疵导致 发行人被迫 搬迁生产场 地，承诺人将 以连带责任 方式全额承 担补偿深圳 市新国都技 术股份有限 公司的搬迁 费用和因生 产停滞所造 成的损失。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459"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控股股东、实 际控制人刘 祥先生就本 次增持承诺： </w:t>
            </w:r>
            <w:r>
              <w:rPr>
                <w:rFonts w:ascii="Times New Roman" w:eastAsia="Times New Roman" w:hAnsi="Times New Roman" w:cs="Times New Roman"/>
                <w:color w:val="000000"/>
                <w:spacing w:val="0"/>
                <w:w w:val="100"/>
                <w:position w:val="0"/>
              </w:rPr>
              <w:t>1）</w:t>
            </w:r>
            <w:r>
              <w:rPr>
                <w:color w:val="000000"/>
                <w:spacing w:val="0"/>
                <w:w w:val="100"/>
                <w:position w:val="0"/>
              </w:rPr>
              <w:t>本次增持或 有收益将全 部归上市公 司所有。</w:t>
            </w:r>
            <w:r>
              <w:rPr>
                <w:rFonts w:ascii="Times New Roman" w:eastAsia="Times New Roman" w:hAnsi="Times New Roman" w:cs="Times New Roman"/>
                <w:color w:val="000000"/>
                <w:spacing w:val="0"/>
                <w:w w:val="100"/>
                <w:position w:val="0"/>
              </w:rPr>
              <w:t>2）</w:t>
            </w:r>
            <w:r>
              <w:rPr>
                <w:color w:val="000000"/>
                <w:spacing w:val="0"/>
                <w:w w:val="100"/>
                <w:position w:val="0"/>
              </w:rPr>
              <w:t>在 增持期间及 增持完成后 六个月内不 转让本次增 持的公司股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r>
        <w:trPr>
          <w:trHeight w:val="380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李林杰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李艳芳</w:t>
            </w:r>
            <w:r>
              <w:rPr>
                <w:rFonts w:ascii="Times New Roman" w:eastAsia="Times New Roman" w:hAnsi="Times New Roman" w:cs="Times New Roman"/>
                <w:color w:val="000000"/>
                <w:spacing w:val="0"/>
                <w:w w:val="100"/>
                <w:position w:val="0"/>
              </w:rPr>
              <w:t>;</w:t>
            </w:r>
            <w:r>
              <w:rPr>
                <w:color w:val="000000"/>
                <w:spacing w:val="0"/>
                <w:w w:val="100"/>
                <w:position w:val="0"/>
              </w:rPr>
              <w:t>刘祥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栾承岚</w:t>
            </w:r>
            <w:r>
              <w:rPr>
                <w:rFonts w:ascii="Times New Roman" w:eastAsia="Times New Roman" w:hAnsi="Times New Roman" w:cs="Times New Roman"/>
                <w:color w:val="000000"/>
                <w:spacing w:val="0"/>
                <w:w w:val="100"/>
                <w:position w:val="0"/>
              </w:rPr>
              <w:t>;</w:t>
            </w:r>
            <w:r>
              <w:rPr>
                <w:color w:val="000000"/>
                <w:spacing w:val="0"/>
                <w:w w:val="100"/>
                <w:position w:val="0"/>
              </w:rPr>
              <w:t>乔胜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童卫东</w:t>
            </w:r>
            <w:r>
              <w:rPr>
                <w:rFonts w:ascii="Times New Roman" w:eastAsia="Times New Roman" w:hAnsi="Times New Roman" w:cs="Times New Roman"/>
                <w:color w:val="000000"/>
                <w:spacing w:val="0"/>
                <w:w w:val="100"/>
                <w:position w:val="0"/>
              </w:rPr>
              <w:t>;</w:t>
            </w:r>
            <w:r>
              <w:rPr>
                <w:color w:val="000000"/>
                <w:spacing w:val="0"/>
                <w:w w:val="100"/>
                <w:position w:val="0"/>
              </w:rPr>
              <w:t>汪洋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韦余红</w:t>
            </w:r>
            <w:r>
              <w:rPr>
                <w:rFonts w:ascii="Times New Roman" w:eastAsia="Times New Roman" w:hAnsi="Times New Roman" w:cs="Times New Roman"/>
                <w:color w:val="000000"/>
                <w:spacing w:val="0"/>
                <w:w w:val="100"/>
                <w:position w:val="0"/>
              </w:rPr>
              <w:t>;</w:t>
            </w:r>
            <w:r>
              <w:rPr>
                <w:color w:val="000000"/>
                <w:spacing w:val="0"/>
                <w:w w:val="100"/>
                <w:position w:val="0"/>
              </w:rPr>
              <w:t>杨星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姚骏</w:t>
            </w:r>
            <w:r>
              <w:rPr>
                <w:rFonts w:ascii="Times New Roman" w:eastAsia="Times New Roman" w:hAnsi="Times New Roman" w:cs="Times New Roman"/>
                <w:color w:val="000000"/>
                <w:spacing w:val="0"/>
                <w:w w:val="100"/>
                <w:position w:val="0"/>
              </w:rPr>
              <w:t>;</w:t>
            </w:r>
            <w:r>
              <w:rPr>
                <w:color w:val="000000"/>
                <w:spacing w:val="0"/>
                <w:w w:val="100"/>
                <w:position w:val="0"/>
              </w:rPr>
              <w:t>赵辉</w:t>
            </w:r>
            <w:r>
              <w:rPr>
                <w:rFonts w:ascii="Times New Roman" w:eastAsia="Times New Roman" w:hAnsi="Times New Roman" w:cs="Times New Roman"/>
                <w:color w:val="000000"/>
                <w:spacing w:val="0"/>
                <w:w w:val="100"/>
                <w:position w:val="0"/>
              </w:rPr>
              <w:t>;</w:t>
            </w:r>
            <w:r>
              <w:rPr>
                <w:color w:val="000000"/>
                <w:spacing w:val="0"/>
                <w:w w:val="100"/>
                <w:position w:val="0"/>
              </w:rPr>
              <w:t>朱 文罡</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基于对公司 未来发展前 景的信心以 及促进资本 市场平稳健 康发展的社 会责任，自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日起六个 月内择机增 持公司股票， 增持金额不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411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超过人民币 </w:t>
            </w:r>
            <w:r>
              <w:rPr>
                <w:rFonts w:ascii="Times New Roman" w:eastAsia="Times New Roman" w:hAnsi="Times New Roman" w:cs="Times New Roman"/>
                <w:color w:val="000000"/>
                <w:spacing w:val="0"/>
                <w:w w:val="100"/>
                <w:position w:val="0"/>
              </w:rPr>
              <w:t>2,960</w:t>
            </w:r>
            <w:r>
              <w:rPr>
                <w:color w:val="000000"/>
                <w:spacing w:val="0"/>
                <w:w w:val="100"/>
                <w:position w:val="0"/>
              </w:rPr>
              <w:t>万元。 控股股东、实 际控制人刘 祥先生及公 司管理层人 员就本次增 持承诺：在增 持期间及增 持完成后六 个月内不转 让本次增持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830" w:hRule="exact"/>
        </w:trPr>
        <w:tc>
          <w:tcPr>
            <w:vMerge/>
            <w:tcBorders>
              <w:left w:val="single" w:sz="4"/>
            </w:tcBorders>
            <w:shd w:val="clear" w:color="auto" w:fill="D4D4D4"/>
            <w:vAlign w:val="top"/>
          </w:tcPr>
          <w:p>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蔡艳红</w:t>
            </w:r>
            <w:r>
              <w:rPr>
                <w:rFonts w:ascii="Times New Roman" w:eastAsia="Times New Roman" w:hAnsi="Times New Roman" w:cs="Times New Roman"/>
                <w:color w:val="000000"/>
                <w:spacing w:val="0"/>
                <w:w w:val="100"/>
                <w:position w:val="0"/>
              </w:rPr>
              <w:t>;</w:t>
            </w:r>
            <w:r>
              <w:rPr>
                <w:color w:val="000000"/>
                <w:spacing w:val="0"/>
                <w:w w:val="100"/>
                <w:position w:val="0"/>
              </w:rPr>
              <w:t>陈京 琳</w:t>
            </w:r>
            <w:r>
              <w:rPr>
                <w:rFonts w:ascii="Times New Roman" w:eastAsia="Times New Roman" w:hAnsi="Times New Roman" w:cs="Times New Roman"/>
                <w:color w:val="000000"/>
                <w:spacing w:val="0"/>
                <w:w w:val="100"/>
                <w:position w:val="0"/>
              </w:rPr>
              <w:t>;</w:t>
            </w:r>
            <w:r>
              <w:rPr>
                <w:color w:val="000000"/>
                <w:spacing w:val="0"/>
                <w:w w:val="100"/>
                <w:position w:val="0"/>
              </w:rPr>
              <w:t>何佳</w:t>
            </w:r>
            <w:r>
              <w:rPr>
                <w:rFonts w:ascii="Times New Roman" w:eastAsia="Times New Roman" w:hAnsi="Times New Roman" w:cs="Times New Roman"/>
                <w:color w:val="000000"/>
                <w:spacing w:val="0"/>
                <w:w w:val="100"/>
                <w:position w:val="0"/>
              </w:rPr>
              <w:t>;</w:t>
            </w:r>
            <w:r>
              <w:rPr>
                <w:color w:val="000000"/>
                <w:spacing w:val="0"/>
                <w:w w:val="100"/>
                <w:position w:val="0"/>
              </w:rPr>
              <w:t>贾巍</w:t>
            </w:r>
            <w:r>
              <w:rPr>
                <w:rFonts w:ascii="Times New Roman" w:eastAsia="Times New Roman" w:hAnsi="Times New Roman" w:cs="Times New Roman"/>
                <w:color w:val="000000"/>
                <w:spacing w:val="0"/>
                <w:w w:val="100"/>
                <w:position w:val="0"/>
              </w:rPr>
              <w:t xml:space="preserve">; </w:t>
            </w: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李林杰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李艳芳</w:t>
            </w:r>
            <w:r>
              <w:rPr>
                <w:rFonts w:ascii="Times New Roman" w:eastAsia="Times New Roman" w:hAnsi="Times New Roman" w:cs="Times New Roman"/>
                <w:color w:val="000000"/>
                <w:spacing w:val="0"/>
                <w:w w:val="100"/>
                <w:position w:val="0"/>
              </w:rPr>
              <w:t>;</w:t>
            </w:r>
            <w:r>
              <w:rPr>
                <w:color w:val="000000"/>
                <w:spacing w:val="0"/>
                <w:w w:val="100"/>
                <w:position w:val="0"/>
              </w:rPr>
              <w:t>刘祥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栾承岚</w:t>
            </w:r>
            <w:r>
              <w:rPr>
                <w:rFonts w:ascii="Times New Roman" w:eastAsia="Times New Roman" w:hAnsi="Times New Roman" w:cs="Times New Roman"/>
                <w:color w:val="000000"/>
                <w:spacing w:val="0"/>
                <w:w w:val="100"/>
                <w:position w:val="0"/>
              </w:rPr>
              <w:t>;</w:t>
            </w:r>
            <w:r>
              <w:rPr>
                <w:color w:val="000000"/>
                <w:spacing w:val="0"/>
                <w:w w:val="100"/>
                <w:position w:val="0"/>
              </w:rPr>
              <w:t>童卫 东</w:t>
            </w:r>
            <w:r>
              <w:rPr>
                <w:rFonts w:ascii="Times New Roman" w:eastAsia="Times New Roman" w:hAnsi="Times New Roman" w:cs="Times New Roman"/>
                <w:color w:val="000000"/>
                <w:spacing w:val="0"/>
                <w:w w:val="100"/>
                <w:position w:val="0"/>
              </w:rPr>
              <w:t>;</w:t>
            </w:r>
            <w:r>
              <w:rPr>
                <w:color w:val="000000"/>
                <w:spacing w:val="0"/>
                <w:w w:val="100"/>
                <w:position w:val="0"/>
              </w:rPr>
              <w:t>汪洋</w:t>
            </w:r>
            <w:r>
              <w:rPr>
                <w:rFonts w:ascii="Times New Roman" w:eastAsia="Times New Roman" w:hAnsi="Times New Roman" w:cs="Times New Roman"/>
                <w:color w:val="000000"/>
                <w:spacing w:val="0"/>
                <w:w w:val="100"/>
                <w:position w:val="0"/>
              </w:rPr>
              <w:t>;</w:t>
            </w:r>
            <w:r>
              <w:rPr>
                <w:color w:val="000000"/>
                <w:spacing w:val="0"/>
                <w:w w:val="100"/>
                <w:position w:val="0"/>
              </w:rPr>
              <w:t>韦余 红</w:t>
            </w:r>
            <w:r>
              <w:rPr>
                <w:rFonts w:ascii="Times New Roman" w:eastAsia="Times New Roman" w:hAnsi="Times New Roman" w:cs="Times New Roman"/>
                <w:color w:val="000000"/>
                <w:spacing w:val="0"/>
                <w:w w:val="100"/>
                <w:position w:val="0"/>
              </w:rPr>
              <w:t>;</w:t>
            </w:r>
            <w:r>
              <w:rPr>
                <w:color w:val="000000"/>
                <w:spacing w:val="0"/>
                <w:w w:val="100"/>
                <w:position w:val="0"/>
              </w:rPr>
              <w:t>杨星</w:t>
            </w:r>
            <w:r>
              <w:rPr>
                <w:rFonts w:ascii="Times New Roman" w:eastAsia="Times New Roman" w:hAnsi="Times New Roman" w:cs="Times New Roman"/>
                <w:color w:val="000000"/>
                <w:spacing w:val="0"/>
                <w:w w:val="100"/>
                <w:position w:val="0"/>
              </w:rPr>
              <w:t>;</w:t>
            </w:r>
            <w:r>
              <w:rPr>
                <w:color w:val="000000"/>
                <w:spacing w:val="0"/>
                <w:w w:val="100"/>
                <w:position w:val="0"/>
              </w:rPr>
              <w:t>赵辉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诚信经营，努 力提升企业 核心竞争力； 坚持规范运 作，加强企业 内部管理，努 力提升公司 内在价值和 盈利水平，用 实实在在的 业绩来回报 广大投资者。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自该承诺公 告至今，承诺 人正常持续 地履行承诺。</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after="360" w:line="322"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、公司资产或项目存在盈利预测，且报告期仍处在盈利预测期间，公司就资产或项目达到原盈利预测及 其原因做出说明</w:t>
      </w:r>
      <w:bookmarkEnd w:id="322"/>
      <w:bookmarkEnd w:id="323"/>
      <w:bookmarkEnd w:id="32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0"/>
        <w:gridCol w:w="1195"/>
        <w:gridCol w:w="1195"/>
        <w:gridCol w:w="1200"/>
        <w:gridCol w:w="1195"/>
        <w:gridCol w:w="1195"/>
        <w:gridCol w:w="1200"/>
        <w:gridCol w:w="120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未达预测的原 因（如适用）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27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浙江中正智能 科技有限公司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2,230.24</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产品销售及市 场开拓情况与 预期稍有偏差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《关于收购浙 江中正智能科 技有限公司 </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股权的公 告》公告编号： </w:t>
            </w:r>
            <w:r>
              <w:rPr>
                <w:rFonts w:ascii="Times New Roman" w:eastAsia="Times New Roman" w:hAnsi="Times New Roman" w:cs="Times New Roman"/>
                <w:color w:val="000000"/>
                <w:spacing w:val="0"/>
                <w:w w:val="100"/>
                <w:position w:val="0"/>
              </w:rPr>
              <w:t>2015-060</w:t>
            </w:r>
          </w:p>
        </w:tc>
      </w:tr>
      <w:tr>
        <w:trPr>
          <w:trHeight w:val="1032"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深圳嘉石大岩 资本管理有限 公司</w:t>
            </w:r>
            <w:r>
              <w:rPr>
                <w:rFonts w:ascii="Times New Roman" w:eastAsia="Times New Roman" w:hAnsi="Times New Roman" w:cs="Times New Roman"/>
                <w:color w:val="000000"/>
                <w:spacing w:val="0"/>
                <w:w w:val="100"/>
                <w:position w:val="0"/>
              </w:rPr>
              <w:t>25%</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8,377.77</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国际资本市场 低迷、国内资 本市场动荡以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《关于对深圳 嘉石大岩资本</w:t>
            </w:r>
          </w:p>
        </w:tc>
      </w:tr>
    </w:tbl>
    <w:tbl>
      <w:tblPr>
        <w:tblOverlap w:val="never"/>
        <w:jc w:val="center"/>
        <w:tblLayout w:type="fixed"/>
      </w:tblPr>
      <w:tblGrid>
        <w:gridCol w:w="1200"/>
        <w:gridCol w:w="1195"/>
        <w:gridCol w:w="1195"/>
        <w:gridCol w:w="1200"/>
        <w:gridCol w:w="1195"/>
        <w:gridCol w:w="1195"/>
        <w:gridCol w:w="1210"/>
        <w:gridCol w:w="1195"/>
      </w:tblGrid>
      <w:tr>
        <w:trPr>
          <w:trHeight w:val="1618"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及监管政策趋 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80" w:line="314" w:lineRule="exact"/>
              <w:ind w:left="0" w:right="0" w:firstLine="0"/>
              <w:jc w:val="left"/>
            </w:pPr>
            <w:r>
              <w:rPr>
                <w:color w:val="000000"/>
                <w:spacing w:val="0"/>
                <w:w w:val="100"/>
                <w:position w:val="0"/>
              </w:rPr>
              <w:t>管理有限公司 进行增资的对 外投资公告》 公告编号：</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2016-016</w:t>
            </w:r>
          </w:p>
        </w:tc>
      </w:tr>
      <w:tr>
        <w:trPr>
          <w:trHeight w:val="2592"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80" w:line="312" w:lineRule="exact"/>
              <w:ind w:left="0" w:right="0" w:firstLine="0"/>
              <w:jc w:val="left"/>
            </w:pPr>
            <w:r>
              <w:rPr>
                <w:color w:val="000000"/>
                <w:spacing w:val="0"/>
                <w:w w:val="100"/>
                <w:position w:val="0"/>
              </w:rPr>
              <w:t>长沙公信诚丰 信息技术服务 有限公司</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《关于与长沙 公信诚丰信息 技术服务有限 公司股东签署 股权转让协议 的公告》公告 编号：</w:t>
            </w:r>
            <w:r>
              <w:rPr>
                <w:rFonts w:ascii="Times New Roman" w:eastAsia="Times New Roman" w:hAnsi="Times New Roman" w:cs="Times New Roman"/>
                <w:color w:val="000000"/>
                <w:spacing w:val="0"/>
                <w:w w:val="100"/>
                <w:position w:val="0"/>
              </w:rPr>
              <w:t>2016-062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公司股东、交易对手方对公司或相关资产年度经营业绩作出的承诺情况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bookmarkStart w:id="326" w:name="bookmark326"/>
      <w:r>
        <w:rPr>
          <w:rFonts w:ascii="Times New Roman" w:eastAsia="Times New Roman" w:hAnsi="Times New Roman" w:cs="Times New Roman"/>
          <w:color w:val="000000"/>
          <w:spacing w:val="0"/>
          <w:w w:val="100"/>
          <w:position w:val="0"/>
        </w:rPr>
        <w:t>1</w:t>
      </w:r>
      <w:bookmarkEnd w:id="326"/>
      <w:r>
        <w:rPr>
          <w:color w:val="000000"/>
          <w:spacing w:val="0"/>
          <w:w w:val="100"/>
          <w:position w:val="0"/>
        </w:rPr>
        <w:t>）浙江中正业绩承诺：</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日公司召开第三届董事会第十一次（临时）会议、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《关于收购浙江中正智能科技有限公司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股权的议案》，公司以自有资金</w:t>
      </w:r>
      <w:r>
        <w:rPr>
          <w:rFonts w:ascii="Times New Roman" w:eastAsia="Times New Roman" w:hAnsi="Times New Roman" w:cs="Times New Roman"/>
          <w:color w:val="000000"/>
          <w:spacing w:val="0"/>
          <w:w w:val="100"/>
          <w:position w:val="0"/>
        </w:rPr>
        <w:t>2.52</w:t>
      </w:r>
      <w:r>
        <w:rPr>
          <w:color w:val="000000"/>
          <w:spacing w:val="0"/>
          <w:w w:val="100"/>
          <w:position w:val="0"/>
        </w:rPr>
        <w:t>亿元收购浙江中正</w:t>
      </w:r>
      <w:r>
        <w:rPr>
          <w:rFonts w:ascii="Times New Roman" w:eastAsia="Times New Roman" w:hAnsi="Times New Roman" w:cs="Times New Roman"/>
          <w:color w:val="000000"/>
          <w:spacing w:val="0"/>
          <w:w w:val="100"/>
          <w:position w:val="0"/>
        </w:rPr>
        <w:t>100%</w:t>
      </w:r>
      <w:r>
        <w:rPr>
          <w:color w:val="000000"/>
          <w:spacing w:val="0"/>
          <w:w w:val="100"/>
          <w:position w:val="0"/>
        </w:rPr>
        <w:t>股权。根据公司与 浙江中正智能科技有限公司全体股东签署的《关于浙江中正智能科技有限公司之股权转让协议》约定</w:t>
      </w:r>
      <w:r>
        <w:rPr>
          <w:rFonts w:ascii="Times New Roman" w:eastAsia="Times New Roman" w:hAnsi="Times New Roman" w:cs="Times New Roman"/>
          <w:color w:val="000000"/>
          <w:spacing w:val="0"/>
          <w:w w:val="100"/>
          <w:position w:val="0"/>
        </w:rPr>
        <w:t>“</w:t>
      </w:r>
      <w:r>
        <w:rPr>
          <w:color w:val="000000"/>
          <w:spacing w:val="0"/>
          <w:w w:val="100"/>
          <w:position w:val="0"/>
        </w:rPr>
        <w:t>交易对方承诺：目标 公司在利润补偿期间内各年度净利润数</w:t>
      </w:r>
      <w:r>
        <w:rPr>
          <w:rFonts w:ascii="Times New Roman" w:eastAsia="Times New Roman" w:hAnsi="Times New Roman" w:cs="Times New Roman"/>
          <w:color w:val="000000"/>
          <w:spacing w:val="0"/>
          <w:w w:val="100"/>
          <w:position w:val="0"/>
        </w:rPr>
        <w:t>2015</w:t>
      </w:r>
      <w:r>
        <w:rPr>
          <w:color w:val="000000"/>
          <w:spacing w:val="0"/>
          <w:w w:val="100"/>
          <w:position w:val="0"/>
        </w:rPr>
        <w:t>年度不低于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年度不低于</w:t>
      </w:r>
      <w:r>
        <w:rPr>
          <w:rFonts w:ascii="Times New Roman" w:eastAsia="Times New Roman" w:hAnsi="Times New Roman" w:cs="Times New Roman"/>
          <w:color w:val="000000"/>
          <w:spacing w:val="0"/>
          <w:w w:val="100"/>
          <w:position w:val="0"/>
        </w:rPr>
        <w:t>2,340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年度不低于</w:t>
      </w:r>
      <w:r>
        <w:rPr>
          <w:rFonts w:ascii="Times New Roman" w:eastAsia="Times New Roman" w:hAnsi="Times New Roman" w:cs="Times New Roman"/>
          <w:color w:val="000000"/>
          <w:spacing w:val="0"/>
          <w:w w:val="100"/>
          <w:position w:val="0"/>
        </w:rPr>
        <w:t>3,042</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年度浙江中正实现扣非后净利润</w:t>
      </w:r>
      <w:r>
        <w:rPr>
          <w:rFonts w:ascii="Times New Roman" w:eastAsia="Times New Roman" w:hAnsi="Times New Roman" w:cs="Times New Roman"/>
          <w:color w:val="000000"/>
          <w:spacing w:val="0"/>
          <w:w w:val="100"/>
          <w:position w:val="0"/>
        </w:rPr>
        <w:t>2,230.24</w:t>
      </w:r>
      <w:r>
        <w:rPr>
          <w:color w:val="000000"/>
          <w:spacing w:val="0"/>
          <w:w w:val="100"/>
          <w:position w:val="0"/>
        </w:rPr>
        <w:t>万元，未达到业绩承诺要求。根据《关于浙江中正智能科技有限公司之股权转 让协议》</w:t>
      </w:r>
      <w:r>
        <w:rPr>
          <w:rFonts w:ascii="Times New Roman" w:eastAsia="Times New Roman" w:hAnsi="Times New Roman" w:cs="Times New Roman"/>
          <w:color w:val="000000"/>
          <w:spacing w:val="0"/>
          <w:w w:val="100"/>
          <w:position w:val="0"/>
        </w:rPr>
        <w:t>5.3</w:t>
      </w:r>
      <w:r>
        <w:rPr>
          <w:color w:val="000000"/>
          <w:spacing w:val="0"/>
          <w:w w:val="100"/>
          <w:position w:val="0"/>
        </w:rPr>
        <w:t>盈利预测补偿安排</w:t>
      </w:r>
      <w:r>
        <w:rPr>
          <w:rFonts w:ascii="Times New Roman" w:eastAsia="Times New Roman" w:hAnsi="Times New Roman" w:cs="Times New Roman"/>
          <w:color w:val="000000"/>
          <w:spacing w:val="0"/>
          <w:w w:val="100"/>
          <w:position w:val="0"/>
        </w:rPr>
        <w:t>5.3.2“</w:t>
      </w:r>
      <w:r>
        <w:rPr>
          <w:color w:val="000000"/>
          <w:spacing w:val="0"/>
          <w:w w:val="100"/>
          <w:position w:val="0"/>
        </w:rPr>
        <w:t>利润补偿期间内，若目标公司能在业绩承诺补偿期间实际的净利润数小于同期承诺净利 润数的，交易对方应当按照以下公式对新国都进行补偿：当年应补偿金额=（截止当期期末累积承诺净利润数</w:t>
      </w:r>
      <w:r>
        <w:rPr>
          <w:color w:val="000000"/>
          <w:spacing w:val="0"/>
          <w:w w:val="100"/>
          <w:position w:val="0"/>
        </w:rPr>
        <w:t>一</w:t>
      </w:r>
      <w:r>
        <w:rPr>
          <w:color w:val="000000"/>
          <w:spacing w:val="0"/>
          <w:w w:val="100"/>
          <w:position w:val="0"/>
        </w:rPr>
        <w:t>截止当期期 末累积实际净利润数）</w:t>
      </w:r>
      <w:r>
        <w:rPr>
          <w:rFonts w:ascii="Times New Roman" w:eastAsia="Times New Roman" w:hAnsi="Times New Roman" w:cs="Times New Roman"/>
          <w:color w:val="000000"/>
          <w:spacing w:val="0"/>
          <w:w w:val="100"/>
          <w:position w:val="0"/>
        </w:rPr>
        <w:t>+</w:t>
      </w:r>
      <w:r>
        <w:rPr>
          <w:color w:val="000000"/>
          <w:spacing w:val="0"/>
          <w:w w:val="100"/>
          <w:position w:val="0"/>
        </w:rPr>
        <w:t>利润补偿期间内累积承诺净利润数总和</w:t>
      </w:r>
      <w:r>
        <w:rPr>
          <w:rFonts w:ascii="Times New Roman" w:eastAsia="Times New Roman" w:hAnsi="Times New Roman" w:cs="Times New Roman"/>
          <w:color w:val="000000"/>
          <w:spacing w:val="0"/>
          <w:w w:val="100"/>
          <w:position w:val="0"/>
        </w:rPr>
        <w:t>x</w:t>
      </w:r>
      <w:r>
        <w:rPr>
          <w:color w:val="000000"/>
          <w:spacing w:val="0"/>
          <w:w w:val="100"/>
          <w:position w:val="0"/>
        </w:rPr>
        <w:t>标的资产交易价格</w:t>
      </w:r>
      <w:r>
        <w:rPr>
          <w:color w:val="000000"/>
          <w:spacing w:val="0"/>
          <w:w w:val="100"/>
          <w:position w:val="0"/>
        </w:rPr>
        <w:t>一</w:t>
      </w:r>
      <w:r>
        <w:rPr>
          <w:color w:val="000000"/>
          <w:spacing w:val="0"/>
          <w:w w:val="100"/>
          <w:position w:val="0"/>
        </w:rPr>
        <w:t>已补偿金额</w:t>
      </w:r>
      <w:r>
        <w:rPr>
          <w:rFonts w:ascii="Times New Roman" w:eastAsia="Times New Roman" w:hAnsi="Times New Roman" w:cs="Times New Roman"/>
          <w:color w:val="000000"/>
          <w:spacing w:val="0"/>
          <w:w w:val="100"/>
          <w:position w:val="0"/>
        </w:rPr>
        <w:t>”</w:t>
      </w:r>
      <w:r>
        <w:rPr>
          <w:color w:val="000000"/>
          <w:spacing w:val="0"/>
          <w:w w:val="100"/>
          <w:position w:val="0"/>
        </w:rPr>
        <w:t>，结合</w:t>
      </w:r>
      <w:r>
        <w:rPr>
          <w:rFonts w:ascii="Times New Roman" w:eastAsia="Times New Roman" w:hAnsi="Times New Roman" w:cs="Times New Roman"/>
          <w:color w:val="000000"/>
          <w:spacing w:val="0"/>
          <w:w w:val="100"/>
          <w:position w:val="0"/>
        </w:rPr>
        <w:t>2 015</w:t>
      </w:r>
      <w:r>
        <w:rPr>
          <w:color w:val="000000"/>
          <w:spacing w:val="0"/>
          <w:w w:val="100"/>
          <w:position w:val="0"/>
        </w:rPr>
        <w:t>年度浙江中正 实现净利润核算可得当年应补偿金额为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8"/>
        <w:keepNext w:val="0"/>
        <w:keepLines w:val="0"/>
        <w:widowControl w:val="0"/>
        <w:shd w:val="clear" w:color="auto" w:fill="auto"/>
        <w:tabs>
          <w:tab w:pos="308" w:val="left"/>
        </w:tabs>
        <w:bidi w:val="0"/>
        <w:spacing w:before="0" w:after="0" w:line="313" w:lineRule="exact"/>
        <w:ind w:left="0" w:right="0" w:firstLine="0"/>
        <w:jc w:val="left"/>
      </w:pPr>
      <w:bookmarkStart w:id="327" w:name="bookmark327"/>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大岩资本业绩承诺：</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日公司召开第三届董事会第二十四次会议、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年第二次临时股东大会审议通过《关于 对深圳嘉石大岩资本管理有限公司进行增资暨对外投资的议案》，公司以自有资金</w:t>
      </w:r>
      <w:r>
        <w:rPr>
          <w:rFonts w:ascii="Times New Roman" w:eastAsia="Times New Roman" w:hAnsi="Times New Roman" w:cs="Times New Roman"/>
          <w:color w:val="000000"/>
          <w:spacing w:val="0"/>
          <w:w w:val="100"/>
          <w:position w:val="0"/>
        </w:rPr>
        <w:t>50,000</w:t>
      </w:r>
      <w:r>
        <w:rPr>
          <w:color w:val="000000"/>
          <w:spacing w:val="0"/>
          <w:w w:val="100"/>
          <w:position w:val="0"/>
        </w:rPr>
        <w:t>万元认购深圳嘉石大岩资本管理有 限公司新增加的注册资本人民币</w:t>
      </w:r>
      <w:r>
        <w:rPr>
          <w:rFonts w:ascii="Times New Roman" w:eastAsia="Times New Roman" w:hAnsi="Times New Roman" w:cs="Times New Roman"/>
          <w:color w:val="000000"/>
          <w:spacing w:val="0"/>
          <w:w w:val="100"/>
          <w:position w:val="0"/>
        </w:rPr>
        <w:t>466.6667</w:t>
      </w:r>
      <w:r>
        <w:rPr>
          <w:color w:val="000000"/>
          <w:spacing w:val="0"/>
          <w:w w:val="100"/>
          <w:position w:val="0"/>
        </w:rPr>
        <w:t>万元，增资完成后持有大岩资本</w:t>
      </w:r>
      <w:r>
        <w:rPr>
          <w:rFonts w:ascii="Times New Roman" w:eastAsia="Times New Roman" w:hAnsi="Times New Roman" w:cs="Times New Roman"/>
          <w:color w:val="000000"/>
          <w:spacing w:val="0"/>
          <w:w w:val="100"/>
          <w:position w:val="0"/>
        </w:rPr>
        <w:t>25%</w:t>
      </w:r>
      <w:r>
        <w:rPr>
          <w:color w:val="000000"/>
          <w:spacing w:val="0"/>
          <w:w w:val="100"/>
          <w:position w:val="0"/>
        </w:rPr>
        <w:t>的股权。根据同日与大岩资本及其全体股东签 署的《深圳嘉石大岩资本管理有限公司之增资协议》</w:t>
      </w:r>
      <w:r>
        <w:rPr>
          <w:rFonts w:ascii="Times New Roman" w:eastAsia="Times New Roman" w:hAnsi="Times New Roman" w:cs="Times New Roman"/>
          <w:color w:val="000000"/>
          <w:spacing w:val="0"/>
          <w:w w:val="100"/>
          <w:position w:val="0"/>
        </w:rPr>
        <w:t>6.1</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大岩资本承诺公司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年实现的净利润（合并 报表扣除非经常性损益后归属于母公司股东的净利润）不低于</w:t>
      </w:r>
      <w:r>
        <w:rPr>
          <w:rFonts w:ascii="Times New Roman" w:eastAsia="Times New Roman" w:hAnsi="Times New Roman" w:cs="Times New Roman"/>
          <w:color w:val="000000"/>
          <w:spacing w:val="0"/>
          <w:w w:val="100"/>
          <w:position w:val="0"/>
        </w:rPr>
        <w:t>12,500</w:t>
      </w:r>
      <w:r>
        <w:rPr>
          <w:color w:val="000000"/>
          <w:spacing w:val="0"/>
          <w:w w:val="100"/>
          <w:position w:val="0"/>
        </w:rPr>
        <w:t>万元、</w:t>
      </w:r>
      <w:r>
        <w:rPr>
          <w:rFonts w:ascii="Times New Roman" w:eastAsia="Times New Roman" w:hAnsi="Times New Roman" w:cs="Times New Roman"/>
          <w:color w:val="000000"/>
          <w:spacing w:val="0"/>
          <w:w w:val="100"/>
          <w:position w:val="0"/>
        </w:rPr>
        <w:t>16,500</w:t>
      </w:r>
      <w:r>
        <w:rPr>
          <w:color w:val="000000"/>
          <w:spacing w:val="0"/>
          <w:w w:val="100"/>
          <w:position w:val="0"/>
        </w:rPr>
        <w:t>万元和</w:t>
      </w:r>
      <w:r>
        <w:rPr>
          <w:rFonts w:ascii="Times New Roman" w:eastAsia="Times New Roman" w:hAnsi="Times New Roman" w:cs="Times New Roman"/>
          <w:color w:val="000000"/>
          <w:spacing w:val="0"/>
          <w:w w:val="100"/>
          <w:position w:val="0"/>
        </w:rPr>
        <w:t>21,000</w:t>
      </w:r>
      <w:r>
        <w:rPr>
          <w:color w:val="000000"/>
          <w:spacing w:val="0"/>
          <w:w w:val="100"/>
          <w:position w:val="0"/>
        </w:rPr>
        <w:t>万元。匚由于国际资本市场 低迷、国内资本市场动荡以及监管新规的不断发布政策趋严，</w:t>
      </w:r>
      <w:r>
        <w:rPr>
          <w:rFonts w:ascii="Times New Roman" w:eastAsia="Times New Roman" w:hAnsi="Times New Roman" w:cs="Times New Roman"/>
          <w:color w:val="000000"/>
          <w:spacing w:val="0"/>
          <w:w w:val="100"/>
          <w:position w:val="0"/>
        </w:rPr>
        <w:t>2016</w:t>
      </w:r>
      <w:r>
        <w:rPr>
          <w:color w:val="000000"/>
          <w:spacing w:val="0"/>
          <w:w w:val="100"/>
          <w:position w:val="0"/>
        </w:rPr>
        <w:t>年度大岩资本实现扣非后净利润</w:t>
      </w:r>
      <w:r>
        <w:rPr>
          <w:rFonts w:ascii="Times New Roman" w:eastAsia="Times New Roman" w:hAnsi="Times New Roman" w:cs="Times New Roman"/>
          <w:color w:val="000000"/>
          <w:spacing w:val="0"/>
          <w:w w:val="100"/>
          <w:position w:val="0"/>
        </w:rPr>
        <w:t>8,377.77</w:t>
      </w:r>
      <w:r>
        <w:rPr>
          <w:color w:val="000000"/>
          <w:spacing w:val="0"/>
          <w:w w:val="100"/>
          <w:position w:val="0"/>
        </w:rPr>
        <w:t>万元，未达到当 年业绩承诺要求，但根据增资协议</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1</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利润承诺期内，如果大岩资本在利润承诺期内三年累积实际净利润低于利润承诺期 三年累积承诺净利润即</w:t>
      </w:r>
      <w:r>
        <w:rPr>
          <w:rFonts w:ascii="Times New Roman" w:eastAsia="Times New Roman" w:hAnsi="Times New Roman" w:cs="Times New Roman"/>
          <w:color w:val="000000"/>
          <w:spacing w:val="0"/>
          <w:w w:val="100"/>
          <w:position w:val="0"/>
        </w:rPr>
        <w:t>50,000</w:t>
      </w:r>
      <w:r>
        <w:rPr>
          <w:color w:val="000000"/>
          <w:spacing w:val="0"/>
          <w:w w:val="100"/>
          <w:position w:val="0"/>
        </w:rPr>
        <w:t>万元，大岩资本应对新国都进行补偿</w:t>
      </w:r>
      <w:r>
        <w:rPr>
          <w:rFonts w:ascii="Times New Roman" w:eastAsia="Times New Roman" w:hAnsi="Times New Roman" w:cs="Times New Roman"/>
          <w:color w:val="000000"/>
          <w:spacing w:val="0"/>
          <w:w w:val="100"/>
          <w:position w:val="0"/>
        </w:rPr>
        <w:t>”</w:t>
      </w:r>
      <w:r>
        <w:rPr>
          <w:color w:val="000000"/>
          <w:spacing w:val="0"/>
          <w:w w:val="100"/>
          <w:position w:val="0"/>
        </w:rPr>
        <w:t>，故目前大岩资本尚不需要对新国都进行补偿。</w:t>
      </w:r>
    </w:p>
    <w:p>
      <w:pPr>
        <w:pStyle w:val="Style28"/>
        <w:keepNext w:val="0"/>
        <w:keepLines w:val="0"/>
        <w:widowControl w:val="0"/>
        <w:shd w:val="clear" w:color="auto" w:fill="auto"/>
        <w:tabs>
          <w:tab w:pos="308" w:val="left"/>
        </w:tabs>
        <w:bidi w:val="0"/>
        <w:spacing w:before="0" w:after="0" w:line="313" w:lineRule="exact"/>
        <w:ind w:left="0" w:right="0" w:firstLine="0"/>
        <w:jc w:val="left"/>
      </w:pPr>
      <w:bookmarkStart w:id="328" w:name="bookmark328"/>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公信诚丰业绩承诺：</w:t>
      </w:r>
    </w:p>
    <w:p>
      <w:pPr>
        <w:pStyle w:val="Style28"/>
        <w:keepNext w:val="0"/>
        <w:keepLines w:val="0"/>
        <w:widowControl w:val="0"/>
        <w:shd w:val="clear" w:color="auto" w:fill="auto"/>
        <w:bidi w:val="0"/>
        <w:spacing w:before="0" w:after="100" w:line="313"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日公司召开第三届董事会第二十八次（临时）会议、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 过《关于收购长沙公信诚丰信息技术服务有限公司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股权的议案》，公司以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年非公开发行股票的募集资金人民币 </w:t>
      </w:r>
      <w:r>
        <w:rPr>
          <w:rFonts w:ascii="Times New Roman" w:eastAsia="Times New Roman" w:hAnsi="Times New Roman" w:cs="Times New Roman"/>
          <w:color w:val="000000"/>
          <w:spacing w:val="0"/>
          <w:w w:val="100"/>
          <w:position w:val="0"/>
        </w:rPr>
        <w:t>50,000</w:t>
      </w:r>
      <w:r>
        <w:rPr>
          <w:color w:val="000000"/>
          <w:spacing w:val="0"/>
          <w:w w:val="100"/>
          <w:position w:val="0"/>
        </w:rPr>
        <w:t>万元收购公信诚丰</w:t>
      </w:r>
      <w:r>
        <w:rPr>
          <w:rFonts w:ascii="Times New Roman" w:eastAsia="Times New Roman" w:hAnsi="Times New Roman" w:cs="Times New Roman"/>
          <w:color w:val="000000"/>
          <w:spacing w:val="0"/>
          <w:w w:val="100"/>
          <w:position w:val="0"/>
        </w:rPr>
        <w:t>100%</w:t>
      </w:r>
      <w:r>
        <w:rPr>
          <w:color w:val="000000"/>
          <w:spacing w:val="0"/>
          <w:w w:val="100"/>
          <w:position w:val="0"/>
        </w:rPr>
        <w:t>股权，本次收购不以本次非公开发行获得中国证监会批准或募集资金募集完成为先决条件。 根据同日公司与公信诚丰全体股东及其核心管理人员江勇签署的《关于长沙公信诚丰信息技术服务有限公司之股权转让协 议》约定</w:t>
      </w:r>
      <w:r>
        <w:rPr>
          <w:rFonts w:ascii="Times New Roman" w:eastAsia="Times New Roman" w:hAnsi="Times New Roman" w:cs="Times New Roman"/>
          <w:color w:val="000000"/>
          <w:spacing w:val="0"/>
          <w:w w:val="100"/>
          <w:position w:val="0"/>
        </w:rPr>
        <w:t>“</w:t>
      </w:r>
      <w:r>
        <w:rPr>
          <w:color w:val="000000"/>
          <w:spacing w:val="0"/>
          <w:w w:val="100"/>
          <w:position w:val="0"/>
        </w:rPr>
        <w:t>交易对方承诺，目标公司在业绩承诺期间内各年度净利润数</w:t>
      </w:r>
      <w:r>
        <w:rPr>
          <w:rFonts w:ascii="Times New Roman" w:eastAsia="Times New Roman" w:hAnsi="Times New Roman" w:cs="Times New Roman"/>
          <w:color w:val="000000"/>
          <w:spacing w:val="0"/>
          <w:w w:val="100"/>
          <w:position w:val="0"/>
        </w:rPr>
        <w:t>2016</w:t>
      </w:r>
      <w:r>
        <w:rPr>
          <w:color w:val="000000"/>
          <w:spacing w:val="0"/>
          <w:w w:val="100"/>
          <w:position w:val="0"/>
        </w:rPr>
        <w:t>年度不低于</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年度不低于</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2018</w:t>
      </w:r>
      <w:r>
        <w:rPr>
          <w:color w:val="000000"/>
          <w:spacing w:val="0"/>
          <w:w w:val="100"/>
          <w:position w:val="0"/>
        </w:rPr>
        <w:t>年度不低于</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年度公信诚丰实现扣非后净利润</w:t>
      </w:r>
      <w:r>
        <w:rPr>
          <w:rFonts w:ascii="Times New Roman" w:eastAsia="Times New Roman" w:hAnsi="Times New Roman" w:cs="Times New Roman"/>
          <w:color w:val="000000"/>
          <w:spacing w:val="0"/>
          <w:w w:val="100"/>
          <w:position w:val="0"/>
        </w:rPr>
        <w:t>4,440</w:t>
      </w:r>
      <w:r>
        <w:rPr>
          <w:color w:val="000000"/>
          <w:spacing w:val="0"/>
          <w:w w:val="100"/>
          <w:position w:val="0"/>
        </w:rPr>
        <w:t>万元，达到业绩承诺要求。</w:t>
      </w:r>
    </w:p>
    <w:p>
      <w:pPr>
        <w:pStyle w:val="Style25"/>
        <w:keepNext/>
        <w:keepLines/>
        <w:widowControl w:val="0"/>
        <w:shd w:val="clear" w:color="auto" w:fill="auto"/>
        <w:tabs>
          <w:tab w:pos="526"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三</w:t>
      </w:r>
      <w:bookmarkEnd w:id="331"/>
      <w:r>
        <w:rPr>
          <w:color w:val="000000"/>
          <w:spacing w:val="0"/>
          <w:w w:val="100"/>
          <w:position w:val="0"/>
          <w:sz w:val="24"/>
          <w:szCs w:val="24"/>
        </w:rPr>
        <w:t>、</w:t>
        <w:tab/>
        <w:t>控股股东及其关联方对上市公司的非经营性占用资金情况</w:t>
      </w:r>
      <w:bookmarkEnd w:id="329"/>
      <w:bookmarkEnd w:id="330"/>
      <w:bookmarkEnd w:id="33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26"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四</w:t>
      </w:r>
      <w:bookmarkEnd w:id="33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3"/>
      <w:bookmarkEnd w:id="334"/>
      <w:bookmarkEnd w:id="336"/>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五</w:t>
      </w:r>
      <w:bookmarkEnd w:id="33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7"/>
      <w:bookmarkEnd w:id="338"/>
      <w:bookmarkEnd w:id="340"/>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六</w:t>
      </w:r>
      <w:bookmarkEnd w:id="343"/>
      <w:r>
        <w:rPr>
          <w:color w:val="000000"/>
          <w:spacing w:val="0"/>
          <w:w w:val="100"/>
          <w:position w:val="0"/>
          <w:sz w:val="24"/>
          <w:szCs w:val="24"/>
        </w:rPr>
        <w:t>、</w:t>
        <w:tab/>
        <w:t>董事会关于报告期会计政策、会计估计变更或重大会计差错更正的说明</w:t>
      </w:r>
      <w:bookmarkEnd w:id="341"/>
      <w:bookmarkEnd w:id="342"/>
      <w:bookmarkEnd w:id="344"/>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七</w:t>
      </w:r>
      <w:bookmarkEnd w:id="347"/>
      <w:r>
        <w:rPr>
          <w:color w:val="000000"/>
          <w:spacing w:val="0"/>
          <w:w w:val="100"/>
          <w:position w:val="0"/>
          <w:sz w:val="24"/>
          <w:szCs w:val="24"/>
        </w:rPr>
        <w:t>、</w:t>
        <w:tab/>
        <w:t>与上年度财务报告相比，合并报表范围发生变化的情况说明</w:t>
      </w:r>
      <w:bookmarkEnd w:id="345"/>
      <w:bookmarkEnd w:id="346"/>
      <w:bookmarkEnd w:id="348"/>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本期纳入合并财务报表范围的主体较上期相比，增加2户，减少1户，其中：</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1.本期新纳入合并范围的子公司、特殊目的主体、通过受托经营或承租等方式形成控制权的经营实体</w:t>
      </w:r>
    </w:p>
    <w:tbl>
      <w:tblPr>
        <w:tblOverlap w:val="never"/>
        <w:jc w:val="center"/>
        <w:tblLayout w:type="fixed"/>
      </w:tblPr>
      <w:tblGrid>
        <w:gridCol w:w="4531"/>
        <w:gridCol w:w="4018"/>
      </w:tblGrid>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深圳市新国都金服软件有限公司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after="33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2.本期不再纳入合并范围的子公司、特殊目的主体、通过委托经营或出租等方式丧失控制权的经营实体</w:t>
      </w:r>
    </w:p>
    <w:tbl>
      <w:tblPr>
        <w:tblOverlap w:val="never"/>
        <w:jc w:val="center"/>
        <w:tblLayout w:type="fixed"/>
      </w:tblPr>
      <w:tblGrid>
        <w:gridCol w:w="4531"/>
        <w:gridCol w:w="4018"/>
      </w:tblGrid>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八</w:t>
      </w:r>
      <w:bookmarkEnd w:id="351"/>
      <w:r>
        <w:rPr>
          <w:color w:val="000000"/>
          <w:spacing w:val="0"/>
          <w:w w:val="100"/>
          <w:position w:val="0"/>
          <w:sz w:val="24"/>
          <w:szCs w:val="24"/>
        </w:rPr>
        <w:t>、聘任、解聘会计师事务所情况</w:t>
      </w:r>
      <w:bookmarkEnd w:id="349"/>
      <w:bookmarkEnd w:id="350"/>
      <w:bookmarkEnd w:id="35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七年</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谭荣、张晓义</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九</w:t>
      </w:r>
      <w:bookmarkEnd w:id="355"/>
      <w:r>
        <w:rPr>
          <w:color w:val="000000"/>
          <w:spacing w:val="0"/>
          <w:w w:val="100"/>
          <w:position w:val="0"/>
          <w:sz w:val="24"/>
          <w:szCs w:val="24"/>
        </w:rPr>
        <w:t>、年度报告披露后面临暂停上市和终止上市情况</w:t>
      </w:r>
      <w:bookmarkEnd w:id="353"/>
      <w:bookmarkEnd w:id="354"/>
      <w:bookmarkEnd w:id="356"/>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十、破产重整相关事项</w:t>
      </w:r>
      <w:bookmarkEnd w:id="357"/>
      <w:bookmarkEnd w:id="358"/>
      <w:bookmarkEnd w:id="359"/>
    </w:p>
    <w:p>
      <w:pPr>
        <w:pStyle w:val="Style28"/>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公司报告期未发生破产重整相关事项。</w:t>
      </w:r>
    </w:p>
    <w:p>
      <w:pPr>
        <w:pStyle w:val="Style25"/>
        <w:keepNext/>
        <w:keepLines/>
        <w:widowControl w:val="0"/>
        <w:shd w:val="clear" w:color="auto" w:fill="auto"/>
        <w:bidi w:val="0"/>
        <w:spacing w:before="0" w:after="22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十一、重大诉讼、仲裁事项</w:t>
      </w:r>
      <w:bookmarkEnd w:id="360"/>
      <w:bookmarkEnd w:id="361"/>
      <w:bookmarkEnd w:id="362"/>
    </w:p>
    <w:p>
      <w:pPr>
        <w:pStyle w:val="Style28"/>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本年度公司无重大诉讼、仲裁事项。</w:t>
      </w:r>
    </w:p>
    <w:p>
      <w:pPr>
        <w:pStyle w:val="Style25"/>
        <w:keepNext/>
        <w:keepLines/>
        <w:widowControl w:val="0"/>
        <w:shd w:val="clear" w:color="auto" w:fill="auto"/>
        <w:bidi w:val="0"/>
        <w:spacing w:before="0" w:after="22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十二、处罚及整改情况</w:t>
      </w:r>
      <w:bookmarkEnd w:id="363"/>
      <w:bookmarkEnd w:id="364"/>
      <w:bookmarkEnd w:id="365"/>
    </w:p>
    <w:p>
      <w:pPr>
        <w:pStyle w:val="Style28"/>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十三、公司及其控股股东、实际控制人的诚信状况</w:t>
      </w:r>
      <w:bookmarkEnd w:id="366"/>
      <w:bookmarkEnd w:id="367"/>
      <w:bookmarkEnd w:id="368"/>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报告期内，公司及公司控股股东、实际控制人刘祥先生无违法违规记录，不存在未履行法院生效判决或所负数额较大的债务 到期未清偿等情况，不存在被交易所通报批评、公开谴责或者认定为不适当人选等情况。</w:t>
      </w:r>
    </w:p>
    <w:p>
      <w:pPr>
        <w:pStyle w:val="Style25"/>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十四、公司股权激励计划、员工持股计划或其他员工激励措施的实施情况</w:t>
      </w:r>
      <w:bookmarkEnd w:id="369"/>
      <w:bookmarkEnd w:id="370"/>
      <w:bookmarkEnd w:id="371"/>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截止报告期末，公司公布股权激励计划共两期，分别为</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年股票期权激励计划。实施情况 如下：</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一、</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w:t>
      </w:r>
    </w:p>
    <w:p>
      <w:pPr>
        <w:pStyle w:val="Style28"/>
        <w:keepNext w:val="0"/>
        <w:keepLines w:val="0"/>
        <w:widowControl w:val="0"/>
        <w:numPr>
          <w:ilvl w:val="0"/>
          <w:numId w:val="29"/>
        </w:numPr>
        <w:shd w:val="clear" w:color="auto" w:fill="auto"/>
        <w:tabs>
          <w:tab w:pos="670" w:val="left"/>
        </w:tabs>
        <w:bidi w:val="0"/>
        <w:spacing w:before="0" w:after="0" w:line="315" w:lineRule="exact"/>
        <w:ind w:left="0" w:right="0" w:firstLine="380"/>
        <w:jc w:val="both"/>
      </w:pPr>
      <w:bookmarkStart w:id="372" w:name="bookmark372"/>
      <w:bookmarkEnd w:id="372"/>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日召开第二届董事会第十八次会议及第二届监事会第十六次会议审议通过了《关于</w:t>
      </w:r>
      <w:r>
        <w:rPr>
          <w:color w:val="000000"/>
          <w:spacing w:val="0"/>
          <w:w w:val="100"/>
          <w:position w:val="0"/>
        </w:rPr>
        <w:t>〈</w:t>
      </w:r>
      <w:r>
        <w:rPr>
          <w:color w:val="000000"/>
          <w:spacing w:val="0"/>
          <w:w w:val="100"/>
          <w:position w:val="0"/>
        </w:rPr>
        <w:t>深圳市新国都 技术股份有限公司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年股票期权激励计划（草案）及摘要 </w:t>
      </w:r>
      <w:r>
        <w:rPr>
          <w:rFonts w:ascii="Times New Roman" w:eastAsia="Times New Roman" w:hAnsi="Times New Roman" w:cs="Times New Roman"/>
          <w:color w:val="000000"/>
          <w:spacing w:val="0"/>
          <w:w w:val="100"/>
          <w:position w:val="0"/>
        </w:rPr>
        <w:t>＞</w:t>
      </w:r>
      <w:r>
        <w:rPr>
          <w:color w:val="000000"/>
          <w:spacing w:val="0"/>
          <w:w w:val="100"/>
          <w:position w:val="0"/>
        </w:rPr>
        <w:t>的议案》，公司独立董事对股票期权激励计划发表了明确同意 的独立意见。</w:t>
      </w:r>
    </w:p>
    <w:p>
      <w:pPr>
        <w:pStyle w:val="Style28"/>
        <w:keepNext w:val="0"/>
        <w:keepLines w:val="0"/>
        <w:widowControl w:val="0"/>
        <w:numPr>
          <w:ilvl w:val="0"/>
          <w:numId w:val="29"/>
        </w:numPr>
        <w:shd w:val="clear" w:color="auto" w:fill="auto"/>
        <w:tabs>
          <w:tab w:pos="670" w:val="left"/>
        </w:tabs>
        <w:bidi w:val="0"/>
        <w:spacing w:before="0" w:after="0" w:line="315" w:lineRule="exact"/>
        <w:ind w:left="0" w:right="0" w:firstLine="380"/>
        <w:jc w:val="both"/>
      </w:pPr>
      <w:bookmarkStart w:id="373" w:name="bookmark373"/>
      <w:bookmarkEnd w:id="373"/>
      <w:r>
        <w:rPr>
          <w:color w:val="000000"/>
          <w:spacing w:val="0"/>
          <w:w w:val="100"/>
          <w:position w:val="0"/>
        </w:rPr>
        <w:t>根据中国证监会的反馈意见，公司对股票期权激励计划（草案）及摘要进行了相应修订，并于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日召开公司 第二届董事会第十九次会议及第二届监事会第十七次会议审议通过了《审议</w:t>
      </w:r>
      <w:r>
        <w:rPr>
          <w:color w:val="000000"/>
          <w:spacing w:val="0"/>
          <w:w w:val="100"/>
          <w:position w:val="0"/>
        </w:rPr>
        <w:t>〈</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年股票期 权激励计划（草案修订稿）及摘要 </w:t>
      </w:r>
      <w:r>
        <w:rPr>
          <w:rFonts w:ascii="Times New Roman" w:eastAsia="Times New Roman" w:hAnsi="Times New Roman" w:cs="Times New Roman"/>
          <w:color w:val="000000"/>
          <w:spacing w:val="0"/>
          <w:w w:val="100"/>
          <w:position w:val="0"/>
        </w:rPr>
        <w:t>＞</w:t>
      </w:r>
      <w:r>
        <w:rPr>
          <w:color w:val="000000"/>
          <w:spacing w:val="0"/>
          <w:w w:val="100"/>
          <w:position w:val="0"/>
        </w:rPr>
        <w:t>的议案》，公司独立董事对此发表了明确同意的独立意见。该激励计划经中国证监会备 案无异议。</w:t>
      </w:r>
    </w:p>
    <w:p>
      <w:pPr>
        <w:pStyle w:val="Style28"/>
        <w:keepNext w:val="0"/>
        <w:keepLines w:val="0"/>
        <w:widowControl w:val="0"/>
        <w:numPr>
          <w:ilvl w:val="0"/>
          <w:numId w:val="29"/>
        </w:numPr>
        <w:shd w:val="clear" w:color="auto" w:fill="auto"/>
        <w:tabs>
          <w:tab w:pos="685" w:val="left"/>
        </w:tabs>
        <w:bidi w:val="0"/>
        <w:spacing w:before="0" w:after="360" w:line="315" w:lineRule="exact"/>
        <w:ind w:left="0" w:right="0" w:firstLine="380"/>
        <w:jc w:val="both"/>
      </w:pPr>
      <w:bookmarkStart w:id="374" w:name="bookmark374"/>
      <w:bookmarkEnd w:id="374"/>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年第二次临时股东大会审议通过了《审议</w:t>
      </w:r>
      <w:r>
        <w:rPr>
          <w:color w:val="000000"/>
          <w:spacing w:val="0"/>
          <w:w w:val="100"/>
          <w:position w:val="0"/>
        </w:rPr>
        <w:t>〈</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年股票 期权激励计划（草案修订稿）及摘要</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深圳市新国都技术股份有限公司股票期权激励计划实施考核办法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w:t>
      </w:r>
      <w:r>
        <w:rPr>
          <w:color w:val="000000"/>
          <w:spacing w:val="0"/>
          <w:w w:val="100"/>
          <w:position w:val="0"/>
        </w:rPr>
        <w:t>〈</w:t>
      </w:r>
      <w:r>
        <w:rPr>
          <w:color w:val="000000"/>
          <w:spacing w:val="0"/>
          <w:w w:val="100"/>
          <w:position w:val="0"/>
        </w:rPr>
        <w:t xml:space="preserve">深圳市新国都技术股份有限公司股票期权激励计划管理办法 </w:t>
      </w:r>
      <w:r>
        <w:rPr>
          <w:rFonts w:ascii="Times New Roman" w:eastAsia="Times New Roman" w:hAnsi="Times New Roman" w:cs="Times New Roman"/>
          <w:color w:val="000000"/>
          <w:spacing w:val="0"/>
          <w:w w:val="100"/>
          <w:position w:val="0"/>
        </w:rPr>
        <w:t>＞</w:t>
      </w:r>
      <w:r>
        <w:rPr>
          <w:color w:val="000000"/>
          <w:spacing w:val="0"/>
          <w:w w:val="100"/>
          <w:position w:val="0"/>
        </w:rPr>
        <w:t>的议案》以及《关于提请股东大会授权董 事会办理公司股票期权激励计划相关事宜的议案》，董事会被授权确认激励对象参与股权激励计划的资格和条件，确定激励 对象名单及其授予数量，确定标的股权的授予价格；在激励对象符合条件时向激励对象授予股票并办理授予股票和解锁股票 所必需的全部事宜。</w:t>
      </w:r>
    </w:p>
    <w:p>
      <w:pPr>
        <w:pStyle w:val="Style28"/>
        <w:keepNext w:val="0"/>
        <w:keepLines w:val="0"/>
        <w:widowControl w:val="0"/>
        <w:numPr>
          <w:ilvl w:val="0"/>
          <w:numId w:val="29"/>
        </w:numPr>
        <w:shd w:val="clear" w:color="auto" w:fill="auto"/>
        <w:bidi w:val="0"/>
        <w:spacing w:before="0" w:after="0" w:line="316" w:lineRule="exact"/>
        <w:ind w:left="0" w:right="0" w:firstLine="380"/>
        <w:jc w:val="both"/>
      </w:pPr>
      <w:bookmarkStart w:id="375" w:name="bookmark375"/>
      <w:bookmarkEnd w:id="375"/>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日召开第三届董事会第二次会议审议通过了《关于调整股票期权激励计划激励对象名单及授予数量 的议案》和《关于向激励对象授予股票期权的议案》，对本次股票期权激励计划对象名单及授予的权益数量进行了相应调整。 并于当日召开第三届监事会第二次会议，审议通过了《关于核实公司股票期权激励计划激励对象名单的议案》。公司独立董 事对此发表了独立意见，认为激励对象主体资格确认办法合法有效，确定的授权日符合相关规定。</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5.2014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日公司于中国证监会指定创业板信息披露媒体巨潮资讯网公告了《调整股票期权激励计划激励对象名单 及授予数量的公告》。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6.2014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日，公司于中国证监会指定创业板信息披露媒体巨潮资讯网公告了《关于向激励对象授予股票期权的公 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7.2014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日公司于中国证监会指定创业板信息披露媒体巨潮资讯网公告了《关于股票期权激励计划首次授予完成登 记的公告》。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8.</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日召开第三届董事会第七次会议及第三届监事会第七次会议审议通过了《关于注销部分已获授但 尚未行权的股票期权的议案》，公司独立董事对此发表了独立意见，认为公司本次注销部分已不符合激励条件的激励对象已 获授但尚未行权股票期权符合《上市公司股权激励管理办法》、《股权激励备忘录</w:t>
      </w:r>
      <w:r>
        <w:rPr>
          <w:rFonts w:ascii="Times New Roman" w:eastAsia="Times New Roman" w:hAnsi="Times New Roman" w:cs="Times New Roman"/>
          <w:color w:val="000000"/>
          <w:spacing w:val="0"/>
          <w:w w:val="100"/>
          <w:position w:val="0"/>
        </w:rPr>
        <w:t>1-3</w:t>
      </w:r>
      <w:r>
        <w:rPr>
          <w:color w:val="000000"/>
          <w:spacing w:val="0"/>
          <w:w w:val="100"/>
          <w:position w:val="0"/>
        </w:rPr>
        <w:t>号》及公司《股票期权与限制性股 票激励计划》等的相关规定，程序合法合规，不会对公司的财务状况和经营成果产生实质性影响。</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9.2015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日，经中国证券登记结算有限责任公司深圳分公司审核确认，第三届董事会第七次会议审议通过的《关于 注销部分已获授但尚未行权的股票期权的议案》中五名离职人员的股票期权注销事宜已办理完毕，公司同日披露了《关于部 分已授予股票期权注销完成的公告》。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10.</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日召开第三届董事会第八次会议及第三届监事会第八次会议审议通过了《关于公司对股票期权行 权价格进行调整的议案》，独立董事对此发表了独立意见，认为符合《上市公司股权激励管理办法（试行）》、《股权激励 有关事项备忘录</w:t>
      </w:r>
      <w:r>
        <w:rPr>
          <w:rFonts w:ascii="Times New Roman" w:eastAsia="Times New Roman" w:hAnsi="Times New Roman" w:cs="Times New Roman"/>
          <w:color w:val="000000"/>
          <w:spacing w:val="0"/>
          <w:w w:val="100"/>
          <w:position w:val="0"/>
        </w:rPr>
        <w:t>1-3</w:t>
      </w:r>
      <w:r>
        <w:rPr>
          <w:color w:val="000000"/>
          <w:spacing w:val="0"/>
          <w:w w:val="100"/>
          <w:position w:val="0"/>
        </w:rPr>
        <w:t>号》及公司《</w:t>
      </w:r>
      <w:r>
        <w:rPr>
          <w:rFonts w:ascii="Times New Roman" w:eastAsia="Times New Roman" w:hAnsi="Times New Roman" w:cs="Times New Roman"/>
          <w:color w:val="000000"/>
          <w:spacing w:val="0"/>
          <w:w w:val="100"/>
          <w:position w:val="0"/>
        </w:rPr>
        <w:t>2014</w:t>
      </w:r>
      <w:r>
        <w:rPr>
          <w:color w:val="000000"/>
          <w:spacing w:val="0"/>
          <w:w w:val="100"/>
          <w:position w:val="0"/>
        </w:rPr>
        <w:t>年度股票期权激励计划（草案修订稿）》等中关于股票期权行权价格的调整方法和程 序的相关规定。</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11.2015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日，经中国证券登记结算有限责任公司深圳分公司审核确认，第三届董事会第八次会议审议通过的《关 于公司对股票期权行权价格进行调整的议案》的关于对首次授予股票期权及预留部分期权的行权价格由</w:t>
      </w:r>
      <w:r>
        <w:rPr>
          <w:rFonts w:ascii="Times New Roman" w:eastAsia="Times New Roman" w:hAnsi="Times New Roman" w:cs="Times New Roman"/>
          <w:color w:val="000000"/>
          <w:spacing w:val="0"/>
          <w:w w:val="100"/>
          <w:position w:val="0"/>
        </w:rPr>
        <w:t xml:space="preserve">15.3 </w:t>
      </w:r>
      <w:r>
        <w:rPr>
          <w:rFonts w:ascii="Times New Roman" w:eastAsia="Times New Roman" w:hAnsi="Times New Roman" w:cs="Times New Roman"/>
          <w:color w:val="000000"/>
          <w:spacing w:val="0"/>
          <w:w w:val="100"/>
          <w:position w:val="0"/>
        </w:rPr>
        <w:t>2</w:t>
      </w:r>
      <w:r>
        <w:rPr>
          <w:color w:val="000000"/>
          <w:spacing w:val="0"/>
          <w:w w:val="100"/>
          <w:position w:val="0"/>
        </w:rPr>
        <w:t>元调整为</w:t>
      </w:r>
      <w:r>
        <w:rPr>
          <w:rFonts w:ascii="Times New Roman" w:eastAsia="Times New Roman" w:hAnsi="Times New Roman" w:cs="Times New Roman"/>
          <w:color w:val="000000"/>
          <w:spacing w:val="0"/>
          <w:w w:val="100"/>
          <w:position w:val="0"/>
        </w:rPr>
        <w:t xml:space="preserve">15.22 </w:t>
      </w:r>
      <w:r>
        <w:rPr>
          <w:color w:val="000000"/>
          <w:spacing w:val="0"/>
          <w:w w:val="100"/>
          <w:position w:val="0"/>
        </w:rPr>
        <w:t>元相关事宜已经办理完毕。</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12.2015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日，召开第三届董事会第十一次（临时）会议及第三届监事会第十一次会议审议通过了《关于公司股票 期权激励计划第一个行权期可行权的议案》和《关于公司股票期权激励计划股票期权第一个行权期选择自主行权模式的议 案》。公司认为本次股权激励计划的</w:t>
      </w:r>
      <w:r>
        <w:rPr>
          <w:rFonts w:ascii="Times New Roman" w:eastAsia="Times New Roman" w:hAnsi="Times New Roman" w:cs="Times New Roman"/>
          <w:color w:val="000000"/>
          <w:spacing w:val="0"/>
          <w:w w:val="100"/>
          <w:position w:val="0"/>
        </w:rPr>
        <w:t>146</w:t>
      </w:r>
      <w:r>
        <w:rPr>
          <w:color w:val="000000"/>
          <w:spacing w:val="0"/>
          <w:w w:val="100"/>
          <w:position w:val="0"/>
        </w:rPr>
        <w:t>名激励对象行权合法、有效，满足公司股权激励计划第一个行权期的行权条件，董 事会同意已获授股票期权的激励对象在第一个行权期可行权股票期权数量为</w:t>
      </w:r>
      <w:r>
        <w:rPr>
          <w:rFonts w:ascii="Times New Roman" w:eastAsia="Times New Roman" w:hAnsi="Times New Roman" w:cs="Times New Roman"/>
          <w:color w:val="000000"/>
          <w:spacing w:val="0"/>
          <w:w w:val="100"/>
          <w:position w:val="0"/>
        </w:rPr>
        <w:t>1,215,480</w:t>
      </w:r>
      <w:r>
        <w:rPr>
          <w:color w:val="000000"/>
          <w:spacing w:val="0"/>
          <w:w w:val="100"/>
          <w:position w:val="0"/>
        </w:rPr>
        <w:t>份，同意公司股权激励计划第一个行权 期选择自主行权模式。</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13.2015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日，公司于中国证监会指定创业板信息披露媒体巨潮资讯网公告了《关于股票期权激励计划第一期股票 期权可行权的公告》。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14.2015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日，公司召开第三届董事会第十三次（临时）会议及第三届监事会第十三次会议审议通过了《关于注销 部分已获准行权但尚未行权的股票期权的议案》及《关于公司对股票期权数量和行权价格进行调整的议案》。公司原激励对 象马春海因个人原因辞职，已不符合激励条件，对其已获准行权但尚未行权的股票期权由公司注销，本次注销后公司已获准 行权股票期权数量为</w:t>
      </w:r>
      <w:r>
        <w:rPr>
          <w:rFonts w:ascii="Times New Roman" w:eastAsia="Times New Roman" w:hAnsi="Times New Roman" w:cs="Times New Roman"/>
          <w:color w:val="000000"/>
          <w:spacing w:val="0"/>
          <w:w w:val="100"/>
          <w:position w:val="0"/>
        </w:rPr>
        <w:t>6,053,400</w:t>
      </w:r>
      <w:r>
        <w:rPr>
          <w:color w:val="000000"/>
          <w:spacing w:val="0"/>
          <w:w w:val="100"/>
          <w:position w:val="0"/>
        </w:rPr>
        <w:t>份。另因公司实施</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年度利润分配，公司股票期权数量由原</w:t>
      </w:r>
      <w:r>
        <w:rPr>
          <w:rFonts w:ascii="Times New Roman" w:eastAsia="Times New Roman" w:hAnsi="Times New Roman" w:cs="Times New Roman"/>
          <w:color w:val="000000"/>
          <w:spacing w:val="0"/>
          <w:w w:val="100"/>
          <w:position w:val="0"/>
        </w:rPr>
        <w:t>6,053,400</w:t>
      </w:r>
      <w:r>
        <w:rPr>
          <w:color w:val="000000"/>
          <w:spacing w:val="0"/>
          <w:w w:val="100"/>
          <w:position w:val="0"/>
        </w:rPr>
        <w:t>份调整为</w:t>
      </w:r>
      <w:r>
        <w:rPr>
          <w:rFonts w:ascii="Times New Roman" w:eastAsia="Times New Roman" w:hAnsi="Times New Roman" w:cs="Times New Roman"/>
          <w:color w:val="000000"/>
          <w:spacing w:val="0"/>
          <w:w w:val="100"/>
          <w:position w:val="0"/>
        </w:rPr>
        <w:t xml:space="preserve">12,106,800 </w:t>
      </w:r>
      <w:r>
        <w:rPr>
          <w:color w:val="000000"/>
          <w:spacing w:val="0"/>
          <w:w w:val="100"/>
          <w:position w:val="0"/>
        </w:rPr>
        <w:t>份，其中首次授予股票期权数量调整为</w:t>
      </w:r>
      <w:r>
        <w:rPr>
          <w:rFonts w:ascii="Times New Roman" w:eastAsia="Times New Roman" w:hAnsi="Times New Roman" w:cs="Times New Roman"/>
          <w:color w:val="000000"/>
          <w:spacing w:val="0"/>
          <w:w w:val="100"/>
          <w:position w:val="0"/>
        </w:rPr>
        <w:t>12,106,800</w:t>
      </w:r>
      <w:r>
        <w:rPr>
          <w:color w:val="000000"/>
          <w:spacing w:val="0"/>
          <w:w w:val="100"/>
          <w:position w:val="0"/>
        </w:rPr>
        <w:t>份，预留股票期权数量调整为</w:t>
      </w:r>
      <w:r>
        <w:rPr>
          <w:rFonts w:ascii="Times New Roman" w:eastAsia="Times New Roman" w:hAnsi="Times New Roman" w:cs="Times New Roman"/>
          <w:color w:val="000000"/>
          <w:spacing w:val="0"/>
          <w:w w:val="100"/>
          <w:position w:val="0"/>
        </w:rPr>
        <w:t>400,000</w:t>
      </w:r>
      <w:r>
        <w:rPr>
          <w:color w:val="000000"/>
          <w:spacing w:val="0"/>
          <w:w w:val="100"/>
          <w:position w:val="0"/>
        </w:rPr>
        <w:t>份。公司首次授予股票期权行权价格 由</w:t>
      </w:r>
      <w:r>
        <w:rPr>
          <w:rFonts w:ascii="Times New Roman" w:eastAsia="Times New Roman" w:hAnsi="Times New Roman" w:cs="Times New Roman"/>
          <w:color w:val="000000"/>
          <w:spacing w:val="0"/>
          <w:w w:val="100"/>
          <w:position w:val="0"/>
        </w:rPr>
        <w:t>15.22</w:t>
      </w:r>
      <w:r>
        <w:rPr>
          <w:color w:val="000000"/>
          <w:spacing w:val="0"/>
          <w:w w:val="100"/>
          <w:position w:val="0"/>
        </w:rPr>
        <w:t>元调整为</w:t>
      </w:r>
      <w:r>
        <w:rPr>
          <w:rFonts w:ascii="Times New Roman" w:eastAsia="Times New Roman" w:hAnsi="Times New Roman" w:cs="Times New Roman"/>
          <w:color w:val="000000"/>
          <w:spacing w:val="0"/>
          <w:w w:val="100"/>
          <w:position w:val="0"/>
        </w:rPr>
        <w:t>7.585</w:t>
      </w:r>
      <w:r>
        <w:rPr>
          <w:color w:val="000000"/>
          <w:spacing w:val="0"/>
          <w:w w:val="100"/>
          <w:position w:val="0"/>
        </w:rPr>
        <w:t>元。</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15.2015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日，公司于中国证监会指定创业板信息披露媒体巨潮资讯网公告了《关于股票期权激励计划第一个行权 期采用自主行权模式的公告》。</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16.2015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月，公司完成股票期权激励计划第一期股票期权行权。</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17.2015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日，公司召开第三届董事会第二十一次（临时）会议及第三届监事会第二十次会议审议通过了《关于 注销部分已获授股票期权的议案</w:t>
      </w:r>
      <w:r>
        <w:rPr>
          <w:rFonts w:ascii="Times New Roman" w:eastAsia="Times New Roman" w:hAnsi="Times New Roman" w:cs="Times New Roman"/>
          <w:color w:val="000000"/>
          <w:spacing w:val="0"/>
          <w:w w:val="100"/>
          <w:position w:val="0"/>
        </w:rPr>
        <w:t>.</w:t>
      </w:r>
      <w:r>
        <w:rPr>
          <w:color w:val="000000"/>
          <w:spacing w:val="0"/>
          <w:w w:val="100"/>
          <w:position w:val="0"/>
        </w:rPr>
        <w:t>》，注销部分离职人员已获授予的股票期权。原激励对象刘宁、斯淇、王景业、袁启明因 个人原因辞职，已不符合激励条件，其已获授予的股票期权应由公司注销。本次注销后公司已获授股票期权数量为</w:t>
      </w:r>
      <w:r>
        <w:rPr>
          <w:rFonts w:ascii="Times New Roman" w:eastAsia="Times New Roman" w:hAnsi="Times New Roman" w:cs="Times New Roman"/>
          <w:color w:val="000000"/>
          <w:spacing w:val="0"/>
          <w:w w:val="100"/>
          <w:position w:val="0"/>
        </w:rPr>
        <w:t xml:space="preserve">9,618,240 </w:t>
      </w:r>
      <w:r>
        <w:rPr>
          <w:color w:val="000000"/>
          <w:spacing w:val="0"/>
          <w:w w:val="100"/>
          <w:position w:val="0"/>
        </w:rPr>
        <w:t>份，注销后激励对象人数由</w:t>
      </w:r>
      <w:r>
        <w:rPr>
          <w:rFonts w:ascii="Times New Roman" w:eastAsia="Times New Roman" w:hAnsi="Times New Roman" w:cs="Times New Roman"/>
          <w:color w:val="000000"/>
          <w:spacing w:val="0"/>
          <w:w w:val="100"/>
          <w:position w:val="0"/>
        </w:rPr>
        <w:t>145</w:t>
      </w:r>
      <w:r>
        <w:rPr>
          <w:color w:val="000000"/>
          <w:spacing w:val="0"/>
          <w:w w:val="100"/>
          <w:position w:val="0"/>
        </w:rPr>
        <w:t>人变更为</w:t>
      </w:r>
      <w:r>
        <w:rPr>
          <w:rFonts w:ascii="Times New Roman" w:eastAsia="Times New Roman" w:hAnsi="Times New Roman" w:cs="Times New Roman"/>
          <w:color w:val="000000"/>
          <w:spacing w:val="0"/>
          <w:w w:val="100"/>
          <w:position w:val="0"/>
        </w:rPr>
        <w:t>141</w:t>
      </w:r>
      <w:r>
        <w:rPr>
          <w:color w:val="000000"/>
          <w:spacing w:val="0"/>
          <w:w w:val="100"/>
          <w:position w:val="0"/>
        </w:rPr>
        <w:t>人。</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18.2015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）公告了《关于注销部分已获授股票期权的公告》。本次 调整后公司已获授尚未行权股票期权数量为</w:t>
      </w:r>
      <w:r>
        <w:rPr>
          <w:rFonts w:ascii="Times New Roman" w:eastAsia="Times New Roman" w:hAnsi="Times New Roman" w:cs="Times New Roman"/>
          <w:color w:val="000000"/>
          <w:spacing w:val="0"/>
          <w:w w:val="100"/>
          <w:position w:val="0"/>
        </w:rPr>
        <w:t>9,618,240</w:t>
      </w:r>
      <w:r>
        <w:rPr>
          <w:color w:val="000000"/>
          <w:spacing w:val="0"/>
          <w:w w:val="100"/>
          <w:position w:val="0"/>
        </w:rPr>
        <w:t>份。</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19.2016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日，公司召开第三届董事会第二十六次会议审议通过《关于股票期权激励计划第二期股票期权可行权的 议案》，并于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日于巨潮资讯网发布《关于股票期权激励计划第二期股票期权可行权的公告》，同意公司已获授 股票期权的</w:t>
      </w:r>
      <w:r>
        <w:rPr>
          <w:rFonts w:ascii="Times New Roman" w:eastAsia="Times New Roman" w:hAnsi="Times New Roman" w:cs="Times New Roman"/>
          <w:color w:val="000000"/>
          <w:spacing w:val="0"/>
          <w:w w:val="100"/>
          <w:position w:val="0"/>
        </w:rPr>
        <w:t>141</w:t>
      </w:r>
      <w:r>
        <w:rPr>
          <w:color w:val="000000"/>
          <w:spacing w:val="0"/>
          <w:w w:val="100"/>
          <w:position w:val="0"/>
        </w:rPr>
        <w:t>名激励对象在第二个行权期可自主行权共</w:t>
      </w:r>
      <w:r>
        <w:rPr>
          <w:rFonts w:ascii="Times New Roman" w:eastAsia="Times New Roman" w:hAnsi="Times New Roman" w:cs="Times New Roman"/>
          <w:color w:val="000000"/>
          <w:spacing w:val="0"/>
          <w:w w:val="100"/>
          <w:position w:val="0"/>
        </w:rPr>
        <w:t>4,809,120</w:t>
      </w:r>
      <w:r>
        <w:rPr>
          <w:color w:val="000000"/>
          <w:spacing w:val="0"/>
          <w:w w:val="100"/>
          <w:position w:val="0"/>
        </w:rPr>
        <w:t>份股票期权，行权价格</w:t>
      </w:r>
      <w:r>
        <w:rPr>
          <w:rFonts w:ascii="Times New Roman" w:eastAsia="Times New Roman" w:hAnsi="Times New Roman" w:cs="Times New Roman"/>
          <w:color w:val="000000"/>
          <w:spacing w:val="0"/>
          <w:w w:val="100"/>
          <w:position w:val="0"/>
        </w:rPr>
        <w:t>7.585</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20.2016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日，公司召开第三届董事会第二十九次会议审议通过《关于对</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年股票期权激励计划已获授尚未行权 股票期权行权价格进行调整的议案》，公司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年股票期权激励计划已获授尚未行权的股票期权行权价格由</w:t>
      </w:r>
      <w:r>
        <w:rPr>
          <w:rFonts w:ascii="Times New Roman" w:eastAsia="Times New Roman" w:hAnsi="Times New Roman" w:cs="Times New Roman"/>
          <w:color w:val="000000"/>
          <w:spacing w:val="0"/>
          <w:w w:val="100"/>
          <w:position w:val="0"/>
        </w:rPr>
        <w:t>7.585</w:t>
      </w:r>
      <w:r>
        <w:rPr>
          <w:color w:val="000000"/>
          <w:spacing w:val="0"/>
          <w:w w:val="100"/>
          <w:position w:val="0"/>
        </w:rPr>
        <w:t xml:space="preserve">元调整为 </w:t>
      </w:r>
      <w:r>
        <w:rPr>
          <w:rFonts w:ascii="Times New Roman" w:eastAsia="Times New Roman" w:hAnsi="Times New Roman" w:cs="Times New Roman"/>
          <w:color w:val="000000"/>
          <w:spacing w:val="0"/>
          <w:w w:val="100"/>
          <w:position w:val="0"/>
        </w:rPr>
        <w:t xml:space="preserve">7.535 </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21.2016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日，公司于巨潮资讯网发布《关于</w:t>
      </w:r>
      <w:r>
        <w:rPr>
          <w:rFonts w:ascii="Times New Roman" w:eastAsia="Times New Roman" w:hAnsi="Times New Roman" w:cs="Times New Roman"/>
          <w:color w:val="000000"/>
          <w:spacing w:val="0"/>
          <w:w w:val="100"/>
          <w:position w:val="0"/>
        </w:rPr>
        <w:t>2 014</w:t>
      </w:r>
      <w:r>
        <w:rPr>
          <w:color w:val="000000"/>
          <w:spacing w:val="0"/>
          <w:w w:val="100"/>
          <w:position w:val="0"/>
        </w:rPr>
        <w:t>年股票期权激励计划第二个行权期采用自主行权模式的公告》。 公司</w:t>
      </w:r>
      <w:r>
        <w:rPr>
          <w:rFonts w:ascii="Times New Roman" w:eastAsia="Times New Roman" w:hAnsi="Times New Roman" w:cs="Times New Roman"/>
          <w:color w:val="000000"/>
          <w:spacing w:val="0"/>
          <w:w w:val="100"/>
          <w:position w:val="0"/>
        </w:rPr>
        <w:t>2014</w:t>
      </w:r>
      <w:r>
        <w:rPr>
          <w:color w:val="000000"/>
          <w:spacing w:val="0"/>
          <w:w w:val="100"/>
          <w:position w:val="0"/>
        </w:rPr>
        <w:t>年股权激励计划授予股票期权的</w:t>
      </w:r>
      <w:r>
        <w:rPr>
          <w:rFonts w:ascii="Times New Roman" w:eastAsia="Times New Roman" w:hAnsi="Times New Roman" w:cs="Times New Roman"/>
          <w:color w:val="000000"/>
          <w:spacing w:val="0"/>
          <w:w w:val="100"/>
          <w:position w:val="0"/>
        </w:rPr>
        <w:t>141</w:t>
      </w:r>
      <w:r>
        <w:rPr>
          <w:color w:val="000000"/>
          <w:spacing w:val="0"/>
          <w:w w:val="100"/>
          <w:position w:val="0"/>
        </w:rPr>
        <w:t>名激励对象在第二个行权期自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2 017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日止，可行权数量共 计</w:t>
      </w:r>
      <w:r>
        <w:rPr>
          <w:rFonts w:ascii="Times New Roman" w:eastAsia="Times New Roman" w:hAnsi="Times New Roman" w:cs="Times New Roman"/>
          <w:color w:val="000000"/>
          <w:spacing w:val="0"/>
          <w:w w:val="100"/>
          <w:position w:val="0"/>
        </w:rPr>
        <w:t>4,809,120</w:t>
      </w:r>
      <w:r>
        <w:rPr>
          <w:color w:val="000000"/>
          <w:spacing w:val="0"/>
          <w:w w:val="100"/>
          <w:position w:val="0"/>
        </w:rPr>
        <w:t>份。</w:t>
      </w:r>
    </w:p>
    <w:p>
      <w:pPr>
        <w:pStyle w:val="Style28"/>
        <w:keepNext w:val="0"/>
        <w:keepLines w:val="0"/>
        <w:widowControl w:val="0"/>
        <w:shd w:val="clear" w:color="auto" w:fill="auto"/>
        <w:bidi w:val="0"/>
        <w:spacing w:before="0" w:after="100" w:line="312" w:lineRule="exact"/>
        <w:ind w:left="0" w:right="0" w:firstLine="380"/>
        <w:jc w:val="left"/>
      </w:pPr>
      <w:r>
        <w:rPr>
          <w:rFonts w:ascii="Times New Roman" w:eastAsia="Times New Roman" w:hAnsi="Times New Roman" w:cs="Times New Roman"/>
          <w:color w:val="000000"/>
          <w:spacing w:val="0"/>
          <w:w w:val="100"/>
          <w:position w:val="0"/>
        </w:rPr>
        <w:t>22.2016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日，公司召开第三届董事会第三十六次会议，审议通过《关于注销</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年股票期权激励计划部分已获 授股票期权的议案》，公司原激励对象李小泉、孙翀、雷平、付佳德、黄栩因个人原因辞职，已不符合激励条件，对其已获 授予的股票期权应由公司注销。根据公司《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年股票期权激励计划（草案修订稿）》、公司《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年股票期权激励计划管 理办法》相关规定及公司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年第二次临时股东大会的授权，公司拟对以上五人已获授股票期权</w:t>
      </w:r>
      <w:r>
        <w:rPr>
          <w:rFonts w:ascii="Times New Roman" w:eastAsia="Times New Roman" w:hAnsi="Times New Roman" w:cs="Times New Roman"/>
          <w:color w:val="000000"/>
          <w:spacing w:val="0"/>
          <w:w w:val="100"/>
          <w:position w:val="0"/>
        </w:rPr>
        <w:t>131,200</w:t>
      </w:r>
      <w:r>
        <w:rPr>
          <w:color w:val="000000"/>
          <w:spacing w:val="0"/>
          <w:w w:val="100"/>
          <w:position w:val="0"/>
        </w:rPr>
        <w:t>份进行注销。本次 注销后</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年股票期权激励计划尚处于等待期的股票期权数量为</w:t>
      </w:r>
      <w:r>
        <w:rPr>
          <w:rFonts w:ascii="Times New Roman" w:eastAsia="Times New Roman" w:hAnsi="Times New Roman" w:cs="Times New Roman"/>
          <w:color w:val="000000"/>
          <w:spacing w:val="0"/>
          <w:w w:val="100"/>
          <w:position w:val="0"/>
        </w:rPr>
        <w:t>4,677,920</w:t>
      </w:r>
      <w:r>
        <w:rPr>
          <w:color w:val="000000"/>
          <w:spacing w:val="0"/>
          <w:w w:val="100"/>
          <w:position w:val="0"/>
        </w:rPr>
        <w:t>份。同日于巨潮资讯网发布《关于注销</w:t>
      </w:r>
      <w:r>
        <w:rPr>
          <w:rFonts w:ascii="Times New Roman" w:eastAsia="Times New Roman" w:hAnsi="Times New Roman" w:cs="Times New Roman"/>
          <w:color w:val="000000"/>
          <w:spacing w:val="0"/>
          <w:w w:val="100"/>
          <w:position w:val="0"/>
        </w:rPr>
        <w:t>2014</w:t>
      </w:r>
      <w:r>
        <w:rPr>
          <w:color w:val="000000"/>
          <w:spacing w:val="0"/>
          <w:w w:val="100"/>
          <w:position w:val="0"/>
        </w:rPr>
        <w:t>年股票 期权激励计划部分已获授股票期权的公告》（公告编号：</w:t>
      </w:r>
      <w:r>
        <w:rPr>
          <w:rFonts w:ascii="Times New Roman" w:eastAsia="Times New Roman" w:hAnsi="Times New Roman" w:cs="Times New Roman"/>
          <w:color w:val="000000"/>
          <w:spacing w:val="0"/>
          <w:w w:val="100"/>
          <w:position w:val="0"/>
        </w:rPr>
        <w:t>2016-128</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年股票期权激励计划信息披露索引如下:</w:t>
      </w:r>
    </w:p>
    <w:tbl>
      <w:tblPr>
        <w:tblOverlap w:val="never"/>
        <w:jc w:val="left"/>
        <w:tblLayout w:type="fixed"/>
      </w:tblPr>
      <w:tblGrid>
        <w:gridCol w:w="5832"/>
        <w:gridCol w:w="989"/>
        <w:gridCol w:w="1522"/>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临时公告 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临时公告披露索引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第二届监事会第十六次会议决议公告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北京市盈科（深圳）律师事务所关于公司股票期权激励计划的法律意见书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2014</w:t>
            </w:r>
            <w:r>
              <w:rPr>
                <w:color w:val="000000"/>
                <w:spacing w:val="0"/>
                <w:w w:val="100"/>
                <w:position w:val="0"/>
              </w:rPr>
              <w:t>年度股票期权激励计划（草案）》的独立意见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股票期权激励计划管理办法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股票期权激励计划激励对象名单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股票期权激励计划实施考核办法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关于本次股票期权激励计划激励对象合理性的说明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监事会关于本次股票期权激励计划对象名单和核实意见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关于股票期权激励计划获得中国证监会备案无异议的公告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2014-035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2014-037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第二届监事会第十七次会议决议公告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2014-038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年股票期权激励计划（草案修订稿）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年股票期权激励计划（草案修订稿）摘要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北京市盈科（深圳）律师事务所关于公司股票期权激励计划（草案修订稿） 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独立董事关于公司《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年股票期权激励计划（草案修订稿）》的独立意 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股票期权激励计划（草案修订稿）修订前后对照说明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股票期权激励计划激励对象名单（调整后）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832"/>
        <w:gridCol w:w="989"/>
        <w:gridCol w:w="152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监事会关于本次股票期权激励计划对象名单（调整后）的核实意见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2014-069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第三届监事会第二次会议决议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2014-072</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北京市盈科（深圳）律师事务所关于公司股票期权激励计划授予股票期权 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调整股票期权激励计划激励对象名单及授予数量的公告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2014-071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股票期权激励计划激励对象名单（调整后）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关于向激励对象授予股票期权的公告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2014-070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独立董事对本次股票期权授予事项的独立意见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2014/5/12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关于股票期权激励计划首次授予完成登记的公告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2014-085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独立董事关于公司第三届董事会第七次会议相关事项的独立意见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第三届董事会第七次会议决议公告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2015-010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第三届监事会第七次会议决议公告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2015-011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独立董事关于公司第三届董事会第七次会议相关事项的独立意见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股票期权激励计划激励对象名单（调整后）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关于注销部分股权激励对象已授予股票期权的公告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2015-009</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北京市中银（深圳）律师事务所关于公司注销部分股权激励对象已授予股 票期权的法律意见书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关于部分已授予股票期权注销完成的公告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2015-016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第三届董事会第八次会议决议公告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2015-033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第三届监事会第八次会议决议公告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2015-034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关于公司对股票期权行权价格进行调整的公告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2015-026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关于调整公司股票期权激励计划行权价格事项完成的公告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2015-037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第三届董事会第十一次（临时）会议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关于股票期权激励计划第一期股票期权可行权的公告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2015-059</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北京市中银（深圳）律师事务所关于公司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年股票期权激励计划第一个 行权期行权相关事项的法律意见书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2015/5/14</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北京市中银（深圳）律师事务所关于公司注销部分已获准行权但尚未行权 的股票期权及调整股票期权数量和行权价格的法律意见书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2015/6/19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关于注销部分已获准行权但尚未行权的股票期权及调整股票期权数量和行 权价格的公告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2015/6/19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2015-071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关于股票期权激励计划第一个行权期采用自主行权模式的公告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2015-077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第三届董事会第二十一次（临时）会议决议公告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2015-143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2015-147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关于注销部分已获授股票期权的公告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2015-146</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北京市中银（深圳）律师事务所关于公司注销部分已获授但尚未行权股票 期权的法律意见书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2015/12/30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关于股票期权激励计划第二期股票期权可行权的公告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2016-034</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北京市中伦（深圳）律师事务所关于公司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年股票期权激励计划第二个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5832"/>
        <w:gridCol w:w="989"/>
        <w:gridCol w:w="152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行权期行权相关事项的法律意见书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关于对</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年股票期权激励计划已获授尚未行权股票期权行权价格进行调 整的公告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2016-068</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北京市中伦（深圳）律师事务所关于公司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年股票期权激励计划行权价 格调整的法律意见书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2016/5/30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年股票期权激励计划第二个行权期采用自主行权模式的公告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2016-073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w:t>
            </w:r>
            <w:r>
              <w:rPr>
                <w:rFonts w:ascii="Times New Roman" w:eastAsia="Times New Roman" w:hAnsi="Times New Roman" w:cs="Times New Roman"/>
                <w:color w:val="000000"/>
                <w:spacing w:val="0"/>
                <w:w w:val="100"/>
                <w:position w:val="0"/>
              </w:rPr>
              <w:t>2 014</w:t>
            </w:r>
            <w:r>
              <w:rPr>
                <w:color w:val="000000"/>
                <w:spacing w:val="0"/>
                <w:w w:val="100"/>
                <w:position w:val="0"/>
              </w:rPr>
              <w:t>年股票期权激励计划部分已获授股票期权的公告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2016-128</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北京市中伦（深圳）律师事务所关于公司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年股票期权激励计划部分已 获授股票期权注销的法律意见书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部分已获授股票期权注销完成公告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2017-001</w:t>
            </w: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w:t>
      </w:r>
    </w:p>
    <w:p>
      <w:pPr>
        <w:pStyle w:val="Style28"/>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1.2015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日，公司召开第三届董事会第二十次会议及第三届监事会第十九次会议审议通过了《审议</w:t>
      </w:r>
      <w:r>
        <w:rPr>
          <w:color w:val="000000"/>
          <w:spacing w:val="0"/>
          <w:w w:val="100"/>
          <w:position w:val="0"/>
        </w:rPr>
        <w:t>〈</w:t>
      </w:r>
      <w:r>
        <w:rPr>
          <w:color w:val="000000"/>
          <w:spacing w:val="0"/>
          <w:w w:val="100"/>
          <w:position w:val="0"/>
        </w:rPr>
        <w:t>关于深圳市新 国都技术股份有限公司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年股票期权激励计划（草案）及摘要</w:t>
      </w:r>
      <w:r>
        <w:rPr>
          <w:color w:val="000000"/>
          <w:spacing w:val="0"/>
          <w:w w:val="100"/>
          <w:position w:val="0"/>
        </w:rPr>
        <w:t>〉</w:t>
      </w:r>
      <w:r>
        <w:rPr>
          <w:color w:val="000000"/>
          <w:spacing w:val="0"/>
          <w:w w:val="100"/>
          <w:position w:val="0"/>
        </w:rPr>
        <w:t>的议案》、《审议</w:t>
      </w:r>
      <w:r>
        <w:rPr>
          <w:color w:val="000000"/>
          <w:spacing w:val="0"/>
          <w:w w:val="100"/>
          <w:position w:val="0"/>
        </w:rPr>
        <w:t>〈</w:t>
      </w:r>
      <w:r>
        <w:rPr>
          <w:color w:val="000000"/>
          <w:spacing w:val="0"/>
          <w:w w:val="100"/>
          <w:position w:val="0"/>
        </w:rPr>
        <w:t xml:space="preserve">关于深圳市新国都技术股份有限公司 </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年股票期权激励计划管理办法</w:t>
      </w:r>
      <w:r>
        <w:rPr>
          <w:color w:val="000000"/>
          <w:spacing w:val="0"/>
          <w:w w:val="100"/>
          <w:position w:val="0"/>
        </w:rPr>
        <w:t>〉</w:t>
      </w:r>
      <w:r>
        <w:rPr>
          <w:color w:val="000000"/>
          <w:spacing w:val="0"/>
          <w:w w:val="100"/>
          <w:position w:val="0"/>
        </w:rPr>
        <w:t>的议案》、《审议</w:t>
      </w:r>
      <w:r>
        <w:rPr>
          <w:color w:val="000000"/>
          <w:spacing w:val="0"/>
          <w:w w:val="100"/>
          <w:position w:val="0"/>
        </w:rPr>
        <w:t>〈</w:t>
      </w:r>
      <w:r>
        <w:rPr>
          <w:color w:val="000000"/>
          <w:spacing w:val="0"/>
          <w:w w:val="100"/>
          <w:position w:val="0"/>
        </w:rPr>
        <w:t>关于深圳市新国都技术股份有限公司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年股票期权激励计划实施 考核办法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年股票期权激励计划相关事宜的议案》，公司独立董事 对股票期权激励计划发表了明确同意的独立意见。</w:t>
      </w:r>
    </w:p>
    <w:p>
      <w:pPr>
        <w:pStyle w:val="Style28"/>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2.2015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年第六次临时股东大会，审议通过了《审议</w:t>
      </w:r>
      <w:r>
        <w:rPr>
          <w:color w:val="000000"/>
          <w:spacing w:val="0"/>
          <w:w w:val="100"/>
          <w:position w:val="0"/>
        </w:rPr>
        <w:t>〈</w:t>
      </w:r>
      <w:r>
        <w:rPr>
          <w:color w:val="000000"/>
          <w:spacing w:val="0"/>
          <w:w w:val="100"/>
          <w:position w:val="0"/>
        </w:rPr>
        <w:t>关于深圳市新国都技术股份有限公司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年股票期权激励计划（草案）及摘要</w:t>
      </w:r>
      <w:r>
        <w:rPr>
          <w:color w:val="000000"/>
          <w:spacing w:val="0"/>
          <w:w w:val="100"/>
          <w:position w:val="0"/>
        </w:rPr>
        <w:t>〉</w:t>
      </w:r>
      <w:r>
        <w:rPr>
          <w:color w:val="000000"/>
          <w:spacing w:val="0"/>
          <w:w w:val="100"/>
          <w:position w:val="0"/>
        </w:rPr>
        <w:t>的议案》、《审议</w:t>
      </w:r>
      <w:r>
        <w:rPr>
          <w:color w:val="000000"/>
          <w:spacing w:val="0"/>
          <w:w w:val="100"/>
          <w:position w:val="0"/>
        </w:rPr>
        <w:t>〈</w:t>
      </w:r>
      <w:r>
        <w:rPr>
          <w:color w:val="000000"/>
          <w:spacing w:val="0"/>
          <w:w w:val="100"/>
          <w:position w:val="0"/>
        </w:rPr>
        <w:t>关于深圳市新国都技术股份有限公司</w:t>
      </w:r>
      <w:r>
        <w:rPr>
          <w:rFonts w:ascii="Times New Roman" w:eastAsia="Times New Roman" w:hAnsi="Times New Roman" w:cs="Times New Roman"/>
          <w:color w:val="000000"/>
          <w:spacing w:val="0"/>
          <w:w w:val="100"/>
          <w:position w:val="0"/>
        </w:rPr>
        <w:t>2 015</w:t>
      </w:r>
      <w:r>
        <w:rPr>
          <w:color w:val="000000"/>
          <w:spacing w:val="0"/>
          <w:w w:val="100"/>
          <w:position w:val="0"/>
        </w:rPr>
        <w:t>年股票期权激励计划管 理办法</w:t>
      </w:r>
      <w:r>
        <w:rPr>
          <w:rFonts w:ascii="Times New Roman" w:eastAsia="Times New Roman" w:hAnsi="Times New Roman" w:cs="Times New Roman"/>
          <w:color w:val="000000"/>
          <w:spacing w:val="0"/>
          <w:w w:val="100"/>
          <w:position w:val="0"/>
        </w:rPr>
        <w:t>＞</w:t>
      </w:r>
      <w:r>
        <w:rPr>
          <w:color w:val="000000"/>
          <w:spacing w:val="0"/>
          <w:w w:val="100"/>
          <w:position w:val="0"/>
        </w:rPr>
        <w:t>的议案》、《审议</w:t>
      </w:r>
      <w:r>
        <w:rPr>
          <w:color w:val="000000"/>
          <w:spacing w:val="0"/>
          <w:w w:val="100"/>
          <w:position w:val="0"/>
        </w:rPr>
        <w:t>〈</w:t>
      </w:r>
      <w:r>
        <w:rPr>
          <w:color w:val="000000"/>
          <w:spacing w:val="0"/>
          <w:w w:val="100"/>
          <w:position w:val="0"/>
        </w:rPr>
        <w:t>关于深圳市新国都技术股份有限公司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年股票期权激励计划实施考核办法</w:t>
      </w:r>
      <w:r>
        <w:rPr>
          <w:rFonts w:ascii="Times New Roman" w:eastAsia="Times New Roman" w:hAnsi="Times New Roman" w:cs="Times New Roman"/>
          <w:color w:val="000000"/>
          <w:spacing w:val="0"/>
          <w:w w:val="100"/>
          <w:position w:val="0"/>
        </w:rPr>
        <w:t>＞</w:t>
      </w:r>
      <w:r>
        <w:rPr>
          <w:color w:val="000000"/>
          <w:spacing w:val="0"/>
          <w:w w:val="100"/>
          <w:position w:val="0"/>
        </w:rPr>
        <w:t>的议案》、《关于 提请股东大会授权董事会办理公司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年股票期权激励计划相关事宜的议案》，董事会被授权确认激励对象参与股权激励计 划的资格和条件，确定激励对象名单及其授予数量，确定标的股权的授予价格；在激励对象符合条件时向激励对象授予股票 并办理授予股票和解锁股票所必需的全部事宜。</w:t>
      </w:r>
    </w:p>
    <w:p>
      <w:pPr>
        <w:pStyle w:val="Style28"/>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3.2016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日，公司召开第三届董事会第二十二次（临时）会议及第三届监事会第二十一次会议审议通过了《关于向 激励对象授予股票期权的议案》。公司独立董事对此发表了独立意见，认为激励对象主体资格确认办法合法有效，确定的授 权日符合相关规定。</w:t>
      </w:r>
    </w:p>
    <w:p>
      <w:pPr>
        <w:pStyle w:val="Style28"/>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4.2016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）公告了《关于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年股票期权激励计划首次授予完成登记 的公告》。</w:t>
      </w:r>
    </w:p>
    <w:p>
      <w:pPr>
        <w:pStyle w:val="Style28"/>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5.2016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日，公司召开第三届董事会第二十九次会议及第三届监事会第二十八次会议审议通过了《关于对</w:t>
      </w:r>
      <w:r>
        <w:rPr>
          <w:rFonts w:ascii="Times New Roman" w:eastAsia="Times New Roman" w:hAnsi="Times New Roman" w:cs="Times New Roman"/>
          <w:color w:val="000000"/>
          <w:spacing w:val="0"/>
          <w:w w:val="100"/>
          <w:position w:val="0"/>
        </w:rPr>
        <w:t>2015</w:t>
      </w:r>
      <w:r>
        <w:rPr>
          <w:color w:val="000000"/>
          <w:spacing w:val="0"/>
          <w:w w:val="100"/>
          <w:position w:val="0"/>
        </w:rPr>
        <w:t>年 股票期权激励计划首次授予股票期权行权价格进行调整的议案》，公司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日实施完毕。根 据公司股东大会的授权及《</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年股票期权激励计划（草案）》的相关规定，公司拟将</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年股票期权激励计划首次授予的 股票期权行权价格由</w:t>
      </w:r>
      <w:r>
        <w:rPr>
          <w:rFonts w:ascii="Times New Roman" w:eastAsia="Times New Roman" w:hAnsi="Times New Roman" w:cs="Times New Roman"/>
          <w:color w:val="000000"/>
          <w:spacing w:val="0"/>
          <w:w w:val="100"/>
          <w:position w:val="0"/>
        </w:rPr>
        <w:t>31.78</w:t>
      </w:r>
      <w:r>
        <w:rPr>
          <w:color w:val="000000"/>
          <w:spacing w:val="0"/>
          <w:w w:val="100"/>
          <w:position w:val="0"/>
        </w:rPr>
        <w:t>元调整为</w:t>
      </w:r>
      <w:r>
        <w:rPr>
          <w:rFonts w:ascii="Times New Roman" w:eastAsia="Times New Roman" w:hAnsi="Times New Roman" w:cs="Times New Roman"/>
          <w:color w:val="000000"/>
          <w:spacing w:val="0"/>
          <w:w w:val="100"/>
          <w:position w:val="0"/>
        </w:rPr>
        <w:t>31.73</w:t>
      </w:r>
      <w:r>
        <w:rPr>
          <w:color w:val="000000"/>
          <w:spacing w:val="0"/>
          <w:w w:val="100"/>
          <w:position w:val="0"/>
        </w:rPr>
        <w:t>元。同日于巨潮资讯网发布《关于对</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年股票期权激励计划首次授予股票期权行 权价格进行调整的公告》（公告编号：</w:t>
      </w:r>
      <w:r>
        <w:rPr>
          <w:rFonts w:ascii="Times New Roman" w:eastAsia="Times New Roman" w:hAnsi="Times New Roman" w:cs="Times New Roman"/>
          <w:color w:val="000000"/>
          <w:spacing w:val="0"/>
          <w:w w:val="100"/>
          <w:position w:val="0"/>
        </w:rPr>
        <w:t>2016-069</w:t>
      </w:r>
      <w:r>
        <w:rPr>
          <w:color w:val="000000"/>
          <w:spacing w:val="0"/>
          <w:w w:val="100"/>
          <w:position w:val="0"/>
        </w:rPr>
        <w:t>）。</w:t>
      </w:r>
    </w:p>
    <w:p>
      <w:pPr>
        <w:pStyle w:val="Style28"/>
        <w:keepNext w:val="0"/>
        <w:keepLines w:val="0"/>
        <w:widowControl w:val="0"/>
        <w:shd w:val="clear" w:color="auto" w:fill="auto"/>
        <w:bidi w:val="0"/>
        <w:spacing w:before="0" w:after="80" w:line="315" w:lineRule="exact"/>
        <w:ind w:left="0" w:right="0" w:firstLine="380"/>
        <w:jc w:val="left"/>
      </w:pPr>
      <w:r>
        <w:rPr>
          <w:rFonts w:ascii="Times New Roman" w:eastAsia="Times New Roman" w:hAnsi="Times New Roman" w:cs="Times New Roman"/>
          <w:color w:val="000000"/>
          <w:spacing w:val="0"/>
          <w:w w:val="100"/>
          <w:position w:val="0"/>
        </w:rPr>
        <w:t>6.2016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日，公司召开第三届董事会第三十六次会议，审议通过《关于注销</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年股票期权激励计划部分已获授 股票期权的议案》，公司原激励对象雷平、黄栩因个人原因辞职，已不符合激励条件，对其已获授予的股票期权应由公司注 销。根据公司《</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年股票期权激励计划管理办法》相关规定及公司</w:t>
      </w:r>
      <w:r>
        <w:rPr>
          <w:rFonts w:ascii="Times New Roman" w:eastAsia="Times New Roman" w:hAnsi="Times New Roman" w:cs="Times New Roman"/>
          <w:color w:val="000000"/>
          <w:spacing w:val="0"/>
          <w:w w:val="100"/>
          <w:position w:val="0"/>
        </w:rPr>
        <w:t>2015</w:t>
      </w:r>
      <w:r>
        <w:rPr>
          <w:color w:val="000000"/>
          <w:spacing w:val="0"/>
          <w:w w:val="100"/>
          <w:position w:val="0"/>
        </w:rPr>
        <w:t>年第六次 临时股东大会的授权，公司拟对以上</w:t>
      </w:r>
      <w:r>
        <w:rPr>
          <w:rFonts w:ascii="Times New Roman" w:eastAsia="Times New Roman" w:hAnsi="Times New Roman" w:cs="Times New Roman"/>
          <w:color w:val="000000"/>
          <w:spacing w:val="0"/>
          <w:w w:val="100"/>
          <w:position w:val="0"/>
        </w:rPr>
        <w:t>2</w:t>
      </w:r>
      <w:r>
        <w:rPr>
          <w:color w:val="000000"/>
          <w:spacing w:val="0"/>
          <w:w w:val="100"/>
          <w:position w:val="0"/>
        </w:rPr>
        <w:t>人已获授股票期权</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份进行注销。本次注销后公司已获授股票期权数量为 </w:t>
      </w:r>
      <w:r>
        <w:rPr>
          <w:rFonts w:ascii="Times New Roman" w:eastAsia="Times New Roman" w:hAnsi="Times New Roman" w:cs="Times New Roman"/>
          <w:color w:val="000000"/>
          <w:spacing w:val="0"/>
          <w:w w:val="100"/>
          <w:position w:val="0"/>
        </w:rPr>
        <w:t>6,180,000</w:t>
      </w:r>
      <w:r>
        <w:rPr>
          <w:color w:val="000000"/>
          <w:spacing w:val="0"/>
          <w:w w:val="100"/>
          <w:position w:val="0"/>
        </w:rPr>
        <w:t>份。同日于巨潮资讯网发布《关于注销</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年股票期权激励计划部分已获授股票期权的公告》（公告编号：</w:t>
      </w:r>
      <w:r>
        <w:rPr>
          <w:rFonts w:ascii="Times New Roman" w:eastAsia="Times New Roman" w:hAnsi="Times New Roman" w:cs="Times New Roman"/>
          <w:color w:val="000000"/>
          <w:spacing w:val="0"/>
          <w:w w:val="100"/>
          <w:position w:val="0"/>
        </w:rPr>
        <w:t>2016-129</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年股票期权激励计划信息披露索引如下:</w:t>
      </w:r>
    </w:p>
    <w:tbl>
      <w:tblPr>
        <w:tblOverlap w:val="never"/>
        <w:jc w:val="left"/>
        <w:tblLayout w:type="fixed"/>
      </w:tblPr>
      <w:tblGrid>
        <w:gridCol w:w="4982"/>
        <w:gridCol w:w="1531"/>
        <w:gridCol w:w="1829"/>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临时公告披露索引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2015-135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第三届监事会第十九次会议决议公告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2015-141</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年股票期权激励计划的提示性公告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2015-134</w:t>
            </w:r>
          </w:p>
        </w:tc>
      </w:tr>
    </w:tbl>
    <w:p>
      <w:pPr>
        <w:spacing w:lineRule="exact" w:line="1"/>
        <w:rPr>
          <w:sz w:val="2"/>
          <w:szCs w:val="2"/>
        </w:rPr>
      </w:pPr>
      <w:r>
        <w:br w:type="page"/>
      </w:r>
    </w:p>
    <w:tbl>
      <w:tblPr>
        <w:tblOverlap w:val="never"/>
        <w:jc w:val="left"/>
        <w:tblLayout w:type="fixed"/>
      </w:tblPr>
      <w:tblGrid>
        <w:gridCol w:w="4982"/>
        <w:gridCol w:w="1531"/>
        <w:gridCol w:w="1829"/>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关于独立董事就股权激励计划公开征集投票权的公告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2015-140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北京市君泽君（深圳）律师事务所关于公司股票期权激励计划的 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独立董事关于《深圳市新国都技术股份有限公司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年度股票期 权激励计划（草案）》的独立意见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年股票期权激励计划管理办法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股票期权激励计划激励对象名单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年股票期权激励计划实施考核办法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监事会对本次股票期权激励计划对象名单的核实意见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年第六次临时股东大会会议决议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2015-142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年第六次临时股东大会的法律意见书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2015/12/17</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北京市中伦（深圳）律师事务所关于公司独立董事公开征集投票 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第三届董事会第二十二次（临时）会议决议公告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关于向激励对象授予股票期权的公告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2016-002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第三届监事会第二十一次会议决议公告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2016-003</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北京市君泽君（深圳）律师事务所关于公司股票期权激励计划授 予股票期权的法律意见书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年股票期权激励计划首次授予完成登记的公告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2016-008</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关于对</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年股票期权激励计划首次授予股票期权行权价格进 行调整的公告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2016-069</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北京市君泽君（深圳）律师事务所关于公司股票期权激励计划调 整股票期权行权价格的法律意见书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2016/5/30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年股票期权激励计划部分已获授股票期权的公告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2016-129</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北京市君泽君（深圳）律师事务所关于公司注销</w:t>
            </w:r>
            <w:r>
              <w:rPr>
                <w:rFonts w:ascii="Times New Roman" w:eastAsia="Times New Roman" w:hAnsi="Times New Roman" w:cs="Times New Roman"/>
                <w:color w:val="000000"/>
                <w:spacing w:val="0"/>
                <w:w w:val="100"/>
                <w:position w:val="0"/>
              </w:rPr>
              <w:t>2015</w:t>
            </w:r>
            <w:r>
              <w:rPr>
                <w:color w:val="000000"/>
                <w:spacing w:val="0"/>
                <w:w w:val="100"/>
                <w:position w:val="0"/>
              </w:rPr>
              <w:t>年股票期权 激励计划部分已获授股票期权的法律意见书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部分已获授股票期权注销完成公告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2017-001</w:t>
            </w:r>
          </w:p>
        </w:tc>
      </w:tr>
    </w:tbl>
    <w:p>
      <w:pPr>
        <w:widowControl w:val="0"/>
        <w:spacing w:after="619" w:line="1" w:lineRule="exact"/>
      </w:pPr>
    </w:p>
    <w:p>
      <w:pPr>
        <w:pStyle w:val="Style25"/>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十五、重大关联交易</w:t>
      </w:r>
      <w:bookmarkEnd w:id="376"/>
      <w:bookmarkEnd w:id="377"/>
      <w:bookmarkEnd w:id="378"/>
    </w:p>
    <w:p>
      <w:pPr>
        <w:pStyle w:val="Style33"/>
        <w:keepNext/>
        <w:keepLines/>
        <w:widowControl w:val="0"/>
        <w:shd w:val="clear" w:color="auto" w:fill="auto"/>
        <w:tabs>
          <w:tab w:pos="36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与日常经营相关的关联交易</w:t>
      </w:r>
      <w:bookmarkEnd w:id="379"/>
      <w:bookmarkEnd w:id="380"/>
      <w:bookmarkEnd w:id="38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资产或股权收购、出售发生的关联交易</w:t>
      </w:r>
      <w:bookmarkEnd w:id="383"/>
      <w:bookmarkEnd w:id="384"/>
      <w:bookmarkEnd w:id="38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共同对外投资的关联交易</w:t>
      </w:r>
      <w:bookmarkEnd w:id="387"/>
      <w:bookmarkEnd w:id="388"/>
      <w:bookmarkEnd w:id="390"/>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关联债权债务往来</w:t>
      </w:r>
      <w:bookmarkEnd w:id="391"/>
      <w:bookmarkEnd w:id="392"/>
      <w:bookmarkEnd w:id="39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其他重大关联交易</w:t>
      </w:r>
      <w:bookmarkEnd w:id="395"/>
      <w:bookmarkEnd w:id="396"/>
      <w:bookmarkEnd w:id="398"/>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both"/>
      </w:pPr>
      <w:bookmarkStart w:id="399" w:name="bookmark399"/>
      <w:bookmarkStart w:id="400" w:name="bookmark400"/>
      <w:bookmarkStart w:id="401" w:name="bookmark401"/>
      <w:r>
        <w:rPr>
          <w:color w:val="000000"/>
          <w:spacing w:val="0"/>
          <w:w w:val="100"/>
          <w:position w:val="0"/>
          <w:sz w:val="24"/>
          <w:szCs w:val="24"/>
        </w:rPr>
        <w:t>十六、重大合同及其履行情况</w:t>
      </w:r>
      <w:bookmarkEnd w:id="399"/>
      <w:bookmarkEnd w:id="400"/>
      <w:bookmarkEnd w:id="401"/>
    </w:p>
    <w:p>
      <w:pPr>
        <w:pStyle w:val="Style33"/>
        <w:keepNext/>
        <w:keepLines/>
        <w:widowControl w:val="0"/>
        <w:shd w:val="clear" w:color="auto" w:fill="auto"/>
        <w:tabs>
          <w:tab w:pos="368" w:val="left"/>
        </w:tabs>
        <w:bidi w:val="0"/>
        <w:spacing w:before="0" w:after="36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托管、承包、租赁事项情况</w:t>
      </w:r>
      <w:bookmarkEnd w:id="402"/>
      <w:bookmarkEnd w:id="403"/>
      <w:bookmarkEnd w:id="405"/>
    </w:p>
    <w:p>
      <w:pPr>
        <w:pStyle w:val="Style37"/>
        <w:keepNext/>
        <w:keepLines/>
        <w:widowControl w:val="0"/>
        <w:shd w:val="clear" w:color="auto" w:fill="auto"/>
        <w:tabs>
          <w:tab w:pos="488" w:val="left"/>
        </w:tabs>
        <w:bidi w:val="0"/>
        <w:spacing w:before="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6"/>
      <w:bookmarkEnd w:id="407"/>
      <w:bookmarkEnd w:id="40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7"/>
        <w:keepNext/>
        <w:keepLines/>
        <w:widowControl w:val="0"/>
        <w:shd w:val="clear" w:color="auto" w:fill="auto"/>
        <w:tabs>
          <w:tab w:pos="488" w:val="left"/>
        </w:tabs>
        <w:bidi w:val="0"/>
        <w:spacing w:before="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0"/>
      <w:bookmarkEnd w:id="411"/>
      <w:bookmarkEnd w:id="413"/>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7"/>
        <w:keepNext/>
        <w:keepLines/>
        <w:widowControl w:val="0"/>
        <w:shd w:val="clear" w:color="auto" w:fill="auto"/>
        <w:tabs>
          <w:tab w:pos="488" w:val="left"/>
        </w:tabs>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4"/>
      <w:bookmarkEnd w:id="415"/>
      <w:bookmarkEnd w:id="417"/>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重大担保</w:t>
      </w:r>
      <w:bookmarkEnd w:id="418"/>
      <w:bookmarkEnd w:id="419"/>
      <w:bookmarkEnd w:id="42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2"/>
      <w:bookmarkEnd w:id="423"/>
      <w:bookmarkEnd w:id="42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6"/>
        <w:gridCol w:w="917"/>
        <w:gridCol w:w="1296"/>
        <w:gridCol w:w="1061"/>
        <w:gridCol w:w="1037"/>
        <w:gridCol w:w="1051"/>
        <w:gridCol w:w="787"/>
        <w:gridCol w:w="792"/>
      </w:tblGrid>
      <w:tr>
        <w:trPr>
          <w:trHeight w:val="408"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09"/>
        <w:gridCol w:w="931"/>
        <w:gridCol w:w="926"/>
        <w:gridCol w:w="1296"/>
        <w:gridCol w:w="1061"/>
        <w:gridCol w:w="1037"/>
        <w:gridCol w:w="1046"/>
        <w:gridCol w:w="792"/>
        <w:gridCol w:w="79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相关公告 披露日期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深圳市易联技术有限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苏州新国都电子技术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深圳市信联征信有限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w:t>
            </w:r>
          </w:p>
        </w:tc>
      </w:tr>
      <w:tr>
        <w:trPr>
          <w:trHeight w:val="715"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bl>
    <w:tbl>
      <w:tblPr>
        <w:tblOverlap w:val="never"/>
        <w:jc w:val="center"/>
        <w:tblLayout w:type="fixed"/>
      </w:tblPr>
      <w:tblGrid>
        <w:gridCol w:w="2640"/>
        <w:gridCol w:w="2222"/>
        <w:gridCol w:w="2098"/>
        <w:gridCol w:w="263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w:t>
            </w:r>
          </w:p>
        </w:tc>
      </w:tr>
      <w:tr>
        <w:trPr>
          <w:trHeight w:val="398"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7"/>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6"/>
      <w:bookmarkEnd w:id="427"/>
      <w:bookmarkEnd w:id="42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after="3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w:t>
        <w:tab/>
        <w:t>委托他人进行现金资产管理情况</w:t>
      </w:r>
      <w:bookmarkEnd w:id="430"/>
      <w:bookmarkEnd w:id="431"/>
      <w:bookmarkEnd w:id="433"/>
    </w:p>
    <w:p>
      <w:pPr>
        <w:pStyle w:val="Style37"/>
        <w:keepNext/>
        <w:keepLines/>
        <w:widowControl w:val="0"/>
        <w:shd w:val="clear" w:color="auto" w:fill="auto"/>
        <w:tabs>
          <w:tab w:pos="488" w:val="left"/>
        </w:tabs>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4"/>
      <w:bookmarkEnd w:id="435"/>
      <w:bookmarkEnd w:id="43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7"/>
        <w:keepNext/>
        <w:keepLines/>
        <w:widowControl w:val="0"/>
        <w:shd w:val="clear" w:color="auto" w:fill="auto"/>
        <w:tabs>
          <w:tab w:pos="488"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8"/>
      <w:bookmarkEnd w:id="439"/>
      <w:bookmarkEnd w:id="44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4</w:t>
      </w:r>
      <w:bookmarkEnd w:id="444"/>
      <w:r>
        <w:rPr>
          <w:color w:val="000000"/>
          <w:spacing w:val="0"/>
          <w:w w:val="100"/>
          <w:position w:val="0"/>
        </w:rPr>
        <w:t>、</w:t>
        <w:tab/>
        <w:t>其他重大合同</w:t>
      </w:r>
      <w:bookmarkEnd w:id="442"/>
      <w:bookmarkEnd w:id="443"/>
      <w:bookmarkEnd w:id="44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十七、社会责任情况</w:t>
      </w:r>
      <w:bookmarkEnd w:id="446"/>
      <w:bookmarkEnd w:id="447"/>
      <w:bookmarkEnd w:id="448"/>
    </w:p>
    <w:p>
      <w:pPr>
        <w:pStyle w:val="Style33"/>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、履行精准扶贫社会责任情况</w:t>
      </w:r>
      <w:bookmarkEnd w:id="449"/>
      <w:bookmarkEnd w:id="450"/>
      <w:bookmarkEnd w:id="45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bidi w:val="0"/>
        <w:spacing w:before="0" w:after="260" w:line="240" w:lineRule="auto"/>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、履行其他社会责任的情况</w:t>
      </w:r>
      <w:bookmarkEnd w:id="453"/>
      <w:bookmarkEnd w:id="454"/>
      <w:bookmarkEnd w:id="456"/>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公司的社会责任履行情况主要体现在以下九个方面：</w:t>
      </w:r>
    </w:p>
    <w:p>
      <w:pPr>
        <w:pStyle w:val="Style28"/>
        <w:keepNext w:val="0"/>
        <w:keepLines w:val="0"/>
        <w:widowControl w:val="0"/>
        <w:shd w:val="clear" w:color="auto" w:fill="auto"/>
        <w:tabs>
          <w:tab w:pos="407" w:val="left"/>
        </w:tabs>
        <w:bidi w:val="0"/>
        <w:spacing w:before="0" w:after="0" w:line="312" w:lineRule="exact"/>
        <w:ind w:left="0" w:right="0" w:firstLine="0"/>
        <w:jc w:val="both"/>
      </w:pPr>
      <w:bookmarkStart w:id="457" w:name="bookmark457"/>
      <w:r>
        <w:rPr>
          <w:color w:val="000000"/>
          <w:spacing w:val="0"/>
          <w:w w:val="100"/>
          <w:position w:val="0"/>
        </w:rPr>
        <w:t>一</w:t>
      </w:r>
      <w:bookmarkEnd w:id="457"/>
      <w:r>
        <w:rPr>
          <w:color w:val="000000"/>
          <w:spacing w:val="0"/>
          <w:w w:val="100"/>
          <w:position w:val="0"/>
        </w:rPr>
        <w:t>、</w:t>
        <w:tab/>
        <w:t>公司战略方面</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公司秉持关爱员工、回报股东、回馈社会的责任理念，坚持把发展作为核心任务，以诚信合规经营为原则，完善管理， 携手合作伙伴深耕市场，创造共赢的绿色经济效益。</w:t>
      </w:r>
    </w:p>
    <w:p>
      <w:pPr>
        <w:pStyle w:val="Style28"/>
        <w:keepNext w:val="0"/>
        <w:keepLines w:val="0"/>
        <w:widowControl w:val="0"/>
        <w:shd w:val="clear" w:color="auto" w:fill="auto"/>
        <w:tabs>
          <w:tab w:pos="407" w:val="left"/>
        </w:tabs>
        <w:bidi w:val="0"/>
        <w:spacing w:before="0" w:after="0" w:line="312" w:lineRule="exact"/>
        <w:ind w:left="0" w:right="0" w:firstLine="0"/>
        <w:jc w:val="both"/>
      </w:pPr>
      <w:bookmarkStart w:id="458" w:name="bookmark458"/>
      <w:r>
        <w:rPr>
          <w:color w:val="000000"/>
          <w:spacing w:val="0"/>
          <w:w w:val="100"/>
          <w:position w:val="0"/>
        </w:rPr>
        <w:t>二</w:t>
      </w:r>
      <w:bookmarkEnd w:id="458"/>
      <w:r>
        <w:rPr>
          <w:color w:val="000000"/>
          <w:spacing w:val="0"/>
          <w:w w:val="100"/>
          <w:position w:val="0"/>
        </w:rPr>
        <w:t>、</w:t>
        <w:tab/>
        <w:t>员工保护方面</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按国家法律法规与员工签订合同，定期支付报酬，福利及社保，员工加班有补助及调休，并每月提供带薪休假半天。定 期组织培训及文化活动，为员工提供舒适的工作环境。制定大病帮扶政策，帮助患病员工及家属度过难关，每年公司大病帮 扶费用约10多万元。提供多方位员工福利，包括免费的营养早餐、加班零食、地铁到公司接驳巴士、公共区放置血压仪测量、 加班晚至9点后报销回家的士费、过节礼品、定期免费体检等额外福利。针对妇女生理特点和劳动条件对妇女肌体健康的特 殊影响而实行特殊劳动保护，尊重女工工作时的特殊要求，做好“四期”(经期、孕期、产期和哺乳期)防护。女性的四期 都按劳动法规定进行。</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员工满意度，充分考虑员工的心理需要，每年进行行政服务满意度调查，听取意见，持续改进。</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公司成立工会委员会，设立工会法人代表，并设立组织委员、财务委员、经费审查委员、女工委员、生产委员、宣传委 员等工会委员，以此维护劳动者的合法权益，组织会员参加企业管理，保障会员当家作主的民主权利。</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知识产权保护，公司重视知识产权的保护，对于本公司的知识产权成果都申请了相应的知识产权证书。同时，公司注重 知识产权文件的管理，建立了相应的文件管理制度及分类规范。另会适时对公司相关人员进行有关知识产权的培训，加强知 识产权方面的认识。对于本单位员工执行本单位工作任务或利用单位名义、利用单位物质条件和未公开的技术情报资料完成 的智力劳动成果而产生的知识产权，所有权归本单位所有，包括专利权、商标权、软件著作权等知识产权。</w:t>
      </w:r>
    </w:p>
    <w:p>
      <w:pPr>
        <w:pStyle w:val="Style28"/>
        <w:keepNext w:val="0"/>
        <w:keepLines w:val="0"/>
        <w:widowControl w:val="0"/>
        <w:shd w:val="clear" w:color="auto" w:fill="auto"/>
        <w:tabs>
          <w:tab w:pos="412" w:val="left"/>
        </w:tabs>
        <w:bidi w:val="0"/>
        <w:spacing w:before="0" w:after="0" w:line="312" w:lineRule="exact"/>
        <w:ind w:left="0" w:right="0" w:firstLine="0"/>
        <w:jc w:val="both"/>
      </w:pPr>
      <w:bookmarkStart w:id="459" w:name="bookmark459"/>
      <w:r>
        <w:rPr>
          <w:color w:val="000000"/>
          <w:spacing w:val="0"/>
          <w:w w:val="100"/>
          <w:position w:val="0"/>
        </w:rPr>
        <w:t>三</w:t>
      </w:r>
      <w:bookmarkEnd w:id="459"/>
      <w:r>
        <w:rPr>
          <w:color w:val="000000"/>
          <w:spacing w:val="0"/>
          <w:w w:val="100"/>
          <w:position w:val="0"/>
        </w:rPr>
        <w:t>、</w:t>
        <w:tab/>
        <w:t>安全生产方面</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公司定期学习相关法律，盘点制度防止纠纷隐患。建立劳动关系制度，并聘请专业咨询公司为公司职业发展通道任职资 格方面提供咨询意见，形成制度，全员下发。公司为打破各部门壁垒，树立各部门互为客户的意识，年底新国都进行内部客 户服务满意度调查，并将调查结果作为</w:t>
      </w:r>
      <w:r>
        <w:rPr>
          <w:color w:val="000000"/>
          <w:spacing w:val="0"/>
          <w:w w:val="100"/>
          <w:position w:val="0"/>
        </w:rPr>
        <w:t>KPI</w:t>
      </w:r>
      <w:r>
        <w:rPr>
          <w:color w:val="000000"/>
          <w:spacing w:val="0"/>
          <w:w w:val="100"/>
          <w:position w:val="0"/>
        </w:rPr>
        <w:t>考核的指标，形成部门间的良好合作意识。</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公司获得。</w:t>
      </w:r>
      <w:r>
        <w:rPr>
          <w:color w:val="000000"/>
          <w:spacing w:val="0"/>
          <w:w w:val="100"/>
          <w:position w:val="0"/>
        </w:rPr>
        <w:t>HSAS18001</w:t>
      </w:r>
      <w:r>
        <w:rPr>
          <w:color w:val="000000"/>
          <w:spacing w:val="0"/>
          <w:w w:val="100"/>
          <w:position w:val="0"/>
        </w:rPr>
        <w:t>职业健康安全管理体系认证及</w:t>
      </w:r>
      <w:r>
        <w:rPr>
          <w:color w:val="000000"/>
          <w:spacing w:val="0"/>
          <w:w w:val="100"/>
          <w:position w:val="0"/>
        </w:rPr>
        <w:t>IS。</w:t>
      </w:r>
      <w:r>
        <w:rPr>
          <w:color w:val="000000"/>
          <w:spacing w:val="0"/>
          <w:w w:val="100"/>
          <w:position w:val="0"/>
        </w:rPr>
        <w:t>14001环境管理体系认证。并严格按</w:t>
      </w:r>
      <w:r>
        <w:rPr>
          <w:color w:val="000000"/>
          <w:spacing w:val="0"/>
          <w:w w:val="100"/>
          <w:position w:val="0"/>
        </w:rPr>
        <w:t>IS。</w:t>
      </w:r>
      <w:r>
        <w:rPr>
          <w:color w:val="000000"/>
          <w:spacing w:val="0"/>
          <w:w w:val="100"/>
          <w:position w:val="0"/>
        </w:rPr>
        <w:t>14001标准识别相关法规 进行对应环保投入。</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公司办公区域按照法律法规和其他相关要求配备了相应的消防设施(包括灭火器、消防栓、喷淋系统、自动报警系统、 应急照明灯、紧急疏散标志等)，并定期进行点检。公司制定了综合应急预案，每年定期举办消防演习，强化公司全体员工 的消防安全意识，检验各应急小组的处置突发事件能力。公司内部的消防安全为社区的平安建设提供基础保障，后续将更积 极地参与社区的平安建设。</w:t>
      </w:r>
    </w:p>
    <w:p>
      <w:pPr>
        <w:pStyle w:val="Style28"/>
        <w:keepNext w:val="0"/>
        <w:keepLines w:val="0"/>
        <w:widowControl w:val="0"/>
        <w:shd w:val="clear" w:color="auto" w:fill="auto"/>
        <w:tabs>
          <w:tab w:pos="412" w:val="left"/>
        </w:tabs>
        <w:bidi w:val="0"/>
        <w:spacing w:before="0" w:after="0" w:line="312" w:lineRule="exact"/>
        <w:ind w:left="0" w:right="0" w:firstLine="0"/>
        <w:jc w:val="both"/>
      </w:pPr>
      <w:bookmarkStart w:id="460" w:name="bookmark460"/>
      <w:r>
        <w:rPr>
          <w:color w:val="000000"/>
          <w:spacing w:val="0"/>
          <w:w w:val="100"/>
          <w:position w:val="0"/>
        </w:rPr>
        <w:t>四</w:t>
      </w:r>
      <w:bookmarkEnd w:id="460"/>
      <w:r>
        <w:rPr>
          <w:color w:val="000000"/>
          <w:spacing w:val="0"/>
          <w:w w:val="100"/>
          <w:position w:val="0"/>
        </w:rPr>
        <w:t>、</w:t>
        <w:tab/>
        <w:t>供应链合作方面</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公司作为一家国际级高新技术企业，除了为客户提供安全、便捷、高效的</w:t>
      </w:r>
      <w:r>
        <w:rPr>
          <w:color w:val="000000"/>
          <w:spacing w:val="0"/>
          <w:w w:val="100"/>
          <w:position w:val="0"/>
        </w:rPr>
        <w:t>po s</w:t>
      </w:r>
      <w:r>
        <w:rPr>
          <w:color w:val="000000"/>
          <w:spacing w:val="0"/>
          <w:w w:val="100"/>
          <w:position w:val="0"/>
        </w:rPr>
        <w:t>设备外，还掌握着先进的、专利性的支付 技术、平台技术和系统能力，在整合内部资源的基础上，为上下游产业链的合作企业提供技术支持及应用开发等，与合作企 业探讨新的合作模式，共享利润。</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在供应商选择时，优先考虑本地供应商，为当地创造更多的就业机会，并积极扶持供应商提升技术能力，帮助企业发展， 与公司实现协同。</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建立廉洁约束制度，采购人员均签署“采购人员职业操守保证书”，并在各种会谈中向供应商宣导防腐精神，打消供应 商的顾虑。关注供应链相关方的社会责任履行，并在供应商的选择考核时加入考核项，收集供应商的环境相关方协议。</w:t>
      </w:r>
    </w:p>
    <w:p>
      <w:pPr>
        <w:pStyle w:val="Style28"/>
        <w:keepNext w:val="0"/>
        <w:keepLines w:val="0"/>
        <w:widowControl w:val="0"/>
        <w:shd w:val="clear" w:color="auto" w:fill="auto"/>
        <w:tabs>
          <w:tab w:pos="412" w:val="left"/>
        </w:tabs>
        <w:bidi w:val="0"/>
        <w:spacing w:before="0" w:after="0" w:line="312" w:lineRule="exact"/>
        <w:ind w:left="0" w:right="0" w:firstLine="0"/>
        <w:jc w:val="left"/>
      </w:pPr>
      <w:bookmarkStart w:id="461" w:name="bookmark461"/>
      <w:r>
        <w:rPr>
          <w:color w:val="000000"/>
          <w:spacing w:val="0"/>
          <w:w w:val="100"/>
          <w:position w:val="0"/>
        </w:rPr>
        <w:t>五</w:t>
      </w:r>
      <w:bookmarkEnd w:id="461"/>
      <w:r>
        <w:rPr>
          <w:color w:val="000000"/>
          <w:spacing w:val="0"/>
          <w:w w:val="100"/>
          <w:position w:val="0"/>
        </w:rPr>
        <w:t>、</w:t>
        <w:tab/>
        <w:t>消费者保护方面</w:t>
      </w:r>
    </w:p>
    <w:p>
      <w:pPr>
        <w:pStyle w:val="Style28"/>
        <w:keepNext w:val="0"/>
        <w:keepLines w:val="0"/>
        <w:widowControl w:val="0"/>
        <w:numPr>
          <w:ilvl w:val="0"/>
          <w:numId w:val="31"/>
        </w:numPr>
        <w:shd w:val="clear" w:color="auto" w:fill="auto"/>
        <w:tabs>
          <w:tab w:pos="306" w:val="left"/>
        </w:tabs>
        <w:bidi w:val="0"/>
        <w:spacing w:before="0" w:after="0" w:line="312" w:lineRule="exact"/>
        <w:ind w:left="0" w:right="0" w:firstLine="0"/>
        <w:jc w:val="left"/>
      </w:pPr>
      <w:bookmarkStart w:id="462" w:name="bookmark462"/>
      <w:bookmarkEnd w:id="462"/>
      <w:r>
        <w:rPr>
          <w:rFonts w:ascii="Times New Roman" w:eastAsia="Times New Roman" w:hAnsi="Times New Roman" w:cs="Times New Roman"/>
          <w:color w:val="000000"/>
          <w:spacing w:val="0"/>
          <w:w w:val="100"/>
          <w:position w:val="0"/>
        </w:rPr>
        <w:t>.</w:t>
      </w:r>
      <w:r>
        <w:rPr>
          <w:color w:val="000000"/>
          <w:spacing w:val="0"/>
          <w:w w:val="100"/>
          <w:position w:val="0"/>
        </w:rPr>
        <w:t>合同清晰：公司设立法务部，专司合同审核及销售合同制定，在产品销售合同中明确写明责任与义务。</w:t>
      </w:r>
    </w:p>
    <w:p>
      <w:pPr>
        <w:pStyle w:val="Style28"/>
        <w:keepNext w:val="0"/>
        <w:keepLines w:val="0"/>
        <w:widowControl w:val="0"/>
        <w:numPr>
          <w:ilvl w:val="0"/>
          <w:numId w:val="31"/>
        </w:numPr>
        <w:shd w:val="clear" w:color="auto" w:fill="auto"/>
        <w:tabs>
          <w:tab w:pos="325" w:val="left"/>
        </w:tabs>
        <w:bidi w:val="0"/>
        <w:spacing w:before="0" w:after="80" w:line="312" w:lineRule="exact"/>
        <w:ind w:left="0" w:right="0" w:firstLine="0"/>
        <w:jc w:val="left"/>
      </w:pPr>
      <w:bookmarkStart w:id="463" w:name="bookmark463"/>
      <w:bookmarkEnd w:id="463"/>
      <w:r>
        <w:rPr>
          <w:rFonts w:ascii="Times New Roman" w:eastAsia="Times New Roman" w:hAnsi="Times New Roman" w:cs="Times New Roman"/>
          <w:color w:val="000000"/>
          <w:spacing w:val="0"/>
          <w:w w:val="100"/>
          <w:position w:val="0"/>
        </w:rPr>
        <w:t>.</w:t>
      </w:r>
      <w:r>
        <w:rPr>
          <w:color w:val="000000"/>
          <w:spacing w:val="0"/>
          <w:w w:val="100"/>
          <w:position w:val="0"/>
        </w:rPr>
        <w:t>真实宣传：广告宣传、产品说明秉承</w:t>
      </w:r>
      <w:r>
        <w:rPr>
          <w:rFonts w:ascii="Times New Roman" w:eastAsia="Times New Roman" w:hAnsi="Times New Roman" w:cs="Times New Roman"/>
          <w:color w:val="000000"/>
          <w:spacing w:val="0"/>
          <w:w w:val="100"/>
          <w:position w:val="0"/>
        </w:rPr>
        <w:t>“</w:t>
      </w:r>
      <w:r>
        <w:rPr>
          <w:color w:val="000000"/>
          <w:spacing w:val="0"/>
          <w:w w:val="100"/>
          <w:position w:val="0"/>
        </w:rPr>
        <w:t>诚信</w:t>
      </w:r>
      <w:r>
        <w:rPr>
          <w:rFonts w:ascii="Times New Roman" w:eastAsia="Times New Roman" w:hAnsi="Times New Roman" w:cs="Times New Roman"/>
          <w:color w:val="000000"/>
          <w:spacing w:val="0"/>
          <w:w w:val="100"/>
          <w:position w:val="0"/>
        </w:rPr>
        <w:t>”</w:t>
      </w:r>
      <w:r>
        <w:rPr>
          <w:color w:val="000000"/>
          <w:spacing w:val="0"/>
          <w:w w:val="100"/>
          <w:position w:val="0"/>
        </w:rPr>
        <w:t>原则，不存在虚假、夸大宣传。</w:t>
      </w:r>
    </w:p>
    <w:p>
      <w:pPr>
        <w:pStyle w:val="Style28"/>
        <w:keepNext w:val="0"/>
        <w:keepLines w:val="0"/>
        <w:widowControl w:val="0"/>
        <w:numPr>
          <w:ilvl w:val="0"/>
          <w:numId w:val="31"/>
        </w:numPr>
        <w:shd w:val="clear" w:color="auto" w:fill="auto"/>
        <w:tabs>
          <w:tab w:pos="325" w:val="left"/>
        </w:tabs>
        <w:bidi w:val="0"/>
        <w:spacing w:before="0" w:after="0"/>
        <w:ind w:left="0" w:right="0" w:firstLine="0"/>
        <w:jc w:val="left"/>
      </w:pPr>
      <w:bookmarkStart w:id="464" w:name="bookmark464"/>
      <w:bookmarkEnd w:id="464"/>
      <w:r>
        <w:rPr>
          <w:rFonts w:ascii="Times New Roman" w:eastAsia="Times New Roman" w:hAnsi="Times New Roman" w:cs="Times New Roman"/>
          <w:color w:val="000000"/>
          <w:spacing w:val="0"/>
          <w:w w:val="100"/>
          <w:position w:val="0"/>
        </w:rPr>
        <w:t>.</w:t>
      </w:r>
      <w:r>
        <w:rPr>
          <w:color w:val="000000"/>
          <w:spacing w:val="0"/>
          <w:w w:val="100"/>
          <w:position w:val="0"/>
        </w:rPr>
        <w:t>售后服务：公司设立</w:t>
      </w:r>
      <w:r>
        <w:rPr>
          <w:rFonts w:ascii="Times New Roman" w:eastAsia="Times New Roman" w:hAnsi="Times New Roman" w:cs="Times New Roman"/>
          <w:color w:val="000000"/>
          <w:spacing w:val="0"/>
          <w:w w:val="100"/>
          <w:position w:val="0"/>
        </w:rPr>
        <w:t>24</w:t>
      </w:r>
      <w:r>
        <w:rPr>
          <w:color w:val="000000"/>
          <w:spacing w:val="0"/>
          <w:w w:val="100"/>
          <w:position w:val="0"/>
        </w:rPr>
        <w:t>小时全国售后服务热线，针对全部售出产品的任何问题提供解答解决服务。</w:t>
      </w:r>
    </w:p>
    <w:p>
      <w:pPr>
        <w:pStyle w:val="Style28"/>
        <w:keepNext w:val="0"/>
        <w:keepLines w:val="0"/>
        <w:widowControl w:val="0"/>
        <w:numPr>
          <w:ilvl w:val="0"/>
          <w:numId w:val="31"/>
        </w:numPr>
        <w:shd w:val="clear" w:color="auto" w:fill="auto"/>
        <w:tabs>
          <w:tab w:pos="325" w:val="left"/>
        </w:tabs>
        <w:bidi w:val="0"/>
        <w:spacing w:before="0" w:after="0" w:line="312" w:lineRule="exact"/>
        <w:ind w:left="0" w:right="0" w:firstLine="0"/>
        <w:jc w:val="left"/>
      </w:pPr>
      <w:bookmarkStart w:id="465" w:name="bookmark465"/>
      <w:bookmarkEnd w:id="465"/>
      <w:r>
        <w:rPr>
          <w:rFonts w:ascii="Times New Roman" w:eastAsia="Times New Roman" w:hAnsi="Times New Roman" w:cs="Times New Roman"/>
          <w:color w:val="000000"/>
          <w:spacing w:val="0"/>
          <w:w w:val="100"/>
          <w:position w:val="0"/>
        </w:rPr>
        <w:t>.</w:t>
      </w:r>
      <w:r>
        <w:rPr>
          <w:color w:val="000000"/>
          <w:spacing w:val="0"/>
          <w:w w:val="100"/>
          <w:position w:val="0"/>
        </w:rPr>
        <w:t>消费者保护：建立系列质量管理体系程序要求并严格执行，确保从选材到售后各环节都充分考虑消费者健康和安全；同 时所有产品在研发和更改时及时提交各类安全认证，确保符合相关安全法规要求。</w:t>
      </w:r>
    </w:p>
    <w:p>
      <w:pPr>
        <w:pStyle w:val="Style28"/>
        <w:keepNext w:val="0"/>
        <w:keepLines w:val="0"/>
        <w:widowControl w:val="0"/>
        <w:numPr>
          <w:ilvl w:val="0"/>
          <w:numId w:val="31"/>
        </w:numPr>
        <w:shd w:val="clear" w:color="auto" w:fill="auto"/>
        <w:tabs>
          <w:tab w:pos="335" w:val="left"/>
        </w:tabs>
        <w:bidi w:val="0"/>
        <w:spacing w:before="0" w:after="0" w:line="314" w:lineRule="exact"/>
        <w:ind w:left="0" w:right="0" w:firstLine="0"/>
        <w:jc w:val="left"/>
      </w:pPr>
      <w:bookmarkStart w:id="466" w:name="bookmark466"/>
      <w:bookmarkEnd w:id="466"/>
      <w:r>
        <w:rPr>
          <w:rFonts w:ascii="Times New Roman" w:eastAsia="Times New Roman" w:hAnsi="Times New Roman" w:cs="Times New Roman"/>
          <w:color w:val="000000"/>
          <w:spacing w:val="0"/>
          <w:w w:val="100"/>
          <w:position w:val="0"/>
        </w:rPr>
        <w:t>.</w:t>
      </w:r>
      <w:r>
        <w:rPr>
          <w:color w:val="000000"/>
          <w:spacing w:val="0"/>
          <w:w w:val="100"/>
          <w:position w:val="0"/>
        </w:rPr>
        <w:t>客户调查：每年进行客户满意度调查，官网公开售后服务热线及各办事处联络电话以及投资者热线。</w:t>
      </w:r>
    </w:p>
    <w:p>
      <w:pPr>
        <w:pStyle w:val="Style28"/>
        <w:keepNext w:val="0"/>
        <w:keepLines w:val="0"/>
        <w:widowControl w:val="0"/>
        <w:numPr>
          <w:ilvl w:val="0"/>
          <w:numId w:val="31"/>
        </w:numPr>
        <w:shd w:val="clear" w:color="auto" w:fill="auto"/>
        <w:tabs>
          <w:tab w:pos="340" w:val="left"/>
        </w:tabs>
        <w:bidi w:val="0"/>
        <w:spacing w:before="0" w:after="0" w:line="314" w:lineRule="exact"/>
        <w:ind w:left="0" w:right="0" w:firstLine="0"/>
        <w:jc w:val="left"/>
      </w:pPr>
      <w:bookmarkStart w:id="467" w:name="bookmark467"/>
      <w:bookmarkEnd w:id="467"/>
      <w:r>
        <w:rPr>
          <w:rFonts w:ascii="Times New Roman" w:eastAsia="Times New Roman" w:hAnsi="Times New Roman" w:cs="Times New Roman"/>
          <w:color w:val="000000"/>
          <w:spacing w:val="0"/>
          <w:w w:val="100"/>
          <w:position w:val="0"/>
        </w:rPr>
        <w:t>.</w:t>
      </w:r>
      <w:r>
        <w:rPr>
          <w:color w:val="000000"/>
          <w:spacing w:val="0"/>
          <w:w w:val="100"/>
          <w:position w:val="0"/>
        </w:rPr>
        <w:t>信息保密：我司</w:t>
      </w:r>
      <w:r>
        <w:rPr>
          <w:rFonts w:ascii="Times New Roman" w:eastAsia="Times New Roman" w:hAnsi="Times New Roman" w:cs="Times New Roman"/>
          <w:color w:val="000000"/>
          <w:spacing w:val="0"/>
          <w:w w:val="100"/>
          <w:position w:val="0"/>
        </w:rPr>
        <w:t>POS</w:t>
      </w:r>
      <w:r>
        <w:rPr>
          <w:color w:val="000000"/>
          <w:spacing w:val="0"/>
          <w:w w:val="100"/>
          <w:position w:val="0"/>
        </w:rPr>
        <w:t>机具主要用于商户，由商户自行保管和使用，</w:t>
      </w:r>
      <w:r>
        <w:rPr>
          <w:rFonts w:ascii="Times New Roman" w:eastAsia="Times New Roman" w:hAnsi="Times New Roman" w:cs="Times New Roman"/>
          <w:color w:val="000000"/>
          <w:spacing w:val="0"/>
          <w:w w:val="100"/>
          <w:position w:val="0"/>
        </w:rPr>
        <w:t>POS</w:t>
      </w:r>
      <w:r>
        <w:rPr>
          <w:color w:val="000000"/>
          <w:spacing w:val="0"/>
          <w:w w:val="100"/>
          <w:position w:val="0"/>
        </w:rPr>
        <w:t>机具只会保存未结算的交易信息，机具更换和报废 时，都需要结算处理，在报废时更需要承诺采购方清除一切数据信息。</w:t>
      </w:r>
    </w:p>
    <w:p>
      <w:pPr>
        <w:pStyle w:val="Style28"/>
        <w:keepNext w:val="0"/>
        <w:keepLines w:val="0"/>
        <w:widowControl w:val="0"/>
        <w:shd w:val="clear" w:color="auto" w:fill="auto"/>
        <w:tabs>
          <w:tab w:pos="426" w:val="left"/>
        </w:tabs>
        <w:bidi w:val="0"/>
        <w:spacing w:before="0" w:after="0" w:line="314" w:lineRule="exact"/>
        <w:ind w:left="0" w:right="0" w:firstLine="0"/>
        <w:jc w:val="left"/>
      </w:pPr>
      <w:bookmarkStart w:id="468" w:name="bookmark468"/>
      <w:r>
        <w:rPr>
          <w:color w:val="000000"/>
          <w:spacing w:val="0"/>
          <w:w w:val="100"/>
          <w:position w:val="0"/>
        </w:rPr>
        <w:t>六</w:t>
      </w:r>
      <w:bookmarkEnd w:id="468"/>
      <w:r>
        <w:rPr>
          <w:color w:val="000000"/>
          <w:spacing w:val="0"/>
          <w:w w:val="100"/>
          <w:position w:val="0"/>
        </w:rPr>
        <w:t>、</w:t>
        <w:tab/>
        <w:t>环境保护方面</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自愿削减污染物排放量，并持续改进环境绩效；自愿减少其他可识别的污染形式(包括但不仅限于噪声、气味、视觉效 果、光污染、震动、电磁辐射、放射物、传染性物质、非点源排放或无组织排放，以及生物危害等)。建立以下程序并严格 执行：废弃物管理程序、环境和安全监视测量控制程序、应急准备和响应控制程序。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主动采用新材料、新工艺等技术手段，实现有效管理并最大程度减少或预防危险化学品的使用，产品或服务在全生命周 期中的使用控制在安全水平范围内，并主动环保进行产品清洁生产设计。建立以下程序并严格执行：化学品及危险品管理程 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建立及实施识别、测量、监控、记录和报告各种能源购买、使用、存储、处理、回收的管理制度，提高能源利用率。节 约水、电、纸张等并作为环境管理方案进行检测和管理。</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建立及实施识别、测量、监控、记录和报告各种资源的开发、利用、储存、处理、回收或回用的管理制度，并取得公认 的相关管理体系或标识的认证证书。公司生产的所有产品均通过</w:t>
      </w:r>
      <w:r>
        <w:rPr>
          <w:color w:val="000000"/>
          <w:spacing w:val="0"/>
          <w:w w:val="100"/>
          <w:position w:val="0"/>
        </w:rPr>
        <w:t>ROHS</w:t>
      </w:r>
      <w:r>
        <w:rPr>
          <w:color w:val="000000"/>
          <w:spacing w:val="0"/>
          <w:w w:val="100"/>
          <w:position w:val="0"/>
        </w:rPr>
        <w:t>检测要求。</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建立温室气体排放管理制度，通过提高能源使用效率，更改工艺、替换燃料等措施降低温室气体排放量。每年设定指标 并实施：降低每单位产品水电消耗。</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2016年对重点产品进行包装重新设计，采用精简包装</w:t>
      </w:r>
    </w:p>
    <w:p>
      <w:pPr>
        <w:pStyle w:val="Style28"/>
        <w:keepNext w:val="0"/>
        <w:keepLines w:val="0"/>
        <w:widowControl w:val="0"/>
        <w:shd w:val="clear" w:color="auto" w:fill="auto"/>
        <w:tabs>
          <w:tab w:pos="426" w:val="left"/>
        </w:tabs>
        <w:bidi w:val="0"/>
        <w:spacing w:before="0" w:after="0" w:line="314" w:lineRule="exact"/>
        <w:ind w:left="0" w:right="0" w:firstLine="0"/>
        <w:jc w:val="left"/>
      </w:pPr>
      <w:bookmarkStart w:id="469" w:name="bookmark469"/>
      <w:r>
        <w:rPr>
          <w:color w:val="000000"/>
          <w:spacing w:val="0"/>
          <w:w w:val="100"/>
          <w:position w:val="0"/>
        </w:rPr>
        <w:t>七</w:t>
      </w:r>
      <w:bookmarkEnd w:id="469"/>
      <w:r>
        <w:rPr>
          <w:color w:val="000000"/>
          <w:spacing w:val="0"/>
          <w:w w:val="100"/>
          <w:position w:val="0"/>
        </w:rPr>
        <w:t>、</w:t>
        <w:tab/>
        <w:t>媒体互动方面</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公司本着坦诚、合作、专业的思维努力构建良好的媒体关系，通过舆情管理耐心倾听市场及社会各方诉求，与媒体友好 沟通，以开放的态度邀请媒体走进企业，了解企业，向外界传达新国都的企业形象。</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公司已全面建立《投资者关系管理制度》、《信息披露制度》等内控制度，同时公司作为上市公司，严格按照上市指引， 定期发布公司季度报告、半年度报告、年度报告。此外针对公司在日常运作中出现的需披露或者对公司有较大影响的事件， 公司积极履行信息披露义务通过指定渠道向社会公众公布。</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公司为行业内上市公司，严格按照上市指引进行信息披露，针对会对公司产生重大影响的商业信息，公司履行及时披露 原则，在获取信息的第一时间进行披露，涉及国家安全等机密信息除外。针对行业内需要保密的机密信息，或者与公司本身 并无太大关系，公司履行保密原则。</w:t>
      </w:r>
    </w:p>
    <w:p>
      <w:pPr>
        <w:pStyle w:val="Style28"/>
        <w:keepNext w:val="0"/>
        <w:keepLines w:val="0"/>
        <w:widowControl w:val="0"/>
        <w:shd w:val="clear" w:color="auto" w:fill="auto"/>
        <w:tabs>
          <w:tab w:pos="426" w:val="left"/>
        </w:tabs>
        <w:bidi w:val="0"/>
        <w:spacing w:before="0" w:after="0" w:line="314" w:lineRule="exact"/>
        <w:ind w:left="0" w:right="0" w:firstLine="0"/>
        <w:jc w:val="left"/>
      </w:pPr>
      <w:bookmarkStart w:id="470" w:name="bookmark470"/>
      <w:r>
        <w:rPr>
          <w:color w:val="000000"/>
          <w:spacing w:val="0"/>
          <w:w w:val="100"/>
          <w:position w:val="0"/>
        </w:rPr>
        <w:t>八</w:t>
      </w:r>
      <w:bookmarkEnd w:id="470"/>
      <w:r>
        <w:rPr>
          <w:color w:val="000000"/>
          <w:spacing w:val="0"/>
          <w:w w:val="100"/>
          <w:position w:val="0"/>
        </w:rPr>
        <w:t>、</w:t>
        <w:tab/>
        <w:t>政府沟通方面</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公司一直秉持友好政策，积极履行政府倡导，合规经营企业，不逃税不漏税，为政府财政收入增添力量。同时，公司每 年都会为南下深圳的应届毕业生安排大量岗位以及各种培训实现人才的软着陆，为缓解社会就业压力和保障社会稳定发挥了 积极作用。遵守法则，做政府倡导的事，与政府友好沟通和互动，以认真履行社会责任为已任，做尽职的企业公民，为企业 与社会和谐发展做贡献，为企业营造良好的政府关系环境。</w:t>
      </w:r>
    </w:p>
    <w:p>
      <w:pPr>
        <w:pStyle w:val="Style28"/>
        <w:keepNext w:val="0"/>
        <w:keepLines w:val="0"/>
        <w:widowControl w:val="0"/>
        <w:shd w:val="clear" w:color="auto" w:fill="auto"/>
        <w:tabs>
          <w:tab w:pos="426" w:val="left"/>
        </w:tabs>
        <w:bidi w:val="0"/>
        <w:spacing w:before="0" w:after="0" w:line="314" w:lineRule="exact"/>
        <w:ind w:left="0" w:right="0" w:firstLine="0"/>
        <w:jc w:val="left"/>
      </w:pPr>
      <w:bookmarkStart w:id="471" w:name="bookmark471"/>
      <w:r>
        <w:rPr>
          <w:color w:val="000000"/>
          <w:spacing w:val="0"/>
          <w:w w:val="100"/>
          <w:position w:val="0"/>
        </w:rPr>
        <w:t>九</w:t>
      </w:r>
      <w:bookmarkEnd w:id="471"/>
      <w:r>
        <w:rPr>
          <w:color w:val="000000"/>
          <w:spacing w:val="0"/>
          <w:w w:val="100"/>
          <w:position w:val="0"/>
        </w:rPr>
        <w:t>、</w:t>
        <w:tab/>
        <w:t>公益贡献方面</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公司通过组织员工献血、爱心捐赠、大病帮扶、慈善助学等多种形式为社会公益贡献力量，向社会传达正能量。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公司重视社会公益活动的组织。2015年9月3日纪念抗战胜利70周年，学习革命先烈勇于承担社会责任和无私奉献的精 神；2015年9月2日，与深圳市血液中心联系由新国都党支部号召并组织了新国都无偿献血活动。</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公司董事长定期帮扶困难学生。</w:t>
      </w:r>
    </w:p>
    <w:p>
      <w:pPr>
        <w:pStyle w:val="Style28"/>
        <w:keepNext w:val="0"/>
        <w:keepLines w:val="0"/>
        <w:widowControl w:val="0"/>
        <w:shd w:val="clear" w:color="auto" w:fill="auto"/>
        <w:bidi w:val="0"/>
        <w:spacing w:before="0" w:after="0" w:line="355" w:lineRule="exact"/>
        <w:ind w:left="0" w:right="0" w:firstLine="0"/>
        <w:jc w:val="both"/>
      </w:pPr>
      <w:r>
        <w:rPr>
          <w:color w:val="000000"/>
          <w:spacing w:val="0"/>
          <w:w w:val="100"/>
          <w:position w:val="0"/>
        </w:rPr>
        <w:t>上市公司及其子公司是否属于环境保护部门公布的重点排污单位 否</w:t>
      </w:r>
    </w:p>
    <w:p>
      <w:pPr>
        <w:pStyle w:val="Style28"/>
        <w:keepNext w:val="0"/>
        <w:keepLines w:val="0"/>
        <w:widowControl w:val="0"/>
        <w:shd w:val="clear" w:color="auto" w:fill="auto"/>
        <w:bidi w:val="0"/>
        <w:spacing w:before="0" w:after="60" w:line="314" w:lineRule="exact"/>
        <w:ind w:left="0" w:right="0" w:firstLine="0"/>
        <w:jc w:val="both"/>
      </w:pPr>
      <w:r>
        <w:rPr>
          <w:color w:val="000000"/>
          <w:spacing w:val="0"/>
          <w:w w:val="100"/>
          <w:position w:val="0"/>
        </w:rPr>
        <w:t>是否发布社会责任报告</w:t>
      </w:r>
    </w:p>
    <w:p>
      <w:pPr>
        <w:pStyle w:val="Style28"/>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both"/>
      </w:pPr>
      <w:bookmarkStart w:id="472" w:name="bookmark472"/>
      <w:bookmarkStart w:id="473" w:name="bookmark473"/>
      <w:bookmarkStart w:id="474" w:name="bookmark474"/>
      <w:r>
        <w:rPr>
          <w:color w:val="000000"/>
          <w:spacing w:val="0"/>
          <w:w w:val="100"/>
          <w:position w:val="0"/>
          <w:sz w:val="24"/>
          <w:szCs w:val="24"/>
        </w:rPr>
        <w:t>十八、其他重大事项的说明</w:t>
      </w:r>
      <w:bookmarkEnd w:id="472"/>
      <w:bookmarkEnd w:id="473"/>
      <w:bookmarkEnd w:id="474"/>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r>
        <w:rPr>
          <w:color w:val="000000"/>
          <w:spacing w:val="0"/>
          <w:w w:val="100"/>
          <w:position w:val="0"/>
          <w:sz w:val="24"/>
          <w:szCs w:val="24"/>
        </w:rPr>
        <w:t>十九、公司子公司重大事项</w:t>
      </w:r>
      <w:bookmarkEnd w:id="475"/>
      <w:bookmarkEnd w:id="476"/>
      <w:bookmarkEnd w:id="477"/>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57" w:bottom="1445"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600" w:line="240" w:lineRule="auto"/>
        <w:ind w:left="0" w:right="0" w:firstLine="0"/>
        <w:jc w:val="center"/>
      </w:pPr>
      <w:bookmarkStart w:id="481" w:name="bookmark481"/>
      <w:bookmarkStart w:id="482" w:name="bookmark482"/>
      <w:bookmarkStart w:id="483" w:name="bookmark483"/>
      <w:r>
        <w:rPr>
          <w:color w:val="000000"/>
          <w:spacing w:val="0"/>
          <w:w w:val="100"/>
          <w:position w:val="0"/>
        </w:rPr>
        <w:t>第六节股份变动及股东情况</w:t>
      </w:r>
      <w:bookmarkEnd w:id="481"/>
      <w:bookmarkEnd w:id="482"/>
      <w:bookmarkEnd w:id="483"/>
    </w:p>
    <w:p>
      <w:pPr>
        <w:pStyle w:val="Style25"/>
        <w:keepNext/>
        <w:keepLines/>
        <w:widowControl w:val="0"/>
        <w:shd w:val="clear" w:color="auto" w:fill="auto"/>
        <w:bidi w:val="0"/>
        <w:spacing w:before="0" w:line="240" w:lineRule="auto"/>
        <w:ind w:left="0" w:right="0" w:firstLine="0"/>
        <w:jc w:val="both"/>
      </w:pPr>
      <w:bookmarkStart w:id="484" w:name="bookmark484"/>
      <w:bookmarkStart w:id="485" w:name="bookmark485"/>
      <w:bookmarkStart w:id="486" w:name="bookmark486"/>
      <w:bookmarkStart w:id="487" w:name="bookmark487"/>
      <w:bookmarkStart w:id="488" w:name="bookmark488"/>
      <w:r>
        <w:rPr>
          <w:color w:val="000000"/>
          <w:spacing w:val="0"/>
          <w:w w:val="100"/>
          <w:position w:val="0"/>
          <w:sz w:val="24"/>
          <w:szCs w:val="24"/>
        </w:rPr>
        <w:t>一</w:t>
      </w:r>
      <w:bookmarkEnd w:id="487"/>
      <w:r>
        <w:rPr>
          <w:color w:val="000000"/>
          <w:spacing w:val="0"/>
          <w:w w:val="100"/>
          <w:position w:val="0"/>
          <w:sz w:val="24"/>
          <w:szCs w:val="24"/>
        </w:rPr>
        <w:t>、股份变动情况</w:t>
      </w:r>
      <w:bookmarkEnd w:id="485"/>
      <w:bookmarkEnd w:id="486"/>
      <w:bookmarkEnd w:id="488"/>
      <w:bookmarkEnd w:id="484"/>
    </w:p>
    <w:p>
      <w:pPr>
        <w:pStyle w:val="Style33"/>
        <w:keepNext/>
        <w:keepLines/>
        <w:widowControl w:val="0"/>
        <w:shd w:val="clear" w:color="auto" w:fill="auto"/>
        <w:bidi w:val="0"/>
        <w:spacing w:before="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、股份变动情况</w:t>
      </w:r>
      <w:bookmarkEnd w:id="489"/>
      <w:bookmarkEnd w:id="490"/>
      <w:bookmarkEnd w:id="4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81,857,29</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82,132,92</w:t>
            </w:r>
          </w:p>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81,857,29</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82,132,92</w:t>
            </w:r>
          </w:p>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81,857,29</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82,132,92</w:t>
            </w:r>
          </w:p>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149,164,0</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4,237,920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153,348,3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149,164,0</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4,237,920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153,348,3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231,021,3</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4,459,920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4,459,920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235,481,2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2016年4月19日公司召开第三届董事会第二十六次会议审议通过《关于公司2014年股票期权激励计划第二个行权期可行 权的议案》，公司2014年股票期权激励计划第二个行权期行权时间为2016年5月9日至2017年5月9日。截止至2016年12月31 日，已行权期权数量为4,459,920份，故公司股份总数增加4, 459,920股。</w:t>
      </w:r>
    </w:p>
    <w:p>
      <w:pPr>
        <w:pStyle w:val="Style2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 xml:space="preserve">2016年4月25日公司召开第三届董事会第二十七次会议审议通过《关于提名聘请副总经理的议案》，公司聘请姚骏、李 </w:t>
      </w:r>
      <w:r>
        <w:rPr>
          <w:color w:val="000000"/>
          <w:spacing w:val="0"/>
          <w:w w:val="100"/>
          <w:position w:val="0"/>
        </w:rPr>
        <w:t>健为公司副总经理。根据《创业板上市公司规范运作指引》上市公司高级管理人员所持股份任职期间按75%进行锁定。 股份变动的批准情况</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60"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6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2016年度公司基本每股收益为</w:t>
      </w:r>
      <w:r>
        <w:rPr>
          <w:color w:val="000000"/>
          <w:spacing w:val="0"/>
          <w:w w:val="100"/>
          <w:position w:val="0"/>
        </w:rPr>
        <w:t>0.6</w:t>
      </w:r>
      <w:r>
        <w:rPr>
          <w:color w:val="000000"/>
          <w:spacing w:val="0"/>
          <w:w w:val="100"/>
          <w:position w:val="0"/>
        </w:rPr>
        <w:t>元，截止至2017年3月31日公司最新总股本235,491,280股，稀释每股收益为</w:t>
      </w:r>
      <w:r>
        <w:rPr>
          <w:color w:val="000000"/>
          <w:spacing w:val="0"/>
          <w:w w:val="100"/>
          <w:position w:val="0"/>
        </w:rPr>
        <w:t>0.59</w:t>
      </w:r>
      <w:r>
        <w:rPr>
          <w:color w:val="000000"/>
          <w:spacing w:val="0"/>
          <w:w w:val="100"/>
          <w:position w:val="0"/>
        </w:rPr>
        <w:t>元, 股份变动致使最近一期每股收益下降</w:t>
      </w:r>
      <w:r>
        <w:rPr>
          <w:color w:val="000000"/>
          <w:spacing w:val="0"/>
          <w:w w:val="100"/>
          <w:position w:val="0"/>
        </w:rPr>
        <w:t>0.01</w:t>
      </w:r>
      <w:r>
        <w:rPr>
          <w:color w:val="000000"/>
          <w:spacing w:val="0"/>
          <w:w w:val="100"/>
          <w:position w:val="0"/>
        </w:rPr>
        <w:t>元。归属于公司普通股股东的每股净资产基本不变。</w:t>
      </w:r>
    </w:p>
    <w:p>
      <w:pPr>
        <w:pStyle w:val="Style28"/>
        <w:keepNext w:val="0"/>
        <w:keepLines w:val="0"/>
        <w:widowControl w:val="0"/>
        <w:shd w:val="clear" w:color="auto" w:fill="auto"/>
        <w:bidi w:val="0"/>
        <w:spacing w:before="0" w:after="120" w:line="322" w:lineRule="exact"/>
        <w:ind w:left="0" w:right="0" w:firstLine="38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0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、限售股份变动情况</w:t>
      </w:r>
      <w:bookmarkEnd w:id="493"/>
      <w:bookmarkEnd w:id="494"/>
      <w:bookmarkEnd w:id="496"/>
    </w:p>
    <w:p>
      <w:pPr>
        <w:pStyle w:val="Style28"/>
        <w:keepNext w:val="0"/>
        <w:keepLines w:val="0"/>
        <w:widowControl w:val="0"/>
        <w:shd w:val="clear" w:color="auto" w:fill="auto"/>
        <w:bidi w:val="0"/>
        <w:spacing w:before="0" w:after="0" w:line="418"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73"/>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118,125</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新聘高级管理人 员及股权激励行 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新聘高级管理人 员</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137,250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股权激励行权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102,075</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股权激励行权</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364,951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、证券发行与上市情况</w:t>
      </w:r>
      <w:bookmarkEnd w:id="497"/>
      <w:bookmarkEnd w:id="498"/>
      <w:bookmarkEnd w:id="500"/>
    </w:p>
    <w:p>
      <w:pPr>
        <w:pStyle w:val="Style33"/>
        <w:keepNext/>
        <w:keepLines/>
        <w:widowControl w:val="0"/>
        <w:shd w:val="clear" w:color="auto" w:fill="auto"/>
        <w:tabs>
          <w:tab w:pos="368" w:val="left"/>
        </w:tabs>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报告期内证券发行（不含优先股）情况</w:t>
      </w:r>
      <w:bookmarkEnd w:id="501"/>
      <w:bookmarkEnd w:id="502"/>
      <w:bookmarkEnd w:id="504"/>
    </w:p>
    <w:p>
      <w:pPr>
        <w:pStyle w:val="Style2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公司股份总数及股东结构的变动、公司资产和负债结构的变动情况说明</w:t>
      </w:r>
      <w:bookmarkEnd w:id="505"/>
      <w:bookmarkEnd w:id="506"/>
      <w:bookmarkEnd w:id="508"/>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2016年4月19日公司召开第三届董事会第二十六次会议审议通过《关于公司2014年股票期权激励计划第二个行权期可行 权的议案》，公司2014年股票期权激励计划第二个行权期行权时间为2016年5月9日至2017年5月9日。截止至2016年12月31 日，已行权期权数量为4,459,920份，故公司股份总数增加4, 459,920股，总股本增加</w:t>
      </w:r>
      <w:r>
        <w:rPr>
          <w:color w:val="000000"/>
          <w:spacing w:val="0"/>
          <w:w w:val="100"/>
          <w:position w:val="0"/>
        </w:rPr>
        <w:t xml:space="preserve">445. </w:t>
      </w:r>
      <w:r>
        <w:rPr>
          <w:color w:val="000000"/>
          <w:spacing w:val="0"/>
          <w:w w:val="100"/>
          <w:position w:val="0"/>
        </w:rPr>
        <w:t>9920万元，净资产增加</w:t>
      </w:r>
      <w:r>
        <w:rPr>
          <w:color w:val="000000"/>
          <w:spacing w:val="0"/>
          <w:w w:val="100"/>
          <w:position w:val="0"/>
        </w:rPr>
        <w:t xml:space="preserve">3,360.54972 </w:t>
      </w:r>
      <w:r>
        <w:rPr>
          <w:color w:val="000000"/>
          <w:spacing w:val="0"/>
          <w:w w:val="100"/>
          <w:position w:val="0"/>
        </w:rPr>
        <w:t xml:space="preserve">万元，资本公积增加2, </w:t>
      </w:r>
      <w:r>
        <w:rPr>
          <w:color w:val="000000"/>
          <w:spacing w:val="0"/>
          <w:w w:val="100"/>
          <w:position w:val="0"/>
        </w:rPr>
        <w:t xml:space="preserve">914. </w:t>
      </w:r>
      <w:r>
        <w:rPr>
          <w:color w:val="000000"/>
          <w:spacing w:val="0"/>
          <w:w w:val="100"/>
          <w:position w:val="0"/>
        </w:rPr>
        <w:t>55772万元。</w:t>
      </w:r>
      <w:r>
        <w:br w:type="page"/>
      </w:r>
    </w:p>
    <w:p>
      <w:pPr>
        <w:pStyle w:val="Style33"/>
        <w:keepNext/>
        <w:keepLines/>
        <w:widowControl w:val="0"/>
        <w:shd w:val="clear" w:color="auto" w:fill="auto"/>
        <w:bidi w:val="0"/>
        <w:spacing w:before="0" w:after="3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、现存的内部职工股情况</w:t>
      </w:r>
      <w:bookmarkEnd w:id="509"/>
      <w:bookmarkEnd w:id="510"/>
      <w:bookmarkEnd w:id="51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、股东和实际控制人情况</w:t>
      </w:r>
      <w:bookmarkEnd w:id="513"/>
      <w:bookmarkEnd w:id="514"/>
      <w:bookmarkEnd w:id="516"/>
    </w:p>
    <w:p>
      <w:pPr>
        <w:pStyle w:val="Style33"/>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、公司股东数量及持股情况</w:t>
      </w:r>
      <w:bookmarkEnd w:id="517"/>
      <w:bookmarkEnd w:id="518"/>
      <w:bookmarkEnd w:id="5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7"/>
        <w:gridCol w:w="744"/>
        <w:gridCol w:w="778"/>
        <w:gridCol w:w="802"/>
        <w:gridCol w:w="331"/>
        <w:gridCol w:w="456"/>
        <w:gridCol w:w="797"/>
        <w:gridCol w:w="826"/>
        <w:gridCol w:w="312"/>
        <w:gridCol w:w="1037"/>
        <w:gridCol w:w="293"/>
        <w:gridCol w:w="1070"/>
      </w:tblGrid>
      <w:tr>
        <w:trPr>
          <w:trHeight w:val="165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17,755</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19,992</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57,480,00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19,160,00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江汉</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25,405,76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19,054,32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6,351,440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10,510,000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杨艳</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李霞</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5,546,661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5,546,661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中国银行股份有 限公司一长盛电 子信息产业混合 型证券投资基金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2,764,691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2,764,691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份有限公司一嘉 实事件驱动股票 型证券投资基金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2,295,306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2,295,306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栾承岚</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2,172,900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543,225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中国人寿保险股 份有限公司一分 红一个人分红 </w:t>
            </w:r>
            <w:r>
              <w:rPr>
                <w:rFonts w:ascii="Times New Roman" w:eastAsia="Times New Roman" w:hAnsi="Times New Roman" w:cs="Times New Roman"/>
                <w:color w:val="000000"/>
                <w:spacing w:val="0"/>
                <w:w w:val="100"/>
                <w:position w:val="0"/>
              </w:rPr>
              <w:t xml:space="preserve">-005L-FH002 </w:t>
            </w:r>
            <w:r>
              <w:rPr>
                <w:color w:val="000000"/>
                <w:spacing w:val="0"/>
                <w:w w:val="100"/>
                <w:position w:val="0"/>
              </w:rPr>
              <w:t>深</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1,699,975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1,699,975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吴昊</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1,391,000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1,391,000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3994"/>
        <w:gridCol w:w="1349"/>
        <w:gridCol w:w="1363"/>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刘亚先生为刘祥先生之弟弟，江汉先生为刘祥先生妹妹之配偶，杨艳女士为刘亚先生 之配偶，杨艳女士与刘亚先生为一致行动人；除此之外，未发现公司股东之间存在关 联关系或属于《上市公司股东持股变动信息披露管理办法》规定的一致行动人。</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19,160,000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9,260,000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6,351,440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6,351,440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5,546,661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5,546,661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中国银行股份有限公司一长盛电子 信息产业混合型证券投资基金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2,764,691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2,764,691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中国工商银行股份有限公司一嘉实 事件驱动股票型证券投资基金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2,295,306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2,295,306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中国人寿保险股份有限公司一分红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一个人分红</w:t>
            </w:r>
            <w:r>
              <w:rPr>
                <w:rFonts w:ascii="Times New Roman" w:eastAsia="Times New Roman" w:hAnsi="Times New Roman" w:cs="Times New Roman"/>
                <w:color w:val="000000"/>
                <w:spacing w:val="0"/>
                <w:w w:val="100"/>
                <w:position w:val="0"/>
              </w:rPr>
              <w:t>-005L-FH002</w:t>
            </w:r>
            <w:r>
              <w:rPr>
                <w:color w:val="000000"/>
                <w:spacing w:val="0"/>
                <w:w w:val="100"/>
                <w:position w:val="0"/>
              </w:rPr>
              <w:t>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1,699,975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1,699,975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1,391,000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1,345,733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1,345,733</w:t>
            </w:r>
          </w:p>
        </w:tc>
      </w:tr>
      <w:tr>
        <w:trPr>
          <w:trHeight w:val="1344"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刘亚先生为刘祥先生之弟弟，江汉先生为刘祥先生妹妹之配偶，杨艳女士为刘亚先生 之配偶，杨艳女士与刘亚先生为一致行动人；除此之外，未发现公司股东之间存在关 联关系或属于《上市公司股东持股变动信息披露管理办法》规定的一致行动人。</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、公司控股股东情况</w:t>
      </w:r>
      <w:bookmarkEnd w:id="521"/>
      <w:bookmarkEnd w:id="522"/>
      <w:bookmarkEnd w:id="5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深圳市新国都技术股份有限公司董事长兼总经理</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w:t>
            </w:r>
          </w:p>
        </w:tc>
        <w:tc>
          <w:tcPr>
            <w:gridSpan w:val="2"/>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p>
    <w:tbl>
      <w:tblPr>
        <w:tblOverlap w:val="never"/>
        <w:jc w:val="center"/>
        <w:tblLayout w:type="fixed"/>
      </w:tblPr>
      <w:tblGrid>
        <w:gridCol w:w="3427"/>
        <w:gridCol w:w="6158"/>
      </w:tblGrid>
      <w:tr>
        <w:trPr>
          <w:trHeight w:val="37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4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、公司实际控制人情况</w:t>
      </w:r>
      <w:bookmarkEnd w:id="525"/>
      <w:bookmarkEnd w:id="526"/>
      <w:bookmarkEnd w:id="528"/>
    </w:p>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1"/>
        <w:gridCol w:w="2045"/>
        <w:gridCol w:w="42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深圳市新国都技术股份有限公司董事长兼总经理</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09677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4596130" cy="2096770"/>
                    </a:xfrm>
                    <a:prstGeom prst="rect"/>
                  </pic:spPr>
                </pic:pic>
              </a:graphicData>
            </a:graphic>
          </wp:inline>
        </w:drawing>
      </w:r>
    </w:p>
    <w:p>
      <w:pPr>
        <w:widowControl w:val="0"/>
        <w:spacing w:after="29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9"/>
      <w:bookmarkEnd w:id="530"/>
      <w:bookmarkEnd w:id="532"/>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控股股东、实际控制人、重组方及其他承诺主体股份限制减持情况</w:t>
      </w:r>
      <w:bookmarkEnd w:id="533"/>
      <w:bookmarkEnd w:id="534"/>
      <w:bookmarkEnd w:id="536"/>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2708910</wp:posOffset>
                </wp:positionH>
                <wp:positionV relativeFrom="paragraph">
                  <wp:posOffset>0</wp:posOffset>
                </wp:positionV>
                <wp:extent cx="2170430" cy="243840"/>
                <wp:wrapTopAndBottom/>
                <wp:docPr id="28" name="Shape 2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wps:txbx>
                      <wps:bodyPr wrap="none" lIns="0" tIns="0" rIns="0" bIns="0">
                        <a:noAutoFit/>
                      </wps:bodyPr>
                    </wps:wsp>
                  </a:graphicData>
                </a:graphic>
              </wp:anchor>
            </w:drawing>
          </mc:Choice>
          <mc:Fallback>
            <w:pict>
              <v:shape id="_x0000_s1054" type="#_x0000_t202" style="position:absolute;margin-left:213.30000000000001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v:textbox>
                <w10:wrap type="topAndBottom" anchorx="page"/>
              </v:shape>
            </w:pict>
          </mc:Fallback>
        </mc:AlternateContent>
      </w:r>
    </w:p>
    <w:p>
      <w:pPr>
        <w:pStyle w:val="Style28"/>
        <w:keepNext w:val="0"/>
        <w:keepLines w:val="0"/>
        <w:widowControl w:val="0"/>
        <w:shd w:val="clear" w:color="auto" w:fill="auto"/>
        <w:bidi w:val="0"/>
        <w:spacing w:before="0" w:after="120" w:line="240" w:lineRule="auto"/>
        <w:ind w:left="0" w:right="0" w:firstLine="0"/>
        <w:jc w:val="left"/>
      </w:pPr>
      <w:bookmarkStart w:id="537" w:name="bookmark53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60" w:line="240" w:lineRule="auto"/>
        <w:ind w:left="0" w:right="0" w:firstLine="0"/>
        <w:jc w:val="center"/>
      </w:pPr>
      <w:bookmarkStart w:id="538" w:name="bookmark538"/>
      <w:bookmarkStart w:id="539" w:name="bookmark539"/>
      <w:bookmarkStart w:id="540" w:name="bookmark540"/>
      <w:r>
        <w:rPr>
          <w:color w:val="000000"/>
          <w:spacing w:val="0"/>
          <w:w w:val="100"/>
          <w:position w:val="0"/>
        </w:rPr>
        <w:t>第八节 董事、监事、高级管理人员和员工情况</w:t>
      </w:r>
      <w:bookmarkEnd w:id="538"/>
      <w:bookmarkEnd w:id="539"/>
      <w:bookmarkEnd w:id="540"/>
    </w:p>
    <w:p>
      <w:pPr>
        <w:pStyle w:val="Style25"/>
        <w:keepNext/>
        <w:keepLines/>
        <w:widowControl w:val="0"/>
        <w:shd w:val="clear" w:color="auto" w:fill="auto"/>
        <w:bidi w:val="0"/>
        <w:spacing w:before="0" w:after="320" w:line="240" w:lineRule="auto"/>
        <w:ind w:left="0" w:right="0" w:firstLine="240"/>
        <w:jc w:val="left"/>
      </w:pPr>
      <w:bookmarkStart w:id="541" w:name="bookmark541"/>
      <w:bookmarkStart w:id="542" w:name="bookmark542"/>
      <w:bookmarkStart w:id="543" w:name="bookmark543"/>
      <w:bookmarkStart w:id="544" w:name="bookmark544"/>
      <w:r>
        <w:rPr>
          <w:color w:val="000000"/>
          <w:spacing w:val="0"/>
          <w:w w:val="100"/>
          <w:position w:val="0"/>
          <w:sz w:val="24"/>
          <w:szCs w:val="24"/>
        </w:rPr>
        <w:t>、董事、监事和高级管理人员持股变动</w:t>
      </w:r>
      <w:bookmarkEnd w:id="542"/>
      <w:bookmarkEnd w:id="543"/>
      <w:bookmarkEnd w:id="544"/>
      <w:bookmarkEnd w:id="541"/>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 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25,405,76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25,405,76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 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862,500</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183,000</w:t>
            </w:r>
          </w:p>
        </w:tc>
      </w:tr>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1,360,000</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2,172,900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2,172,900</w:t>
            </w:r>
          </w:p>
        </w:tc>
      </w:tr>
    </w:tbl>
    <w:p>
      <w:pPr>
        <w:widowControl w:val="0"/>
        <w:spacing w:line="1" w:lineRule="exact"/>
      </w:pP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杨星</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872,300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136,100</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157,500</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109,204,5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-521,499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108,683,0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260"/>
        <w:jc w:val="both"/>
      </w:pPr>
      <w:bookmarkStart w:id="545" w:name="bookmark545"/>
      <w:bookmarkStart w:id="546" w:name="bookmark546"/>
      <w:bookmarkStart w:id="547" w:name="bookmark547"/>
      <w:r>
        <w:rPr>
          <w:color w:val="000000"/>
          <w:spacing w:val="0"/>
          <w:w w:val="100"/>
          <w:position w:val="0"/>
          <w:sz w:val="24"/>
          <w:szCs w:val="24"/>
        </w:rPr>
        <w:t>、公司董事、监事、高级管理人员变动情况</w:t>
      </w:r>
      <w:bookmarkEnd w:id="545"/>
      <w:bookmarkEnd w:id="546"/>
      <w:bookmarkEnd w:id="547"/>
    </w:p>
    <w:p>
      <w:pPr>
        <w:pStyle w:val="Style28"/>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三</w:t>
      </w:r>
      <w:bookmarkEnd w:id="550"/>
      <w:r>
        <w:rPr>
          <w:color w:val="000000"/>
          <w:spacing w:val="0"/>
          <w:w w:val="100"/>
          <w:position w:val="0"/>
          <w:sz w:val="24"/>
          <w:szCs w:val="24"/>
        </w:rPr>
        <w:t>、任职情况</w:t>
      </w:r>
      <w:bookmarkEnd w:id="548"/>
      <w:bookmarkEnd w:id="549"/>
      <w:bookmarkEnd w:id="551"/>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7" w:lineRule="exact"/>
        <w:ind w:left="0" w:right="0" w:firstLine="0"/>
        <w:jc w:val="both"/>
      </w:pPr>
      <w:bookmarkStart w:id="552" w:name="bookmark552"/>
      <w:r>
        <w:rPr>
          <w:rFonts w:ascii="Times New Roman" w:eastAsia="Times New Roman" w:hAnsi="Times New Roman" w:cs="Times New Roman"/>
          <w:color w:val="000000"/>
          <w:spacing w:val="0"/>
          <w:w w:val="100"/>
          <w:position w:val="0"/>
        </w:rPr>
        <w:t>1</w:t>
      </w:r>
      <w:bookmarkEnd w:id="552"/>
      <w:r>
        <w:rPr>
          <w:color w:val="000000"/>
          <w:spacing w:val="0"/>
          <w:w w:val="100"/>
          <w:position w:val="0"/>
        </w:rPr>
        <w:t>、董事会成员简介</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刘祥，男，</w:t>
      </w:r>
      <w:r>
        <w:rPr>
          <w:rFonts w:ascii="Times New Roman" w:eastAsia="Times New Roman" w:hAnsi="Times New Roman" w:cs="Times New Roman"/>
          <w:color w:val="000000"/>
          <w:spacing w:val="0"/>
          <w:w w:val="100"/>
          <w:position w:val="0"/>
        </w:rPr>
        <w:t>50</w:t>
      </w:r>
      <w:r>
        <w:rPr>
          <w:color w:val="000000"/>
          <w:spacing w:val="0"/>
          <w:w w:val="100"/>
          <w:position w:val="0"/>
        </w:rPr>
        <w:t>岁，中国国籍，无境外居留权，毕业于东南大学，本科学历，现任本公司董事长兼总经理。</w:t>
      </w:r>
      <w:r>
        <w:rPr>
          <w:rFonts w:ascii="Times New Roman" w:eastAsia="Times New Roman" w:hAnsi="Times New Roman" w:cs="Times New Roman"/>
          <w:color w:val="000000"/>
          <w:spacing w:val="0"/>
          <w:w w:val="100"/>
          <w:position w:val="0"/>
        </w:rPr>
        <w:t>2001</w:t>
      </w:r>
      <w:r>
        <w:rPr>
          <w:color w:val="000000"/>
          <w:spacing w:val="0"/>
          <w:w w:val="100"/>
          <w:position w:val="0"/>
        </w:rPr>
        <w:t>年创建深圳市 新国都技术有限公司，现兼任曲水格立创业投资有限公司执行董事，深圳市泰德信实业有限公司董事。</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江汉，男，</w:t>
      </w:r>
      <w:r>
        <w:rPr>
          <w:rFonts w:ascii="Times New Roman" w:eastAsia="Times New Roman" w:hAnsi="Times New Roman" w:cs="Times New Roman"/>
          <w:color w:val="000000"/>
          <w:spacing w:val="0"/>
          <w:w w:val="100"/>
          <w:position w:val="0"/>
        </w:rPr>
        <w:t>46</w:t>
      </w:r>
      <w:r>
        <w:rPr>
          <w:color w:val="000000"/>
          <w:spacing w:val="0"/>
          <w:w w:val="100"/>
          <w:position w:val="0"/>
        </w:rPr>
        <w:t>岁，中国国籍，无境外居留权，工商管理硕士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现任本公司董事兼副总经理。现任深圳市泰德信实 业有限公司董事，深圳市信联征信有限公司执行董事，浙江中正智能科技有限公司董事，长沙公信诚丰信息技术服务有限公 司董事长。</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汪洋，男，</w:t>
      </w:r>
      <w:r>
        <w:rPr>
          <w:rFonts w:ascii="Times New Roman" w:eastAsia="Times New Roman" w:hAnsi="Times New Roman" w:cs="Times New Roman"/>
          <w:color w:val="000000"/>
          <w:spacing w:val="0"/>
          <w:w w:val="100"/>
          <w:position w:val="0"/>
        </w:rPr>
        <w:t>54</w:t>
      </w:r>
      <w:r>
        <w:rPr>
          <w:color w:val="000000"/>
          <w:spacing w:val="0"/>
          <w:w w:val="100"/>
          <w:position w:val="0"/>
        </w:rPr>
        <w:t>岁，中国国籍，无境外居留权，本科学历，现任本公司董事兼副总经理。现任深圳市新国都支付技术有限公司 法定代表人。</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韦余红，男，</w:t>
      </w:r>
      <w:r>
        <w:rPr>
          <w:rFonts w:ascii="Times New Roman" w:eastAsia="Times New Roman" w:hAnsi="Times New Roman" w:cs="Times New Roman"/>
          <w:color w:val="000000"/>
          <w:spacing w:val="0"/>
          <w:w w:val="100"/>
          <w:position w:val="0"/>
        </w:rPr>
        <w:t>48</w:t>
      </w:r>
      <w:r>
        <w:rPr>
          <w:color w:val="000000"/>
          <w:spacing w:val="0"/>
          <w:w w:val="100"/>
          <w:position w:val="0"/>
        </w:rPr>
        <w:t>岁，中国国籍，无境外居留权，研究生学历，现任本公司董事兼总工程师，兼任深圳市新国都支付技术有限 公司监事。</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贾巍，女，</w:t>
      </w:r>
      <w:r>
        <w:rPr>
          <w:rFonts w:ascii="Times New Roman" w:eastAsia="Times New Roman" w:hAnsi="Times New Roman" w:cs="Times New Roman"/>
          <w:color w:val="000000"/>
          <w:spacing w:val="0"/>
          <w:w w:val="100"/>
          <w:position w:val="0"/>
        </w:rPr>
        <w:t>44</w:t>
      </w:r>
      <w:r>
        <w:rPr>
          <w:color w:val="000000"/>
          <w:spacing w:val="0"/>
          <w:w w:val="100"/>
          <w:position w:val="0"/>
        </w:rPr>
        <w:t>岁，中国国籍，无境外居留权，硕士学历，中国注册会计师协会非执业会员，现任本公司董事兼审计委员会委 员。</w:t>
      </w:r>
      <w:r>
        <w:rPr>
          <w:rFonts w:ascii="Times New Roman" w:eastAsia="Times New Roman" w:hAnsi="Times New Roman" w:cs="Times New Roman"/>
          <w:color w:val="000000"/>
          <w:spacing w:val="0"/>
          <w:w w:val="100"/>
          <w:position w:val="0"/>
        </w:rPr>
        <w:t>2007</w:t>
      </w:r>
      <w:r>
        <w:rPr>
          <w:color w:val="000000"/>
          <w:spacing w:val="0"/>
          <w:w w:val="100"/>
          <w:position w:val="0"/>
        </w:rPr>
        <w:t>年迄今，就职于深圳市创新投资集团有限公司，现任国际部总经理。兼任深圳国中创业投资管理有限公司董事。</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何佳，男，</w:t>
      </w:r>
      <w:r>
        <w:rPr>
          <w:rFonts w:ascii="Times New Roman" w:eastAsia="Times New Roman" w:hAnsi="Times New Roman" w:cs="Times New Roman"/>
          <w:color w:val="000000"/>
          <w:spacing w:val="0"/>
          <w:w w:val="100"/>
          <w:position w:val="0"/>
        </w:rPr>
        <w:t>63</w:t>
      </w:r>
      <w:r>
        <w:rPr>
          <w:color w:val="000000"/>
          <w:spacing w:val="0"/>
          <w:w w:val="100"/>
          <w:position w:val="0"/>
        </w:rPr>
        <w:t>岁，香港居民，博士学历，毕业于美国宾夕凡尼亚大学沃顿商学院，现任本公司独立董事，任职于南方科技大 学，担任财政学教授职务。</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陈京琳，男，</w:t>
      </w:r>
      <w:r>
        <w:rPr>
          <w:rFonts w:ascii="Times New Roman" w:eastAsia="Times New Roman" w:hAnsi="Times New Roman" w:cs="Times New Roman"/>
          <w:color w:val="000000"/>
          <w:spacing w:val="0"/>
          <w:w w:val="100"/>
          <w:position w:val="0"/>
        </w:rPr>
        <w:t>45</w:t>
      </w:r>
      <w:r>
        <w:rPr>
          <w:color w:val="000000"/>
          <w:spacing w:val="0"/>
          <w:w w:val="100"/>
          <w:position w:val="0"/>
        </w:rPr>
        <w:t xml:space="preserve">岁，中国国籍，无境外居留权，硕士研究生学历，毕业于中欧工商管理学院，现任本公司独立董事，任职于 </w:t>
      </w:r>
      <w:r>
        <w:rPr>
          <w:color w:val="000000"/>
          <w:spacing w:val="0"/>
          <w:w w:val="100"/>
          <w:position w:val="0"/>
        </w:rPr>
        <w:t>广东华商律师事务所，担任高级合伙人职务。</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蔡艳红，女，</w:t>
      </w:r>
      <w:r>
        <w:rPr>
          <w:rFonts w:ascii="Times New Roman" w:eastAsia="Times New Roman" w:hAnsi="Times New Roman" w:cs="Times New Roman"/>
          <w:color w:val="000000"/>
          <w:spacing w:val="0"/>
          <w:w w:val="100"/>
          <w:position w:val="0"/>
        </w:rPr>
        <w:t>43</w:t>
      </w:r>
      <w:r>
        <w:rPr>
          <w:color w:val="000000"/>
          <w:spacing w:val="0"/>
          <w:w w:val="100"/>
          <w:position w:val="0"/>
        </w:rPr>
        <w:t>岁，中国国籍，无境外居留权，本科学历，中国注册会计师协会非执业会员。现任本公司独立董事。</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月就职于深圳科士达科技股份有限公司任副总经理、财务总监、董事会秘书。</w:t>
      </w:r>
    </w:p>
    <w:p>
      <w:pPr>
        <w:pStyle w:val="Style28"/>
        <w:keepNext w:val="0"/>
        <w:keepLines w:val="0"/>
        <w:widowControl w:val="0"/>
        <w:shd w:val="clear" w:color="auto" w:fill="auto"/>
        <w:tabs>
          <w:tab w:pos="354" w:val="left"/>
        </w:tabs>
        <w:bidi w:val="0"/>
        <w:spacing w:before="0" w:after="0"/>
        <w:ind w:left="0" w:right="0" w:firstLine="0"/>
        <w:jc w:val="both"/>
      </w:pPr>
      <w:bookmarkStart w:id="553" w:name="bookmark553"/>
      <w:r>
        <w:rPr>
          <w:rFonts w:ascii="Times New Roman" w:eastAsia="Times New Roman" w:hAnsi="Times New Roman" w:cs="Times New Roman"/>
          <w:color w:val="000000"/>
          <w:spacing w:val="0"/>
          <w:w w:val="100"/>
          <w:position w:val="0"/>
        </w:rPr>
        <w:t>2</w:t>
      </w:r>
      <w:bookmarkEnd w:id="553"/>
      <w:r>
        <w:rPr>
          <w:color w:val="000000"/>
          <w:spacing w:val="0"/>
          <w:w w:val="100"/>
          <w:position w:val="0"/>
        </w:rPr>
        <w:t>、</w:t>
        <w:tab/>
        <w:t>监事会成员简介</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李林杰，男，</w:t>
      </w:r>
      <w:r>
        <w:rPr>
          <w:rFonts w:ascii="Times New Roman" w:eastAsia="Times New Roman" w:hAnsi="Times New Roman" w:cs="Times New Roman"/>
          <w:color w:val="000000"/>
          <w:spacing w:val="0"/>
          <w:w w:val="100"/>
          <w:position w:val="0"/>
        </w:rPr>
        <w:t>59</w:t>
      </w:r>
      <w:r>
        <w:rPr>
          <w:color w:val="000000"/>
          <w:spacing w:val="0"/>
          <w:w w:val="100"/>
          <w:position w:val="0"/>
        </w:rPr>
        <w:t>岁，中国国籍，无境外居留权，本科学历，现任本公司监事会主席兼行政中心总监。</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栾承岚，女，</w:t>
      </w:r>
      <w:r>
        <w:rPr>
          <w:rFonts w:ascii="Times New Roman" w:eastAsia="Times New Roman" w:hAnsi="Times New Roman" w:cs="Times New Roman"/>
          <w:color w:val="000000"/>
          <w:spacing w:val="0"/>
          <w:w w:val="100"/>
          <w:position w:val="0"/>
        </w:rPr>
        <w:t>41</w:t>
      </w:r>
      <w:r>
        <w:rPr>
          <w:color w:val="000000"/>
          <w:spacing w:val="0"/>
          <w:w w:val="100"/>
          <w:position w:val="0"/>
        </w:rPr>
        <w:t>岁，中国国籍，无境外居留权，专科学历，现任本公司监事兼任计划财务中心副经理。</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杨星</w:t>
      </w:r>
      <w:r>
        <w:rPr>
          <w:color w:val="000000"/>
          <w:spacing w:val="0"/>
          <w:w w:val="100"/>
          <w:position w:val="0"/>
        </w:rPr>
        <w:t>，</w:t>
      </w:r>
      <w:r>
        <w:rPr>
          <w:color w:val="000000"/>
          <w:spacing w:val="0"/>
          <w:w w:val="100"/>
          <w:position w:val="0"/>
        </w:rPr>
        <w:t>男，</w:t>
      </w:r>
      <w:r>
        <w:rPr>
          <w:rFonts w:ascii="Times New Roman" w:eastAsia="Times New Roman" w:hAnsi="Times New Roman" w:cs="Times New Roman"/>
          <w:color w:val="000000"/>
          <w:spacing w:val="0"/>
          <w:w w:val="100"/>
          <w:position w:val="0"/>
        </w:rPr>
        <w:t>41</w:t>
      </w:r>
      <w:r>
        <w:rPr>
          <w:color w:val="000000"/>
          <w:spacing w:val="0"/>
          <w:w w:val="100"/>
          <w:position w:val="0"/>
        </w:rPr>
        <w:t>岁，中国国籍，无境外居留权，本科学历，现任本公司职工监事兼研发中心副总经理。</w:t>
      </w:r>
    </w:p>
    <w:p>
      <w:pPr>
        <w:pStyle w:val="Style28"/>
        <w:keepNext w:val="0"/>
        <w:keepLines w:val="0"/>
        <w:widowControl w:val="0"/>
        <w:shd w:val="clear" w:color="auto" w:fill="auto"/>
        <w:tabs>
          <w:tab w:pos="354" w:val="left"/>
        </w:tabs>
        <w:bidi w:val="0"/>
        <w:spacing w:before="0" w:after="0"/>
        <w:ind w:left="0" w:right="0" w:firstLine="0"/>
        <w:jc w:val="left"/>
      </w:pPr>
      <w:bookmarkStart w:id="554" w:name="bookmark554"/>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高级管理人员简介</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刘祥，总经理，简介及工作经历见董事介绍。</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江汉，副总经理，简介及工作经历见董事介绍。</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汪洋，副总经理，简介及工作经历见董事介绍。</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韦余红，副总经理，简介及工作经历见董事介绍。</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童卫东，男，</w:t>
      </w:r>
      <w:r>
        <w:rPr>
          <w:rFonts w:ascii="Times New Roman" w:eastAsia="Times New Roman" w:hAnsi="Times New Roman" w:cs="Times New Roman"/>
          <w:color w:val="000000"/>
          <w:spacing w:val="0"/>
          <w:w w:val="100"/>
          <w:position w:val="0"/>
        </w:rPr>
        <w:t>50</w:t>
      </w:r>
      <w:r>
        <w:rPr>
          <w:color w:val="000000"/>
          <w:spacing w:val="0"/>
          <w:w w:val="100"/>
          <w:position w:val="0"/>
        </w:rPr>
        <w:t>岁，硕士学历，工程师，现任公司副总经理，控股子公司苏州市新国都电子技术有限公司总经理。</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赵辉，男，</w:t>
      </w:r>
      <w:r>
        <w:rPr>
          <w:rFonts w:ascii="Times New Roman" w:eastAsia="Times New Roman" w:hAnsi="Times New Roman" w:cs="Times New Roman"/>
          <w:color w:val="000000"/>
          <w:spacing w:val="0"/>
          <w:w w:val="100"/>
          <w:position w:val="0"/>
        </w:rPr>
        <w:t>48</w:t>
      </w:r>
      <w:r>
        <w:rPr>
          <w:color w:val="000000"/>
          <w:spacing w:val="0"/>
          <w:w w:val="100"/>
          <w:position w:val="0"/>
        </w:rPr>
        <w:t>岁，中国国籍，无境外居留权，本科学历，现任本公司财务总监，负责财务工作。</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李艳芳，女，</w:t>
      </w:r>
      <w:r>
        <w:rPr>
          <w:rFonts w:ascii="Times New Roman" w:eastAsia="Times New Roman" w:hAnsi="Times New Roman" w:cs="Times New Roman"/>
          <w:color w:val="000000"/>
          <w:spacing w:val="0"/>
          <w:w w:val="100"/>
          <w:position w:val="0"/>
        </w:rPr>
        <w:t>35</w:t>
      </w:r>
      <w:r>
        <w:rPr>
          <w:color w:val="000000"/>
          <w:spacing w:val="0"/>
          <w:w w:val="100"/>
          <w:position w:val="0"/>
        </w:rPr>
        <w:t>岁，中国国籍，无境外居留权，硕士研究生学历，现任公司董事会秘书。</w:t>
      </w:r>
      <w:r>
        <w:rPr>
          <w:rFonts w:ascii="Times New Roman" w:eastAsia="Times New Roman" w:hAnsi="Times New Roman" w:cs="Times New Roman"/>
          <w:color w:val="000000"/>
          <w:spacing w:val="0"/>
          <w:w w:val="100"/>
          <w:position w:val="0"/>
        </w:rPr>
        <w:t>2007</w:t>
      </w:r>
      <w:r>
        <w:rPr>
          <w:color w:val="000000"/>
          <w:spacing w:val="0"/>
          <w:w w:val="100"/>
          <w:position w:val="0"/>
        </w:rPr>
        <w:t>年至今，就职于深圳市新国都 技术股份有限公司。</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姚骏，男，</w:t>
      </w:r>
      <w:r>
        <w:rPr>
          <w:rFonts w:ascii="Times New Roman" w:eastAsia="Times New Roman" w:hAnsi="Times New Roman" w:cs="Times New Roman"/>
          <w:color w:val="000000"/>
          <w:spacing w:val="0"/>
          <w:w w:val="100"/>
          <w:position w:val="0"/>
        </w:rPr>
        <w:t>39</w:t>
      </w:r>
      <w:r>
        <w:rPr>
          <w:color w:val="000000"/>
          <w:spacing w:val="0"/>
          <w:w w:val="100"/>
          <w:position w:val="0"/>
        </w:rPr>
        <w:t>岁，中国国籍，无境外居留权，本科学历，中级人力资源管理师职称，深圳市人力资源开发研究协会会员，现 任公司副总经理。</w:t>
      </w:r>
    </w:p>
    <w:p>
      <w:pPr>
        <w:pStyle w:val="Style28"/>
        <w:keepNext w:val="0"/>
        <w:keepLines w:val="0"/>
        <w:widowControl w:val="0"/>
        <w:shd w:val="clear" w:color="auto" w:fill="auto"/>
        <w:bidi w:val="0"/>
        <w:spacing w:before="0" w:after="120" w:line="365" w:lineRule="exact"/>
        <w:ind w:left="0" w:right="0" w:firstLine="0"/>
        <w:jc w:val="left"/>
      </w:pPr>
      <w:r>
        <w:rPr>
          <w:color w:val="000000"/>
          <w:spacing w:val="0"/>
          <w:w w:val="100"/>
          <w:position w:val="0"/>
        </w:rPr>
        <w:t>李健，男，</w:t>
      </w:r>
      <w:r>
        <w:rPr>
          <w:rFonts w:ascii="Times New Roman" w:eastAsia="Times New Roman" w:hAnsi="Times New Roman" w:cs="Times New Roman"/>
          <w:color w:val="000000"/>
          <w:spacing w:val="0"/>
          <w:w w:val="100"/>
          <w:position w:val="0"/>
        </w:rPr>
        <w:t>49</w:t>
      </w:r>
      <w:r>
        <w:rPr>
          <w:color w:val="000000"/>
          <w:spacing w:val="0"/>
          <w:w w:val="100"/>
          <w:position w:val="0"/>
        </w:rPr>
        <w:t>岁，中国国籍，无境外居留权，硕士学历，现任本公司副总经理，浙江中正智能科技有限公司总经理。 在股东单位任职情况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国际部总经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南方科技大学</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广东华商律师事务所</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深圳科士达科技股份有限公司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董事会秘书、 财务总监、副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以上单位与公司均不存在关联关系。</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四</w:t>
      </w:r>
      <w:bookmarkEnd w:id="557"/>
      <w:r>
        <w:rPr>
          <w:color w:val="000000"/>
          <w:spacing w:val="0"/>
          <w:w w:val="100"/>
          <w:position w:val="0"/>
          <w:sz w:val="24"/>
          <w:szCs w:val="24"/>
        </w:rPr>
        <w:t>、董事、监事、高级管理人员报酬情况</w:t>
      </w:r>
      <w:bookmarkEnd w:id="555"/>
      <w:bookmarkEnd w:id="556"/>
      <w:bookmarkEnd w:id="55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r>
        <w:br w:type="page"/>
      </w:r>
    </w:p>
    <w:tbl>
      <w:tblPr>
        <w:tblOverlap w:val="never"/>
        <w:jc w:val="center"/>
        <w:tblLayout w:type="fixed"/>
      </w:tblPr>
      <w:tblGrid>
        <w:gridCol w:w="4267"/>
        <w:gridCol w:w="5318"/>
      </w:tblGrid>
      <w:tr>
        <w:trPr>
          <w:trHeight w:val="1056"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公司董事、监事、高级管理人员的薪酬需提请公司股东大会予以审 议，董事、监事、高级管理人员报酬由公司支付；独立董事津贴需 经股东大会审议决策。</w:t>
            </w:r>
          </w:p>
        </w:tc>
      </w:tr>
      <w:tr>
        <w:trPr>
          <w:trHeight w:val="1051" w:hRule="exact"/>
        </w:trPr>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公司董事、监事和高级管理人员的报酬按照公司董事会《薪酬与考 核委员会工作细则》的规定，结合其经营绩效、工作能力、岗位职 级等为依据考核确定并发放。</w:t>
            </w:r>
          </w:p>
        </w:tc>
      </w:tr>
      <w:tr>
        <w:trPr>
          <w:trHeight w:val="749" w:hRule="exact"/>
        </w:trPr>
        <w:tc>
          <w:tcPr>
            <w:tcBorders>
              <w:top w:val="single" w:sz="4"/>
              <w:left w:val="single" w:sz="4"/>
              <w:bottom w:val="single" w:sz="4"/>
            </w:tcBorders>
            <w:shd w:val="clear" w:color="auto" w:fill="D4D4D4"/>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年度在公司领取的报酬总额为</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515.06 </w:t>
            </w:r>
            <w:r>
              <w:rPr>
                <w:color w:val="000000"/>
                <w:spacing w:val="0"/>
                <w:w w:val="100"/>
                <w:position w:val="0"/>
              </w:rPr>
              <w:t>万元。</w:t>
            </w:r>
          </w:p>
        </w:tc>
      </w:tr>
    </w:tbl>
    <w:p>
      <w:pPr>
        <w:widowControl w:val="0"/>
        <w:spacing w:after="3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杨星</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515.06</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134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本期已解</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锁股份数</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bl>
    <w:p>
      <w:pPr>
        <w:widowControl w:val="0"/>
        <w:spacing w:line="1" w:lineRule="exact"/>
      </w:pPr>
      <w:r>
        <w:br w:type="page"/>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总工程师，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296,000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五</w:t>
      </w:r>
      <w:bookmarkEnd w:id="561"/>
      <w:r>
        <w:rPr>
          <w:color w:val="000000"/>
          <w:spacing w:val="0"/>
          <w:w w:val="100"/>
          <w:position w:val="0"/>
          <w:sz w:val="24"/>
          <w:szCs w:val="24"/>
        </w:rPr>
        <w:t>、公司员工情况</w:t>
      </w:r>
      <w:bookmarkEnd w:id="559"/>
      <w:bookmarkEnd w:id="560"/>
      <w:bookmarkEnd w:id="562"/>
    </w:p>
    <w:p>
      <w:pPr>
        <w:pStyle w:val="Style33"/>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、员工数量、专业构成及教育程度</w:t>
      </w:r>
      <w:bookmarkEnd w:id="563"/>
      <w:bookmarkEnd w:id="564"/>
      <w:bookmarkEnd w:id="56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1,392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1,513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1,513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411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53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447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1,513</w:t>
            </w:r>
          </w:p>
        </w:tc>
      </w:tr>
      <w:tr>
        <w:trPr>
          <w:trHeight w:val="398"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62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615</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368</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468</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w:t>
        <w:tab/>
        <w:t>薪酬政策</w:t>
      </w:r>
      <w:bookmarkEnd w:id="567"/>
      <w:bookmarkEnd w:id="568"/>
      <w:bookmarkEnd w:id="570"/>
    </w:p>
    <w:p>
      <w:pPr>
        <w:pStyle w:val="Style28"/>
        <w:keepNext w:val="0"/>
        <w:keepLines w:val="0"/>
        <w:widowControl w:val="0"/>
        <w:shd w:val="clear" w:color="auto" w:fill="auto"/>
        <w:bidi w:val="0"/>
        <w:spacing w:before="0" w:after="360" w:line="315"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日根据公司发展现状及人力资源管理战略制定《薪酬管理制度》</w:t>
      </w:r>
      <w:r>
        <w:rPr>
          <w:rFonts w:ascii="Times New Roman" w:eastAsia="Times New Roman" w:hAnsi="Times New Roman" w:cs="Times New Roman"/>
          <w:color w:val="000000"/>
          <w:spacing w:val="0"/>
          <w:w w:val="100"/>
          <w:position w:val="0"/>
        </w:rPr>
        <w:t>A0</w:t>
      </w:r>
      <w:r>
        <w:rPr>
          <w:color w:val="000000"/>
          <w:spacing w:val="0"/>
          <w:w w:val="100"/>
          <w:position w:val="0"/>
        </w:rPr>
        <w:t>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日公司对此制度进行修 订，增加</w:t>
      </w:r>
      <w:r>
        <w:rPr>
          <w:rFonts w:ascii="Times New Roman" w:eastAsia="Times New Roman" w:hAnsi="Times New Roman" w:cs="Times New Roman"/>
          <w:color w:val="000000"/>
          <w:spacing w:val="0"/>
          <w:w w:val="100"/>
          <w:position w:val="0"/>
        </w:rPr>
        <w:t>“</w:t>
      </w:r>
      <w:r>
        <w:rPr>
          <w:color w:val="000000"/>
          <w:spacing w:val="0"/>
          <w:w w:val="100"/>
          <w:position w:val="0"/>
        </w:rPr>
        <w:t>办公地点变动调薪</w:t>
      </w:r>
      <w:r>
        <w:rPr>
          <w:rFonts w:ascii="Times New Roman" w:eastAsia="Times New Roman" w:hAnsi="Times New Roman" w:cs="Times New Roman"/>
          <w:color w:val="000000"/>
          <w:spacing w:val="0"/>
          <w:w w:val="100"/>
          <w:position w:val="0"/>
        </w:rPr>
        <w:t>”</w:t>
      </w:r>
      <w:r>
        <w:rPr>
          <w:color w:val="000000"/>
          <w:spacing w:val="0"/>
          <w:w w:val="100"/>
          <w:position w:val="0"/>
        </w:rPr>
        <w:t>相关规定；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日发布薪酬管理制度</w:t>
      </w:r>
      <w:r>
        <w:rPr>
          <w:rFonts w:ascii="Times New Roman" w:eastAsia="Times New Roman" w:hAnsi="Times New Roman" w:cs="Times New Roman"/>
          <w:color w:val="000000"/>
          <w:spacing w:val="0"/>
          <w:w w:val="100"/>
          <w:position w:val="0"/>
        </w:rPr>
        <w:t>A1</w:t>
      </w:r>
      <w:r>
        <w:rPr>
          <w:color w:val="000000"/>
          <w:spacing w:val="0"/>
          <w:w w:val="100"/>
          <w:position w:val="0"/>
        </w:rPr>
        <w:t>版，旨在更好的实施保障与激励相结合的薪酬 分配制度，建立兼顾内部公平性及外部竞争力的薪酬体系，体现以岗定级、以绩定奖的薪酬理念，实现价值差异和宽带薪酬 结构。从制度上来规范公司的薪酬管理工作，促进薪酬管理工作持续、稳定、健康的开展。</w:t>
      </w:r>
    </w:p>
    <w:p>
      <w:pPr>
        <w:pStyle w:val="Style33"/>
        <w:keepNext/>
        <w:keepLines/>
        <w:widowControl w:val="0"/>
        <w:shd w:val="clear" w:color="auto" w:fill="auto"/>
        <w:tabs>
          <w:tab w:pos="378" w:val="left"/>
        </w:tabs>
        <w:bidi w:val="0"/>
        <w:spacing w:before="0" w:after="28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培训计划</w:t>
      </w:r>
      <w:bookmarkEnd w:id="571"/>
      <w:bookmarkEnd w:id="572"/>
      <w:bookmarkEnd w:id="574"/>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培训计划分为公司级培训计划、部门内部培训计划、外派学习培训计划及各类型外聘内训培训计划，其中以部门内训为 主，其他类型培训为辅。部门内部培训方面，部门内部根据各自工作情况，制定部门内部培训计划，并组织实施。人力资源 部根据各部门的培训计划进行各部门培训学习的跟踪和监督，确保部门内部培训的落实。</w:t>
      </w:r>
    </w:p>
    <w:p>
      <w:pPr>
        <w:pStyle w:val="Style28"/>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年，公司共开展</w:t>
      </w:r>
      <w:r>
        <w:rPr>
          <w:rFonts w:ascii="Times New Roman" w:eastAsia="Times New Roman" w:hAnsi="Times New Roman" w:cs="Times New Roman"/>
          <w:color w:val="000000"/>
          <w:spacing w:val="0"/>
          <w:w w:val="100"/>
          <w:position w:val="0"/>
        </w:rPr>
        <w:t>254</w:t>
      </w:r>
      <w:r>
        <w:rPr>
          <w:color w:val="000000"/>
          <w:spacing w:val="0"/>
          <w:w w:val="100"/>
          <w:position w:val="0"/>
        </w:rPr>
        <w:t>场培训，其中内训</w:t>
      </w:r>
      <w:r>
        <w:rPr>
          <w:rFonts w:ascii="Times New Roman" w:eastAsia="Times New Roman" w:hAnsi="Times New Roman" w:cs="Times New Roman"/>
          <w:color w:val="000000"/>
          <w:spacing w:val="0"/>
          <w:w w:val="100"/>
          <w:position w:val="0"/>
        </w:rPr>
        <w:t>242</w:t>
      </w:r>
      <w:r>
        <w:rPr>
          <w:color w:val="000000"/>
          <w:spacing w:val="0"/>
          <w:w w:val="100"/>
          <w:position w:val="0"/>
        </w:rPr>
        <w:t>场，夕卜派培训</w:t>
      </w:r>
      <w:r>
        <w:rPr>
          <w:rFonts w:ascii="Times New Roman" w:eastAsia="Times New Roman" w:hAnsi="Times New Roman" w:cs="Times New Roman"/>
          <w:color w:val="000000"/>
          <w:spacing w:val="0"/>
          <w:w w:val="100"/>
          <w:position w:val="0"/>
        </w:rPr>
        <w:t>/</w:t>
      </w:r>
      <w:r>
        <w:rPr>
          <w:color w:val="000000"/>
          <w:spacing w:val="0"/>
          <w:w w:val="100"/>
          <w:position w:val="0"/>
        </w:rPr>
        <w:t>外聘内训</w:t>
      </w:r>
      <w:r>
        <w:rPr>
          <w:rFonts w:ascii="Times New Roman" w:eastAsia="Times New Roman" w:hAnsi="Times New Roman" w:cs="Times New Roman"/>
          <w:color w:val="000000"/>
          <w:spacing w:val="0"/>
          <w:w w:val="100"/>
          <w:position w:val="0"/>
        </w:rPr>
        <w:t>12</w:t>
      </w:r>
      <w:r>
        <w:rPr>
          <w:color w:val="000000"/>
          <w:spacing w:val="0"/>
          <w:w w:val="100"/>
          <w:position w:val="0"/>
        </w:rPr>
        <w:t>场，覆盖人数</w:t>
      </w:r>
      <w:r>
        <w:rPr>
          <w:rFonts w:ascii="Times New Roman" w:eastAsia="Times New Roman" w:hAnsi="Times New Roman" w:cs="Times New Roman"/>
          <w:color w:val="000000"/>
          <w:spacing w:val="0"/>
          <w:w w:val="100"/>
          <w:position w:val="0"/>
        </w:rPr>
        <w:t>4752</w:t>
      </w:r>
      <w:r>
        <w:rPr>
          <w:color w:val="000000"/>
          <w:spacing w:val="0"/>
          <w:w w:val="100"/>
          <w:position w:val="0"/>
        </w:rPr>
        <w:t>人次，覆盖率相比</w:t>
      </w:r>
      <w:r>
        <w:rPr>
          <w:rFonts w:ascii="Times New Roman" w:eastAsia="Times New Roman" w:hAnsi="Times New Roman" w:cs="Times New Roman"/>
          <w:color w:val="000000"/>
          <w:spacing w:val="0"/>
          <w:w w:val="100"/>
          <w:position w:val="0"/>
        </w:rPr>
        <w:t>2015</w:t>
      </w:r>
      <w:r>
        <w:rPr>
          <w:color w:val="000000"/>
          <w:spacing w:val="0"/>
          <w:w w:val="100"/>
          <w:position w:val="0"/>
        </w:rPr>
        <w:t>年增 加</w:t>
      </w:r>
      <w:r>
        <w:rPr>
          <w:rFonts w:ascii="Times New Roman" w:eastAsia="Times New Roman" w:hAnsi="Times New Roman" w:cs="Times New Roman"/>
          <w:color w:val="000000"/>
          <w:spacing w:val="0"/>
          <w:w w:val="100"/>
          <w:position w:val="0"/>
        </w:rPr>
        <w:t>47.62%</w:t>
      </w:r>
      <w:r>
        <w:rPr>
          <w:color w:val="000000"/>
          <w:spacing w:val="0"/>
          <w:w w:val="100"/>
          <w:position w:val="0"/>
        </w:rPr>
        <w:t>，平均课堂满意度为</w:t>
      </w:r>
      <w:r>
        <w:rPr>
          <w:rFonts w:ascii="Times New Roman" w:eastAsia="Times New Roman" w:hAnsi="Times New Roman" w:cs="Times New Roman"/>
          <w:color w:val="000000"/>
          <w:spacing w:val="0"/>
          <w:w w:val="100"/>
          <w:position w:val="0"/>
        </w:rPr>
        <w:t>93%</w:t>
      </w:r>
      <w:r>
        <w:rPr>
          <w:color w:val="000000"/>
          <w:spacing w:val="0"/>
          <w:w w:val="100"/>
          <w:position w:val="0"/>
        </w:rPr>
        <w:t>，相比</w:t>
      </w:r>
      <w:r>
        <w:rPr>
          <w:rFonts w:ascii="Times New Roman" w:eastAsia="Times New Roman" w:hAnsi="Times New Roman" w:cs="Times New Roman"/>
          <w:color w:val="000000"/>
          <w:spacing w:val="0"/>
          <w:w w:val="100"/>
          <w:position w:val="0"/>
        </w:rPr>
        <w:t>2015</w:t>
      </w:r>
      <w:r>
        <w:rPr>
          <w:color w:val="000000"/>
          <w:spacing w:val="0"/>
          <w:w w:val="100"/>
          <w:position w:val="0"/>
        </w:rPr>
        <w:t>年满意度提升</w:t>
      </w:r>
      <w:r>
        <w:rPr>
          <w:rFonts w:ascii="Times New Roman" w:eastAsia="Times New Roman" w:hAnsi="Times New Roman" w:cs="Times New Roman"/>
          <w:color w:val="000000"/>
          <w:spacing w:val="0"/>
          <w:w w:val="100"/>
          <w:position w:val="0"/>
        </w:rPr>
        <w:t>1.6%</w:t>
      </w:r>
      <w:r>
        <w:rPr>
          <w:color w:val="000000"/>
          <w:spacing w:val="0"/>
          <w:w w:val="100"/>
          <w:position w:val="0"/>
        </w:rPr>
        <w:t>,为保证公司业务可持续性发展贡献一份力量。</w:t>
      </w:r>
    </w:p>
    <w:p>
      <w:pPr>
        <w:pStyle w:val="Style33"/>
        <w:keepNext/>
        <w:keepLines/>
        <w:widowControl w:val="0"/>
        <w:shd w:val="clear" w:color="auto" w:fill="auto"/>
        <w:tabs>
          <w:tab w:pos="378" w:val="left"/>
        </w:tabs>
        <w:bidi w:val="0"/>
        <w:spacing w:before="0" w:after="280" w:line="240"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w:t>
        <w:tab/>
        <w:t>劳务外包情况</w:t>
      </w:r>
      <w:bookmarkEnd w:id="575"/>
      <w:bookmarkEnd w:id="576"/>
      <w:bookmarkEnd w:id="578"/>
    </w:p>
    <w:p>
      <w:pPr>
        <w:pStyle w:val="Style28"/>
        <w:keepNext w:val="0"/>
        <w:keepLines w:val="0"/>
        <w:widowControl w:val="0"/>
        <w:shd w:val="clear" w:color="auto" w:fill="auto"/>
        <w:bidi w:val="0"/>
        <w:spacing w:before="0" w:after="280" w:line="314" w:lineRule="exact"/>
        <w:ind w:left="0" w:right="0" w:firstLine="0"/>
        <w:jc w:val="both"/>
        <w:sectPr>
          <w:footnotePr>
            <w:pos w:val="pageBottom"/>
            <w:numFmt w:val="decimal"/>
            <w:numRestart w:val="continuous"/>
          </w:footnotePr>
          <w:pgSz w:w="11900" w:h="16840"/>
          <w:pgMar w:top="1330" w:right="1125" w:bottom="1445" w:left="108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540" w:line="240" w:lineRule="auto"/>
        <w:ind w:left="0" w:right="0" w:firstLine="0"/>
        <w:jc w:val="center"/>
      </w:pPr>
      <w:bookmarkStart w:id="579" w:name="bookmark579"/>
      <w:bookmarkStart w:id="580" w:name="bookmark580"/>
      <w:bookmarkStart w:id="581" w:name="bookmark581"/>
      <w:r>
        <w:rPr>
          <w:color w:val="000000"/>
          <w:spacing w:val="0"/>
          <w:w w:val="100"/>
          <w:position w:val="0"/>
        </w:rPr>
        <w:t>第九节公司治理</w:t>
      </w:r>
      <w:bookmarkEnd w:id="579"/>
      <w:bookmarkEnd w:id="580"/>
      <w:bookmarkEnd w:id="581"/>
    </w:p>
    <w:p>
      <w:pPr>
        <w:pStyle w:val="Style25"/>
        <w:keepNext/>
        <w:keepLines/>
        <w:widowControl w:val="0"/>
        <w:shd w:val="clear" w:color="auto" w:fill="auto"/>
        <w:tabs>
          <w:tab w:pos="590" w:val="left"/>
        </w:tabs>
        <w:bidi w:val="0"/>
        <w:spacing w:before="0" w:after="260" w:line="240" w:lineRule="auto"/>
        <w:ind w:left="0" w:right="0" w:firstLine="0"/>
        <w:jc w:val="left"/>
      </w:pPr>
      <w:bookmarkStart w:id="582" w:name="bookmark582"/>
      <w:bookmarkStart w:id="583" w:name="bookmark583"/>
      <w:bookmarkStart w:id="584" w:name="bookmark584"/>
      <w:bookmarkStart w:id="585" w:name="bookmark585"/>
      <w:bookmarkStart w:id="586" w:name="bookmark586"/>
      <w:r>
        <w:rPr>
          <w:color w:val="000000"/>
          <w:spacing w:val="0"/>
          <w:w w:val="100"/>
          <w:position w:val="0"/>
          <w:sz w:val="24"/>
          <w:szCs w:val="24"/>
        </w:rPr>
        <w:t>一</w:t>
      </w:r>
      <w:bookmarkEnd w:id="585"/>
      <w:r>
        <w:rPr>
          <w:color w:val="000000"/>
          <w:spacing w:val="0"/>
          <w:w w:val="100"/>
          <w:position w:val="0"/>
          <w:sz w:val="24"/>
          <w:szCs w:val="24"/>
        </w:rPr>
        <w:t>、</w:t>
        <w:tab/>
        <w:t>公司治理的基本状况</w:t>
      </w:r>
      <w:bookmarkEnd w:id="583"/>
      <w:bookmarkEnd w:id="584"/>
      <w:bookmarkEnd w:id="586"/>
      <w:bookmarkEnd w:id="582"/>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截至报告期末，公司治理的实际状况符合《上市公司治理准则》和《深圳证券交易所创业板上市公司规范运作指引》的要求。</w:t>
      </w:r>
    </w:p>
    <w:p>
      <w:pPr>
        <w:pStyle w:val="Style28"/>
        <w:keepNext w:val="0"/>
        <w:keepLines w:val="0"/>
        <w:widowControl w:val="0"/>
        <w:shd w:val="clear" w:color="auto" w:fill="auto"/>
        <w:bidi w:val="0"/>
        <w:spacing w:before="0" w:after="0" w:line="314" w:lineRule="exact"/>
        <w:ind w:left="0" w:right="0" w:firstLine="380"/>
        <w:jc w:val="both"/>
      </w:pPr>
      <w:bookmarkStart w:id="587" w:name="bookmark587"/>
      <w:r>
        <w:rPr>
          <w:rFonts w:ascii="Times New Roman" w:eastAsia="Times New Roman" w:hAnsi="Times New Roman" w:cs="Times New Roman"/>
          <w:color w:val="000000"/>
          <w:spacing w:val="0"/>
          <w:w w:val="100"/>
          <w:position w:val="0"/>
        </w:rPr>
        <w:t>1</w:t>
      </w:r>
      <w:bookmarkEnd w:id="587"/>
      <w:r>
        <w:rPr>
          <w:color w:val="000000"/>
          <w:spacing w:val="0"/>
          <w:w w:val="100"/>
          <w:position w:val="0"/>
        </w:rPr>
        <w:t>、 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Style28"/>
        <w:keepNext w:val="0"/>
        <w:keepLines w:val="0"/>
        <w:widowControl w:val="0"/>
        <w:shd w:val="clear" w:color="auto" w:fill="auto"/>
        <w:tabs>
          <w:tab w:pos="651" w:val="left"/>
        </w:tabs>
        <w:bidi w:val="0"/>
        <w:spacing w:before="0" w:after="0" w:line="314" w:lineRule="exact"/>
        <w:ind w:left="0" w:right="0" w:firstLine="380"/>
        <w:jc w:val="both"/>
      </w:pPr>
      <w:bookmarkStart w:id="588" w:name="bookmark588"/>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关于公司与控股股东：公司控股股东严格规范自己的行为，没有超越股东大会直接或间接干预公司的决策和经营活 动。公司拥有独立完整的业务和自主经营能力，在业务、人员、资产、机构、财务上独立于控股股东，公司董事会、监事会 和内部机构独立运作。</w:t>
      </w:r>
    </w:p>
    <w:p>
      <w:pPr>
        <w:pStyle w:val="Style28"/>
        <w:keepNext w:val="0"/>
        <w:keepLines w:val="0"/>
        <w:widowControl w:val="0"/>
        <w:shd w:val="clear" w:color="auto" w:fill="auto"/>
        <w:tabs>
          <w:tab w:pos="661" w:val="left"/>
        </w:tabs>
        <w:bidi w:val="0"/>
        <w:spacing w:before="0" w:after="0" w:line="314" w:lineRule="exact"/>
        <w:ind w:left="0" w:right="0" w:firstLine="380"/>
        <w:jc w:val="both"/>
      </w:pPr>
      <w:bookmarkStart w:id="589" w:name="bookmark589"/>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关于董事和董事会：公司董事会设有董事</w:t>
      </w:r>
      <w:r>
        <w:rPr>
          <w:rFonts w:ascii="Times New Roman" w:eastAsia="Times New Roman" w:hAnsi="Times New Roman" w:cs="Times New Roman"/>
          <w:color w:val="000000"/>
          <w:spacing w:val="0"/>
          <w:w w:val="100"/>
          <w:position w:val="0"/>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 司章程》的要求。各位董事能够依据《董事会议事规则》、《独立董事工作细则》、《深圳证券交易所创业板上市公司规范 运作指引》等开展工作，出席董事会和股东大会，尽责地履行职责和义务。公司董事通过自学熟悉并掌握相关法律法规，从 根本上保证董事立足于维护公司和全体股东的最大利益，忠实、诚信、勤勉地履行职责，全体董事均能做到以认真负责，勤 勉诚信的态度忠实履行职责。</w:t>
      </w:r>
    </w:p>
    <w:p>
      <w:pPr>
        <w:pStyle w:val="Style28"/>
        <w:keepNext w:val="0"/>
        <w:keepLines w:val="0"/>
        <w:widowControl w:val="0"/>
        <w:shd w:val="clear" w:color="auto" w:fill="auto"/>
        <w:tabs>
          <w:tab w:pos="647" w:val="left"/>
        </w:tabs>
        <w:bidi w:val="0"/>
        <w:spacing w:before="0" w:after="0" w:line="314" w:lineRule="exact"/>
        <w:ind w:left="0" w:right="0" w:firstLine="380"/>
        <w:jc w:val="both"/>
      </w:pPr>
      <w:bookmarkStart w:id="590" w:name="bookmark590"/>
      <w:r>
        <w:rPr>
          <w:rFonts w:ascii="Times New Roman" w:eastAsia="Times New Roman" w:hAnsi="Times New Roman" w:cs="Times New Roman"/>
          <w:color w:val="000000"/>
          <w:spacing w:val="0"/>
          <w:w w:val="100"/>
          <w:position w:val="0"/>
        </w:rPr>
        <w:t>4</w:t>
      </w:r>
      <w:bookmarkEnd w:id="590"/>
      <w:r>
        <w:rPr>
          <w:color w:val="000000"/>
          <w:spacing w:val="0"/>
          <w:w w:val="100"/>
          <w:position w:val="0"/>
        </w:rPr>
        <w:t>、</w:t>
        <w:tab/>
        <w:t>关于监事和监事会：公司监事会设有监事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名，人数和人员构成符合法律、法规和《公司章程》 的规定与要求；监事会会议的召集、召开程序，完全按照《监事会议事规则》的要求履行，并按照拟定的会议议程进行。公 司监事能够认真履行自己的职责，本着对公司和全体股东负责的精神，依法、独立对公司财务及公司董事、经理和其他高级 管理人员履行职责的合法性、合规性进行监督。</w:t>
      </w:r>
    </w:p>
    <w:p>
      <w:pPr>
        <w:pStyle w:val="Style28"/>
        <w:keepNext w:val="0"/>
        <w:keepLines w:val="0"/>
        <w:widowControl w:val="0"/>
        <w:shd w:val="clear" w:color="auto" w:fill="auto"/>
        <w:tabs>
          <w:tab w:pos="661" w:val="left"/>
        </w:tabs>
        <w:bidi w:val="0"/>
        <w:spacing w:before="0" w:after="0" w:line="314" w:lineRule="exact"/>
        <w:ind w:left="0" w:right="0" w:firstLine="380"/>
        <w:jc w:val="both"/>
      </w:pPr>
      <w:bookmarkStart w:id="591" w:name="bookmark591"/>
      <w:r>
        <w:rPr>
          <w:rFonts w:ascii="Times New Roman" w:eastAsia="Times New Roman" w:hAnsi="Times New Roman" w:cs="Times New Roman"/>
          <w:color w:val="000000"/>
          <w:spacing w:val="0"/>
          <w:w w:val="100"/>
          <w:position w:val="0"/>
        </w:rPr>
        <w:t>5</w:t>
      </w:r>
      <w:bookmarkEnd w:id="591"/>
      <w:r>
        <w:rPr>
          <w:color w:val="000000"/>
          <w:spacing w:val="0"/>
          <w:w w:val="100"/>
          <w:position w:val="0"/>
        </w:rPr>
        <w:t>、</w:t>
        <w:tab/>
        <w:t>关于绩效评价与激励约束机制：公司董事会下设的薪酬与考核委员会，负责对公司的董事、监事、高管进行绩效考 核，公司现有的考核及激励约束机制符合公司的发展现状并且在不断完善。</w:t>
      </w:r>
    </w:p>
    <w:p>
      <w:pPr>
        <w:pStyle w:val="Style28"/>
        <w:keepNext w:val="0"/>
        <w:keepLines w:val="0"/>
        <w:widowControl w:val="0"/>
        <w:shd w:val="clear" w:color="auto" w:fill="auto"/>
        <w:bidi w:val="0"/>
        <w:spacing w:before="0" w:after="0" w:line="314" w:lineRule="exact"/>
        <w:ind w:left="0" w:right="0" w:firstLine="380"/>
        <w:jc w:val="both"/>
      </w:pPr>
      <w:bookmarkStart w:id="592" w:name="bookmark592"/>
      <w:r>
        <w:rPr>
          <w:rFonts w:ascii="Times New Roman" w:eastAsia="Times New Roman" w:hAnsi="Times New Roman" w:cs="Times New Roman"/>
          <w:color w:val="000000"/>
          <w:spacing w:val="0"/>
          <w:w w:val="100"/>
          <w:position w:val="0"/>
        </w:rPr>
        <w:t>6</w:t>
      </w:r>
      <w:bookmarkEnd w:id="592"/>
      <w:r>
        <w:rPr>
          <w:color w:val="000000"/>
          <w:spacing w:val="0"/>
          <w:w w:val="100"/>
          <w:position w:val="0"/>
        </w:rPr>
        <w:t>、 关于信息披露与透明度：公司严格按照有关法律法规以及《信息披露管理制度》、《投资者管理制度》、《重大信 息内部报告和保密制度》等要求，真实、准确、及时、公平、完整地披露有关信息。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年公司设立信息披露委员会并选举 </w:t>
      </w:r>
      <w:r>
        <w:rPr>
          <w:rFonts w:ascii="Times New Roman" w:eastAsia="Times New Roman" w:hAnsi="Times New Roman" w:cs="Times New Roman"/>
          <w:color w:val="000000"/>
          <w:spacing w:val="0"/>
          <w:w w:val="100"/>
          <w:position w:val="0"/>
        </w:rPr>
        <w:t>5</w:t>
      </w:r>
      <w:r>
        <w:rPr>
          <w:color w:val="000000"/>
          <w:spacing w:val="0"/>
          <w:w w:val="100"/>
          <w:position w:val="0"/>
        </w:rPr>
        <w:t>名委员定期对公司信息披露工作进行考核。同时公司指定董事会秘书负责信息披露工作，协调公司与投资者的关系，接待 股东来访，回答投资者咨询，向投资者提供公司已披露的资料；并指定《中国证券报》、《证券时报》、《上海证券报》和 巨潮网(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8"/>
        <w:keepNext w:val="0"/>
        <w:keepLines w:val="0"/>
        <w:widowControl w:val="0"/>
        <w:shd w:val="clear" w:color="auto" w:fill="auto"/>
        <w:tabs>
          <w:tab w:pos="642" w:val="left"/>
        </w:tabs>
        <w:bidi w:val="0"/>
        <w:spacing w:before="0" w:after="0" w:line="314" w:lineRule="exact"/>
        <w:ind w:left="0" w:right="0" w:firstLine="380"/>
        <w:jc w:val="both"/>
      </w:pPr>
      <w:bookmarkStart w:id="593" w:name="bookmark593"/>
      <w:r>
        <w:rPr>
          <w:rFonts w:ascii="Times New Roman" w:eastAsia="Times New Roman" w:hAnsi="Times New Roman" w:cs="Times New Roman"/>
          <w:color w:val="000000"/>
          <w:spacing w:val="0"/>
          <w:w w:val="100"/>
          <w:position w:val="0"/>
        </w:rPr>
        <w:t>7</w:t>
      </w:r>
      <w:bookmarkEnd w:id="593"/>
      <w:r>
        <w:rPr>
          <w:color w:val="000000"/>
          <w:spacing w:val="0"/>
          <w:w w:val="100"/>
          <w:position w:val="0"/>
        </w:rPr>
        <w:t>、</w:t>
        <w:tab/>
        <w:t>关于相关利益者：公司充分尊重和维护相关利益者的合法权益，实现股东、员工、社会等各方利益的协调平衡，共 同推动公司持续、健康的发展。</w:t>
      </w:r>
    </w:p>
    <w:p>
      <w:pPr>
        <w:pStyle w:val="Style28"/>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公司治理的实际状况与中国证监会发布的有关上市公司治理的规范性文件不存在重大差异。</w:t>
      </w:r>
    </w:p>
    <w:p>
      <w:pPr>
        <w:pStyle w:val="Style25"/>
        <w:keepNext/>
        <w:keepLines/>
        <w:widowControl w:val="0"/>
        <w:shd w:val="clear" w:color="auto" w:fill="auto"/>
        <w:tabs>
          <w:tab w:pos="590" w:val="left"/>
        </w:tabs>
        <w:bidi w:val="0"/>
        <w:spacing w:before="0" w:after="26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w:t>
        <w:tab/>
        <w:t>公司相对于控股股东在业务、人员、资产、机构、财务等方面的独立情况</w:t>
      </w:r>
      <w:bookmarkEnd w:id="594"/>
      <w:bookmarkEnd w:id="595"/>
      <w:bookmarkEnd w:id="597"/>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为防止控股股东及关联方占用公司资金，杜绝控股股东及关联方资金占用行为的发生，根据《公司法》、《证券法》、 《深圳证券交易所创业板股票上市规则》、《深圳证券交易所创业板上市公司规范运作指引》等有关法律法规和《深圳市新 国都技术股份有限公司章程》，公司制定了《防范控股股东及关联方占用公司资金制度》，明确关联方占用情况及相关责任 追究制度。独立董事及监事会对关联方资金占用情况进行监督检查。</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本报告期内，公司不存在与控股股东在业务、人员、资产、机构、财务等方面存在不能保证独立性、不能保持自主经营</w:t>
      </w:r>
      <w:r>
        <w:br w:type="page"/>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能力的情况。</w:t>
      </w:r>
    </w:p>
    <w:p>
      <w:pPr>
        <w:pStyle w:val="Style25"/>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、同业竞争情况</w:t>
      </w:r>
      <w:bookmarkEnd w:id="598"/>
      <w:bookmarkEnd w:id="599"/>
      <w:bookmarkEnd w:id="601"/>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602" w:name="bookmark602"/>
      <w:bookmarkStart w:id="603" w:name="bookmark603"/>
      <w:bookmarkStart w:id="604" w:name="bookmark604"/>
      <w:bookmarkStart w:id="605" w:name="bookmark605"/>
      <w:r>
        <w:rPr>
          <w:color w:val="000000"/>
          <w:spacing w:val="0"/>
          <w:w w:val="100"/>
          <w:position w:val="0"/>
          <w:sz w:val="24"/>
          <w:szCs w:val="24"/>
        </w:rPr>
        <w:t>四</w:t>
      </w:r>
      <w:bookmarkEnd w:id="604"/>
      <w:r>
        <w:rPr>
          <w:color w:val="000000"/>
          <w:spacing w:val="0"/>
          <w:w w:val="100"/>
          <w:position w:val="0"/>
          <w:sz w:val="24"/>
          <w:szCs w:val="24"/>
        </w:rPr>
        <w:t>、报告期内召开的年度股东大会和临时股东大会的有关情况</w:t>
      </w:r>
      <w:bookmarkEnd w:id="602"/>
      <w:bookmarkEnd w:id="603"/>
      <w:bookmarkEnd w:id="605"/>
    </w:p>
    <w:p>
      <w:pPr>
        <w:pStyle w:val="Style33"/>
        <w:keepNext/>
        <w:keepLines/>
        <w:widowControl w:val="0"/>
        <w:shd w:val="clear" w:color="auto" w:fill="auto"/>
        <w:bidi w:val="0"/>
        <w:spacing w:before="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、本报告期股东大会情况</w:t>
      </w:r>
      <w:bookmarkEnd w:id="606"/>
      <w:bookmarkEnd w:id="607"/>
      <w:bookmarkEnd w:id="609"/>
    </w:p>
    <w:tbl>
      <w:tblPr>
        <w:tblOverlap w:val="never"/>
        <w:jc w:val="center"/>
        <w:tblLayout w:type="fixed"/>
      </w:tblPr>
      <w:tblGrid>
        <w:gridCol w:w="1603"/>
        <w:gridCol w:w="1594"/>
        <w:gridCol w:w="1594"/>
        <w:gridCol w:w="1594"/>
        <w:gridCol w:w="1608"/>
        <w:gridCol w:w="159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投资者参与比例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年第一次临时股东 大会会议决议》 </w:t>
            </w:r>
            <w:r>
              <w:rPr>
                <w:rFonts w:ascii="Times New Roman" w:eastAsia="Times New Roman" w:hAnsi="Times New Roman" w:cs="Times New Roman"/>
                <w:color w:val="000000"/>
                <w:spacing w:val="0"/>
                <w:w w:val="100"/>
                <w:position w:val="0"/>
              </w:rPr>
              <w:t>2016-007</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年第二次临时股东 大会会议决议》 </w:t>
            </w:r>
            <w:r>
              <w:rPr>
                <w:rFonts w:ascii="Times New Roman" w:eastAsia="Times New Roman" w:hAnsi="Times New Roman" w:cs="Times New Roman"/>
                <w:color w:val="000000"/>
                <w:spacing w:val="0"/>
                <w:w w:val="100"/>
                <w:position w:val="0"/>
              </w:rPr>
              <w:t>2016-022</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年年度股东大会会 议决议》</w:t>
            </w:r>
            <w:r>
              <w:rPr>
                <w:rFonts w:ascii="Times New Roman" w:eastAsia="Times New Roman" w:hAnsi="Times New Roman" w:cs="Times New Roman"/>
                <w:color w:val="000000"/>
                <w:spacing w:val="0"/>
                <w:w w:val="100"/>
                <w:position w:val="0"/>
              </w:rPr>
              <w:t>2016-064</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年第三次临时股东 大会会议决议》 </w:t>
            </w:r>
            <w:r>
              <w:rPr>
                <w:rFonts w:ascii="Times New Roman" w:eastAsia="Times New Roman" w:hAnsi="Times New Roman" w:cs="Times New Roman"/>
                <w:color w:val="000000"/>
                <w:spacing w:val="0"/>
                <w:w w:val="100"/>
                <w:position w:val="0"/>
              </w:rPr>
              <w:t>2016-066</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年第四次临时股东 大会会议决议》 </w:t>
            </w:r>
            <w:r>
              <w:rPr>
                <w:rFonts w:ascii="Times New Roman" w:eastAsia="Times New Roman" w:hAnsi="Times New Roman" w:cs="Times New Roman"/>
                <w:color w:val="000000"/>
                <w:spacing w:val="0"/>
                <w:w w:val="100"/>
                <w:position w:val="0"/>
              </w:rPr>
              <w:t>2016-095</w:t>
            </w:r>
          </w:p>
        </w:tc>
      </w:tr>
      <w:tr>
        <w:trPr>
          <w:trHeight w:val="1349"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年第五次临时股东 大会会议决议》 </w:t>
            </w:r>
            <w:r>
              <w:rPr>
                <w:rFonts w:ascii="Times New Roman" w:eastAsia="Times New Roman" w:hAnsi="Times New Roman" w:cs="Times New Roman"/>
                <w:color w:val="000000"/>
                <w:spacing w:val="0"/>
                <w:w w:val="100"/>
                <w:position w:val="0"/>
              </w:rPr>
              <w:t>2016-125</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、表决权恢复的优先股股东请求召开临时股东大会</w:t>
      </w:r>
      <w:bookmarkEnd w:id="610"/>
      <w:bookmarkEnd w:id="611"/>
      <w:bookmarkEnd w:id="613"/>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五</w:t>
      </w:r>
      <w:bookmarkEnd w:id="616"/>
      <w:r>
        <w:rPr>
          <w:color w:val="000000"/>
          <w:spacing w:val="0"/>
          <w:w w:val="100"/>
          <w:position w:val="0"/>
          <w:sz w:val="24"/>
          <w:szCs w:val="24"/>
        </w:rPr>
        <w:t>、报告期内独立董事履行职责的情况</w:t>
      </w:r>
      <w:bookmarkEnd w:id="614"/>
      <w:bookmarkEnd w:id="615"/>
      <w:bookmarkEnd w:id="617"/>
    </w:p>
    <w:p>
      <w:pPr>
        <w:pStyle w:val="Style33"/>
        <w:keepNext/>
        <w:keepLines/>
        <w:widowControl w:val="0"/>
        <w:shd w:val="clear" w:color="auto" w:fill="auto"/>
        <w:bidi w:val="0"/>
        <w:spacing w:before="0" w:after="2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、独立董事出席董事会及股东大会的情况</w:t>
      </w:r>
      <w:bookmarkEnd w:id="618"/>
      <w:bookmarkEnd w:id="619"/>
      <w:bookmarkEnd w:id="621"/>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3"/>
        <w:keepNext/>
        <w:keepLines/>
        <w:widowControl w:val="0"/>
        <w:shd w:val="clear" w:color="auto" w:fill="auto"/>
        <w:tabs>
          <w:tab w:pos="378" w:val="left"/>
        </w:tabs>
        <w:bidi w:val="0"/>
        <w:spacing w:before="0" w:after="2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独立董事对公司有关事项提出异议的情况</w:t>
      </w:r>
      <w:bookmarkEnd w:id="622"/>
      <w:bookmarkEnd w:id="623"/>
      <w:bookmarkEnd w:id="625"/>
    </w:p>
    <w:p>
      <w:pPr>
        <w:pStyle w:val="Style28"/>
        <w:keepNext w:val="0"/>
        <w:keepLines w:val="0"/>
        <w:widowControl w:val="0"/>
        <w:shd w:val="clear" w:color="auto" w:fill="auto"/>
        <w:bidi w:val="0"/>
        <w:spacing w:before="0" w:after="0" w:line="308"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40" w:line="308"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独立董事履行职责的其他说明</w:t>
      </w:r>
      <w:bookmarkEnd w:id="626"/>
      <w:bookmarkEnd w:id="627"/>
      <w:bookmarkEnd w:id="629"/>
    </w:p>
    <w:p>
      <w:pPr>
        <w:pStyle w:val="Style28"/>
        <w:keepNext w:val="0"/>
        <w:keepLines w:val="0"/>
        <w:widowControl w:val="0"/>
        <w:shd w:val="clear" w:color="auto" w:fill="auto"/>
        <w:bidi w:val="0"/>
        <w:spacing w:before="0" w:after="0" w:line="308"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08"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0" w:line="308" w:lineRule="exact"/>
        <w:ind w:left="0" w:right="0" w:firstLine="380"/>
        <w:jc w:val="both"/>
      </w:pPr>
      <w:r>
        <w:rPr>
          <w:color w:val="000000"/>
          <w:spacing w:val="0"/>
          <w:w w:val="100"/>
          <w:position w:val="0"/>
        </w:rPr>
        <w:t>针对第三届董事会第二十六次会议议案《关于拟对子公司提供年度担保额度的议案》，独立董事蔡艳红女士建议根据经 营规划综合考虑子公司年度需求设定总担保额度，提高审批效率，该议案经董事会全体表决通过。</w:t>
      </w:r>
    </w:p>
    <w:p>
      <w:pPr>
        <w:pStyle w:val="Style28"/>
        <w:keepNext w:val="0"/>
        <w:keepLines w:val="0"/>
        <w:widowControl w:val="0"/>
        <w:shd w:val="clear" w:color="auto" w:fill="auto"/>
        <w:bidi w:val="0"/>
        <w:spacing w:before="0" w:after="0" w:line="308" w:lineRule="exact"/>
        <w:ind w:left="0" w:right="0" w:firstLine="380"/>
        <w:jc w:val="both"/>
      </w:pPr>
      <w:r>
        <w:rPr>
          <w:color w:val="000000"/>
          <w:spacing w:val="0"/>
          <w:w w:val="100"/>
          <w:position w:val="0"/>
        </w:rPr>
        <w:t>针对第三届董事会第二十七次会议议案《关于对全资子公司增资暨业务转移的议案》，独立董事陈京琳建议财务人员多 关注债权债务转移，保障公司权益，该建议已由财务部进行落实。</w:t>
      </w:r>
    </w:p>
    <w:p>
      <w:pPr>
        <w:pStyle w:val="Style28"/>
        <w:keepNext w:val="0"/>
        <w:keepLines w:val="0"/>
        <w:widowControl w:val="0"/>
        <w:shd w:val="clear" w:color="auto" w:fill="auto"/>
        <w:bidi w:val="0"/>
        <w:spacing w:before="0" w:after="0" w:line="308" w:lineRule="exact"/>
        <w:ind w:left="0" w:right="0" w:firstLine="380"/>
        <w:jc w:val="both"/>
      </w:pPr>
      <w:r>
        <w:rPr>
          <w:color w:val="000000"/>
          <w:spacing w:val="0"/>
          <w:w w:val="100"/>
          <w:position w:val="0"/>
        </w:rPr>
        <w:t>针对第三届董事会第二十八次（临时）会议议案《关于收购长沙公信诚丰信息技术服务有限公司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 独立董事何佳建议列明本次收购的风险及风险处理办法，该建议已被采纳。</w:t>
      </w:r>
    </w:p>
    <w:p>
      <w:pPr>
        <w:pStyle w:val="Style28"/>
        <w:keepNext w:val="0"/>
        <w:keepLines w:val="0"/>
        <w:widowControl w:val="0"/>
        <w:shd w:val="clear" w:color="auto" w:fill="auto"/>
        <w:bidi w:val="0"/>
        <w:spacing w:before="0" w:after="380" w:line="308" w:lineRule="exact"/>
        <w:ind w:left="0" w:right="0" w:firstLine="380"/>
        <w:jc w:val="both"/>
      </w:pPr>
      <w:r>
        <w:rPr>
          <w:color w:val="000000"/>
          <w:spacing w:val="0"/>
          <w:w w:val="100"/>
          <w:position w:val="0"/>
        </w:rPr>
        <w:t>针对第三届董事会第三十一次会议《关于</w:t>
      </w:r>
      <w:r>
        <w:rPr>
          <w:rFonts w:ascii="Times New Roman" w:eastAsia="Times New Roman" w:hAnsi="Times New Roman" w:cs="Times New Roman"/>
          <w:color w:val="000000"/>
          <w:spacing w:val="0"/>
          <w:w w:val="100"/>
          <w:position w:val="0"/>
        </w:rPr>
        <w:t>2016</w:t>
      </w:r>
      <w:r>
        <w:rPr>
          <w:color w:val="000000"/>
          <w:spacing w:val="0"/>
          <w:w w:val="100"/>
          <w:position w:val="0"/>
        </w:rPr>
        <w:t>年下半年申请银行授信额度的议案》，独立董事蔡艳红建议做好授信有效 期管理，保障续期阶段公司资金需求，该建议已被采纳。</w:t>
      </w:r>
    </w:p>
    <w:p>
      <w:pPr>
        <w:pStyle w:val="Style25"/>
        <w:keepNext/>
        <w:keepLines/>
        <w:widowControl w:val="0"/>
        <w:shd w:val="clear" w:color="auto" w:fill="auto"/>
        <w:bidi w:val="0"/>
        <w:spacing w:before="0" w:after="2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六</w:t>
      </w:r>
      <w:bookmarkEnd w:id="632"/>
      <w:r>
        <w:rPr>
          <w:color w:val="000000"/>
          <w:spacing w:val="0"/>
          <w:w w:val="100"/>
          <w:position w:val="0"/>
          <w:sz w:val="24"/>
          <w:szCs w:val="24"/>
        </w:rPr>
        <w:t>、董事会下设专门委员会在报告期内履行职责情况</w:t>
      </w:r>
      <w:bookmarkEnd w:id="630"/>
      <w:bookmarkEnd w:id="631"/>
      <w:bookmarkEnd w:id="633"/>
    </w:p>
    <w:p>
      <w:pPr>
        <w:pStyle w:val="Style28"/>
        <w:keepNext w:val="0"/>
        <w:keepLines w:val="0"/>
        <w:widowControl w:val="0"/>
        <w:shd w:val="clear" w:color="auto" w:fill="auto"/>
        <w:bidi w:val="0"/>
        <w:spacing w:before="0" w:after="0" w:line="308" w:lineRule="exact"/>
        <w:ind w:left="0" w:right="0" w:firstLine="0"/>
        <w:jc w:val="left"/>
      </w:pPr>
      <w:bookmarkStart w:id="634" w:name="bookmark634"/>
      <w:r>
        <w:rPr>
          <w:rFonts w:ascii="Times New Roman" w:eastAsia="Times New Roman" w:hAnsi="Times New Roman" w:cs="Times New Roman"/>
          <w:color w:val="000000"/>
          <w:spacing w:val="0"/>
          <w:w w:val="100"/>
          <w:position w:val="0"/>
        </w:rPr>
        <w:t>1</w:t>
      </w:r>
      <w:bookmarkEnd w:id="634"/>
      <w:r>
        <w:rPr>
          <w:color w:val="000000"/>
          <w:spacing w:val="0"/>
          <w:w w:val="100"/>
          <w:position w:val="0"/>
        </w:rPr>
        <w:t>、第三届董事会审计委员会</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日，公司召开第三届董事会审计委员会第七次会议，审议通过《关于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年度利润分配的议案》、《关于 </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年度募集资金存放与使用情况专项报告的议案》、《关于</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年度财务决算报告的议案》、《关于</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年度内部控制自 我评价报告的议案》、《关于</w:t>
      </w:r>
      <w:r>
        <w:rPr>
          <w:rFonts w:ascii="Times New Roman" w:eastAsia="Times New Roman" w:hAnsi="Times New Roman" w:cs="Times New Roman"/>
          <w:color w:val="000000"/>
          <w:spacing w:val="0"/>
          <w:w w:val="100"/>
          <w:position w:val="0"/>
        </w:rPr>
        <w:t>2015</w:t>
      </w:r>
      <w:r>
        <w:rPr>
          <w:color w:val="000000"/>
          <w:spacing w:val="0"/>
          <w:w w:val="100"/>
          <w:position w:val="0"/>
        </w:rPr>
        <w:t>年度内审工作总结及</w:t>
      </w:r>
      <w:r>
        <w:rPr>
          <w:rFonts w:ascii="Times New Roman" w:eastAsia="Times New Roman" w:hAnsi="Times New Roman" w:cs="Times New Roman"/>
          <w:color w:val="000000"/>
          <w:spacing w:val="0"/>
          <w:w w:val="100"/>
          <w:position w:val="0"/>
        </w:rPr>
        <w:t>2016</w:t>
      </w:r>
      <w:r>
        <w:rPr>
          <w:color w:val="000000"/>
          <w:spacing w:val="0"/>
          <w:w w:val="100"/>
          <w:position w:val="0"/>
        </w:rPr>
        <w:t>年内审工作计划的议案》、《关于聘请</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 并对公司利润分配方案发表意见：公司本次分配预案结合公司实际经营情况，并充分考虑公司股东，特别是中小股东的利益， 决策程序符合相关法律法规、预案内容符合公司利润分配政策及《公司章程》的相关规定。</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日，公司召开第三届董事会审计委员会第八次会议，审议通过《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年审计监察部第一季度工作总结及第 </w:t>
      </w:r>
      <w:r>
        <w:rPr>
          <w:color w:val="000000"/>
          <w:spacing w:val="0"/>
          <w:w w:val="100"/>
          <w:position w:val="0"/>
        </w:rPr>
        <w:t>二季度工作计划》。</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日，公司召开第三届董事会审计委员会第九次会议，审议通过《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年审计监察部上半年工作总结及下半 年工作计划》、《</w:t>
      </w:r>
      <w:r>
        <w:rPr>
          <w:rFonts w:ascii="Times New Roman" w:eastAsia="Times New Roman" w:hAnsi="Times New Roman" w:cs="Times New Roman"/>
          <w:color w:val="000000"/>
          <w:spacing w:val="0"/>
          <w:w w:val="100"/>
          <w:position w:val="0"/>
        </w:rPr>
        <w:t>2016</w:t>
      </w:r>
      <w:r>
        <w:rPr>
          <w:color w:val="000000"/>
          <w:spacing w:val="0"/>
          <w:w w:val="100"/>
          <w:position w:val="0"/>
        </w:rPr>
        <w:t>年上半年募集资金存放与使用情况报告》、《关于提名审计监察部经理的议案》。</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日，公司召开第三届董事会审计委员会第十次会议，审议通过《关于</w:t>
      </w:r>
      <w:r>
        <w:rPr>
          <w:rFonts w:ascii="Times New Roman" w:eastAsia="Times New Roman" w:hAnsi="Times New Roman" w:cs="Times New Roman"/>
          <w:color w:val="000000"/>
          <w:spacing w:val="0"/>
          <w:w w:val="100"/>
          <w:position w:val="0"/>
        </w:rPr>
        <w:t>2016</w:t>
      </w:r>
      <w:r>
        <w:rPr>
          <w:color w:val="000000"/>
          <w:spacing w:val="0"/>
          <w:w w:val="100"/>
          <w:position w:val="0"/>
        </w:rPr>
        <w:t>年三季度募集资金使用存放与实 际使用情况专项报告的议案》、《关于</w:t>
      </w:r>
      <w:r>
        <w:rPr>
          <w:rFonts w:ascii="Times New Roman" w:eastAsia="Times New Roman" w:hAnsi="Times New Roman" w:cs="Times New Roman"/>
          <w:color w:val="000000"/>
          <w:spacing w:val="0"/>
          <w:w w:val="100"/>
          <w:position w:val="0"/>
        </w:rPr>
        <w:t>2016</w:t>
      </w:r>
      <w:r>
        <w:rPr>
          <w:color w:val="000000"/>
          <w:spacing w:val="0"/>
          <w:w w:val="100"/>
          <w:position w:val="0"/>
        </w:rPr>
        <w:t>年审计监察部第三季度工作总结及第四季度工作计划的议案》。</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635" w:name="bookmark635"/>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第三届董事会薪酬与考核委员会</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日，公司召开第三届董事会薪酬与考核委员会第六次会议，审议通过《关于确认公司高级管理人员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 度薪酬的议案》。</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日，公司召开第三届董事会薪酬与考核委员会第七次会议，审议通过《关于考核公司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 划第二个行权期可行权激励对象的议案》。</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日，公司召开第三届董事会薪酬与考核委员会第八次会议，审议通过《关于注销</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 部分已获授股票期权的议案》、《关于注销</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年股票期权激励计划部分已获授股票期权的议案》。</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636" w:name="bookmark636"/>
      <w:r>
        <w:rPr>
          <w:rFonts w:ascii="Times New Roman" w:eastAsia="Times New Roman" w:hAnsi="Times New Roman" w:cs="Times New Roman"/>
          <w:color w:val="000000"/>
          <w:spacing w:val="0"/>
          <w:w w:val="100"/>
          <w:position w:val="0"/>
        </w:rPr>
        <w:t>3</w:t>
      </w:r>
      <w:bookmarkEnd w:id="636"/>
      <w:r>
        <w:rPr>
          <w:color w:val="000000"/>
          <w:spacing w:val="0"/>
          <w:w w:val="100"/>
          <w:position w:val="0"/>
        </w:rPr>
        <w:t>、</w:t>
        <w:tab/>
        <w:t>第三届董事会提名委员会</w:t>
      </w:r>
    </w:p>
    <w:p>
      <w:pPr>
        <w:pStyle w:val="Style28"/>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日，公司召开第三届董事会提名委员会第一次会议，审议通过《关于提名聘请李健先生为公司副总经理的 议案》、《关于提名聘请姚骏先生为公司副总经理的议案》。</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637" w:name="bookmark637"/>
      <w:r>
        <w:rPr>
          <w:rFonts w:ascii="Times New Roman" w:eastAsia="Times New Roman" w:hAnsi="Times New Roman" w:cs="Times New Roman"/>
          <w:color w:val="000000"/>
          <w:spacing w:val="0"/>
          <w:w w:val="100"/>
          <w:position w:val="0"/>
        </w:rPr>
        <w:t>4</w:t>
      </w:r>
      <w:bookmarkEnd w:id="637"/>
      <w:r>
        <w:rPr>
          <w:color w:val="000000"/>
          <w:spacing w:val="0"/>
          <w:w w:val="100"/>
          <w:position w:val="0"/>
        </w:rPr>
        <w:t>、</w:t>
        <w:tab/>
        <w:t>第三届战略委员会</w:t>
      </w:r>
    </w:p>
    <w:p>
      <w:pPr>
        <w:pStyle w:val="Style28"/>
        <w:keepNext w:val="0"/>
        <w:keepLines w:val="0"/>
        <w:widowControl w:val="0"/>
        <w:shd w:val="clear" w:color="auto" w:fill="auto"/>
        <w:bidi w:val="0"/>
        <w:spacing w:before="0" w:after="360" w:line="320" w:lineRule="exact"/>
        <w:ind w:left="0" w:right="0" w:firstLine="380"/>
        <w:jc w:val="left"/>
      </w:pPr>
      <w:r>
        <w:rPr>
          <w:color w:val="000000"/>
          <w:spacing w:val="0"/>
          <w:w w:val="100"/>
          <w:position w:val="0"/>
        </w:rPr>
        <w:t>报告期内，第三届董事会战略委员会未召开会议。</w:t>
      </w:r>
    </w:p>
    <w:p>
      <w:pPr>
        <w:pStyle w:val="Style25"/>
        <w:keepNext/>
        <w:keepLines/>
        <w:widowControl w:val="0"/>
        <w:shd w:val="clear" w:color="auto" w:fill="auto"/>
        <w:tabs>
          <w:tab w:pos="526" w:val="left"/>
        </w:tabs>
        <w:bidi w:val="0"/>
        <w:spacing w:before="0" w:after="26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sz w:val="24"/>
          <w:szCs w:val="24"/>
        </w:rPr>
        <w:t>七</w:t>
      </w:r>
      <w:bookmarkEnd w:id="640"/>
      <w:r>
        <w:rPr>
          <w:color w:val="000000"/>
          <w:spacing w:val="0"/>
          <w:w w:val="100"/>
          <w:position w:val="0"/>
          <w:sz w:val="24"/>
          <w:szCs w:val="24"/>
        </w:rPr>
        <w:t>、</w:t>
        <w:tab/>
        <w:t>监事会工作情况</w:t>
      </w:r>
      <w:bookmarkEnd w:id="638"/>
      <w:bookmarkEnd w:id="639"/>
      <w:bookmarkEnd w:id="641"/>
    </w:p>
    <w:p>
      <w:pPr>
        <w:pStyle w:val="Style28"/>
        <w:keepNext w:val="0"/>
        <w:keepLines w:val="0"/>
        <w:widowControl w:val="0"/>
        <w:shd w:val="clear" w:color="auto" w:fill="auto"/>
        <w:bidi w:val="0"/>
        <w:spacing w:before="0" w:after="100" w:line="320" w:lineRule="exact"/>
        <w:ind w:left="0" w:right="0" w:firstLine="0"/>
        <w:jc w:val="both"/>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20" w:lineRule="exact"/>
        <w:ind w:left="0" w:right="0" w:firstLine="0"/>
        <w:jc w:val="both"/>
      </w:pPr>
      <w:r>
        <w:rPr>
          <w:color w:val="000000"/>
          <w:spacing w:val="0"/>
          <w:w w:val="100"/>
          <w:position w:val="0"/>
        </w:rPr>
        <w:t>公司监事会对报告期内的监督事项无异议。</w:t>
      </w:r>
    </w:p>
    <w:p>
      <w:pPr>
        <w:pStyle w:val="Style25"/>
        <w:keepNext/>
        <w:keepLines/>
        <w:widowControl w:val="0"/>
        <w:shd w:val="clear" w:color="auto" w:fill="auto"/>
        <w:tabs>
          <w:tab w:pos="526" w:val="left"/>
        </w:tabs>
        <w:bidi w:val="0"/>
        <w:spacing w:before="0" w:after="36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八</w:t>
      </w:r>
      <w:bookmarkEnd w:id="644"/>
      <w:r>
        <w:rPr>
          <w:color w:val="000000"/>
          <w:spacing w:val="0"/>
          <w:w w:val="100"/>
          <w:position w:val="0"/>
          <w:sz w:val="24"/>
          <w:szCs w:val="24"/>
        </w:rPr>
        <w:t>、</w:t>
        <w:tab/>
        <w:t>高级管理人员的考评及激励情况</w:t>
      </w:r>
      <w:bookmarkEnd w:id="642"/>
      <w:bookmarkEnd w:id="643"/>
      <w:bookmarkEnd w:id="645"/>
    </w:p>
    <w:p>
      <w:pPr>
        <w:pStyle w:val="Style28"/>
        <w:keepNext w:val="0"/>
        <w:keepLines w:val="0"/>
        <w:widowControl w:val="0"/>
        <w:shd w:val="clear" w:color="auto" w:fill="auto"/>
        <w:bidi w:val="0"/>
        <w:spacing w:before="0" w:after="0"/>
        <w:ind w:left="0" w:right="0" w:firstLine="0"/>
        <w:jc w:val="both"/>
      </w:pPr>
      <w:bookmarkStart w:id="646" w:name="bookmark646"/>
      <w:r>
        <w:rPr>
          <w:rFonts w:ascii="Times New Roman" w:eastAsia="Times New Roman" w:hAnsi="Times New Roman" w:cs="Times New Roman"/>
          <w:color w:val="000000"/>
          <w:spacing w:val="0"/>
          <w:w w:val="100"/>
          <w:position w:val="0"/>
        </w:rPr>
        <w:t>1</w:t>
      </w:r>
      <w:bookmarkEnd w:id="646"/>
      <w:r>
        <w:rPr>
          <w:color w:val="000000"/>
          <w:spacing w:val="0"/>
          <w:w w:val="100"/>
          <w:position w:val="0"/>
        </w:rPr>
        <w:t>、考评情况</w:t>
      </w:r>
    </w:p>
    <w:p>
      <w:pPr>
        <w:pStyle w:val="Style28"/>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为进一步完善公司法人治理，健全内部约束和责任追究机制，提高公司决策与经营管理水平，建设廉洁、务实、高效的 管理团队，公司建立《总经理工作细则》、《董事会秘书工作制度》、《财务会计相关负责人管理制度》、《董事、监事、 高级管理人员内部问责制度》等管理制度。此外定期对高级管理人员实施绩效考核。</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考核方案：</w:t>
      </w:r>
    </w:p>
    <w:tbl>
      <w:tblPr>
        <w:tblOverlap w:val="never"/>
        <w:jc w:val="center"/>
        <w:tblLayout w:type="fixed"/>
      </w:tblPr>
      <w:tblGrid>
        <w:gridCol w:w="3418"/>
        <w:gridCol w:w="763"/>
        <w:gridCol w:w="2414"/>
        <w:gridCol w:w="1790"/>
        <w:gridCol w:w="1291"/>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考核周期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权重</w:t>
            </w:r>
          </w:p>
        </w:tc>
      </w:tr>
      <w:tr>
        <w:trPr>
          <w:trHeight w:val="427"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高管</w:t>
            </w:r>
            <w:r>
              <w:rPr>
                <w:color w:val="000000"/>
                <w:spacing w:val="0"/>
                <w:w w:val="100"/>
                <w:position w:val="0"/>
              </w:rPr>
              <w:t>（</w:t>
            </w:r>
            <w:r>
              <w:rPr>
                <w:rFonts w:ascii="Times New Roman" w:eastAsia="Times New Roman" w:hAnsi="Times New Roman" w:cs="Times New Roman"/>
                <w:color w:val="000000"/>
                <w:spacing w:val="0"/>
                <w:w w:val="100"/>
                <w:position w:val="0"/>
              </w:rPr>
              <w:t>M5</w:t>
            </w:r>
            <w:r>
              <w:rPr>
                <w:color w:val="000000"/>
                <w:spacing w:val="0"/>
                <w:w w:val="100"/>
                <w:position w:val="0"/>
              </w:rPr>
              <w:t>以上职级人员及各一级部门长）</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KPI</w:t>
            </w:r>
            <w:r>
              <w:rPr>
                <w:color w:val="000000"/>
                <w:spacing w:val="0"/>
                <w:w w:val="100"/>
                <w:position w:val="0"/>
              </w:rPr>
              <w:t>考核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KPI</w:t>
            </w:r>
            <w:r>
              <w:rPr>
                <w:color w:val="000000"/>
                <w:spacing w:val="0"/>
                <w:w w:val="100"/>
                <w:position w:val="0"/>
              </w:rPr>
              <w:t>达成情况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w:t>
            </w:r>
            <w:r>
              <w:rPr>
                <w:color w:val="000000"/>
                <w:spacing w:val="0"/>
                <w:w w:val="100"/>
                <w:position w:val="0"/>
              </w:rPr>
              <w:t>度测评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核心价值观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4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年度敬业度调研部门平均比例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组织敬业度调研</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bl>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实施情况：</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被考核人价值观考核自评：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日 邮件发送价值观</w:t>
      </w:r>
      <w:r>
        <w:rPr>
          <w:rFonts w:ascii="Times New Roman" w:eastAsia="Times New Roman" w:hAnsi="Times New Roman" w:cs="Times New Roman"/>
          <w:color w:val="000000"/>
          <w:spacing w:val="0"/>
          <w:w w:val="100"/>
          <w:position w:val="0"/>
        </w:rPr>
        <w:t>360</w:t>
      </w:r>
      <w:r>
        <w:rPr>
          <w:color w:val="000000"/>
          <w:spacing w:val="0"/>
          <w:w w:val="100"/>
          <w:position w:val="0"/>
        </w:rPr>
        <w:t>测评网址：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高管总结</w:t>
      </w:r>
      <w:r>
        <w:rPr>
          <w:rFonts w:ascii="Times New Roman" w:eastAsia="Times New Roman" w:hAnsi="Times New Roman" w:cs="Times New Roman"/>
          <w:color w:val="000000"/>
          <w:spacing w:val="0"/>
          <w:w w:val="100"/>
          <w:position w:val="0"/>
        </w:rPr>
        <w:t>/360</w:t>
      </w:r>
      <w:r>
        <w:rPr>
          <w:color w:val="000000"/>
          <w:spacing w:val="0"/>
          <w:w w:val="100"/>
          <w:position w:val="0"/>
        </w:rPr>
        <w:t>测评：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16</w:t>
      </w:r>
      <w:r>
        <w:rPr>
          <w:color w:val="000000"/>
          <w:spacing w:val="0"/>
          <w:w w:val="100"/>
          <w:position w:val="0"/>
        </w:rPr>
        <w:t>日 高管</w:t>
      </w:r>
      <w:r>
        <w:rPr>
          <w:rFonts w:ascii="Times New Roman" w:eastAsia="Times New Roman" w:hAnsi="Times New Roman" w:cs="Times New Roman"/>
          <w:color w:val="000000"/>
          <w:spacing w:val="0"/>
          <w:w w:val="100"/>
          <w:position w:val="0"/>
        </w:rPr>
        <w:t>KPI</w:t>
      </w:r>
      <w:r>
        <w:rPr>
          <w:color w:val="000000"/>
          <w:spacing w:val="0"/>
          <w:w w:val="100"/>
          <w:position w:val="0"/>
        </w:rPr>
        <w:t>述职汇报：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人力资源中心汇总报批：</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绩效面谈：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28"/>
        <w:keepNext w:val="0"/>
        <w:keepLines w:val="0"/>
        <w:widowControl w:val="0"/>
        <w:shd w:val="clear" w:color="auto" w:fill="auto"/>
        <w:bidi w:val="0"/>
        <w:spacing w:before="0" w:after="180"/>
        <w:ind w:left="0" w:right="0" w:firstLine="0"/>
        <w:jc w:val="left"/>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、激励情况</w:t>
      </w:r>
    </w:p>
    <w:p>
      <w:pPr>
        <w:pStyle w:val="Style28"/>
        <w:keepNext w:val="0"/>
        <w:keepLines w:val="0"/>
        <w:widowControl w:val="0"/>
        <w:shd w:val="clear" w:color="auto" w:fill="auto"/>
        <w:bidi w:val="0"/>
        <w:spacing w:before="0" w:after="340" w:line="310" w:lineRule="exact"/>
        <w:ind w:left="0" w:right="0" w:firstLine="360"/>
        <w:jc w:val="left"/>
      </w:pPr>
      <w:r>
        <w:rPr>
          <w:color w:val="000000"/>
          <w:spacing w:val="0"/>
          <w:w w:val="100"/>
          <w:position w:val="0"/>
        </w:rPr>
        <w:t>公司建立了完善的高级管理人员激励体系，薪酬理念与公司价值取向和企业文化相一致，支持公司发展战略的实施。高 级管理人员全薪收入由固定月薪、年度绩效奖金、长期激励和福利补贴构成。公司每年对高级管理人员进行绩效考评，工作 绩效应用于调薪、奖金分配中，与个人收入直接挂钩。</w:t>
      </w:r>
    </w:p>
    <w:p>
      <w:pPr>
        <w:pStyle w:val="Style25"/>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九</w:t>
      </w:r>
      <w:bookmarkEnd w:id="650"/>
      <w:r>
        <w:rPr>
          <w:color w:val="000000"/>
          <w:spacing w:val="0"/>
          <w:w w:val="100"/>
          <w:position w:val="0"/>
          <w:sz w:val="24"/>
          <w:szCs w:val="24"/>
        </w:rPr>
        <w:t>、内部控制评价报告</w:t>
      </w:r>
      <w:bookmarkEnd w:id="648"/>
      <w:bookmarkEnd w:id="649"/>
      <w:bookmarkEnd w:id="651"/>
    </w:p>
    <w:p>
      <w:pPr>
        <w:pStyle w:val="Style33"/>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、报告期内发现的内部控制重大缺陷的具体情况</w:t>
      </w:r>
      <w:bookmarkEnd w:id="652"/>
      <w:bookmarkEnd w:id="653"/>
      <w:bookmarkEnd w:id="655"/>
    </w:p>
    <w:p>
      <w:pPr>
        <w:pStyle w:val="Style2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、内控自我评价报告</w:t>
      </w:r>
      <w:bookmarkEnd w:id="656"/>
      <w:bookmarkEnd w:id="657"/>
      <w:bookmarkEnd w:id="659"/>
    </w:p>
    <w:tbl>
      <w:tblPr>
        <w:tblOverlap w:val="never"/>
        <w:jc w:val="center"/>
        <w:tblLayout w:type="fixed"/>
      </w:tblPr>
      <w:tblGrid>
        <w:gridCol w:w="3211"/>
        <w:gridCol w:w="3322"/>
        <w:gridCol w:w="305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年内部控制自我评价报告》</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5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具有以下特征的缺陷，应认定为重大缺陷</w:t>
            </w:r>
            <w:r>
              <w:rPr>
                <w:rFonts w:ascii="Times New Roman" w:eastAsia="Times New Roman" w:hAnsi="Times New Roman" w:cs="Times New Roman"/>
                <w:color w:val="000000"/>
                <w:spacing w:val="0"/>
                <w:w w:val="100"/>
                <w:position w:val="0"/>
              </w:rPr>
              <w:t>:</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（一）财务报表造假；（二）更正或重述已 公布的财务报告；（三）注册会计师出具保 留、否定意见审计报告等。</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具有以下特征的缺陷，应认定为重大缺 陷：（一）企业高管存在舞弊；（二）严 重的违规、违纪且遭受处罚、警告；（三） 被媒体负面报道且已造成严重影响；</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（四）已知的重大缺陷未得到整改。</w:t>
            </w:r>
          </w:p>
        </w:tc>
      </w:tr>
      <w:tr>
        <w:trPr>
          <w:trHeight w:val="227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重大缺陷：资产潜在错报</w:t>
            </w:r>
            <w:r>
              <w:rPr>
                <w:rFonts w:ascii="Times New Roman" w:eastAsia="Times New Roman" w:hAnsi="Times New Roman" w:cs="Times New Roman"/>
                <w:color w:val="000000"/>
                <w:spacing w:val="0"/>
                <w:w w:val="100"/>
                <w:position w:val="0"/>
              </w:rPr>
              <w:t>＞0.25%</w:t>
            </w:r>
            <w:r>
              <w:rPr>
                <w:color w:val="000000"/>
                <w:spacing w:val="0"/>
                <w:w w:val="100"/>
                <w:position w:val="0"/>
              </w:rPr>
              <w:t>，营业收 入潜在错报</w:t>
            </w:r>
            <w:r>
              <w:rPr>
                <w:rFonts w:ascii="Times New Roman" w:eastAsia="Times New Roman" w:hAnsi="Times New Roman" w:cs="Times New Roman"/>
                <w:color w:val="000000"/>
                <w:spacing w:val="0"/>
                <w:w w:val="100"/>
                <w:position w:val="0"/>
              </w:rPr>
              <w:t>＞0.5%</w:t>
            </w:r>
            <w:r>
              <w:rPr>
                <w:color w:val="000000"/>
                <w:spacing w:val="0"/>
                <w:w w:val="100"/>
                <w:position w:val="0"/>
              </w:rPr>
              <w:t>；重要缺陷：</w:t>
            </w:r>
            <w:r>
              <w:rPr>
                <w:rFonts w:ascii="Times New Roman" w:eastAsia="Times New Roman" w:hAnsi="Times New Roman" w:cs="Times New Roman"/>
                <w:color w:val="000000"/>
                <w:spacing w:val="0"/>
                <w:w w:val="100"/>
                <w:position w:val="0"/>
              </w:rPr>
              <w:t>0.25%＞</w:t>
            </w:r>
            <w:r>
              <w:rPr>
                <w:color w:val="000000"/>
                <w:spacing w:val="0"/>
                <w:w w:val="100"/>
                <w:position w:val="0"/>
              </w:rPr>
              <w:t>资 产潜在错报</w:t>
            </w:r>
            <w:r>
              <w:rPr>
                <w:rFonts w:ascii="Times New Roman" w:eastAsia="Times New Roman" w:hAnsi="Times New Roman" w:cs="Times New Roman"/>
                <w:color w:val="000000"/>
                <w:spacing w:val="0"/>
                <w:w w:val="100"/>
                <w:position w:val="0"/>
              </w:rPr>
              <w:t>＞0.05%</w:t>
            </w:r>
            <w:r>
              <w:rPr>
                <w:color w:val="000000"/>
                <w:spacing w:val="0"/>
                <w:w w:val="100"/>
                <w:position w:val="0"/>
              </w:rPr>
              <w:t>，</w:t>
            </w:r>
            <w:r>
              <w:rPr>
                <w:rFonts w:ascii="Times New Roman" w:eastAsia="Times New Roman" w:hAnsi="Times New Roman" w:cs="Times New Roman"/>
                <w:color w:val="000000"/>
                <w:spacing w:val="0"/>
                <w:w w:val="100"/>
                <w:position w:val="0"/>
              </w:rPr>
              <w:t>0.5%＞</w:t>
            </w:r>
            <w:r>
              <w:rPr>
                <w:color w:val="000000"/>
                <w:spacing w:val="0"/>
                <w:w w:val="100"/>
                <w:position w:val="0"/>
              </w:rPr>
              <w:t>营业收入潜在 错报</w:t>
            </w:r>
            <w:r>
              <w:rPr>
                <w:rFonts w:ascii="Times New Roman" w:eastAsia="Times New Roman" w:hAnsi="Times New Roman" w:cs="Times New Roman"/>
                <w:color w:val="000000"/>
                <w:spacing w:val="0"/>
                <w:w w:val="100"/>
                <w:position w:val="0"/>
              </w:rPr>
              <w:t>＞0.1%</w:t>
            </w:r>
            <w:r>
              <w:rPr>
                <w:color w:val="000000"/>
                <w:spacing w:val="0"/>
                <w:w w:val="100"/>
                <w:position w:val="0"/>
              </w:rPr>
              <w:t xml:space="preserve">； 一般缺陷：资产潜在错报＜ </w:t>
            </w:r>
            <w:r>
              <w:rPr>
                <w:rFonts w:ascii="Times New Roman" w:eastAsia="Times New Roman" w:hAnsi="Times New Roman" w:cs="Times New Roman"/>
                <w:color w:val="000000"/>
                <w:spacing w:val="0"/>
                <w:w w:val="100"/>
                <w:position w:val="0"/>
              </w:rPr>
              <w:t>0.5%</w:t>
            </w:r>
            <w:r>
              <w:rPr>
                <w:color w:val="000000"/>
                <w:spacing w:val="0"/>
                <w:w w:val="100"/>
                <w:position w:val="0"/>
              </w:rPr>
              <w:t>，营业收入潜在错报＜</w:t>
            </w:r>
            <w:r>
              <w:rPr>
                <w:rFonts w:ascii="Times New Roman" w:eastAsia="Times New Roman" w:hAnsi="Times New Roman" w:cs="Times New Roman"/>
                <w:color w:val="000000"/>
                <w:spacing w:val="0"/>
                <w:w w:val="100"/>
                <w:position w:val="0"/>
              </w:rPr>
              <w:t>0.1%</w:t>
            </w:r>
            <w:r>
              <w:rPr>
                <w:color w:val="000000"/>
                <w:spacing w:val="0"/>
                <w:w w:val="100"/>
                <w:position w:val="0"/>
              </w:rPr>
              <w:t>。除重大 缺陷、重要缺陷以外的其他财务报告内部 控制缺陷应当认定为一般缺陷。</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重大缺陷：影响金额</w:t>
            </w:r>
            <w:r>
              <w:rPr>
                <w:rFonts w:ascii="Times New Roman" w:eastAsia="Times New Roman" w:hAnsi="Times New Roman" w:cs="Times New Roman"/>
                <w:color w:val="000000"/>
                <w:spacing w:val="0"/>
                <w:w w:val="100"/>
                <w:position w:val="0"/>
              </w:rPr>
              <w:t>＞500</w:t>
            </w:r>
            <w:r>
              <w:rPr>
                <w:color w:val="000000"/>
                <w:spacing w:val="0"/>
                <w:w w:val="100"/>
                <w:position w:val="0"/>
              </w:rPr>
              <w:t>万元；重要 缺陷：</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color w:val="000000"/>
                <w:spacing w:val="0"/>
                <w:w w:val="100"/>
                <w:position w:val="0"/>
              </w:rPr>
              <w:t>〉</w:t>
            </w:r>
            <w:r>
              <w:rPr>
                <w:color w:val="000000"/>
                <w:spacing w:val="0"/>
                <w:w w:val="100"/>
                <w:position w:val="0"/>
              </w:rPr>
              <w:t>影响金额</w:t>
            </w:r>
            <w:r>
              <w:rPr>
                <w:rFonts w:ascii="Times New Roman" w:eastAsia="Times New Roman" w:hAnsi="Times New Roman" w:cs="Times New Roman"/>
                <w:color w:val="000000"/>
                <w:spacing w:val="0"/>
                <w:w w:val="100"/>
                <w:position w:val="0"/>
              </w:rPr>
              <w:t>＞100</w:t>
            </w:r>
            <w:r>
              <w:rPr>
                <w:color w:val="000000"/>
                <w:spacing w:val="0"/>
                <w:w w:val="100"/>
                <w:position w:val="0"/>
              </w:rPr>
              <w:t>万元； 一般缺陷：影响金额＜</w:t>
            </w:r>
            <w:r>
              <w:rPr>
                <w:rFonts w:ascii="Times New Roman" w:eastAsia="Times New Roman" w:hAnsi="Times New Roman" w:cs="Times New Roman"/>
                <w:color w:val="000000"/>
                <w:spacing w:val="0"/>
                <w:w w:val="100"/>
                <w:position w:val="0"/>
              </w:rPr>
              <w:t>100</w:t>
            </w:r>
            <w:r>
              <w:rPr>
                <w:color w:val="000000"/>
                <w:spacing w:val="0"/>
                <w:w w:val="100"/>
                <w:position w:val="0"/>
              </w:rPr>
              <w:t>万元。</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十、内部控制审计报告或鉴证报告</w:t>
      </w:r>
      <w:bookmarkEnd w:id="660"/>
      <w:bookmarkEnd w:id="661"/>
      <w:bookmarkEnd w:id="662"/>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80" w:line="240" w:lineRule="auto"/>
        <w:ind w:left="0" w:right="0" w:firstLine="0"/>
        <w:jc w:val="center"/>
      </w:pPr>
      <w:bookmarkStart w:id="663" w:name="bookmark663"/>
      <w:bookmarkStart w:id="664" w:name="bookmark664"/>
      <w:bookmarkStart w:id="665" w:name="bookmark665"/>
      <w:r>
        <w:rPr>
          <w:color w:val="000000"/>
          <w:spacing w:val="0"/>
          <w:w w:val="100"/>
          <w:position w:val="0"/>
        </w:rPr>
        <w:t>第十节公司债券相关情况</w:t>
      </w:r>
      <w:bookmarkEnd w:id="663"/>
      <w:bookmarkEnd w:id="664"/>
      <w:bookmarkEnd w:id="665"/>
    </w:p>
    <w:p>
      <w:pPr>
        <w:pStyle w:val="Style28"/>
        <w:keepNext w:val="0"/>
        <w:keepLines w:val="0"/>
        <w:widowControl w:val="0"/>
        <w:shd w:val="clear" w:color="auto" w:fill="auto"/>
        <w:bidi w:val="0"/>
        <w:spacing w:before="0" w:after="140" w:line="240" w:lineRule="auto"/>
        <w:ind w:left="0" w:right="0" w:firstLine="0"/>
        <w:jc w:val="left"/>
      </w:pPr>
      <w:bookmarkStart w:id="666" w:name="bookmark666"/>
      <w:r>
        <w:rPr>
          <w:color w:val="000000"/>
          <w:spacing w:val="0"/>
          <w:w w:val="100"/>
          <w:position w:val="0"/>
        </w:rPr>
        <w:t>公司是否存在公开发行并在证券交易所上市，且在年度报告批准报出日未到期或到期未能全额兑付的公司债券</w:t>
      </w:r>
      <w:bookmarkEnd w:id="66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5"/>
        <w:keepNext/>
        <w:keepLines/>
        <w:widowControl w:val="0"/>
        <w:shd w:val="clear" w:color="auto" w:fill="auto"/>
        <w:bidi w:val="0"/>
        <w:spacing w:before="0" w:after="30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一</w:t>
      </w:r>
      <w:bookmarkEnd w:id="669"/>
      <w:r>
        <w:rPr>
          <w:color w:val="000000"/>
          <w:spacing w:val="0"/>
          <w:w w:val="100"/>
          <w:position w:val="0"/>
          <w:sz w:val="24"/>
          <w:szCs w:val="24"/>
        </w:rPr>
        <w:t>、公司债券基本信息</w:t>
      </w:r>
      <w:bookmarkEnd w:id="667"/>
      <w:bookmarkEnd w:id="668"/>
      <w:bookmarkEnd w:id="670"/>
    </w:p>
    <w:tbl>
      <w:tblPr>
        <w:tblOverlap w:val="never"/>
        <w:jc w:val="center"/>
        <w:tblLayout w:type="fixed"/>
      </w:tblPr>
      <w:tblGrid>
        <w:gridCol w:w="1205"/>
        <w:gridCol w:w="1200"/>
        <w:gridCol w:w="1190"/>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债券简称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债券代码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到期日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利率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290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 技术股份有限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年面 向合格投资者 公开发行公司 债券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新国都</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本次债券采用 单利按年计 息，不计复利。 每年付息一 次，到期一次 还本，最后一 期利息随本金 的兑付一起支 付。</w:t>
            </w:r>
          </w:p>
        </w:tc>
      </w:tr>
      <w:tr>
        <w:trPr>
          <w:trHeight w:val="710"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027"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根据《公司债发行与交易管理办法》相关规定，本次债券仅面向合格投资者发行，公众投资 者不得参与发行认购。本次债券上市后将被实施投资者适当性管理，仅限合格投资者参与交 易，公众投资者认购或买入的交易行为无效。</w:t>
            </w:r>
          </w:p>
        </w:tc>
      </w:tr>
      <w:tr>
        <w:trPr>
          <w:trHeight w:val="715"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gridSpan w:val="2"/>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40"/>
        <w:jc w:val="left"/>
      </w:pPr>
      <w:bookmarkStart w:id="671" w:name="bookmark671"/>
      <w:bookmarkStart w:id="672" w:name="bookmark672"/>
      <w:bookmarkStart w:id="673" w:name="bookmark673"/>
      <w:bookmarkStart w:id="674" w:name="bookmark674"/>
      <w:r>
        <w:rPr>
          <w:color w:val="000000"/>
          <w:spacing w:val="0"/>
          <w:w w:val="100"/>
          <w:position w:val="0"/>
          <w:sz w:val="24"/>
          <w:szCs w:val="24"/>
        </w:rPr>
        <w:t>、</w:t>
      </w:r>
      <w:bookmarkEnd w:id="673"/>
      <w:r>
        <w:rPr>
          <w:color w:val="000000"/>
          <w:spacing w:val="0"/>
          <w:w w:val="100"/>
          <w:position w:val="0"/>
          <w:sz w:val="24"/>
          <w:szCs w:val="24"/>
        </w:rPr>
        <w:t>债券受托管理人和资信评级机构信息</w:t>
      </w:r>
      <w:bookmarkEnd w:id="671"/>
      <w:bookmarkEnd w:id="672"/>
      <w:bookmarkEnd w:id="674"/>
    </w:p>
    <w:tbl>
      <w:tblPr>
        <w:tblOverlap w:val="never"/>
        <w:jc w:val="center"/>
        <w:tblLayout w:type="fixed"/>
      </w:tblPr>
      <w:tblGrid>
        <w:gridCol w:w="1210"/>
        <w:gridCol w:w="1195"/>
        <w:gridCol w:w="1195"/>
        <w:gridCol w:w="1200"/>
        <w:gridCol w:w="1195"/>
        <w:gridCol w:w="1190"/>
        <w:gridCol w:w="1195"/>
        <w:gridCol w:w="1210"/>
      </w:tblGrid>
      <w:tr>
        <w:trPr>
          <w:trHeight w:val="408" w:hRule="exact"/>
        </w:trPr>
        <w:tc>
          <w:tcPr>
            <w:gridSpan w:val="8"/>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33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渤海证券股份 有限公司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305" w:lineRule="exact"/>
              <w:ind w:left="0" w:right="0" w:firstLine="0"/>
              <w:jc w:val="left"/>
            </w:pPr>
            <w:r>
              <w:rPr>
                <w:color w:val="000000"/>
                <w:spacing w:val="0"/>
                <w:w w:val="100"/>
                <w:position w:val="0"/>
              </w:rPr>
              <w:t>天津经济技术 开发区第二大 街</w:t>
            </w:r>
            <w:r>
              <w:rPr>
                <w:rFonts w:ascii="Times New Roman" w:eastAsia="Times New Roman" w:hAnsi="Times New Roman" w:cs="Times New Roman"/>
                <w:color w:val="000000"/>
                <w:spacing w:val="0"/>
                <w:w w:val="100"/>
                <w:position w:val="0"/>
              </w:rPr>
              <w:t>42</w:t>
            </w:r>
            <w:r>
              <w:rPr>
                <w:color w:val="000000"/>
                <w:spacing w:val="0"/>
                <w:w w:val="100"/>
                <w:position w:val="0"/>
              </w:rPr>
              <w:t>号写字楼</w:t>
            </w:r>
          </w:p>
          <w:p>
            <w:pPr>
              <w:pStyle w:val="Style6"/>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101</w:t>
            </w:r>
            <w:r>
              <w:rPr>
                <w:color w:val="000000"/>
                <w:spacing w:val="0"/>
                <w:w w:val="100"/>
                <w:position w:val="0"/>
              </w:rPr>
              <w:t>室</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董向征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021-68800201</w:t>
            </w:r>
          </w:p>
        </w:tc>
      </w:tr>
      <w:tr>
        <w:trPr>
          <w:trHeight w:val="403" w:hRule="exact"/>
        </w:trPr>
        <w:tc>
          <w:tcPr>
            <w:gridSpan w:val="8"/>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鹏元资信评估有限公司</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深圳市深南大道</w:t>
            </w:r>
            <w:r>
              <w:rPr>
                <w:rFonts w:ascii="Times New Roman" w:eastAsia="Times New Roman" w:hAnsi="Times New Roman" w:cs="Times New Roman"/>
                <w:color w:val="000000"/>
                <w:spacing w:val="0"/>
                <w:w w:val="100"/>
                <w:position w:val="0"/>
              </w:rPr>
              <w:t>7008</w:t>
            </w:r>
            <w:r>
              <w:rPr>
                <w:color w:val="000000"/>
                <w:spacing w:val="0"/>
                <w:w w:val="100"/>
                <w:position w:val="0"/>
              </w:rPr>
              <w:t>号阳光高尔夫大厦三楼</w:t>
            </w:r>
          </w:p>
        </w:tc>
      </w:tr>
    </w:tbl>
    <w:tbl>
      <w:tblPr>
        <w:tblOverlap w:val="never"/>
        <w:jc w:val="center"/>
        <w:tblLayout w:type="fixed"/>
      </w:tblPr>
      <w:tblGrid>
        <w:gridCol w:w="3206"/>
        <w:gridCol w:w="6384"/>
      </w:tblGrid>
      <w:tr>
        <w:trPr>
          <w:trHeight w:val="1354"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三</w:t>
      </w:r>
      <w:bookmarkEnd w:id="677"/>
      <w:r>
        <w:rPr>
          <w:color w:val="000000"/>
          <w:spacing w:val="0"/>
          <w:w w:val="100"/>
          <w:position w:val="0"/>
          <w:sz w:val="24"/>
          <w:szCs w:val="24"/>
        </w:rPr>
        <w:t>、公司债券募集资金使用情况</w:t>
      </w:r>
      <w:bookmarkEnd w:id="675"/>
      <w:bookmarkEnd w:id="676"/>
      <w:bookmarkEnd w:id="678"/>
    </w:p>
    <w:tbl>
      <w:tblPr>
        <w:tblOverlap w:val="never"/>
        <w:jc w:val="center"/>
        <w:tblLayout w:type="fixed"/>
      </w:tblPr>
      <w:tblGrid>
        <w:gridCol w:w="3206"/>
        <w:gridCol w:w="6379"/>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本期债券所募集的</w:t>
            </w:r>
            <w:r>
              <w:rPr>
                <w:rFonts w:ascii="Times New Roman" w:eastAsia="Times New Roman" w:hAnsi="Times New Roman" w:cs="Times New Roman"/>
                <w:color w:val="000000"/>
                <w:spacing w:val="0"/>
                <w:w w:val="100"/>
                <w:position w:val="0"/>
              </w:rPr>
              <w:t>4.0</w:t>
            </w:r>
            <w:r>
              <w:rPr>
                <w:color w:val="000000"/>
                <w:spacing w:val="0"/>
                <w:w w:val="100"/>
                <w:position w:val="0"/>
              </w:rPr>
              <w:t>亿元资金扣除发行费用后均用于偿还借款及补充流动资金，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日，募集资金已使用完毕。</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日公司与募集资金开户银行及受托管理人签署了三方监管协议， 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年面向合格投资者公开发行公司债券发行金额共计</w:t>
            </w:r>
            <w:r>
              <w:rPr>
                <w:rFonts w:ascii="Times New Roman" w:eastAsia="Times New Roman" w:hAnsi="Times New Roman" w:cs="Times New Roman"/>
                <w:color w:val="000000"/>
                <w:spacing w:val="0"/>
                <w:w w:val="100"/>
                <w:position w:val="0"/>
              </w:rPr>
              <w:t>4</w:t>
            </w:r>
            <w:r>
              <w:rPr>
                <w:color w:val="000000"/>
                <w:spacing w:val="0"/>
                <w:w w:val="100"/>
                <w:position w:val="0"/>
              </w:rPr>
              <w:t>亿元，扣除发行费 用之后的募集资金已于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日汇入公司指定的募集资金专项账户。</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日募集资金全部提取完毕。</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四</w:t>
      </w:r>
      <w:bookmarkEnd w:id="681"/>
      <w:r>
        <w:rPr>
          <w:color w:val="000000"/>
          <w:spacing w:val="0"/>
          <w:w w:val="100"/>
          <w:position w:val="0"/>
          <w:sz w:val="24"/>
          <w:szCs w:val="24"/>
        </w:rPr>
        <w:t>、公司债券信息评级情况</w:t>
      </w:r>
      <w:bookmarkEnd w:id="679"/>
      <w:bookmarkEnd w:id="680"/>
      <w:bookmarkEnd w:id="682"/>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日，经鹏元资信评估有限公司鹏信评</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 xml:space="preserve">Z </w:t>
      </w:r>
      <w:r>
        <w:rPr>
          <w:color w:val="000000"/>
          <w:spacing w:val="0"/>
          <w:w w:val="100"/>
          <w:position w:val="0"/>
        </w:rPr>
        <w:t>[</w:t>
      </w:r>
      <w:r>
        <w:rPr>
          <w:rFonts w:ascii="Times New Roman" w:eastAsia="Times New Roman" w:hAnsi="Times New Roman" w:cs="Times New Roman"/>
          <w:color w:val="000000"/>
          <w:spacing w:val="0"/>
          <w:w w:val="100"/>
          <w:position w:val="0"/>
        </w:rPr>
        <w:t>441</w:t>
      </w:r>
      <w:r>
        <w:rPr>
          <w:color w:val="000000"/>
          <w:spacing w:val="0"/>
          <w:w w:val="100"/>
          <w:position w:val="0"/>
        </w:rPr>
        <w:t>】号综合评定，公司主体信用等级为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深圳市 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。根据鹏元资信评估有限公司的符号及定 义，该等评级反映了本期债券安全性很高，违约风险很低。</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日，鹏元资信评估有限公司对公司及公司于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日面向合格投资者公开发行的公司债券的</w:t>
      </w:r>
      <w:r>
        <w:rPr>
          <w:rFonts w:ascii="Times New Roman" w:eastAsia="Times New Roman" w:hAnsi="Times New Roman" w:cs="Times New Roman"/>
          <w:color w:val="000000"/>
          <w:spacing w:val="0"/>
          <w:w w:val="100"/>
          <w:position w:val="0"/>
        </w:rPr>
        <w:t>2016</w:t>
      </w:r>
      <w:r>
        <w:rPr>
          <w:color w:val="000000"/>
          <w:spacing w:val="0"/>
          <w:w w:val="100"/>
          <w:position w:val="0"/>
        </w:rPr>
        <w:t>年跟 踪评级结果为：本期债券信用等级为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公司主体长期信用等级维持为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评级展望维持为稳定。</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根据募集说明书约定鹏元资信将在本次债券存续期内，在每年公司年报公告后</w:t>
      </w:r>
      <w:r>
        <w:rPr>
          <w:rFonts w:ascii="Times New Roman" w:eastAsia="Times New Roman" w:hAnsi="Times New Roman" w:cs="Times New Roman"/>
          <w:color w:val="000000"/>
          <w:spacing w:val="0"/>
          <w:w w:val="100"/>
          <w:position w:val="0"/>
        </w:rPr>
        <w:t>2</w:t>
      </w:r>
      <w:r>
        <w:rPr>
          <w:color w:val="000000"/>
          <w:spacing w:val="0"/>
          <w:w w:val="100"/>
          <w:position w:val="0"/>
        </w:rPr>
        <w:t>个月内出具一次正式的定期跟踪评级报 告。本期公司债券最新定期跟踪评级报告预计将于公司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年年度报告披露后</w:t>
      </w:r>
      <w:r>
        <w:rPr>
          <w:rFonts w:ascii="Times New Roman" w:eastAsia="Times New Roman" w:hAnsi="Times New Roman" w:cs="Times New Roman"/>
          <w:color w:val="000000"/>
          <w:spacing w:val="0"/>
          <w:w w:val="100"/>
          <w:position w:val="0"/>
        </w:rPr>
        <w:t>2</w:t>
      </w:r>
      <w:r>
        <w:rPr>
          <w:color w:val="000000"/>
          <w:spacing w:val="0"/>
          <w:w w:val="100"/>
          <w:position w:val="0"/>
        </w:rPr>
        <w:t>个月内公布于深交所网站</w:t>
      </w:r>
    </w:p>
    <w:p>
      <w:pPr>
        <w:pStyle w:val="Style48"/>
        <w:keepNext w:val="0"/>
        <w:keepLines w:val="0"/>
        <w:widowControl w:val="0"/>
        <w:shd w:val="clear" w:color="auto" w:fill="auto"/>
        <w:bidi w:val="0"/>
        <w:spacing w:before="0" w:after="38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http://www.szse.cn</w:t>
      </w:r>
      <w:r>
        <w:rPr>
          <w:rFonts w:ascii="SimSun" w:eastAsia="SimSun" w:hAnsi="SimSun" w:cs="SimSun"/>
          <w:color w:val="000000"/>
          <w:spacing w:val="0"/>
          <w:w w:val="100"/>
          <w:position w:val="0"/>
        </w:rPr>
        <w:t>）、鹏元资信公司网站（</w:t>
      </w:r>
      <w:r>
        <w:rPr>
          <w:color w:val="000000"/>
          <w:spacing w:val="0"/>
          <w:w w:val="100"/>
          <w:position w:val="0"/>
        </w:rPr>
        <w:t>http</w:t>
      </w:r>
      <w:r>
        <w:rPr>
          <w:color w:val="000000"/>
          <w:spacing w:val="0"/>
          <w:w w:val="100"/>
          <w:position w:val="0"/>
        </w:rPr>
        <w:t>:</w:t>
      </w:r>
      <w:r>
        <w:rPr>
          <w:color w:val="000000"/>
          <w:spacing w:val="0"/>
          <w:w w:val="100"/>
          <w:position w:val="0"/>
        </w:rPr>
        <w:t>//www.pyrating.cn</w:t>
      </w:r>
      <w:r>
        <w:rPr>
          <w:rFonts w:ascii="SimSun" w:eastAsia="SimSun" w:hAnsi="SimSun" w:cs="SimSun"/>
          <w:color w:val="000000"/>
          <w:spacing w:val="0"/>
          <w:w w:val="100"/>
          <w:position w:val="0"/>
        </w:rPr>
        <w:t>）及巨潮资讯网（</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，请投资者</w:t>
      </w:r>
      <w:r>
        <w:rPr>
          <w:rFonts w:ascii="SimSun" w:eastAsia="SimSun" w:hAnsi="SimSun" w:cs="SimSun"/>
          <w:color w:val="000000"/>
          <w:spacing w:val="0"/>
          <w:w w:val="100"/>
          <w:position w:val="0"/>
        </w:rPr>
        <w:t xml:space="preserve"> 注意查阅。</w:t>
      </w:r>
    </w:p>
    <w:p>
      <w:pPr>
        <w:pStyle w:val="Style25"/>
        <w:keepNext/>
        <w:keepLines/>
        <w:widowControl w:val="0"/>
        <w:shd w:val="clear" w:color="auto" w:fill="auto"/>
        <w:bidi w:val="0"/>
        <w:spacing w:before="0" w:after="24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五</w:t>
      </w:r>
      <w:bookmarkEnd w:id="685"/>
      <w:r>
        <w:rPr>
          <w:color w:val="000000"/>
          <w:spacing w:val="0"/>
          <w:w w:val="100"/>
          <w:position w:val="0"/>
          <w:sz w:val="24"/>
          <w:szCs w:val="24"/>
        </w:rPr>
        <w:t>、公司债券增信机制、偿债计划及其他偿债保障措施</w:t>
      </w:r>
      <w:bookmarkEnd w:id="683"/>
      <w:bookmarkEnd w:id="684"/>
      <w:bookmarkEnd w:id="686"/>
    </w:p>
    <w:p>
      <w:pPr>
        <w:pStyle w:val="Style28"/>
        <w:keepNext w:val="0"/>
        <w:keepLines w:val="0"/>
        <w:widowControl w:val="0"/>
        <w:shd w:val="clear" w:color="auto" w:fill="auto"/>
        <w:tabs>
          <w:tab w:pos="430" w:val="left"/>
        </w:tabs>
        <w:bidi w:val="0"/>
        <w:spacing w:before="0" w:after="0" w:line="311" w:lineRule="exact"/>
        <w:ind w:left="0" w:right="0" w:firstLine="0"/>
        <w:jc w:val="left"/>
      </w:pPr>
      <w:bookmarkStart w:id="687" w:name="bookmark687"/>
      <w:r>
        <w:rPr>
          <w:color w:val="000000"/>
          <w:spacing w:val="0"/>
          <w:w w:val="100"/>
          <w:position w:val="0"/>
        </w:rPr>
        <w:t>一</w:t>
      </w:r>
      <w:bookmarkEnd w:id="687"/>
      <w:r>
        <w:rPr>
          <w:color w:val="000000"/>
          <w:spacing w:val="0"/>
          <w:w w:val="100"/>
          <w:position w:val="0"/>
        </w:rPr>
        <w:t>、</w:t>
        <w:tab/>
        <w:t>担保</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本次债券由深圳市中小企业信用融资担保集团有限公司出具《担保函》，对债券存续年度内应支付的债券本金及利息提 供全额无条件不可撤销的担保。担保机构已召开董事会审议通过了对发行人提供担保事项，担保人内部决策程序符合其公司 章程的规定。</w:t>
      </w:r>
    </w:p>
    <w:p>
      <w:pPr>
        <w:pStyle w:val="Style28"/>
        <w:keepNext w:val="0"/>
        <w:keepLines w:val="0"/>
        <w:widowControl w:val="0"/>
        <w:shd w:val="clear" w:color="auto" w:fill="auto"/>
        <w:tabs>
          <w:tab w:pos="430" w:val="left"/>
        </w:tabs>
        <w:bidi w:val="0"/>
        <w:spacing w:before="0" w:after="0" w:line="311" w:lineRule="exact"/>
        <w:ind w:left="0" w:right="0" w:firstLine="0"/>
        <w:jc w:val="left"/>
      </w:pPr>
      <w:bookmarkStart w:id="688" w:name="bookmark688"/>
      <w:r>
        <w:rPr>
          <w:color w:val="000000"/>
          <w:spacing w:val="0"/>
          <w:w w:val="100"/>
          <w:position w:val="0"/>
        </w:rPr>
        <w:t>二</w:t>
      </w:r>
      <w:bookmarkEnd w:id="688"/>
      <w:r>
        <w:rPr>
          <w:color w:val="000000"/>
          <w:spacing w:val="0"/>
          <w:w w:val="100"/>
          <w:position w:val="0"/>
        </w:rPr>
        <w:t>、</w:t>
        <w:tab/>
        <w:t>反担保</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公司已与担保人签订《委托保证合同》，就担保人在《担保函》下的担保义务以及代偿安排向担保人提供进一步的反担 保。</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发行人及苏州新国都电子技术有限公司（以下简称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苏州新国都</w:t>
      </w:r>
      <w:r>
        <w:rPr>
          <w:color w:val="000000"/>
          <w:spacing w:val="0"/>
          <w:w w:val="100"/>
          <w:position w:val="0"/>
        </w:rPr>
        <w:t>''）</w:t>
      </w:r>
      <w:r>
        <w:rPr>
          <w:color w:val="000000"/>
          <w:spacing w:val="0"/>
          <w:w w:val="100"/>
          <w:position w:val="0"/>
        </w:rPr>
        <w:t>已向担保机构出具承诺，苏州新国都以其拥有的昆国 用（</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2012111099</w:t>
      </w:r>
      <w:r>
        <w:rPr>
          <w:color w:val="000000"/>
          <w:spacing w:val="0"/>
          <w:w w:val="100"/>
          <w:position w:val="0"/>
        </w:rPr>
        <w:t>号土地使用权及其上建筑物为担保机构提供反担保，待前述抵押物不动产证办理完毕后，公司及苏 州新国都将配合担保机构签署《抵押反担保合同》以及相关文件资料，并到相关部门办理相关抵押登记手续。截止至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日，该抵押物尚在办理不动产证过程中，尚未拿到不动产证。</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同时，公司实际控制人刘祥先生、大股东江汉先生及刘亚先生拟与担保机构签订《保证反担保合同》，以其拥有合法处 </w:t>
      </w:r>
      <w:r>
        <w:rPr>
          <w:color w:val="000000"/>
          <w:spacing w:val="0"/>
          <w:w w:val="100"/>
          <w:position w:val="0"/>
        </w:rPr>
        <w:t>分权的财产为公司向担保机构提供保证反担保。</w:t>
      </w:r>
    </w:p>
    <w:p>
      <w:pPr>
        <w:pStyle w:val="Style28"/>
        <w:keepNext w:val="0"/>
        <w:keepLines w:val="0"/>
        <w:widowControl w:val="0"/>
        <w:shd w:val="clear" w:color="auto" w:fill="auto"/>
        <w:tabs>
          <w:tab w:pos="405" w:val="left"/>
        </w:tabs>
        <w:bidi w:val="0"/>
        <w:spacing w:before="0" w:after="0" w:line="314" w:lineRule="exact"/>
        <w:ind w:left="0" w:right="0" w:firstLine="0"/>
        <w:jc w:val="both"/>
      </w:pPr>
      <w:bookmarkStart w:id="689" w:name="bookmark689"/>
      <w:r>
        <w:rPr>
          <w:color w:val="000000"/>
          <w:spacing w:val="0"/>
          <w:w w:val="100"/>
          <w:position w:val="0"/>
        </w:rPr>
        <w:t>三</w:t>
      </w:r>
      <w:bookmarkEnd w:id="689"/>
      <w:r>
        <w:rPr>
          <w:color w:val="000000"/>
          <w:spacing w:val="0"/>
          <w:w w:val="100"/>
          <w:position w:val="0"/>
        </w:rPr>
        <w:t>、</w:t>
        <w:tab/>
        <w:t>偿债计划</w:t>
      </w:r>
    </w:p>
    <w:p>
      <w:pPr>
        <w:pStyle w:val="Style28"/>
        <w:keepNext w:val="0"/>
        <w:keepLines w:val="0"/>
        <w:widowControl w:val="0"/>
        <w:numPr>
          <w:ilvl w:val="0"/>
          <w:numId w:val="33"/>
        </w:numPr>
        <w:shd w:val="clear" w:color="auto" w:fill="auto"/>
        <w:tabs>
          <w:tab w:pos="285" w:val="left"/>
        </w:tabs>
        <w:bidi w:val="0"/>
        <w:spacing w:before="0" w:after="0" w:line="314" w:lineRule="exact"/>
        <w:ind w:left="0" w:right="0" w:firstLine="0"/>
        <w:jc w:val="both"/>
      </w:pPr>
      <w:bookmarkStart w:id="690" w:name="bookmark690"/>
      <w:bookmarkEnd w:id="690"/>
      <w:r>
        <w:rPr>
          <w:color w:val="000000"/>
          <w:spacing w:val="0"/>
          <w:w w:val="100"/>
          <w:position w:val="0"/>
        </w:rPr>
        <w:t>时间安排：本期债券利息在存续期内于每年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日（如遇法定假日或休息日则顺延至其后第</w:t>
      </w:r>
      <w:r>
        <w:rPr>
          <w:rFonts w:ascii="Times New Roman" w:eastAsia="Times New Roman" w:hAnsi="Times New Roman" w:cs="Times New Roman"/>
          <w:color w:val="000000"/>
          <w:spacing w:val="0"/>
          <w:w w:val="100"/>
          <w:position w:val="0"/>
        </w:rPr>
        <w:t>1</w:t>
      </w:r>
      <w:r>
        <w:rPr>
          <w:color w:val="000000"/>
          <w:spacing w:val="0"/>
          <w:w w:val="100"/>
          <w:position w:val="0"/>
        </w:rPr>
        <w:t>个工作日）通过债券登记机 构和其他机构支付。本金于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日（如遇法定假日或休息日则顺延至其后第</w:t>
      </w:r>
      <w:r>
        <w:rPr>
          <w:rFonts w:ascii="Times New Roman" w:eastAsia="Times New Roman" w:hAnsi="Times New Roman" w:cs="Times New Roman"/>
          <w:color w:val="000000"/>
          <w:spacing w:val="0"/>
          <w:w w:val="100"/>
          <w:position w:val="0"/>
        </w:rPr>
        <w:t>1</w:t>
      </w:r>
      <w:r>
        <w:rPr>
          <w:color w:val="000000"/>
          <w:spacing w:val="0"/>
          <w:w w:val="100"/>
          <w:position w:val="0"/>
        </w:rPr>
        <w:t>个工作日）支付。</w:t>
      </w:r>
    </w:p>
    <w:p>
      <w:pPr>
        <w:pStyle w:val="Style28"/>
        <w:keepNext w:val="0"/>
        <w:keepLines w:val="0"/>
        <w:widowControl w:val="0"/>
        <w:numPr>
          <w:ilvl w:val="0"/>
          <w:numId w:val="33"/>
        </w:numPr>
        <w:shd w:val="clear" w:color="auto" w:fill="auto"/>
        <w:tabs>
          <w:tab w:pos="295" w:val="left"/>
        </w:tabs>
        <w:bidi w:val="0"/>
        <w:spacing w:before="0" w:after="0" w:line="314" w:lineRule="exact"/>
        <w:ind w:left="0" w:right="0" w:firstLine="0"/>
        <w:jc w:val="both"/>
      </w:pPr>
      <w:bookmarkStart w:id="691" w:name="bookmark691"/>
      <w:bookmarkEnd w:id="691"/>
      <w:r>
        <w:rPr>
          <w:color w:val="000000"/>
          <w:spacing w:val="0"/>
          <w:w w:val="100"/>
          <w:position w:val="0"/>
        </w:rPr>
        <w:t>资金来源：公司将根据本期债券本息未来到期支付安排制定年度、月度资金运用计划，合理调度分配资金，保证按期支付 到期利息和本金。本期债券偿债资金来源主要为公司主营业务收入，公司资产变现以及银行借款等。</w:t>
      </w:r>
    </w:p>
    <w:p>
      <w:pPr>
        <w:pStyle w:val="Style28"/>
        <w:keepNext w:val="0"/>
        <w:keepLines w:val="0"/>
        <w:widowControl w:val="0"/>
        <w:shd w:val="clear" w:color="auto" w:fill="auto"/>
        <w:tabs>
          <w:tab w:pos="405" w:val="left"/>
        </w:tabs>
        <w:bidi w:val="0"/>
        <w:spacing w:before="0" w:after="0" w:line="314" w:lineRule="exact"/>
        <w:ind w:left="0" w:right="0" w:firstLine="0"/>
        <w:jc w:val="both"/>
      </w:pPr>
      <w:bookmarkStart w:id="692" w:name="bookmark692"/>
      <w:r>
        <w:rPr>
          <w:color w:val="000000"/>
          <w:spacing w:val="0"/>
          <w:w w:val="100"/>
          <w:position w:val="0"/>
        </w:rPr>
        <w:t>四</w:t>
      </w:r>
      <w:bookmarkEnd w:id="692"/>
      <w:r>
        <w:rPr>
          <w:color w:val="000000"/>
          <w:spacing w:val="0"/>
          <w:w w:val="100"/>
          <w:position w:val="0"/>
        </w:rPr>
        <w:t>、</w:t>
        <w:tab/>
        <w:t>偿债应急保障方案</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公司偿债应急保障的主要方案为流动资产变现。公司长期保持稳健的财务政策，资产结构相对合理，资产流动性较高， 必要时可以通过流动资产变现来补充偿债资金。截至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日，公司账面货币资金和应收账款分别为</w:t>
      </w:r>
      <w:r>
        <w:rPr>
          <w:rFonts w:ascii="Times New Roman" w:eastAsia="Times New Roman" w:hAnsi="Times New Roman" w:cs="Times New Roman"/>
          <w:color w:val="000000"/>
          <w:spacing w:val="0"/>
          <w:w w:val="100"/>
          <w:position w:val="0"/>
        </w:rPr>
        <w:t>57,620.00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27,680.49</w:t>
      </w:r>
      <w:r>
        <w:rPr>
          <w:color w:val="000000"/>
          <w:spacing w:val="0"/>
          <w:w w:val="100"/>
          <w:position w:val="0"/>
        </w:rPr>
        <w:t>万元。若出现公司不能按期足额偿付本次债券本息的情形时，公司拥有变现能力较强的高流动性资产可迅速变现， 为本次债券的本息偿付提供良好支撑。</w:t>
      </w:r>
    </w:p>
    <w:p>
      <w:pPr>
        <w:pStyle w:val="Style28"/>
        <w:keepNext w:val="0"/>
        <w:keepLines w:val="0"/>
        <w:widowControl w:val="0"/>
        <w:shd w:val="clear" w:color="auto" w:fill="auto"/>
        <w:tabs>
          <w:tab w:pos="410" w:val="left"/>
        </w:tabs>
        <w:bidi w:val="0"/>
        <w:spacing w:before="0" w:after="0" w:line="314" w:lineRule="exact"/>
        <w:ind w:left="0" w:right="0" w:firstLine="0"/>
        <w:jc w:val="left"/>
      </w:pPr>
      <w:bookmarkStart w:id="693" w:name="bookmark693"/>
      <w:r>
        <w:rPr>
          <w:color w:val="000000"/>
          <w:spacing w:val="0"/>
          <w:w w:val="100"/>
          <w:position w:val="0"/>
        </w:rPr>
        <w:t>五</w:t>
      </w:r>
      <w:bookmarkEnd w:id="693"/>
      <w:r>
        <w:rPr>
          <w:color w:val="000000"/>
          <w:spacing w:val="0"/>
          <w:w w:val="100"/>
          <w:position w:val="0"/>
        </w:rPr>
        <w:t>、</w:t>
        <w:tab/>
        <w:t>公司债券的偿债保障措施</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为了充分、有效地维护债券持有人的利益，发行人为本期债券的按时、足额偿付制定了一系列工作计划，包括确定专门 部门与人员、安排偿债资金、设立专项偿债账户、制定管理措施、做好组织协调、建立发行人与债券受托管理人的长效沟通 机制、加强信息披露等，努力形成一套确保本期债券本息按约定偿付的保障措施。</w:t>
      </w:r>
    </w:p>
    <w:p>
      <w:pPr>
        <w:pStyle w:val="Style28"/>
        <w:keepNext w:val="0"/>
        <w:keepLines w:val="0"/>
        <w:widowControl w:val="0"/>
        <w:numPr>
          <w:ilvl w:val="0"/>
          <w:numId w:val="35"/>
        </w:numPr>
        <w:shd w:val="clear" w:color="auto" w:fill="auto"/>
        <w:tabs>
          <w:tab w:pos="285" w:val="left"/>
        </w:tabs>
        <w:bidi w:val="0"/>
        <w:spacing w:before="0" w:after="0" w:line="314" w:lineRule="exact"/>
        <w:ind w:left="0" w:right="0" w:firstLine="0"/>
        <w:jc w:val="left"/>
      </w:pPr>
      <w:bookmarkStart w:id="694" w:name="bookmark694"/>
      <w:bookmarkEnd w:id="694"/>
      <w:r>
        <w:rPr>
          <w:color w:val="000000"/>
          <w:spacing w:val="0"/>
          <w:w w:val="100"/>
          <w:position w:val="0"/>
        </w:rPr>
        <w:t>制定《债券持有人会议规则》：公司和债券受托管理人按照《公司债券发行与交易管理办法》制定了本期债券的债券持有 人会议规则，约定债券持有人通过债券持有人会议行使权利的范围、程序和其他重要事项，为保障本期公司债券的本息及时 足额偿付做出了合理的制度安排。</w:t>
      </w:r>
    </w:p>
    <w:p>
      <w:pPr>
        <w:pStyle w:val="Style28"/>
        <w:keepNext w:val="0"/>
        <w:keepLines w:val="0"/>
        <w:widowControl w:val="0"/>
        <w:numPr>
          <w:ilvl w:val="0"/>
          <w:numId w:val="35"/>
        </w:numPr>
        <w:shd w:val="clear" w:color="auto" w:fill="auto"/>
        <w:tabs>
          <w:tab w:pos="295" w:val="left"/>
        </w:tabs>
        <w:bidi w:val="0"/>
        <w:spacing w:before="0" w:after="0" w:line="314" w:lineRule="exact"/>
        <w:ind w:left="0" w:right="0" w:firstLine="0"/>
        <w:jc w:val="left"/>
      </w:pPr>
      <w:bookmarkStart w:id="695" w:name="bookmark695"/>
      <w:bookmarkEnd w:id="695"/>
      <w:r>
        <w:rPr>
          <w:color w:val="000000"/>
          <w:spacing w:val="0"/>
          <w:w w:val="100"/>
          <w:position w:val="0"/>
        </w:rPr>
        <w:t>聘请债券受托管理人：公司按照《公司债发行与交易管理办法》聘请了本期债券的债券受托管理人，签订了债券受托管理 协议。在本期债券的存续期内，债券受托管理人依照协议的约定维护债券持有人的利益。</w:t>
      </w:r>
    </w:p>
    <w:p>
      <w:pPr>
        <w:pStyle w:val="Style28"/>
        <w:keepNext w:val="0"/>
        <w:keepLines w:val="0"/>
        <w:widowControl w:val="0"/>
        <w:numPr>
          <w:ilvl w:val="0"/>
          <w:numId w:val="35"/>
        </w:numPr>
        <w:shd w:val="clear" w:color="auto" w:fill="auto"/>
        <w:tabs>
          <w:tab w:pos="295" w:val="left"/>
        </w:tabs>
        <w:bidi w:val="0"/>
        <w:spacing w:before="0" w:after="0" w:line="314" w:lineRule="exact"/>
        <w:ind w:left="0" w:right="0" w:firstLine="0"/>
        <w:jc w:val="left"/>
      </w:pPr>
      <w:bookmarkStart w:id="696" w:name="bookmark696"/>
      <w:bookmarkEnd w:id="696"/>
      <w:r>
        <w:rPr>
          <w:color w:val="000000"/>
          <w:spacing w:val="0"/>
          <w:w w:val="100"/>
          <w:position w:val="0"/>
        </w:rPr>
        <w:t>设立专项偿债账户：发行人将于本期债券到期日的前</w:t>
      </w:r>
      <w:r>
        <w:rPr>
          <w:rFonts w:ascii="Times New Roman" w:eastAsia="Times New Roman" w:hAnsi="Times New Roman" w:cs="Times New Roman"/>
          <w:color w:val="000000"/>
          <w:spacing w:val="0"/>
          <w:w w:val="100"/>
          <w:position w:val="0"/>
        </w:rPr>
        <w:t>3</w:t>
      </w:r>
      <w:r>
        <w:rPr>
          <w:color w:val="000000"/>
          <w:spacing w:val="0"/>
          <w:w w:val="100"/>
          <w:position w:val="0"/>
        </w:rPr>
        <w:t>个月为支付本期债券的本金设立专项偿债账户，并通过该账户还本 付息。</w:t>
      </w:r>
    </w:p>
    <w:p>
      <w:pPr>
        <w:pStyle w:val="Style28"/>
        <w:keepNext w:val="0"/>
        <w:keepLines w:val="0"/>
        <w:widowControl w:val="0"/>
        <w:numPr>
          <w:ilvl w:val="0"/>
          <w:numId w:val="35"/>
        </w:numPr>
        <w:shd w:val="clear" w:color="auto" w:fill="auto"/>
        <w:tabs>
          <w:tab w:pos="295" w:val="left"/>
        </w:tabs>
        <w:bidi w:val="0"/>
        <w:spacing w:before="0" w:after="0" w:line="314" w:lineRule="exact"/>
        <w:ind w:left="0" w:right="0" w:firstLine="0"/>
        <w:jc w:val="left"/>
      </w:pPr>
      <w:bookmarkStart w:id="697" w:name="bookmark697"/>
      <w:bookmarkEnd w:id="697"/>
      <w:r>
        <w:rPr>
          <w:color w:val="000000"/>
          <w:spacing w:val="0"/>
          <w:w w:val="100"/>
          <w:position w:val="0"/>
        </w:rPr>
        <w:t>设立专门的偿付工作小组：本公司指定财务部等相关部门的人员组成专门的偿付工作小组，全面负责本期债券利息支付、 本金兑付及与之相关的工作。偿债工作小组将在每年财务预算中落实本期债券本息兑付资金，保证本息如期偿付，确保债券 持有人利益。</w:t>
      </w:r>
    </w:p>
    <w:p>
      <w:pPr>
        <w:pStyle w:val="Style28"/>
        <w:keepNext w:val="0"/>
        <w:keepLines w:val="0"/>
        <w:widowControl w:val="0"/>
        <w:numPr>
          <w:ilvl w:val="0"/>
          <w:numId w:val="35"/>
        </w:numPr>
        <w:shd w:val="clear" w:color="auto" w:fill="auto"/>
        <w:tabs>
          <w:tab w:pos="295" w:val="left"/>
        </w:tabs>
        <w:bidi w:val="0"/>
        <w:spacing w:before="0" w:after="0" w:line="314" w:lineRule="exact"/>
        <w:ind w:left="0" w:right="0" w:firstLine="0"/>
        <w:jc w:val="left"/>
      </w:pPr>
      <w:bookmarkStart w:id="698" w:name="bookmark698"/>
      <w:bookmarkEnd w:id="698"/>
      <w:r>
        <w:rPr>
          <w:color w:val="000000"/>
          <w:spacing w:val="0"/>
          <w:w w:val="100"/>
          <w:position w:val="0"/>
        </w:rPr>
        <w:t>严格信息披露：发行人将遵循真实、准确、完整的信息披露原则，使公司偿债能力、募集资金使用等情况受到债券持有人、 债券受托管理人和股东的监督，防范偿债风险。本期债券存续期内，发行人应当根据法律、法规和规则的规定，及时、公平 地履行信息披露义务，确保所披露或者报送的信息真实、准确、完整，不得有虚假记载、误导性陈述或者重大遗漏。</w:t>
      </w:r>
    </w:p>
    <w:p>
      <w:pPr>
        <w:pStyle w:val="Style28"/>
        <w:keepNext w:val="0"/>
        <w:keepLines w:val="0"/>
        <w:widowControl w:val="0"/>
        <w:numPr>
          <w:ilvl w:val="0"/>
          <w:numId w:val="35"/>
        </w:numPr>
        <w:shd w:val="clear" w:color="auto" w:fill="auto"/>
        <w:tabs>
          <w:tab w:pos="295" w:val="left"/>
        </w:tabs>
        <w:bidi w:val="0"/>
        <w:spacing w:before="0" w:after="360" w:line="314" w:lineRule="exact"/>
        <w:ind w:left="0" w:right="0" w:firstLine="0"/>
        <w:jc w:val="left"/>
      </w:pPr>
      <w:bookmarkStart w:id="699" w:name="bookmark699"/>
      <w:bookmarkEnd w:id="699"/>
      <w:r>
        <w:rPr>
          <w:color w:val="000000"/>
          <w:spacing w:val="0"/>
          <w:w w:val="100"/>
          <w:position w:val="0"/>
        </w:rPr>
        <w:t>发行人股东、董事会对本期债券偿债保障的相关决议：经本公司于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日召开的董事会审议通过以及于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日召开的股东大会批准，在出现预计不能按期偿付债券本息或者到期未能按期偿付债券本息时，公司将至少采取如下措 施：</w:t>
      </w:r>
      <w:r>
        <w:rPr>
          <w:rFonts w:ascii="Times New Roman" w:eastAsia="Times New Roman" w:hAnsi="Times New Roman" w:cs="Times New Roman"/>
          <w:color w:val="000000"/>
          <w:spacing w:val="0"/>
          <w:w w:val="100"/>
          <w:position w:val="0"/>
        </w:rPr>
        <w:t>1）</w:t>
      </w:r>
      <w:r>
        <w:rPr>
          <w:color w:val="000000"/>
          <w:spacing w:val="0"/>
          <w:w w:val="100"/>
          <w:position w:val="0"/>
        </w:rPr>
        <w:t>不向股东分配利润；</w:t>
      </w:r>
      <w:r>
        <w:rPr>
          <w:rFonts w:ascii="Times New Roman" w:eastAsia="Times New Roman" w:hAnsi="Times New Roman" w:cs="Times New Roman"/>
          <w:color w:val="000000"/>
          <w:spacing w:val="0"/>
          <w:w w:val="100"/>
          <w:position w:val="0"/>
        </w:rPr>
        <w:t>2）</w:t>
      </w:r>
      <w:r>
        <w:rPr>
          <w:color w:val="000000"/>
          <w:spacing w:val="0"/>
          <w:w w:val="100"/>
          <w:position w:val="0"/>
        </w:rPr>
        <w:t>暂缓重大对外投资、收购、兼并等资本性支出项目的实施；</w:t>
      </w:r>
      <w:r>
        <w:rPr>
          <w:rFonts w:ascii="Times New Roman" w:eastAsia="Times New Roman" w:hAnsi="Times New Roman" w:cs="Times New Roman"/>
          <w:color w:val="000000"/>
          <w:spacing w:val="0"/>
          <w:w w:val="100"/>
          <w:position w:val="0"/>
        </w:rPr>
        <w:t>3）</w:t>
      </w:r>
      <w:r>
        <w:rPr>
          <w:color w:val="000000"/>
          <w:spacing w:val="0"/>
          <w:w w:val="100"/>
          <w:position w:val="0"/>
        </w:rPr>
        <w:t>调减或停发董事和高级管理人员 的工资和奖金；</w:t>
      </w:r>
      <w:r>
        <w:rPr>
          <w:rFonts w:ascii="Times New Roman" w:eastAsia="Times New Roman" w:hAnsi="Times New Roman" w:cs="Times New Roman"/>
          <w:color w:val="000000"/>
          <w:spacing w:val="0"/>
          <w:w w:val="100"/>
          <w:position w:val="0"/>
        </w:rPr>
        <w:t>4）</w:t>
      </w:r>
      <w:r>
        <w:rPr>
          <w:color w:val="000000"/>
          <w:spacing w:val="0"/>
          <w:w w:val="100"/>
          <w:position w:val="0"/>
        </w:rPr>
        <w:t>主要责任人不得调离。</w:t>
      </w:r>
    </w:p>
    <w:p>
      <w:pPr>
        <w:pStyle w:val="Style25"/>
        <w:keepNext/>
        <w:keepLines/>
        <w:widowControl w:val="0"/>
        <w:shd w:val="clear" w:color="auto" w:fill="auto"/>
        <w:tabs>
          <w:tab w:pos="496"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六</w:t>
      </w:r>
      <w:bookmarkEnd w:id="702"/>
      <w:r>
        <w:rPr>
          <w:color w:val="000000"/>
          <w:spacing w:val="0"/>
          <w:w w:val="100"/>
          <w:position w:val="0"/>
          <w:sz w:val="24"/>
          <w:szCs w:val="24"/>
        </w:rPr>
        <w:t>、</w:t>
        <w:tab/>
        <w:t>报告期内债券持有人会议的召开情况</w:t>
      </w:r>
      <w:bookmarkEnd w:id="700"/>
      <w:bookmarkEnd w:id="701"/>
      <w:bookmarkEnd w:id="703"/>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报告期内未召开债券持有人会议。</w:t>
      </w:r>
    </w:p>
    <w:p>
      <w:pPr>
        <w:pStyle w:val="Style25"/>
        <w:keepNext/>
        <w:keepLines/>
        <w:widowControl w:val="0"/>
        <w:shd w:val="clear" w:color="auto" w:fill="auto"/>
        <w:tabs>
          <w:tab w:pos="501"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七</w:t>
      </w:r>
      <w:bookmarkEnd w:id="706"/>
      <w:r>
        <w:rPr>
          <w:color w:val="000000"/>
          <w:spacing w:val="0"/>
          <w:w w:val="100"/>
          <w:position w:val="0"/>
          <w:sz w:val="24"/>
          <w:szCs w:val="24"/>
        </w:rPr>
        <w:t>、</w:t>
        <w:tab/>
        <w:t>报告期内债券受托管理人履行职责的情况</w:t>
      </w:r>
      <w:bookmarkEnd w:id="704"/>
      <w:bookmarkEnd w:id="705"/>
      <w:bookmarkEnd w:id="707"/>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报告期内，本次债券受托管理人渤海证券股份有限公司依照《公司债券受托管理人执业行为准则》的要求及受托管理协 议的约定对本次债券开展了受托管理业务并维护了债券持有人的利益，包括但不限于：</w:t>
      </w:r>
    </w:p>
    <w:p>
      <w:pPr>
        <w:pStyle w:val="Style28"/>
        <w:keepNext w:val="0"/>
        <w:keepLines w:val="0"/>
        <w:widowControl w:val="0"/>
        <w:shd w:val="clear" w:color="auto" w:fill="auto"/>
        <w:tabs>
          <w:tab w:pos="314" w:val="left"/>
        </w:tabs>
        <w:bidi w:val="0"/>
        <w:spacing w:before="0" w:after="0" w:line="310" w:lineRule="exact"/>
        <w:ind w:left="0" w:right="0" w:firstLine="0"/>
        <w:jc w:val="both"/>
      </w:pPr>
      <w:bookmarkStart w:id="708" w:name="bookmark708"/>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持续关注发行人的资信状况，监测并确认发行人是否出现《公司债券受托管理人执业行为准则》第十一条及受托管理协 议第</w:t>
      </w:r>
      <w:r>
        <w:rPr>
          <w:rFonts w:ascii="Times New Roman" w:eastAsia="Times New Roman" w:hAnsi="Times New Roman" w:cs="Times New Roman"/>
          <w:color w:val="000000"/>
          <w:spacing w:val="0"/>
          <w:w w:val="100"/>
          <w:position w:val="0"/>
        </w:rPr>
        <w:t>3.8</w:t>
      </w:r>
      <w:r>
        <w:rPr>
          <w:color w:val="000000"/>
          <w:spacing w:val="0"/>
          <w:w w:val="100"/>
          <w:position w:val="0"/>
        </w:rPr>
        <w:t>条所述的重大事项；</w:t>
      </w:r>
    </w:p>
    <w:p>
      <w:pPr>
        <w:pStyle w:val="Style28"/>
        <w:keepNext w:val="0"/>
        <w:keepLines w:val="0"/>
        <w:widowControl w:val="0"/>
        <w:shd w:val="clear" w:color="auto" w:fill="auto"/>
        <w:tabs>
          <w:tab w:pos="328" w:val="left"/>
        </w:tabs>
        <w:bidi w:val="0"/>
        <w:spacing w:before="0" w:after="0" w:line="310" w:lineRule="exact"/>
        <w:ind w:left="0" w:right="0" w:firstLine="0"/>
        <w:jc w:val="both"/>
      </w:pPr>
      <w:bookmarkStart w:id="709" w:name="bookmark709"/>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持续关注公司债券增信机构的资信状况、担保物价值和权属情况以及内外部增信机制、偿债保障措施的实施情况，并按 照受托协议的约定对上述情况进行核查；</w:t>
      </w:r>
    </w:p>
    <w:p>
      <w:pPr>
        <w:pStyle w:val="Style28"/>
        <w:keepNext w:val="0"/>
        <w:keepLines w:val="0"/>
        <w:widowControl w:val="0"/>
        <w:shd w:val="clear" w:color="auto" w:fill="auto"/>
        <w:tabs>
          <w:tab w:pos="344" w:val="left"/>
        </w:tabs>
        <w:bidi w:val="0"/>
        <w:spacing w:before="0" w:after="0" w:line="322" w:lineRule="exact"/>
        <w:ind w:left="0" w:right="0" w:firstLine="0"/>
        <w:jc w:val="left"/>
      </w:pPr>
      <w:bookmarkStart w:id="710" w:name="bookmark710"/>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对发行人指定专项账户用于公司债券募集资金的接收、存储、划转与本息偿付情况进行监督；</w:t>
      </w:r>
    </w:p>
    <w:p>
      <w:pPr>
        <w:pStyle w:val="Style28"/>
        <w:keepNext w:val="0"/>
        <w:keepLines w:val="0"/>
        <w:widowControl w:val="0"/>
        <w:shd w:val="clear" w:color="auto" w:fill="auto"/>
        <w:tabs>
          <w:tab w:pos="354" w:val="left"/>
        </w:tabs>
        <w:bidi w:val="0"/>
        <w:spacing w:before="0" w:after="0" w:line="322" w:lineRule="exact"/>
        <w:ind w:left="0" w:right="0" w:firstLine="0"/>
        <w:jc w:val="left"/>
      </w:pPr>
      <w:bookmarkStart w:id="711" w:name="bookmark711"/>
      <w:r>
        <w:rPr>
          <w:rFonts w:ascii="Times New Roman" w:eastAsia="Times New Roman" w:hAnsi="Times New Roman" w:cs="Times New Roman"/>
          <w:color w:val="000000"/>
          <w:spacing w:val="0"/>
          <w:w w:val="100"/>
          <w:position w:val="0"/>
        </w:rPr>
        <w:t>4</w:t>
      </w:r>
      <w:bookmarkEnd w:id="711"/>
      <w:r>
        <w:rPr>
          <w:color w:val="000000"/>
          <w:spacing w:val="0"/>
          <w:w w:val="100"/>
          <w:position w:val="0"/>
        </w:rPr>
        <w:t>、</w:t>
        <w:tab/>
        <w:t>持续监督并定期检查发行人募集资金的使用情况是否与公司债券募集说明书约定一致；</w:t>
      </w:r>
    </w:p>
    <w:p>
      <w:pPr>
        <w:pStyle w:val="Style28"/>
        <w:keepNext w:val="0"/>
        <w:keepLines w:val="0"/>
        <w:widowControl w:val="0"/>
        <w:shd w:val="clear" w:color="auto" w:fill="auto"/>
        <w:tabs>
          <w:tab w:pos="354" w:val="left"/>
        </w:tabs>
        <w:bidi w:val="0"/>
        <w:spacing w:before="0" w:after="0" w:line="322" w:lineRule="exact"/>
        <w:ind w:left="0" w:right="0" w:firstLine="0"/>
        <w:jc w:val="left"/>
      </w:pPr>
      <w:bookmarkStart w:id="712" w:name="bookmark712"/>
      <w:r>
        <w:rPr>
          <w:rFonts w:ascii="Times New Roman" w:eastAsia="Times New Roman" w:hAnsi="Times New Roman" w:cs="Times New Roman"/>
          <w:color w:val="000000"/>
          <w:spacing w:val="0"/>
          <w:w w:val="100"/>
          <w:position w:val="0"/>
        </w:rPr>
        <w:t>5</w:t>
      </w:r>
      <w:bookmarkEnd w:id="712"/>
      <w:r>
        <w:rPr>
          <w:color w:val="000000"/>
          <w:spacing w:val="0"/>
          <w:w w:val="100"/>
          <w:position w:val="0"/>
        </w:rPr>
        <w:t>、</w:t>
        <w:tab/>
        <w:t>持续督促发行人履行信息披露义务；</w:t>
      </w:r>
    </w:p>
    <w:p>
      <w:pPr>
        <w:pStyle w:val="Style28"/>
        <w:keepNext w:val="0"/>
        <w:keepLines w:val="0"/>
        <w:widowControl w:val="0"/>
        <w:shd w:val="clear" w:color="auto" w:fill="auto"/>
        <w:tabs>
          <w:tab w:pos="354" w:val="left"/>
        </w:tabs>
        <w:bidi w:val="0"/>
        <w:spacing w:before="0" w:after="0" w:line="322" w:lineRule="exact"/>
        <w:ind w:left="0" w:right="0" w:firstLine="0"/>
        <w:jc w:val="left"/>
      </w:pPr>
      <w:bookmarkStart w:id="713" w:name="bookmark713"/>
      <w:r>
        <w:rPr>
          <w:rFonts w:ascii="Times New Roman" w:eastAsia="Times New Roman" w:hAnsi="Times New Roman" w:cs="Times New Roman"/>
          <w:color w:val="000000"/>
          <w:spacing w:val="0"/>
          <w:w w:val="100"/>
          <w:position w:val="0"/>
        </w:rPr>
        <w:t>6</w:t>
      </w:r>
      <w:bookmarkEnd w:id="713"/>
      <w:r>
        <w:rPr>
          <w:color w:val="000000"/>
          <w:spacing w:val="0"/>
          <w:w w:val="100"/>
          <w:position w:val="0"/>
        </w:rPr>
        <w:t>、</w:t>
        <w:tab/>
        <w:t>持续监测发行人是否出现《公司债券受托管理人执业行为准则》第十七条所述需由受托管理人向市场公告临时受托管理 事务报告的情形。</w:t>
      </w:r>
    </w:p>
    <w:p>
      <w:pPr>
        <w:pStyle w:val="Style28"/>
        <w:keepNext w:val="0"/>
        <w:keepLines w:val="0"/>
        <w:widowControl w:val="0"/>
        <w:shd w:val="clear" w:color="auto" w:fill="auto"/>
        <w:bidi w:val="0"/>
        <w:spacing w:before="0" w:after="360" w:line="298" w:lineRule="exact"/>
        <w:ind w:left="0" w:right="0" w:firstLine="380"/>
        <w:jc w:val="both"/>
      </w:pPr>
      <w:r>
        <w:rPr>
          <w:color w:val="000000"/>
          <w:spacing w:val="0"/>
          <w:w w:val="100"/>
          <w:position w:val="0"/>
        </w:rPr>
        <w:t>报告期内债券受托管理人已按照约定履行相关职责，不存在履行受托管理职责时发生利益冲突的情形。受托管理人预计 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日前于巨潮资讯网及深交所网站发布</w:t>
      </w:r>
      <w:r>
        <w:rPr>
          <w:rFonts w:ascii="Times New Roman" w:eastAsia="Times New Roman" w:hAnsi="Times New Roman" w:cs="Times New Roman"/>
          <w:color w:val="000000"/>
          <w:spacing w:val="0"/>
          <w:w w:val="100"/>
          <w:position w:val="0"/>
        </w:rPr>
        <w:t>2016</w:t>
      </w:r>
      <w:r>
        <w:rPr>
          <w:color w:val="000000"/>
          <w:spacing w:val="0"/>
          <w:w w:val="100"/>
          <w:position w:val="0"/>
        </w:rPr>
        <w:t>年度受托管理事务报告。</w:t>
      </w:r>
    </w:p>
    <w:p>
      <w:pPr>
        <w:pStyle w:val="Style25"/>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八</w:t>
      </w:r>
      <w:bookmarkEnd w:id="716"/>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14"/>
      <w:bookmarkEnd w:id="715"/>
      <w:bookmarkEnd w:id="7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20,503.29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-57,768.78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47,121.51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53,863.39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80" w:line="240" w:lineRule="auto"/>
        <w:ind w:left="0" w:right="0" w:firstLine="0"/>
        <w:jc w:val="left"/>
      </w:pPr>
      <w:bookmarkStart w:id="718" w:name="bookmark718"/>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息税折旧摊销前利润较上年同期增长</w:t>
      </w:r>
      <w:r>
        <w:rPr>
          <w:rFonts w:ascii="Times New Roman" w:eastAsia="Times New Roman" w:hAnsi="Times New Roman" w:cs="Times New Roman"/>
          <w:color w:val="000000"/>
          <w:spacing w:val="0"/>
          <w:w w:val="100"/>
          <w:position w:val="0"/>
        </w:rPr>
        <w:t>84.37%</w:t>
      </w:r>
      <w:r>
        <w:rPr>
          <w:color w:val="000000"/>
          <w:spacing w:val="0"/>
          <w:w w:val="100"/>
          <w:position w:val="0"/>
        </w:rPr>
        <w:t>，主要系经营利润及投资收益增加所致。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19" w:name="bookmark719"/>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投资活动产生的现金流量净额较上年同期下降</w:t>
      </w:r>
      <w:r>
        <w:rPr>
          <w:rFonts w:ascii="Times New Roman" w:eastAsia="Times New Roman" w:hAnsi="Times New Roman" w:cs="Times New Roman"/>
          <w:color w:val="000000"/>
          <w:spacing w:val="0"/>
          <w:w w:val="100"/>
          <w:position w:val="0"/>
        </w:rPr>
        <w:t>42.74%</w:t>
      </w:r>
      <w:r>
        <w:rPr>
          <w:color w:val="000000"/>
          <w:spacing w:val="0"/>
          <w:w w:val="100"/>
          <w:position w:val="0"/>
        </w:rPr>
        <w:t>，主要系增资大岩资本所致。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0" w:name="bookmark720"/>
      <w:r>
        <w:rPr>
          <w:rFonts w:ascii="Times New Roman" w:eastAsia="Times New Roman" w:hAnsi="Times New Roman" w:cs="Times New Roman"/>
          <w:color w:val="000000"/>
          <w:spacing w:val="0"/>
          <w:w w:val="100"/>
          <w:position w:val="0"/>
        </w:rPr>
        <w:t>3</w:t>
      </w:r>
      <w:bookmarkEnd w:id="720"/>
      <w:r>
        <w:rPr>
          <w:color w:val="000000"/>
          <w:spacing w:val="0"/>
          <w:w w:val="100"/>
          <w:position w:val="0"/>
        </w:rPr>
        <w:t>、</w:t>
        <w:tab/>
        <w:t>筹资活动产生的现金流量净额较上年同期增长</w:t>
      </w:r>
      <w:r>
        <w:rPr>
          <w:rFonts w:ascii="Times New Roman" w:eastAsia="Times New Roman" w:hAnsi="Times New Roman" w:cs="Times New Roman"/>
          <w:color w:val="000000"/>
          <w:spacing w:val="0"/>
          <w:w w:val="100"/>
          <w:position w:val="0"/>
        </w:rPr>
        <w:t>1356.55%</w:t>
      </w:r>
      <w:r>
        <w:rPr>
          <w:color w:val="000000"/>
          <w:spacing w:val="0"/>
          <w:w w:val="100"/>
          <w:position w:val="0"/>
        </w:rPr>
        <w:t>,主要系银行借款及企业债券增加所致。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1" w:name="bookmark721"/>
      <w:r>
        <w:rPr>
          <w:rFonts w:ascii="Times New Roman" w:eastAsia="Times New Roman" w:hAnsi="Times New Roman" w:cs="Times New Roman"/>
          <w:color w:val="000000"/>
          <w:spacing w:val="0"/>
          <w:w w:val="100"/>
          <w:position w:val="0"/>
        </w:rPr>
        <w:t>4</w:t>
      </w:r>
      <w:bookmarkEnd w:id="721"/>
      <w:r>
        <w:rPr>
          <w:color w:val="000000"/>
          <w:spacing w:val="0"/>
          <w:w w:val="100"/>
          <w:position w:val="0"/>
        </w:rPr>
        <w:t>、</w:t>
        <w:tab/>
        <w:t>期末现金及现金等价物余额较上年末增长</w:t>
      </w:r>
      <w:r>
        <w:rPr>
          <w:rFonts w:ascii="Times New Roman" w:eastAsia="Times New Roman" w:hAnsi="Times New Roman" w:cs="Times New Roman"/>
          <w:color w:val="000000"/>
          <w:spacing w:val="0"/>
          <w:w w:val="100"/>
          <w:position w:val="0"/>
        </w:rPr>
        <w:t>38.53%</w:t>
      </w:r>
      <w:r>
        <w:rPr>
          <w:color w:val="000000"/>
          <w:spacing w:val="0"/>
          <w:w w:val="100"/>
          <w:position w:val="0"/>
        </w:rPr>
        <w:t>，主要系银行借款及企业债券增加所致。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2" w:name="bookmark722"/>
      <w:r>
        <w:rPr>
          <w:rFonts w:ascii="Times New Roman" w:eastAsia="Times New Roman" w:hAnsi="Times New Roman" w:cs="Times New Roman"/>
          <w:color w:val="000000"/>
          <w:spacing w:val="0"/>
          <w:w w:val="100"/>
          <w:position w:val="0"/>
        </w:rPr>
        <w:t>5</w:t>
      </w:r>
      <w:bookmarkEnd w:id="722"/>
      <w:r>
        <w:rPr>
          <w:color w:val="000000"/>
          <w:spacing w:val="0"/>
          <w:w w:val="100"/>
          <w:position w:val="0"/>
        </w:rPr>
        <w:t>、</w:t>
        <w:tab/>
        <w:t>流动比率较上年末下降</w:t>
      </w:r>
      <w:r>
        <w:rPr>
          <w:rFonts w:ascii="Times New Roman" w:eastAsia="Times New Roman" w:hAnsi="Times New Roman" w:cs="Times New Roman"/>
          <w:color w:val="000000"/>
          <w:spacing w:val="0"/>
          <w:w w:val="100"/>
          <w:position w:val="0"/>
        </w:rPr>
        <w:t>75.64%</w:t>
      </w:r>
      <w:r>
        <w:rPr>
          <w:color w:val="000000"/>
          <w:spacing w:val="0"/>
          <w:w w:val="100"/>
          <w:position w:val="0"/>
        </w:rPr>
        <w:t>，主要系本期收购长沙公信应付股权转让款增加所致。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3" w:name="bookmark723"/>
      <w:r>
        <w:rPr>
          <w:rFonts w:ascii="Times New Roman" w:eastAsia="Times New Roman" w:hAnsi="Times New Roman" w:cs="Times New Roman"/>
          <w:color w:val="000000"/>
          <w:spacing w:val="0"/>
          <w:w w:val="100"/>
          <w:position w:val="0"/>
        </w:rPr>
        <w:t>6</w:t>
      </w:r>
      <w:bookmarkEnd w:id="723"/>
      <w:r>
        <w:rPr>
          <w:color w:val="000000"/>
          <w:spacing w:val="0"/>
          <w:w w:val="100"/>
          <w:position w:val="0"/>
        </w:rPr>
        <w:t>、</w:t>
        <w:tab/>
        <w:t>速动比率较上年末下降</w:t>
      </w:r>
      <w:r>
        <w:rPr>
          <w:rFonts w:ascii="Times New Roman" w:eastAsia="Times New Roman" w:hAnsi="Times New Roman" w:cs="Times New Roman"/>
          <w:color w:val="000000"/>
          <w:spacing w:val="0"/>
          <w:w w:val="100"/>
          <w:position w:val="0"/>
        </w:rPr>
        <w:t>58.10%</w:t>
      </w:r>
      <w:r>
        <w:rPr>
          <w:color w:val="000000"/>
          <w:spacing w:val="0"/>
          <w:w w:val="100"/>
          <w:position w:val="0"/>
        </w:rPr>
        <w:t>，主要系本期收购长沙公信应付股权转让款增加所致。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4" w:name="bookmark724"/>
      <w:r>
        <w:rPr>
          <w:rFonts w:ascii="Times New Roman" w:eastAsia="Times New Roman" w:hAnsi="Times New Roman" w:cs="Times New Roman"/>
          <w:color w:val="000000"/>
          <w:spacing w:val="0"/>
          <w:w w:val="100"/>
          <w:position w:val="0"/>
        </w:rPr>
        <w:t>7</w:t>
      </w:r>
      <w:bookmarkEnd w:id="724"/>
      <w:r>
        <w:rPr>
          <w:color w:val="000000"/>
          <w:spacing w:val="0"/>
          <w:w w:val="100"/>
          <w:position w:val="0"/>
        </w:rPr>
        <w:t>、</w:t>
        <w:tab/>
        <w:t>利息保障倍数较上年同期下降</w:t>
      </w:r>
      <w:r>
        <w:rPr>
          <w:rFonts w:ascii="Times New Roman" w:eastAsia="Times New Roman" w:hAnsi="Times New Roman" w:cs="Times New Roman"/>
          <w:color w:val="000000"/>
          <w:spacing w:val="0"/>
          <w:w w:val="100"/>
          <w:position w:val="0"/>
        </w:rPr>
        <w:t>61.56%</w:t>
      </w:r>
      <w:r>
        <w:rPr>
          <w:color w:val="000000"/>
          <w:spacing w:val="0"/>
          <w:w w:val="100"/>
          <w:position w:val="0"/>
        </w:rPr>
        <w:t>，主要系发行公司债券利息增加所致。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5" w:name="bookmark725"/>
      <w:r>
        <w:rPr>
          <w:rFonts w:ascii="Times New Roman" w:eastAsia="Times New Roman" w:hAnsi="Times New Roman" w:cs="Times New Roman"/>
          <w:color w:val="000000"/>
          <w:spacing w:val="0"/>
          <w:w w:val="100"/>
          <w:position w:val="0"/>
        </w:rPr>
        <w:t>8</w:t>
      </w:r>
      <w:bookmarkEnd w:id="725"/>
      <w:r>
        <w:rPr>
          <w:color w:val="000000"/>
          <w:spacing w:val="0"/>
          <w:w w:val="100"/>
          <w:position w:val="0"/>
        </w:rPr>
        <w:t>、</w:t>
        <w:tab/>
        <w:t>现金利息保障倍数较上年同期下降</w:t>
      </w:r>
      <w:r>
        <w:rPr>
          <w:rFonts w:ascii="Times New Roman" w:eastAsia="Times New Roman" w:hAnsi="Times New Roman" w:cs="Times New Roman"/>
          <w:color w:val="000000"/>
          <w:spacing w:val="0"/>
          <w:w w:val="100"/>
          <w:position w:val="0"/>
        </w:rPr>
        <w:t>60.77%</w:t>
      </w:r>
      <w:r>
        <w:rPr>
          <w:color w:val="000000"/>
          <w:spacing w:val="0"/>
          <w:w w:val="100"/>
          <w:position w:val="0"/>
        </w:rPr>
        <w:t>，主要系银行借款及应收账款保理利息支出增加所致。</w:t>
      </w:r>
    </w:p>
    <w:p>
      <w:pPr>
        <w:pStyle w:val="Style28"/>
        <w:keepNext w:val="0"/>
        <w:keepLines w:val="0"/>
        <w:widowControl w:val="0"/>
        <w:shd w:val="clear" w:color="auto" w:fill="auto"/>
        <w:tabs>
          <w:tab w:pos="354" w:val="left"/>
        </w:tabs>
        <w:bidi w:val="0"/>
        <w:spacing w:before="0" w:after="80" w:line="240" w:lineRule="auto"/>
        <w:ind w:left="0" w:right="0" w:firstLine="0"/>
        <w:jc w:val="left"/>
      </w:pPr>
      <w:bookmarkStart w:id="726" w:name="bookmark726"/>
      <w:r>
        <w:rPr>
          <w:rFonts w:ascii="Times New Roman" w:eastAsia="Times New Roman" w:hAnsi="Times New Roman" w:cs="Times New Roman"/>
          <w:color w:val="000000"/>
          <w:spacing w:val="0"/>
          <w:w w:val="100"/>
          <w:position w:val="0"/>
        </w:rPr>
        <w:t>9</w:t>
      </w:r>
      <w:bookmarkEnd w:id="726"/>
      <w:r>
        <w:rPr>
          <w:color w:val="000000"/>
          <w:spacing w:val="0"/>
          <w:w w:val="100"/>
          <w:position w:val="0"/>
        </w:rPr>
        <w:t>、</w:t>
        <w:tab/>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利息保障倍数较上年同期下降</w:t>
      </w:r>
      <w:r>
        <w:rPr>
          <w:rFonts w:ascii="Times New Roman" w:eastAsia="Times New Roman" w:hAnsi="Times New Roman" w:cs="Times New Roman"/>
          <w:color w:val="000000"/>
          <w:spacing w:val="0"/>
          <w:w w:val="100"/>
          <w:position w:val="0"/>
        </w:rPr>
        <w:t>61.05%</w:t>
      </w:r>
      <w:r>
        <w:rPr>
          <w:color w:val="000000"/>
          <w:spacing w:val="0"/>
          <w:w w:val="100"/>
          <w:position w:val="0"/>
        </w:rPr>
        <w:t>，主要系银行借款、支付应收账款保理利息及发行公司债券利息增加所致。</w:t>
      </w:r>
    </w:p>
    <w:p>
      <w:pPr>
        <w:pStyle w:val="Style25"/>
        <w:keepNext/>
        <w:keepLines/>
        <w:widowControl w:val="0"/>
        <w:shd w:val="clear" w:color="auto" w:fill="auto"/>
        <w:bidi w:val="0"/>
        <w:spacing w:before="0" w:after="26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九</w:t>
      </w:r>
      <w:bookmarkEnd w:id="729"/>
      <w:r>
        <w:rPr>
          <w:color w:val="000000"/>
          <w:spacing w:val="0"/>
          <w:w w:val="100"/>
          <w:position w:val="0"/>
          <w:sz w:val="24"/>
          <w:szCs w:val="24"/>
        </w:rPr>
        <w:t>、报告期内对其他债券和债务融资工具的付息兑付情况</w:t>
      </w:r>
      <w:bookmarkEnd w:id="727"/>
      <w:bookmarkEnd w:id="728"/>
      <w:bookmarkEnd w:id="730"/>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公司未发行其他债券或债务融资工具。</w:t>
      </w:r>
    </w:p>
    <w:p>
      <w:pPr>
        <w:pStyle w:val="Style25"/>
        <w:keepNext/>
        <w:keepLines/>
        <w:widowControl w:val="0"/>
        <w:shd w:val="clear" w:color="auto" w:fill="auto"/>
        <w:bidi w:val="0"/>
        <w:spacing w:before="0" w:after="260" w:line="240" w:lineRule="auto"/>
        <w:ind w:left="0" w:right="0" w:firstLine="0"/>
        <w:jc w:val="both"/>
      </w:pPr>
      <w:bookmarkStart w:id="731" w:name="bookmark731"/>
      <w:bookmarkStart w:id="732" w:name="bookmark732"/>
      <w:bookmarkStart w:id="733" w:name="bookmark733"/>
      <w:r>
        <w:rPr>
          <w:color w:val="000000"/>
          <w:spacing w:val="0"/>
          <w:w w:val="100"/>
          <w:position w:val="0"/>
          <w:sz w:val="24"/>
          <w:szCs w:val="24"/>
        </w:rPr>
        <w:t>十、报告期内获得的银行授信情况、使用情况以及偿还银行贷款的情况</w:t>
      </w:r>
      <w:bookmarkEnd w:id="731"/>
      <w:bookmarkEnd w:id="732"/>
      <w:bookmarkEnd w:id="733"/>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公司资信良好，无不良贷款记录。报告期内，公司获得银行授信额度合计</w:t>
      </w:r>
      <w:r>
        <w:rPr>
          <w:rFonts w:ascii="Times New Roman" w:eastAsia="Times New Roman" w:hAnsi="Times New Roman" w:cs="Times New Roman"/>
          <w:color w:val="000000"/>
          <w:spacing w:val="0"/>
          <w:w w:val="100"/>
          <w:position w:val="0"/>
        </w:rPr>
        <w:t>117,000</w:t>
      </w:r>
      <w:r>
        <w:rPr>
          <w:color w:val="000000"/>
          <w:spacing w:val="0"/>
          <w:w w:val="100"/>
          <w:position w:val="0"/>
        </w:rPr>
        <w:t>万元，已使用银行授信额度</w:t>
      </w:r>
      <w:r>
        <w:rPr>
          <w:rFonts w:ascii="Times New Roman" w:eastAsia="Times New Roman" w:hAnsi="Times New Roman" w:cs="Times New Roman"/>
          <w:color w:val="000000"/>
          <w:spacing w:val="0"/>
          <w:w w:val="100"/>
          <w:position w:val="0"/>
        </w:rPr>
        <w:t>16,417</w:t>
      </w:r>
      <w:r>
        <w:rPr>
          <w:color w:val="000000"/>
          <w:spacing w:val="0"/>
          <w:w w:val="100"/>
          <w:position w:val="0"/>
        </w:rPr>
        <w:t>万元。</w:t>
      </w:r>
    </w:p>
    <w:p>
      <w:pPr>
        <w:pStyle w:val="Style25"/>
        <w:keepNext/>
        <w:keepLines/>
        <w:widowControl w:val="0"/>
        <w:shd w:val="clear" w:color="auto" w:fill="auto"/>
        <w:bidi w:val="0"/>
        <w:spacing w:before="0" w:after="260" w:line="240" w:lineRule="auto"/>
        <w:ind w:left="0" w:right="0" w:firstLine="0"/>
        <w:jc w:val="both"/>
      </w:pPr>
      <w:bookmarkStart w:id="734" w:name="bookmark734"/>
      <w:bookmarkStart w:id="735" w:name="bookmark735"/>
      <w:bookmarkStart w:id="736" w:name="bookmark736"/>
      <w:r>
        <w:rPr>
          <w:color w:val="000000"/>
          <w:spacing w:val="0"/>
          <w:w w:val="100"/>
          <w:position w:val="0"/>
          <w:sz w:val="24"/>
          <w:szCs w:val="24"/>
        </w:rPr>
        <w:t>十一、报告期内执行公司债券募集说明书相关约定或承诺的情况</w:t>
      </w:r>
      <w:bookmarkEnd w:id="734"/>
      <w:bookmarkEnd w:id="735"/>
      <w:bookmarkEnd w:id="736"/>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报告期内，本次公司债券募集资金已按照承诺用于核准事项，受托管理人严格按照相关监管机构及自律组织的规定、募集说 明书及受托管理协议等文件的约定，履行相关职责，不存在违反公司债券募集说明书相关约定或承诺的情况或者情形。</w:t>
      </w:r>
    </w:p>
    <w:p>
      <w:pPr>
        <w:pStyle w:val="Style25"/>
        <w:keepNext/>
        <w:keepLines/>
        <w:widowControl w:val="0"/>
        <w:shd w:val="clear" w:color="auto" w:fill="auto"/>
        <w:bidi w:val="0"/>
        <w:spacing w:before="0" w:after="260" w:line="240" w:lineRule="auto"/>
        <w:ind w:left="0" w:right="0" w:firstLine="0"/>
        <w:jc w:val="left"/>
      </w:pPr>
      <w:bookmarkStart w:id="737" w:name="bookmark737"/>
      <w:bookmarkStart w:id="738" w:name="bookmark738"/>
      <w:bookmarkStart w:id="739" w:name="bookmark739"/>
      <w:r>
        <w:rPr>
          <w:color w:val="000000"/>
          <w:spacing w:val="0"/>
          <w:w w:val="100"/>
          <w:position w:val="0"/>
          <w:sz w:val="24"/>
          <w:szCs w:val="24"/>
        </w:rPr>
        <w:t>十二、报告期内发生的重大事项</w:t>
      </w:r>
      <w:bookmarkEnd w:id="737"/>
      <w:bookmarkEnd w:id="738"/>
      <w:bookmarkEnd w:id="739"/>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报告期内未发生重大事项。</w:t>
      </w:r>
    </w:p>
    <w:p>
      <w:pPr>
        <w:pStyle w:val="Style25"/>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r>
        <w:rPr>
          <w:color w:val="000000"/>
          <w:spacing w:val="0"/>
          <w:w w:val="100"/>
          <w:position w:val="0"/>
          <w:sz w:val="24"/>
          <w:szCs w:val="24"/>
        </w:rPr>
        <w:t>十三、公司债券是否存在保证人</w:t>
      </w:r>
      <w:bookmarkEnd w:id="740"/>
      <w:bookmarkEnd w:id="741"/>
      <w:bookmarkEnd w:id="742"/>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公司债券的保证人是否为法人或其他组织</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rPr>
        <w:t>4</w:t>
      </w:r>
      <w:r>
        <w:rPr>
          <w:color w:val="000000"/>
          <w:spacing w:val="0"/>
          <w:w w:val="100"/>
          <w:position w:val="0"/>
        </w:rPr>
        <w:t>个月内单独披露保证人报告期财务报表，包括资产负债表、利润表、现金流量表、所有者 权益（股东权益）变动表和财务报表附注</w:t>
      </w:r>
    </w:p>
    <w:p>
      <w:pPr>
        <w:pStyle w:val="Style28"/>
        <w:keepNext w:val="0"/>
        <w:keepLines w:val="0"/>
        <w:widowControl w:val="0"/>
        <w:shd w:val="clear" w:color="auto" w:fill="auto"/>
        <w:bidi w:val="0"/>
        <w:spacing w:before="0" w:after="300"/>
        <w:ind w:left="0" w:right="0" w:firstLine="0"/>
        <w:jc w:val="left"/>
        <w:sectPr>
          <w:footnotePr>
            <w:pos w:val="pageBottom"/>
            <w:numFmt w:val="decimal"/>
            <w:numRestart w:val="continuous"/>
          </w:footnotePr>
          <w:pgSz w:w="11900" w:h="16840"/>
          <w:pgMar w:top="1383" w:right="1047" w:bottom="1354"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keepLines/>
        <w:widowControl w:val="0"/>
        <w:shd w:val="clear" w:color="auto" w:fill="auto"/>
        <w:bidi w:val="0"/>
        <w:spacing w:before="580" w:after="520" w:line="240" w:lineRule="auto"/>
        <w:ind w:left="0" w:right="0" w:firstLine="0"/>
        <w:jc w:val="center"/>
      </w:pPr>
      <w:bookmarkStart w:id="743" w:name="bookmark743"/>
      <w:bookmarkStart w:id="744" w:name="bookmark744"/>
      <w:bookmarkStart w:id="745" w:name="bookmark745"/>
      <w:r>
        <w:rPr>
          <w:color w:val="000000"/>
          <w:spacing w:val="0"/>
          <w:w w:val="100"/>
          <w:position w:val="0"/>
        </w:rPr>
        <w:t>第十一节财务报告</w:t>
      </w:r>
      <w:bookmarkEnd w:id="743"/>
      <w:bookmarkEnd w:id="744"/>
      <w:bookmarkEnd w:id="745"/>
    </w:p>
    <w:p>
      <w:pPr>
        <w:pStyle w:val="Style25"/>
        <w:keepNext/>
        <w:keepLines/>
        <w:widowControl w:val="0"/>
        <w:shd w:val="clear" w:color="auto" w:fill="auto"/>
        <w:bidi w:val="0"/>
        <w:spacing w:before="0" w:after="320" w:line="240" w:lineRule="auto"/>
        <w:ind w:left="0" w:right="0" w:firstLine="260"/>
        <w:jc w:val="both"/>
      </w:pPr>
      <w:bookmarkStart w:id="746" w:name="bookmark746"/>
      <w:bookmarkStart w:id="747" w:name="bookmark747"/>
      <w:bookmarkStart w:id="748" w:name="bookmark748"/>
      <w:bookmarkStart w:id="749" w:name="bookmark749"/>
      <w:r>
        <w:rPr>
          <w:color w:val="000000"/>
          <w:spacing w:val="0"/>
          <w:w w:val="100"/>
          <w:position w:val="0"/>
          <w:sz w:val="24"/>
          <w:szCs w:val="24"/>
        </w:rPr>
        <w:t>、审计报告</w:t>
      </w:r>
      <w:bookmarkEnd w:id="747"/>
      <w:bookmarkEnd w:id="748"/>
      <w:bookmarkEnd w:id="749"/>
      <w:bookmarkEnd w:id="74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[2017]003598</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谭荣、张晓义</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19" w:line="1" w:lineRule="exact"/>
      </w:pPr>
    </w:p>
    <w:p>
      <w:pPr>
        <w:pStyle w:val="Style4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大华审字</w:t>
      </w:r>
      <w:r>
        <w:rPr>
          <w:color w:val="000000"/>
          <w:spacing w:val="0"/>
          <w:w w:val="100"/>
          <w:position w:val="0"/>
        </w:rPr>
        <w:t>[2017]003598</w:t>
      </w:r>
      <w:r>
        <w:rPr>
          <w:rFonts w:ascii="SimSun" w:eastAsia="SimSun" w:hAnsi="SimSun" w:cs="SimSun"/>
          <w:color w:val="000000"/>
          <w:spacing w:val="0"/>
          <w:w w:val="100"/>
          <w:position w:val="0"/>
        </w:rPr>
        <w:t>号</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深圳市新国都技术股份有限公司全体股东：</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我们审计了后附的深圳市新国都技术股份有限公司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以下简称''新国都技术公司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年度的合并及母公司利润表、合并及母公司现金流量表、合并及母公司股东权益变动表，以及财务报 表附注。</w:t>
      </w:r>
    </w:p>
    <w:p>
      <w:pPr>
        <w:pStyle w:val="Style28"/>
        <w:keepNext w:val="0"/>
        <w:keepLines w:val="0"/>
        <w:widowControl w:val="0"/>
        <w:shd w:val="clear" w:color="auto" w:fill="auto"/>
        <w:tabs>
          <w:tab w:pos="423" w:val="left"/>
        </w:tabs>
        <w:bidi w:val="0"/>
        <w:spacing w:before="0" w:after="0" w:line="310" w:lineRule="exact"/>
        <w:ind w:left="0" w:right="0" w:firstLine="0"/>
        <w:jc w:val="both"/>
      </w:pPr>
      <w:bookmarkStart w:id="750" w:name="bookmark750"/>
      <w:r>
        <w:rPr>
          <w:color w:val="000000"/>
          <w:spacing w:val="0"/>
          <w:w w:val="100"/>
          <w:position w:val="0"/>
        </w:rPr>
        <w:t>一</w:t>
      </w:r>
      <w:bookmarkEnd w:id="750"/>
      <w:r>
        <w:rPr>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编制和公允列报财务报表是新国都技术公司管理层的责任，这种责任包括：（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423" w:val="left"/>
        </w:tabs>
        <w:bidi w:val="0"/>
        <w:spacing w:before="0" w:after="0" w:line="310" w:lineRule="exact"/>
        <w:ind w:left="0" w:right="0" w:firstLine="0"/>
        <w:jc w:val="both"/>
      </w:pPr>
      <w:bookmarkStart w:id="751" w:name="bookmark751"/>
      <w:r>
        <w:rPr>
          <w:color w:val="000000"/>
          <w:spacing w:val="0"/>
          <w:w w:val="100"/>
          <w:position w:val="0"/>
        </w:rPr>
        <w:t>二</w:t>
      </w:r>
      <w:bookmarkEnd w:id="751"/>
      <w:r>
        <w:rPr>
          <w:color w:val="000000"/>
          <w:spacing w:val="0"/>
          <w:w w:val="100"/>
          <w:position w:val="0"/>
        </w:rPr>
        <w:t>、</w:t>
        <w:tab/>
        <w:t>注册会计师的责任</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w:t>
      </w:r>
      <w:r>
        <w:rPr>
          <w:rFonts w:ascii="Times New Roman" w:eastAsia="Times New Roman" w:hAnsi="Times New Roman" w:cs="Times New Roman"/>
          <w:color w:val="000000"/>
          <w:spacing w:val="0"/>
          <w:w w:val="100"/>
          <w:position w:val="0"/>
        </w:rPr>
        <w:t>,</w:t>
      </w:r>
      <w:r>
        <w:rPr>
          <w:color w:val="000000"/>
          <w:spacing w:val="0"/>
          <w:w w:val="100"/>
          <w:position w:val="0"/>
        </w:rPr>
        <w:t>但目的并非对内部控制的有效性发表意见。审计工作还包括评价管理层选用会计政 策的恰当性和作出会计估计的合理性，以及评价财务报表的总体列报。</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423" w:val="left"/>
        </w:tabs>
        <w:bidi w:val="0"/>
        <w:spacing w:before="0" w:after="0" w:line="310" w:lineRule="exact"/>
        <w:ind w:left="0" w:right="0" w:firstLine="0"/>
        <w:jc w:val="both"/>
      </w:pPr>
      <w:bookmarkStart w:id="752" w:name="bookmark752"/>
      <w:r>
        <w:rPr>
          <w:color w:val="000000"/>
          <w:spacing w:val="0"/>
          <w:w w:val="100"/>
          <w:position w:val="0"/>
        </w:rPr>
        <w:t>三</w:t>
      </w:r>
      <w:bookmarkEnd w:id="752"/>
      <w:r>
        <w:rPr>
          <w:color w:val="000000"/>
          <w:spacing w:val="0"/>
          <w:w w:val="100"/>
          <w:position w:val="0"/>
        </w:rPr>
        <w:t>、</w:t>
        <w:tab/>
        <w:t>审计意见</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我们认为，新国都技术公司的财务报表在所有重大方面按照企业会计准则的规定编制，公允反映了新国都技术公司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2 016</w:t>
      </w:r>
      <w:r>
        <w:rPr>
          <w:color w:val="000000"/>
          <w:spacing w:val="0"/>
          <w:w w:val="100"/>
          <w:position w:val="0"/>
        </w:rPr>
        <w:t>年度的合并及母公司经营成果和现金流量。</w:t>
      </w:r>
    </w:p>
    <w:p>
      <w:pPr>
        <w:pStyle w:val="Style28"/>
        <w:keepNext w:val="0"/>
        <w:keepLines w:val="0"/>
        <w:widowControl w:val="0"/>
        <w:shd w:val="clear" w:color="auto" w:fill="auto"/>
        <w:bidi w:val="0"/>
        <w:spacing w:before="0" w:after="0" w:line="310" w:lineRule="exact"/>
        <w:ind w:left="6980" w:right="0" w:firstLine="0"/>
        <w:jc w:val="righ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中国注册会计师：谭荣 中国注册会计师：张晓义 中国</w:t>
      </w:r>
      <w:r>
        <w:rPr>
          <w:rFonts w:ascii="Times New Roman" w:eastAsia="Times New Roman" w:hAnsi="Times New Roman" w:cs="Times New Roman"/>
          <w:color w:val="000000"/>
          <w:spacing w:val="0"/>
          <w:w w:val="100"/>
          <w:position w:val="0"/>
        </w:rPr>
        <w:t>.</w:t>
      </w:r>
      <w:r>
        <w:rPr>
          <w:color w:val="000000"/>
          <w:spacing w:val="0"/>
          <w:w w:val="100"/>
          <w:position w:val="0"/>
        </w:rPr>
        <w:t>北京 二。一七年四月十七日</w:t>
      </w:r>
      <w:r>
        <w:br w:type="page"/>
      </w:r>
    </w:p>
    <w:p>
      <w:pPr>
        <w:pStyle w:val="Style25"/>
        <w:keepNext/>
        <w:keepLines/>
        <w:widowControl w:val="0"/>
        <w:shd w:val="clear" w:color="auto" w:fill="auto"/>
        <w:bidi w:val="0"/>
        <w:spacing w:before="0" w:after="36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4"/>
          <w:szCs w:val="24"/>
        </w:rPr>
        <w:t>二</w:t>
      </w:r>
      <w:bookmarkEnd w:id="755"/>
      <w:r>
        <w:rPr>
          <w:color w:val="000000"/>
          <w:spacing w:val="0"/>
          <w:w w:val="100"/>
          <w:position w:val="0"/>
          <w:sz w:val="24"/>
          <w:szCs w:val="24"/>
        </w:rPr>
        <w:t>、财务报表</w:t>
      </w:r>
      <w:bookmarkEnd w:id="753"/>
      <w:bookmarkEnd w:id="754"/>
      <w:bookmarkEnd w:id="75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、合并资产负债表</w:t>
      </w:r>
      <w:bookmarkEnd w:id="757"/>
      <w:bookmarkEnd w:id="758"/>
      <w:bookmarkEnd w:id="76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编制单位：深圳市新国都技术股份有限公司</w:t>
      </w:r>
    </w:p>
    <w:p>
      <w:pPr>
        <w:pStyle w:val="Style4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576,199,962.02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428,153,435.05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13,739,046.00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56,779,381.02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276,804,932.95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358,297,454.84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7,601,070.22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4,466,437.04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65,670.45</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41,379,188.48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5,251,857.18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160,305,351.77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198,185,930.74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20,115,055.42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66,678,846.16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1,096,577,971.18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1,118,000,390.57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525,931,836.09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75,710,833.32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402,718,815.18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43,552,693.97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296,925,757.82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68,893,899.69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73,509,139.37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609,206,176.32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176,047,177.83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8,256,061.95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7,370,285.31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34,108,402.04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15,416,982.90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15,705,208.00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1,700,180,041.27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704,478,078.52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2,796,758,012.45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1,822,478,469.09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17,179,084.73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51,558,464.00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106,689,862.32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113,584,542.16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134,052,156.18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242,639,477.56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24,525,312.58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49,101,803.37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34,508,849.66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31,237,316.25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19,167,347.26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16,020,759.10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16,177,777.81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452,219,715.36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31,714,321.93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824,520,105.90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535,856,684.37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1,038,783.85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397,154,334.33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21,780,287.15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13,155,833.33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6,982,456.05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6,238,129.72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495,917,077.53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20,432,746.90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1,320,437,183.43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556,289,431.27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235,434,080.00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231,021,360.00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667,676,162.93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606,706,549.26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-119,750.39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-87,737.42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25,650,332.28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24,685,764.62</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526,534,530.51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400,028,473.46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1,455,175,355.33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1,262,354,409.92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21,145,473.69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3,834,627.90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1,476,320,829.02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1,266,189,037.82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2,796,758,012.45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1,822,478,469.09</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709295</wp:posOffset>
                </wp:positionH>
                <wp:positionV relativeFrom="margin">
                  <wp:posOffset>1810385</wp:posOffset>
                </wp:positionV>
                <wp:extent cx="938530" cy="149225"/>
                <wp:wrapTopAndBottom/>
                <wp:docPr id="30" name="Shape 3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56" type="#_x0000_t202" style="position:absolute;margin-left:55.850000000000001pt;margin-top:142.55000000000001pt;width:73.900000000000006pt;height:11.75pt;z-index:-125829373;mso-wrap-distance-left:9.pt;mso-wrap-distance-top:12.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8230" distR="2574290" simplePos="0" relativeHeight="125829382" behindDoc="0" locked="0" layoutInCell="1" allowOverlap="1">
                <wp:simplePos x="0" y="0"/>
                <wp:positionH relativeFrom="page">
                  <wp:posOffset>2943225</wp:posOffset>
                </wp:positionH>
                <wp:positionV relativeFrom="margin">
                  <wp:posOffset>1810385</wp:posOffset>
                </wp:positionV>
                <wp:extent cx="1393190" cy="146050"/>
                <wp:wrapTopAndBottom/>
                <wp:docPr id="32" name="Shape 3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58" type="#_x0000_t202" style="position:absolute;margin-left:231.75pt;margin-top:142.55000000000001pt;width:109.7pt;height:11.5pt;z-index:-125829371;mso-wrap-distance-left:184.90000000000001pt;mso-wrap-distance-top:12.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30470" distR="114935" simplePos="0" relativeHeight="125829384" behindDoc="0" locked="0" layoutInCell="1" allowOverlap="1">
                <wp:simplePos x="0" y="0"/>
                <wp:positionH relativeFrom="page">
                  <wp:posOffset>5625465</wp:posOffset>
                </wp:positionH>
                <wp:positionV relativeFrom="margin">
                  <wp:posOffset>1810385</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60" type="#_x0000_t202" style="position:absolute;margin-left:442.94999999999999pt;margin-top:142.55000000000001pt;width:92.150000000000006pt;height:11.75pt;z-index:-125829369;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、母公司资产负债表</w:t>
      </w:r>
      <w:bookmarkEnd w:id="761"/>
      <w:bookmarkEnd w:id="762"/>
      <w:bookmarkEnd w:id="7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176,599,206.68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317,328,362.02</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24,547.95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4,681,069.00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53,446,206.16</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110,402,681.80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342,691,461.13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1,815,398.15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8,786.77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42,661,909.49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3,945,894.80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186,752,319.43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9,348,591.10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15,542,276.73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344,694,540.12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921,555,253.14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6,720,595.75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2,365,747,142.15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947,282,698.57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21,761,591.70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39,004,785.03</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2,053,309.88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2,047,062.08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3,149,397.17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3,941,558.33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12,085,746.26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15,705,208.00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2,450,256,886.65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1,020,067,058.27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2,794,951,426.77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1,941,622,311.41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112,151,669.05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224,132,402.38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483,702,316.92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9,751,509.25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48,180,071.41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8,740,671.18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17,425,783.00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1,629,481.88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7,610,261.76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16,177,777.81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936,644,682.84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189,960,747.36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1,217,076,525.34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909,030,849.50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397,154,334.33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20,455,287.15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11,155,833.33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487,609,621.48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11,155,833.33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1,704,686,146.82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920,186,682.83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235,434,080.00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231,021,360.00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666,371,268.52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600,331,542.63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25,650,332.28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24,685,764.62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162,527,002.30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165,396,961.33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1,090,265,279.95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1,021,435,628.58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2,794,951,426.77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1,941,622,311.41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3</w:t>
      </w:r>
      <w:bookmarkEnd w:id="767"/>
      <w:r>
        <w:rPr>
          <w:color w:val="000000"/>
          <w:spacing w:val="0"/>
          <w:w w:val="100"/>
          <w:position w:val="0"/>
        </w:rPr>
        <w:t>、合并利润表</w:t>
      </w:r>
      <w:bookmarkEnd w:id="765"/>
      <w:bookmarkEnd w:id="766"/>
      <w:bookmarkEnd w:id="7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6"/>
        <w:gridCol w:w="328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1,126,545,907.37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977,566,389.51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1,126,545,907.37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977,566,389.51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1,113,668,738.40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952,127,861.80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636,671,852.53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608,664,489.99</w:t>
            </w:r>
          </w:p>
        </w:tc>
      </w:tr>
    </w:tbl>
    <w:p>
      <w:pPr>
        <w:widowControl w:val="0"/>
        <w:spacing w:line="1" w:lineRule="exact"/>
      </w:pPr>
      <w:r>
        <w:br w:type="page"/>
      </w:r>
    </w:p>
    <w:tbl>
      <w:tblPr>
        <w:tblOverlap w:val="never"/>
        <w:jc w:val="center"/>
        <w:tblLayout w:type="fixed"/>
      </w:tblPr>
      <w:tblGrid>
        <w:gridCol w:w="3082"/>
        <w:gridCol w:w="3216"/>
        <w:gridCol w:w="328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12,791,119.89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8,781,532.90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125,210,095.85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108,175,920.53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266,694,943.29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211,711,652.53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35,396,458.11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4,917,917.28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36,904,268.73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9,876,348.57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46,272,338.41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4,098,865.53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15,762,405.16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1,186,040.87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59,028,129.29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29,658,771.33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76,959,573.09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58,348,072.41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27,187.92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927,071.46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731,328.22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428,177.09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135,060,630.92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87,275,515.52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-9,247,344.22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868,246.20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144,307,975.14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86,407,269.32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139,021,692.71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85,495,853.97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5,286,282.43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911,415.35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-32,012.97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-87,737.42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-32,012.97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-87,737.42</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288"/>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-87,737.42</w:t>
            </w: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-314,609.82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-87,737.42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144,275,962.17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86,319,531.90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138,989,679.74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85,408,116.55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5,286,282.43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911,415.35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8"/>
        <w:keepNext w:val="0"/>
        <w:keepLines w:val="0"/>
        <w:widowControl w:val="0"/>
        <w:shd w:val="clear" w:color="auto" w:fill="auto"/>
        <w:tabs>
          <w:tab w:pos="3494" w:val="left"/>
          <w:tab w:pos="7694" w:val="left"/>
        </w:tabs>
        <w:bidi w:val="0"/>
        <w:spacing w:before="0" w:after="360" w:line="240" w:lineRule="auto"/>
        <w:ind w:left="0" w:right="0" w:firstLine="0"/>
        <w:jc w:val="left"/>
      </w:pPr>
      <w:r>
        <w:rPr>
          <w:color w:val="000000"/>
          <w:spacing w:val="0"/>
          <w:w w:val="100"/>
          <w:position w:val="0"/>
        </w:rPr>
        <w:t>法定代表人：刘祥</w:t>
        <w:tab/>
        <w:t>主管会计工作负责人：赵辉</w:t>
        <w:tab/>
        <w:t>会计机构负责人：赵辉</w:t>
      </w:r>
    </w:p>
    <w:p>
      <w:pPr>
        <w:pStyle w:val="Style33"/>
        <w:keepNext/>
        <w:keepLines/>
        <w:widowControl w:val="0"/>
        <w:shd w:val="clear" w:color="auto" w:fill="auto"/>
        <w:bidi w:val="0"/>
        <w:spacing w:before="0" w:after="3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4</w:t>
      </w:r>
      <w:bookmarkEnd w:id="771"/>
      <w:r>
        <w:rPr>
          <w:color w:val="000000"/>
          <w:spacing w:val="0"/>
          <w:w w:val="100"/>
          <w:position w:val="0"/>
        </w:rPr>
        <w:t>、母公司利润表</w:t>
      </w:r>
      <w:bookmarkEnd w:id="769"/>
      <w:bookmarkEnd w:id="770"/>
      <w:bookmarkEnd w:id="7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408,914,116.67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901,382,944.77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297,482,928.99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714,757,768.83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1,777,624.25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4,980,236.73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18,701,299.97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75,419,743.38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77,287,776.87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108,886,591.11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33,190,022.86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6,775,465.07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39,544,225.10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8,425,889.57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24,547.95</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53,116,906.78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60,452,327.90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15,762,405.16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1,184,232.02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-5,977,402.54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42,614,125.93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23,083,386.88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26,660,661.72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320,915.01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669,257.02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18,114.27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16,785,069.33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68,605,530.63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7,139,392.70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-3,847,359.97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9,645,676.63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72,452,890.60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9,928,273.48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72,452,890.60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5</w:t>
      </w:r>
      <w:bookmarkEnd w:id="775"/>
      <w:r>
        <w:rPr>
          <w:color w:val="000000"/>
          <w:spacing w:val="0"/>
          <w:w w:val="100"/>
          <w:position w:val="0"/>
        </w:rPr>
        <w:t>、合并现金流量表</w:t>
      </w:r>
      <w:bookmarkEnd w:id="773"/>
      <w:bookmarkEnd w:id="774"/>
      <w:bookmarkEnd w:id="7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1,417,276,532.69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1,135,307,246.85</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61,988,659.29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50,546,421.35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17,766,851.45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16,955,559.95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1,497,032,043.43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1,202,809,228.15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802,666,768.59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560,046,610.64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220,330,174.63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166,662,712.71</w:t>
            </w: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111,587,328.04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88,306,593.14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106,135,854.18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123,392,464.29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1,240,720,125.44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938,408,380.78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256,311,917.99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264,400,847.37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43,999,865.42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111,875,089.05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394,662,824.66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155,874,954.47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394,662,824.66</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35,268,748.23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75,213,608.24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90,794,048.32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234,167,642.16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733,562,796.55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799,381,250.40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-577,687,842.08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-404,718,425.74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45,249,845.20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18,366,015.60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41,879,220.03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4,966,529.73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879,129,065.23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73,332,545.33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337,418,163.12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39,863.04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33,017,461.08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13,824,006.23</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37,478,342.65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27,117,241.78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407,913,966.85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40,981,111.05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471,215,098.38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32,351,434.28</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45,998.51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149,810,736.05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-107,920,145.58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388,823,193.17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496,743,338.75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538,633,929.22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388,823,193.17</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、母公司现金流量表</w:t>
      </w:r>
      <w:bookmarkEnd w:id="777"/>
      <w:bookmarkEnd w:id="778"/>
      <w:bookmarkEnd w:id="7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635,716,135.42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1,052,879,263.56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10,941,014.56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23,311,317.76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857,073,541.68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83,627,097.83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1,503,730,691.66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1,159,817,679.15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530,258,986.24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681,312,054.09</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85,828,620.28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99,304,044.25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17,502,717.10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46,459,663.61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686,142,480.76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95,176,843.31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1,319,732,804.38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922,252,605.26</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183,997,887.28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237,565,073.89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53,345,031.84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10,034,904.11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193,518,495.88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63,379,935.95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254,018,095.88</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4,733,417.93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11,858,061.00</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125,200,000.00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256,839,110.00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834,433,417.93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577,697,171.00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-771,053,481.98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-323,679,075.12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33,249,845.20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18,366,015.60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40,934,854.97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1,410,900.12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850,184,700.17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69,776,915.72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28,822,499.50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13,766,994.75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26,449,063.31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370,822,499.50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40,216,058.06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479,362,200.67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29,560,857.66</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-107,693,260.63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-56,553,143.57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278,666,298.61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335,219,442.18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170,973,037.98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278,666,298.61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7</w:t>
      </w:r>
      <w:bookmarkEnd w:id="783"/>
      <w:r>
        <w:rPr>
          <w:color w:val="000000"/>
          <w:spacing w:val="0"/>
          <w:w w:val="100"/>
          <w:position w:val="0"/>
        </w:rPr>
        <w:t>、合并所有者权益变动表</w:t>
      </w:r>
      <w:bookmarkEnd w:id="781"/>
      <w:bookmarkEnd w:id="782"/>
      <w:bookmarkEnd w:id="7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7"/>
        <w:gridCol w:w="662"/>
        <w:gridCol w:w="658"/>
        <w:gridCol w:w="672"/>
        <w:gridCol w:w="667"/>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231,02</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606,706</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24,685,</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1,266,1</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89,037.</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231,02</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1,360.</w:t>
            </w:r>
          </w:p>
          <w:p>
            <w:pPr>
              <w:pStyle w:val="Style6"/>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606,706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24,685,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400,028</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1,266,1</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89,037.</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4,412,</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60,969,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-32,012.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964,567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126,506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17,310,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210,131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,791.20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-32,012.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139,021</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5,286,2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144,275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,962.17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4,412,</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60,969,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12,024,</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77,406,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4,412,</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62,342,</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78,755,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32,132,</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051.83</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-33,505,</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-33,505,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775.87</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964,567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964,567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-964,56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235,43</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4,080.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667,676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526,534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21,145,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1,476,3</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20,829.</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28"/>
        <w:gridCol w:w="533"/>
        <w:gridCol w:w="533"/>
        <w:gridCol w:w="662"/>
        <w:gridCol w:w="662"/>
        <w:gridCol w:w="667"/>
        <w:gridCol w:w="667"/>
        <w:gridCol w:w="662"/>
        <w:gridCol w:w="667"/>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6"/>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671,145</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327,492</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1,133,3</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01,690.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6"/>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671,145</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327,492</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1,133,3</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01,690.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116,72</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1,360.</w:t>
            </w:r>
          </w:p>
          <w:p>
            <w:pPr>
              <w:pStyle w:val="Style6"/>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-64,438,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72,535,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911,415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132,887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85,495,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911,415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52,282,</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37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2,421,</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52,282,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-5,715,0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6"/>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6"/>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231,02</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1,360.</w:t>
            </w:r>
          </w:p>
          <w:p>
            <w:pPr>
              <w:pStyle w:val="Style6"/>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606,706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-87,737.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24,685,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3,834,6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1,266,1</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89,037.</w:t>
            </w:r>
          </w:p>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、母公司所有者权益变动表</w:t>
      </w:r>
      <w:bookmarkEnd w:id="785"/>
      <w:bookmarkEnd w:id="786"/>
      <w:bookmarkEnd w:id="78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231,021,</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600,331,5</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24,685,76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165,396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1,021,435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231,021,</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600,331,5</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24,685,76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165,396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1,021,435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4,412,72</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66,039,72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282,596.8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964,567.6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-2,869,9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68,829,65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282,596.8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9,645,6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9,928,273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4,412,72</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66,039,72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70,452,44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4,412,72</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62,342,90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66,755,62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37,202,60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37,202,60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-33,505,7</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-33,505,7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964,567.6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-12,515,</w:t>
            </w:r>
          </w:p>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-11,551,0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964,567.6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-11,551,</w:t>
            </w:r>
          </w:p>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-11,551,0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235,434,</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666,371,2</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282,596.8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25,650,33</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162,527</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,002.30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1,090,265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668,211,7</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17,440,47</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105,904</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905,856,5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668,211,7</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17,440,47</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105,904</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905,856,5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116,721,</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-67,880,2</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7,245,289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59,492,</w:t>
            </w:r>
          </w:p>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115,579,0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72,452,89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2,421,36</w:t>
            </w:r>
          </w:p>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46,419,78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48,841,14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37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2,421,36</w:t>
            </w:r>
          </w:p>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46,419,78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48,841,14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7,245,289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7,245,289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89.06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-5,715,0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231,021,</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600,331,5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24,685,76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165,396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1,021,435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sz w:val="24"/>
          <w:szCs w:val="24"/>
        </w:rPr>
        <w:t>三</w:t>
      </w:r>
      <w:bookmarkEnd w:id="791"/>
      <w:r>
        <w:rPr>
          <w:color w:val="000000"/>
          <w:spacing w:val="0"/>
          <w:w w:val="100"/>
          <w:position w:val="0"/>
          <w:sz w:val="24"/>
          <w:szCs w:val="24"/>
        </w:rPr>
        <w:t>、公司基本情况</w:t>
      </w:r>
      <w:bookmarkEnd w:id="789"/>
      <w:bookmarkEnd w:id="790"/>
      <w:bookmarkEnd w:id="792"/>
    </w:p>
    <w:p>
      <w:pPr>
        <w:pStyle w:val="Style28"/>
        <w:keepNext w:val="0"/>
        <w:keepLines w:val="0"/>
        <w:widowControl w:val="0"/>
        <w:shd w:val="clear" w:color="auto" w:fill="auto"/>
        <w:bidi w:val="0"/>
        <w:spacing w:before="0" w:after="0" w:line="310" w:lineRule="exact"/>
        <w:ind w:left="0" w:right="0" w:firstLine="0"/>
        <w:jc w:val="both"/>
      </w:pPr>
      <w:bookmarkStart w:id="793" w:name="bookmark793"/>
      <w:r>
        <w:rPr>
          <w:rFonts w:ascii="Times New Roman" w:eastAsia="Times New Roman" w:hAnsi="Times New Roman" w:cs="Times New Roman"/>
          <w:color w:val="000000"/>
          <w:spacing w:val="0"/>
          <w:w w:val="100"/>
          <w:position w:val="0"/>
        </w:rPr>
        <w:t>（</w:t>
      </w:r>
      <w:bookmarkEnd w:id="793"/>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公司历史沿革</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前身为深圳市新国都技术有限公司，于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日经深 圳市工商行政管理局批准成立，由刘祥、刘亚和深圳市奥格立电子科技有限公司共同出资组建，注册资本为人民币</w:t>
      </w:r>
      <w:r>
        <w:rPr>
          <w:rFonts w:ascii="Times New Roman" w:eastAsia="Times New Roman" w:hAnsi="Times New Roman" w:cs="Times New Roman"/>
          <w:color w:val="000000"/>
          <w:spacing w:val="0"/>
          <w:w w:val="100"/>
          <w:position w:val="0"/>
        </w:rPr>
        <w:t>300.00</w:t>
      </w:r>
      <w:r>
        <w:rPr>
          <w:color w:val="000000"/>
          <w:spacing w:val="0"/>
          <w:w w:val="100"/>
          <w:position w:val="0"/>
        </w:rPr>
        <w:t>万 元，其中刘祥出资人民币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w:t>
      </w:r>
      <w:r>
        <w:rPr>
          <w:color w:val="000000"/>
          <w:spacing w:val="0"/>
          <w:w w:val="100"/>
          <w:position w:val="0"/>
        </w:rPr>
        <w:t>万元，出资比例</w:t>
      </w:r>
      <w:r>
        <w:rPr>
          <w:rFonts w:ascii="Times New Roman" w:eastAsia="Times New Roman" w:hAnsi="Times New Roman" w:cs="Times New Roman"/>
          <w:color w:val="000000"/>
          <w:spacing w:val="0"/>
          <w:w w:val="100"/>
          <w:position w:val="0"/>
        </w:rPr>
        <w:t>40.00%</w:t>
      </w:r>
      <w:r>
        <w:rPr>
          <w:color w:val="000000"/>
          <w:spacing w:val="0"/>
          <w:w w:val="100"/>
          <w:position w:val="0"/>
        </w:rPr>
        <w:t>；刘亚出资人民币</w:t>
      </w:r>
      <w:r>
        <w:rPr>
          <w:rFonts w:ascii="Times New Roman" w:eastAsia="Times New Roman" w:hAnsi="Times New Roman" w:cs="Times New Roman"/>
          <w:color w:val="000000"/>
          <w:spacing w:val="0"/>
          <w:w w:val="100"/>
          <w:position w:val="0"/>
        </w:rPr>
        <w:t>90.00</w:t>
      </w:r>
      <w:r>
        <w:rPr>
          <w:color w:val="000000"/>
          <w:spacing w:val="0"/>
          <w:w w:val="100"/>
          <w:position w:val="0"/>
        </w:rPr>
        <w:t>万元，出资比例</w:t>
      </w:r>
      <w:r>
        <w:rPr>
          <w:rFonts w:ascii="Times New Roman" w:eastAsia="Times New Roman" w:hAnsi="Times New Roman" w:cs="Times New Roman"/>
          <w:color w:val="000000"/>
          <w:spacing w:val="0"/>
          <w:w w:val="100"/>
          <w:position w:val="0"/>
        </w:rPr>
        <w:t>30.00%</w:t>
      </w:r>
      <w:r>
        <w:rPr>
          <w:color w:val="000000"/>
          <w:spacing w:val="0"/>
          <w:w w:val="100"/>
          <w:position w:val="0"/>
        </w:rPr>
        <w:t>；深圳市奥格立电子 科技有限公司出资人民币</w:t>
      </w:r>
      <w:r>
        <w:rPr>
          <w:rFonts w:ascii="Times New Roman" w:eastAsia="Times New Roman" w:hAnsi="Times New Roman" w:cs="Times New Roman"/>
          <w:color w:val="000000"/>
          <w:spacing w:val="0"/>
          <w:w w:val="100"/>
          <w:position w:val="0"/>
        </w:rPr>
        <w:t>90.00</w:t>
      </w:r>
      <w:r>
        <w:rPr>
          <w:color w:val="000000"/>
          <w:spacing w:val="0"/>
          <w:w w:val="100"/>
          <w:position w:val="0"/>
        </w:rPr>
        <w:t>万元，出资比例</w:t>
      </w:r>
      <w:r>
        <w:rPr>
          <w:rFonts w:ascii="Times New Roman" w:eastAsia="Times New Roman" w:hAnsi="Times New Roman" w:cs="Times New Roman"/>
          <w:color w:val="000000"/>
          <w:spacing w:val="0"/>
          <w:w w:val="100"/>
          <w:position w:val="0"/>
        </w:rPr>
        <w:t>30.00%</w:t>
      </w:r>
      <w:r>
        <w:rPr>
          <w:color w:val="000000"/>
          <w:spacing w:val="0"/>
          <w:w w:val="100"/>
          <w:position w:val="0"/>
        </w:rPr>
        <w:t>。本次出资业经深圳市远东会计师事务所深远东验字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347</w:t>
      </w:r>
      <w:r>
        <w:rPr>
          <w:color w:val="000000"/>
          <w:spacing w:val="0"/>
          <w:w w:val="100"/>
          <w:position w:val="0"/>
        </w:rPr>
        <w:t>号验 资报告验证，并领取注册号为</w:t>
      </w:r>
      <w:r>
        <w:rPr>
          <w:rFonts w:ascii="Times New Roman" w:eastAsia="Times New Roman" w:hAnsi="Times New Roman" w:cs="Times New Roman"/>
          <w:color w:val="000000"/>
          <w:spacing w:val="0"/>
          <w:w w:val="100"/>
          <w:position w:val="0"/>
        </w:rPr>
        <w:t>4403012070860</w:t>
      </w:r>
      <w:r>
        <w:rPr>
          <w:color w:val="000000"/>
          <w:spacing w:val="0"/>
          <w:w w:val="100"/>
          <w:position w:val="0"/>
        </w:rPr>
        <w:t>的企业法人营业执照。</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2001年12月12日经股东会决议，刘亚将其持有的新国都技术30.00%的股权转让给刘祥，转让完成后股权结构为：刘祥占 </w:t>
      </w:r>
      <w:r>
        <w:rPr>
          <w:color w:val="000000"/>
          <w:spacing w:val="0"/>
          <w:w w:val="100"/>
          <w:position w:val="0"/>
        </w:rPr>
        <w:t>注册资本的70.00%；深圳市奥格立电子科技有限公司占注册资本的</w:t>
      </w:r>
      <w:r>
        <w:rPr>
          <w:color w:val="000000"/>
          <w:spacing w:val="0"/>
          <w:w w:val="100"/>
          <w:position w:val="0"/>
        </w:rPr>
        <w:t xml:space="preserve">30. </w:t>
      </w:r>
      <w:r>
        <w:rPr>
          <w:color w:val="000000"/>
          <w:spacing w:val="0"/>
          <w:w w:val="100"/>
          <w:position w:val="0"/>
        </w:rPr>
        <w:t>00%。并于2002年1月28日办理了工商变更手续。</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2004年5月21日经股东会决议，增加注册资本人民币</w:t>
      </w:r>
      <w:r>
        <w:rPr>
          <w:color w:val="000000"/>
          <w:spacing w:val="0"/>
          <w:w w:val="100"/>
          <w:position w:val="0"/>
        </w:rPr>
        <w:t>1,200.00</w:t>
      </w:r>
      <w:r>
        <w:rPr>
          <w:color w:val="000000"/>
          <w:spacing w:val="0"/>
          <w:w w:val="100"/>
          <w:position w:val="0"/>
        </w:rPr>
        <w:t>万元，全部由股东深圳市奥格立电子科技有限公司投入， 增资后新国都技术注册资本为人民币</w:t>
      </w:r>
      <w:r>
        <w:rPr>
          <w:color w:val="000000"/>
          <w:spacing w:val="0"/>
          <w:w w:val="100"/>
          <w:position w:val="0"/>
        </w:rPr>
        <w:t>1,500.00</w:t>
      </w:r>
      <w:r>
        <w:rPr>
          <w:color w:val="000000"/>
          <w:spacing w:val="0"/>
          <w:w w:val="100"/>
          <w:position w:val="0"/>
        </w:rPr>
        <w:t>万元，其中：深圳市奥格立电子科技有限公司占注册资本的86.00%；刘祥占注 册资本的</w:t>
      </w:r>
      <w:r>
        <w:rPr>
          <w:color w:val="000000"/>
          <w:spacing w:val="0"/>
          <w:w w:val="100"/>
          <w:position w:val="0"/>
        </w:rPr>
        <w:t xml:space="preserve">14. </w:t>
      </w:r>
      <w:r>
        <w:rPr>
          <w:color w:val="000000"/>
          <w:spacing w:val="0"/>
          <w:w w:val="100"/>
          <w:position w:val="0"/>
        </w:rPr>
        <w:t>00%。并于2004年5月31日办理了工商变更手续。本次增资业经深圳市长城会计师事务所有限公司深长验字（2004） 第159号验资报告验证。</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2007年12月13日经股东会决议，增加注册资本人民币</w:t>
      </w:r>
      <w:r>
        <w:rPr>
          <w:color w:val="000000"/>
          <w:spacing w:val="0"/>
          <w:w w:val="100"/>
          <w:position w:val="0"/>
        </w:rPr>
        <w:t>2,500.00</w:t>
      </w:r>
      <w:r>
        <w:rPr>
          <w:color w:val="000000"/>
          <w:spacing w:val="0"/>
          <w:w w:val="100"/>
          <w:position w:val="0"/>
        </w:rPr>
        <w:t>万元，全部由未分配利润转增，增资后新国都技术注册资 本为人民币</w:t>
      </w:r>
      <w:r>
        <w:rPr>
          <w:color w:val="000000"/>
          <w:spacing w:val="0"/>
          <w:w w:val="100"/>
          <w:position w:val="0"/>
        </w:rPr>
        <w:t>4,000.00</w:t>
      </w:r>
      <w:r>
        <w:rPr>
          <w:color w:val="000000"/>
          <w:spacing w:val="0"/>
          <w:w w:val="100"/>
          <w:position w:val="0"/>
        </w:rPr>
        <w:t>万元，其中：深圳市奥格立电子科技有限公司占注册资本的</w:t>
      </w:r>
      <w:r>
        <w:rPr>
          <w:color w:val="000000"/>
          <w:spacing w:val="0"/>
          <w:w w:val="100"/>
          <w:position w:val="0"/>
        </w:rPr>
        <w:t xml:space="preserve">86. </w:t>
      </w:r>
      <w:r>
        <w:rPr>
          <w:color w:val="000000"/>
          <w:spacing w:val="0"/>
          <w:w w:val="100"/>
          <w:position w:val="0"/>
        </w:rPr>
        <w:t>00%；刘祥占注册资本的</w:t>
      </w:r>
      <w:r>
        <w:rPr>
          <w:color w:val="000000"/>
          <w:spacing w:val="0"/>
          <w:w w:val="100"/>
          <w:position w:val="0"/>
        </w:rPr>
        <w:t xml:space="preserve">14. </w:t>
      </w:r>
      <w:r>
        <w:rPr>
          <w:color w:val="000000"/>
          <w:spacing w:val="0"/>
          <w:w w:val="100"/>
          <w:position w:val="0"/>
        </w:rPr>
        <w:t>00%。并于2007 年12月20日办理了工商变更手续，本次增资业经深圳大华天诚会计师事务所深华验字[2007]152号验资报告验证。</w:t>
      </w:r>
    </w:p>
    <w:p>
      <w:pPr>
        <w:pStyle w:val="Style28"/>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2008年3月10日股东会通过了同意深圳市奥格立电子科技有限公司将其持有新国都技术的</w:t>
      </w:r>
      <w:r>
        <w:rPr>
          <w:color w:val="000000"/>
          <w:spacing w:val="0"/>
          <w:w w:val="100"/>
          <w:position w:val="0"/>
        </w:rPr>
        <w:t xml:space="preserve">86. </w:t>
      </w:r>
      <w:r>
        <w:rPr>
          <w:color w:val="000000"/>
          <w:spacing w:val="0"/>
          <w:w w:val="100"/>
          <w:position w:val="0"/>
        </w:rPr>
        <w:t xml:space="preserve">00%的股权以人民币 </w:t>
      </w:r>
      <w:r>
        <w:rPr>
          <w:color w:val="000000"/>
          <w:spacing w:val="0"/>
          <w:w w:val="100"/>
          <w:position w:val="0"/>
        </w:rPr>
        <w:t>4,449.64</w:t>
      </w:r>
      <w:r>
        <w:rPr>
          <w:color w:val="000000"/>
          <w:spacing w:val="0"/>
          <w:w w:val="100"/>
          <w:position w:val="0"/>
        </w:rPr>
        <w:t>万元的价格转让给刘祥、刘亚、江汉、李俊、徐兴春、栾承岚、李林杰、陈希芬、徐金芳、韦余红、赵辉、汪洋、 聂淼13位自然人的决议，转让后深圳市奥格立电子科技有限公司不再持有新国都技术的股份。并于2008年3月24日办理了工 商变更手续。本次股权转让完成后，新国都技术股权结构如下表：</w:t>
      </w:r>
    </w:p>
    <w:tbl>
      <w:tblPr>
        <w:tblOverlap w:val="never"/>
        <w:jc w:val="center"/>
        <w:tblLayout w:type="fixed"/>
      </w:tblPr>
      <w:tblGrid>
        <w:gridCol w:w="2966"/>
        <w:gridCol w:w="2803"/>
        <w:gridCol w:w="2842"/>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所持股份</w:t>
            </w:r>
            <w:r>
              <w:rPr>
                <w:rFonts w:ascii="Times New Roman" w:eastAsia="Times New Roman" w:hAnsi="Times New Roman" w:cs="Times New Roman"/>
                <w:color w:val="000000"/>
                <w:spacing w:val="0"/>
                <w:w w:val="100"/>
                <w:position w:val="0"/>
              </w:rPr>
              <w:t>（</w:t>
            </w:r>
            <w:r>
              <w:rPr>
                <w:color w:val="000000"/>
                <w:spacing w:val="0"/>
                <w:w w:val="100"/>
                <w:position w:val="0"/>
              </w:rPr>
              <w:t>万股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52.875%</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17.625%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17.625%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徐兴春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陈希芬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1.250%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0.875%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1.500%</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1.250%</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bl>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根据2008年4月8日召开的2008年第3次临时股东会会议及其决议、2008年4月8日签订的发起人协议规定，新国都技术由 有限责任公司整体变更为股份有限公司，以截止2008年3月31日经审计的净资产人民币59, </w:t>
      </w:r>
      <w:r>
        <w:rPr>
          <w:color w:val="000000"/>
          <w:spacing w:val="0"/>
          <w:w w:val="100"/>
          <w:position w:val="0"/>
        </w:rPr>
        <w:t>860,459.32</w:t>
      </w:r>
      <w:r>
        <w:rPr>
          <w:color w:val="000000"/>
          <w:spacing w:val="0"/>
          <w:w w:val="100"/>
          <w:position w:val="0"/>
        </w:rPr>
        <w:t xml:space="preserve">元中的4, </w:t>
      </w:r>
      <w:r>
        <w:rPr>
          <w:color w:val="000000"/>
          <w:spacing w:val="0"/>
          <w:w w:val="100"/>
          <w:position w:val="0"/>
        </w:rPr>
        <w:t xml:space="preserve">000. </w:t>
      </w:r>
      <w:r>
        <w:rPr>
          <w:color w:val="000000"/>
          <w:spacing w:val="0"/>
          <w:w w:val="100"/>
          <w:position w:val="0"/>
        </w:rPr>
        <w:t>00万元按 1:1的比例折合为股本总额4,000万股。变更后的注册资本为人民币</w:t>
      </w:r>
      <w:r>
        <w:rPr>
          <w:color w:val="000000"/>
          <w:spacing w:val="0"/>
          <w:w w:val="100"/>
          <w:position w:val="0"/>
        </w:rPr>
        <w:t>4,000.00</w:t>
      </w:r>
      <w:r>
        <w:rPr>
          <w:color w:val="000000"/>
          <w:spacing w:val="0"/>
          <w:w w:val="100"/>
          <w:position w:val="0"/>
        </w:rPr>
        <w:t>万元。本次变更业经深圳大华天诚会计师事务所 深华验字[2008]35号验资报告验证。2008年4月25日，新国都技术取得深圳市工商行政管理局核发的440301103074776号《企 业法人营业执照》。</w:t>
      </w:r>
    </w:p>
    <w:p>
      <w:pPr>
        <w:pStyle w:val="Style2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2008年7月，本公司与深圳国际高新技术产权交易所签订了股权登记托管服务合同，办理了非上市股份有限公司股权托 管。</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根据本公司2008年第一次临时股东大会决议和修改后章程的规定，本公司申请增加注册资本人民币</w:t>
      </w:r>
      <w:r>
        <w:rPr>
          <w:color w:val="000000"/>
          <w:spacing w:val="0"/>
          <w:w w:val="100"/>
          <w:position w:val="0"/>
        </w:rPr>
        <w:t>750.00</w:t>
      </w:r>
      <w:r>
        <w:rPr>
          <w:color w:val="000000"/>
          <w:spacing w:val="0"/>
          <w:w w:val="100"/>
          <w:position w:val="0"/>
        </w:rPr>
        <w:t>万元，变更后 的注册资本为人民币</w:t>
      </w:r>
      <w:r>
        <w:rPr>
          <w:color w:val="000000"/>
          <w:spacing w:val="0"/>
          <w:w w:val="100"/>
          <w:position w:val="0"/>
        </w:rPr>
        <w:t>4,750.00</w:t>
      </w:r>
      <w:r>
        <w:rPr>
          <w:color w:val="000000"/>
          <w:spacing w:val="0"/>
          <w:w w:val="100"/>
          <w:position w:val="0"/>
        </w:rPr>
        <w:t>万元。新增注册资本由深圳市创新投资集团有限公司、北京首创建设有限公司、深圳市长润创 业投资企业（有限合伙）、上海林耐实业投资中心（有限合伙）、深圳市福田创新资本创业投资有限公司、蔡衍军、陈新华、里 维宁、王凌海、许芹、李妍11位新股东以人民币</w:t>
      </w:r>
      <w:r>
        <w:rPr>
          <w:color w:val="000000"/>
          <w:spacing w:val="0"/>
          <w:w w:val="100"/>
          <w:position w:val="0"/>
        </w:rPr>
        <w:t>5,002.5</w:t>
      </w:r>
      <w:r>
        <w:rPr>
          <w:color w:val="000000"/>
          <w:spacing w:val="0"/>
          <w:w w:val="100"/>
          <w:position w:val="0"/>
        </w:rPr>
        <w:t>0万元全部认购，其中人民币</w:t>
      </w:r>
      <w:r>
        <w:rPr>
          <w:color w:val="000000"/>
          <w:spacing w:val="0"/>
          <w:w w:val="100"/>
          <w:position w:val="0"/>
        </w:rPr>
        <w:t>750.00</w:t>
      </w:r>
      <w:r>
        <w:rPr>
          <w:color w:val="000000"/>
          <w:spacing w:val="0"/>
          <w:w w:val="100"/>
          <w:position w:val="0"/>
        </w:rPr>
        <w:t>万元作为新增注册资本，剩余人 民币</w:t>
      </w:r>
      <w:r>
        <w:rPr>
          <w:color w:val="000000"/>
          <w:spacing w:val="0"/>
          <w:w w:val="100"/>
          <w:position w:val="0"/>
        </w:rPr>
        <w:t>4,252.50</w:t>
      </w:r>
      <w:r>
        <w:rPr>
          <w:color w:val="000000"/>
          <w:spacing w:val="0"/>
          <w:w w:val="100"/>
          <w:position w:val="0"/>
        </w:rPr>
        <w:t>万元作为本公司资本公积，增资后本公司注册资本为人民币</w:t>
      </w:r>
      <w:r>
        <w:rPr>
          <w:color w:val="000000"/>
          <w:spacing w:val="0"/>
          <w:w w:val="100"/>
          <w:position w:val="0"/>
        </w:rPr>
        <w:t>4,750.00</w:t>
      </w:r>
      <w:r>
        <w:rPr>
          <w:color w:val="000000"/>
          <w:spacing w:val="0"/>
          <w:w w:val="100"/>
          <w:position w:val="0"/>
        </w:rPr>
        <w:t>万元。该增资业经广东大华德律会计师事 务所深华验字[2008]74号验资报告验证。并于2008年7月18日办理完毕工商变更手续。</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2009年6月5日，上海林耐实业投资中心（有限合伙）将其持有的本公司1.684%的股权全部转让给自然人张燕民，并于2009 年6月22日在深圳国际高新技术产权交易所办理了股权变更的备案手续。</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2009年6月22日，深圳市长润创业投资企业（有限合伙）将其持有的本公司2.105%的股权全部转让给自然人王巍，并于2009 </w:t>
      </w:r>
      <w:r>
        <w:rPr>
          <w:color w:val="000000"/>
          <w:spacing w:val="0"/>
          <w:w w:val="100"/>
          <w:position w:val="0"/>
        </w:rPr>
        <w:t>年6月22日在深圳国际高新技术产权交易所办理了股权变更的备案手续。</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2009年7月15日，北京首创建设有限公司（以下简称“首创建设”）董事会通过了关于转让其持有本公司120万股股份的决 议，同意以不低于评估价格转让上述股权，并按照国有产权转让相关规定履行审批程序和转让流程，呈报北京首都创业集团 有限公司（以下简称“首创集团”）审批。根据2009年8月10日《首创集团总经理办公会会议纪要》（2009年第12次会议），首 创集团同意首创建设转让其持有的本公司股权，转让价格不低于初始投资额。北京市人民政府国有资产监督管理委员会2009 年8月26日做出了《北京市人民政府国有资产监督管理委员会关于深圳市新国都技术股份有限公司股权转让评估项目予以核 准的批复》批准了首创建设股份转让项目的资产评估报告，同意深圳市天健国众联资产评估土地房产评估有限公司出具的深 天健国众联评报字</w:t>
      </w:r>
      <w:r>
        <w:rPr>
          <w:color w:val="000000"/>
          <w:spacing w:val="0"/>
          <w:w w:val="100"/>
          <w:position w:val="0"/>
        </w:rPr>
        <w:t>［2009］</w:t>
      </w:r>
      <w:r>
        <w:rPr>
          <w:color w:val="000000"/>
          <w:spacing w:val="0"/>
          <w:w w:val="100"/>
          <w:position w:val="0"/>
        </w:rPr>
        <w:t>第</w:t>
      </w:r>
      <w:r>
        <w:rPr>
          <w:color w:val="000000"/>
          <w:spacing w:val="0"/>
          <w:w w:val="100"/>
          <w:position w:val="0"/>
        </w:rPr>
        <w:t>T-1080</w:t>
      </w:r>
      <w:r>
        <w:rPr>
          <w:color w:val="000000"/>
          <w:spacing w:val="0"/>
          <w:w w:val="100"/>
          <w:position w:val="0"/>
        </w:rPr>
        <w:t>1号《北京首创建设有限公司拟转让持有的深圳市新国都技术股份有限公司2.5263%国有 股权权益价值股权转让项目资产评估报告书》对本公司股权转让项目有效。</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根据上述批复，首创建设将其持有的本公司全部股权在北京产权交易所挂牌转让。2009年9月27日，首创建设与湖南瑞 驰丰和创业投资管理有限公司、钟可颐、谢建龙、黄健生、欧阳伟强等五方签署产权交易合同，将其所持有的120万股本公 司股份，作价</w:t>
      </w:r>
      <w:r>
        <w:rPr>
          <w:color w:val="000000"/>
          <w:spacing w:val="0"/>
          <w:w w:val="100"/>
          <w:position w:val="0"/>
        </w:rPr>
        <w:t xml:space="preserve">900. </w:t>
      </w:r>
      <w:r>
        <w:rPr>
          <w:color w:val="000000"/>
          <w:spacing w:val="0"/>
          <w:w w:val="100"/>
          <w:position w:val="0"/>
        </w:rPr>
        <w:t>00万元转让给上述五方，转让价格高于评估价值</w:t>
      </w:r>
      <w:r>
        <w:rPr>
          <w:color w:val="000000"/>
          <w:spacing w:val="0"/>
          <w:w w:val="100"/>
          <w:position w:val="0"/>
        </w:rPr>
        <w:t>484.02</w:t>
      </w:r>
      <w:r>
        <w:rPr>
          <w:color w:val="000000"/>
          <w:spacing w:val="0"/>
          <w:w w:val="100"/>
          <w:position w:val="0"/>
        </w:rPr>
        <w:t>万元。其中，湖南瑞驰丰和创业投资管理有限公司 受让20万股，钟可颐受让10万股，谢建龙受让50万股，黄健生、欧阳伟强各受让20万股。上述股权变更及过户于2009年9月 30日完成。</w:t>
      </w:r>
    </w:p>
    <w:p>
      <w:pPr>
        <w:pStyle w:val="Style28"/>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2009年9月30日，深圳国际高新技术产权交易所作为非上市股份公司股权登记托管机构，就本公司股份转让后的股东情 况向本公司出具了《非上市股份有限公司股东名册》。至此，本公司股本结构如下：</w:t>
      </w:r>
    </w:p>
    <w:tbl>
      <w:tblPr>
        <w:tblOverlap w:val="never"/>
        <w:jc w:val="center"/>
        <w:tblLayout w:type="fixed"/>
      </w:tblPr>
      <w:tblGrid>
        <w:gridCol w:w="3701"/>
        <w:gridCol w:w="2467"/>
        <w:gridCol w:w="2438"/>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w:t>
            </w:r>
            <w:r>
              <w:rPr>
                <w:rFonts w:ascii="Times New Roman" w:eastAsia="Times New Roman" w:hAnsi="Times New Roman" w:cs="Times New Roman"/>
                <w:color w:val="000000"/>
                <w:spacing w:val="0"/>
                <w:w w:val="100"/>
                <w:position w:val="0"/>
              </w:rPr>
              <w:t>（</w:t>
            </w:r>
            <w:r>
              <w:rPr>
                <w:color w:val="000000"/>
                <w:spacing w:val="0"/>
                <w:w w:val="100"/>
                <w:position w:val="0"/>
              </w:rPr>
              <w:t>万股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股权比例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44.5263%</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14.8421%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14.8421%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3.3684%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2.1053%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1.6842%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1.2632%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栾承岚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1.2632%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徐兴春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1.2632%</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蔡衍军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王凌海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谢建龙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李林杰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里维宁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陈希芬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1.0526%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深圳市福田创新资本创业投资有限公司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0.8421%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0.8421%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0.8421%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0.8421%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徐金芳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0.8421%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聂淼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0.7368%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0.6316%</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0.4211%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湖南瑞驰丰和创业投资管理有限公司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0.4211%</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欧阳伟强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0.4211%</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黄健生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0.4211%</w:t>
            </w:r>
          </w:p>
        </w:tc>
      </w:tr>
    </w:tbl>
    <w:p>
      <w:pPr>
        <w:widowControl w:val="0"/>
        <w:spacing w:line="1" w:lineRule="exact"/>
      </w:pPr>
    </w:p>
    <w:tbl>
      <w:tblPr>
        <w:tblOverlap w:val="never"/>
        <w:jc w:val="center"/>
        <w:tblLayout w:type="fixed"/>
      </w:tblPr>
      <w:tblGrid>
        <w:gridCol w:w="3701"/>
        <w:gridCol w:w="2467"/>
        <w:gridCol w:w="2438"/>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钟可颐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0.2105%</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bl>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经中国证券监督管理委员会证监发行字[2010]1292号文核准，并经深圳证券交易所同意，本公司由主承销商中信证券股 份有限公司于2010年10月8日向社会公众公开发行普通股</w:t>
      </w:r>
      <w:r>
        <w:rPr>
          <w:color w:val="000000"/>
          <w:spacing w:val="0"/>
          <w:w w:val="100"/>
          <w:position w:val="0"/>
        </w:rPr>
        <w:t>（A</w:t>
      </w:r>
      <w:r>
        <w:rPr>
          <w:color w:val="000000"/>
          <w:spacing w:val="0"/>
          <w:w w:val="100"/>
          <w:position w:val="0"/>
        </w:rPr>
        <w:t>股）股票1,600万股，每股面值1</w:t>
      </w:r>
      <w:r>
        <w:rPr>
          <w:color w:val="000000"/>
          <w:spacing w:val="0"/>
          <w:w w:val="100"/>
          <w:position w:val="0"/>
        </w:rPr>
        <w:t>.00</w:t>
      </w:r>
      <w:r>
        <w:rPr>
          <w:color w:val="000000"/>
          <w:spacing w:val="0"/>
          <w:w w:val="100"/>
          <w:position w:val="0"/>
        </w:rPr>
        <w:t>元，每股发行价人民币</w:t>
      </w:r>
      <w:r>
        <w:rPr>
          <w:color w:val="000000"/>
          <w:spacing w:val="0"/>
          <w:w w:val="100"/>
          <w:position w:val="0"/>
        </w:rPr>
        <w:t xml:space="preserve">43.33 </w:t>
      </w:r>
      <w:r>
        <w:rPr>
          <w:color w:val="000000"/>
          <w:spacing w:val="0"/>
          <w:w w:val="100"/>
          <w:position w:val="0"/>
        </w:rPr>
        <w:t>元。截至2010年10月13日止，共募集资金</w:t>
      </w:r>
      <w:r>
        <w:rPr>
          <w:color w:val="000000"/>
          <w:spacing w:val="0"/>
          <w:w w:val="100"/>
          <w:position w:val="0"/>
        </w:rPr>
        <w:t>69,328.0</w:t>
      </w:r>
      <w:r>
        <w:rPr>
          <w:color w:val="000000"/>
          <w:spacing w:val="0"/>
          <w:w w:val="100"/>
          <w:position w:val="0"/>
        </w:rPr>
        <w:t xml:space="preserve">0万元，扣除发行费用46, 945, </w:t>
      </w:r>
      <w:r>
        <w:rPr>
          <w:color w:val="000000"/>
          <w:spacing w:val="0"/>
          <w:w w:val="100"/>
          <w:position w:val="0"/>
        </w:rPr>
        <w:t xml:space="preserve">065. </w:t>
      </w:r>
      <w:r>
        <w:rPr>
          <w:color w:val="000000"/>
          <w:spacing w:val="0"/>
          <w:w w:val="100"/>
          <w:position w:val="0"/>
        </w:rPr>
        <w:t>67元，募集资金净额</w:t>
      </w:r>
      <w:r>
        <w:rPr>
          <w:color w:val="000000"/>
          <w:spacing w:val="0"/>
          <w:w w:val="100"/>
          <w:position w:val="0"/>
        </w:rPr>
        <w:t xml:space="preserve">646,334,934.33 </w:t>
      </w:r>
      <w:r>
        <w:rPr>
          <w:color w:val="000000"/>
          <w:spacing w:val="0"/>
          <w:w w:val="100"/>
          <w:position w:val="0"/>
        </w:rPr>
        <w:t>元，本次募集资金业经立信大华会计师事务所有限公司出具的“立信大华验字[2010]124号”验资报告验证。</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经本公司2011年4月21日股东大会审议通过，以公司原有的6,350万股为基础，向全体股东每10股派2元人民币现金（含 税），同时以资本公积向全体股东每10股转增8股，共计转增</w:t>
      </w:r>
      <w:r>
        <w:rPr>
          <w:color w:val="000000"/>
          <w:spacing w:val="0"/>
          <w:w w:val="100"/>
          <w:position w:val="0"/>
        </w:rPr>
        <w:t>5,080.00</w:t>
      </w:r>
      <w:r>
        <w:rPr>
          <w:color w:val="000000"/>
          <w:spacing w:val="0"/>
          <w:w w:val="100"/>
          <w:position w:val="0"/>
        </w:rPr>
        <w:t>万元。转增后公司总股本为11,430万股。</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经本公司2015年4月30日股东大会审议通过，以公司原有的11,430万股为基础，向全体股东每10股派现金人民币</w:t>
      </w:r>
      <w:r>
        <w:rPr>
          <w:color w:val="000000"/>
          <w:spacing w:val="0"/>
          <w:w w:val="100"/>
          <w:position w:val="0"/>
        </w:rPr>
        <w:t xml:space="preserve">0.5 </w:t>
      </w:r>
      <w:r>
        <w:rPr>
          <w:color w:val="000000"/>
          <w:spacing w:val="0"/>
          <w:w w:val="100"/>
          <w:position w:val="0"/>
        </w:rPr>
        <w:t>0元 （含税），同时以资本公积向全体股东每10股转增10股，转增后公司总股本为22,860万股。</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经本公司2015年6月19日第三届董事会第十三次（临时）会议审议通过，公司145名激励对象行权资格合法、有效，满足 公司股权激励计划首次授予的股票期权第一个行权期行权条件，同意已获准行权的股票期权的激励对象在第一个行权期可行 权股票期权数量为2,421,360股，本次股票期权行权后，公司总股本为231,021,360股。</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经本公司2016年4月18日第三届董事会第二十六次会议审议通过，公司141名激励对象行权资格合法、有效，满足公司股 权激励计划首次授予的股票期权第二个行权期行权条件，同意已获准行权的股票期权的激励对象在第二个行权期进行行权， 截止2016年12月31日已行权股票期权数量为4,459,920股，本次股票期权行权后，公司总股本为235,481,280股，已在中国证 券登记结算有限责任公司登记。</w:t>
      </w:r>
    </w:p>
    <w:p>
      <w:pPr>
        <w:pStyle w:val="Style28"/>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2016年4月29日收到深圳市市场监督管理局核发的统一社会信用代码为914403007311028524的营业执照。</w:t>
      </w:r>
    </w:p>
    <w:p>
      <w:pPr>
        <w:pStyle w:val="Style28"/>
        <w:keepNext w:val="0"/>
        <w:keepLines w:val="0"/>
        <w:widowControl w:val="0"/>
        <w:shd w:val="clear" w:color="auto" w:fill="auto"/>
        <w:tabs>
          <w:tab w:pos="473" w:val="left"/>
        </w:tabs>
        <w:bidi w:val="0"/>
        <w:spacing w:before="0" w:after="0"/>
        <w:ind w:left="0" w:right="0" w:firstLine="0"/>
        <w:jc w:val="left"/>
      </w:pPr>
      <w:bookmarkStart w:id="794" w:name="bookmark794"/>
      <w:r>
        <w:rPr>
          <w:rFonts w:ascii="Times New Roman" w:eastAsia="Times New Roman" w:hAnsi="Times New Roman" w:cs="Times New Roman"/>
          <w:color w:val="000000"/>
          <w:spacing w:val="0"/>
          <w:w w:val="100"/>
          <w:position w:val="0"/>
        </w:rPr>
        <w:t>（</w:t>
      </w:r>
      <w:bookmarkEnd w:id="794"/>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行业性质</w:t>
      </w:r>
    </w:p>
    <w:p>
      <w:pPr>
        <w:pStyle w:val="Style28"/>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本公司属电子设备制造行业。</w:t>
      </w:r>
    </w:p>
    <w:p>
      <w:pPr>
        <w:pStyle w:val="Style28"/>
        <w:keepNext w:val="0"/>
        <w:keepLines w:val="0"/>
        <w:widowControl w:val="0"/>
        <w:shd w:val="clear" w:color="auto" w:fill="auto"/>
        <w:tabs>
          <w:tab w:pos="473" w:val="left"/>
        </w:tabs>
        <w:bidi w:val="0"/>
        <w:spacing w:before="0" w:after="0"/>
        <w:ind w:left="0" w:right="0" w:firstLine="0"/>
        <w:jc w:val="left"/>
      </w:pPr>
      <w:bookmarkStart w:id="795" w:name="bookmark795"/>
      <w:r>
        <w:rPr>
          <w:rFonts w:ascii="Times New Roman" w:eastAsia="Times New Roman" w:hAnsi="Times New Roman" w:cs="Times New Roman"/>
          <w:color w:val="000000"/>
          <w:spacing w:val="0"/>
          <w:w w:val="100"/>
          <w:position w:val="0"/>
        </w:rPr>
        <w:t>（</w:t>
      </w:r>
      <w:bookmarkEnd w:id="795"/>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经营范围</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一般经营项目：货物及技术进出口业务。</w:t>
      </w:r>
    </w:p>
    <w:p>
      <w:pPr>
        <w:pStyle w:val="Style28"/>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许可经营项目：银行卡电子支付终端产品</w:t>
      </w:r>
      <w:r>
        <w:rPr>
          <w:color w:val="000000"/>
          <w:spacing w:val="0"/>
          <w:w w:val="100"/>
          <w:position w:val="0"/>
        </w:rPr>
        <w:t>（POS</w:t>
      </w:r>
      <w:r>
        <w:rPr>
          <w:color w:val="000000"/>
          <w:spacing w:val="0"/>
          <w:w w:val="100"/>
          <w:position w:val="0"/>
        </w:rPr>
        <w:t>终端、固定无线电话机）、电子支付密码系统产品、计算机产品及电子 产品的技术开发、生产（生产项目由分支机构经营）、销售、租赁及服务（不含专营、专控、专卖商品及限制项目）；移动 支付业务的技术开发运营及服务（不含生产）；互联网信息业务。</w:t>
      </w:r>
    </w:p>
    <w:p>
      <w:pPr>
        <w:pStyle w:val="Style28"/>
        <w:keepNext w:val="0"/>
        <w:keepLines w:val="0"/>
        <w:widowControl w:val="0"/>
        <w:shd w:val="clear" w:color="auto" w:fill="auto"/>
        <w:tabs>
          <w:tab w:pos="473" w:val="left"/>
        </w:tabs>
        <w:bidi w:val="0"/>
        <w:spacing w:before="0" w:after="0"/>
        <w:ind w:left="0" w:right="0" w:firstLine="0"/>
        <w:jc w:val="left"/>
      </w:pPr>
      <w:bookmarkStart w:id="796" w:name="bookmark796"/>
      <w:r>
        <w:rPr>
          <w:rFonts w:ascii="Times New Roman" w:eastAsia="Times New Roman" w:hAnsi="Times New Roman" w:cs="Times New Roman"/>
          <w:color w:val="000000"/>
          <w:spacing w:val="0"/>
          <w:w w:val="100"/>
          <w:position w:val="0"/>
        </w:rPr>
        <w:t>（</w:t>
      </w:r>
      <w:bookmarkEnd w:id="796"/>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主要产品、劳务</w:t>
      </w:r>
    </w:p>
    <w:p>
      <w:pPr>
        <w:pStyle w:val="Style28"/>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银行卡电子支付终端</w:t>
      </w:r>
      <w:r>
        <w:rPr>
          <w:color w:val="000000"/>
          <w:spacing w:val="0"/>
          <w:w w:val="100"/>
          <w:position w:val="0"/>
        </w:rPr>
        <w:t>（POS</w:t>
      </w:r>
      <w:r>
        <w:rPr>
          <w:color w:val="000000"/>
          <w:spacing w:val="0"/>
          <w:w w:val="100"/>
          <w:position w:val="0"/>
        </w:rPr>
        <w:t>）机的生产和销售，提供银行卡电子支付终端</w:t>
      </w:r>
      <w:r>
        <w:rPr>
          <w:color w:val="000000"/>
          <w:spacing w:val="0"/>
          <w:w w:val="100"/>
          <w:position w:val="0"/>
        </w:rPr>
        <w:t>（POS）</w:t>
      </w:r>
      <w:r>
        <w:rPr>
          <w:color w:val="000000"/>
          <w:spacing w:val="0"/>
          <w:w w:val="100"/>
          <w:position w:val="0"/>
        </w:rPr>
        <w:t>机租赁劳务。</w:t>
      </w:r>
    </w:p>
    <w:p>
      <w:pPr>
        <w:pStyle w:val="Style28"/>
        <w:keepNext w:val="0"/>
        <w:keepLines w:val="0"/>
        <w:widowControl w:val="0"/>
        <w:shd w:val="clear" w:color="auto" w:fill="auto"/>
        <w:tabs>
          <w:tab w:pos="473" w:val="left"/>
        </w:tabs>
        <w:bidi w:val="0"/>
        <w:spacing w:before="0" w:after="0"/>
        <w:ind w:left="0" w:right="0" w:firstLine="0"/>
        <w:jc w:val="left"/>
      </w:pPr>
      <w:bookmarkStart w:id="797" w:name="bookmark797"/>
      <w:r>
        <w:rPr>
          <w:rFonts w:ascii="Times New Roman" w:eastAsia="Times New Roman" w:hAnsi="Times New Roman" w:cs="Times New Roman"/>
          <w:color w:val="000000"/>
          <w:spacing w:val="0"/>
          <w:w w:val="100"/>
          <w:position w:val="0"/>
        </w:rPr>
        <w:t>（</w:t>
      </w:r>
      <w:bookmarkEnd w:id="797"/>
      <w:r>
        <w:rPr>
          <w:color w:val="000000"/>
          <w:spacing w:val="0"/>
          <w:w w:val="100"/>
          <w:position w:val="0"/>
        </w:rPr>
        <w:t>五</w:t>
      </w:r>
      <w:r>
        <w:rPr>
          <w:rFonts w:ascii="Times New Roman" w:eastAsia="Times New Roman" w:hAnsi="Times New Roman" w:cs="Times New Roman"/>
          <w:color w:val="000000"/>
          <w:spacing w:val="0"/>
          <w:w w:val="100"/>
          <w:position w:val="0"/>
        </w:rPr>
        <w:t>）</w:t>
        <w:tab/>
      </w:r>
      <w:r>
        <w:rPr>
          <w:color w:val="000000"/>
          <w:spacing w:val="0"/>
          <w:w w:val="100"/>
          <w:position w:val="0"/>
        </w:rPr>
        <w:t>公司基本架构</w:t>
      </w:r>
    </w:p>
    <w:p>
      <w:pPr>
        <w:pStyle w:val="Style28"/>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本公司最高权力机构是股东大会，实行董事会领导下的总经理负责制。根据业务发展需要，集团公司设立人力资源中心、 行政中心、计划财务中心、信息管理中心、区块链应用研究中心、创新业务中心、证券部、新业务孵化中心、采购制造中心 9大业务部门。</w:t>
      </w:r>
    </w:p>
    <w:p>
      <w:pPr>
        <w:pStyle w:val="Style28"/>
        <w:keepNext w:val="0"/>
        <w:keepLines w:val="0"/>
        <w:widowControl w:val="0"/>
        <w:shd w:val="clear" w:color="auto" w:fill="auto"/>
        <w:tabs>
          <w:tab w:pos="473" w:val="left"/>
        </w:tabs>
        <w:bidi w:val="0"/>
        <w:spacing w:before="0" w:after="0"/>
        <w:ind w:left="0" w:right="0" w:firstLine="0"/>
        <w:jc w:val="left"/>
      </w:pPr>
      <w:bookmarkStart w:id="798" w:name="bookmark798"/>
      <w:r>
        <w:rPr>
          <w:rFonts w:ascii="Times New Roman" w:eastAsia="Times New Roman" w:hAnsi="Times New Roman" w:cs="Times New Roman"/>
          <w:color w:val="000000"/>
          <w:spacing w:val="0"/>
          <w:w w:val="100"/>
          <w:position w:val="0"/>
        </w:rPr>
        <w:t>（</w:t>
      </w:r>
      <w:bookmarkEnd w:id="798"/>
      <w:r>
        <w:rPr>
          <w:color w:val="000000"/>
          <w:spacing w:val="0"/>
          <w:w w:val="100"/>
          <w:position w:val="0"/>
        </w:rPr>
        <w:t>六</w:t>
      </w:r>
      <w:r>
        <w:rPr>
          <w:rFonts w:ascii="Times New Roman" w:eastAsia="Times New Roman" w:hAnsi="Times New Roman" w:cs="Times New Roman"/>
          <w:color w:val="000000"/>
          <w:spacing w:val="0"/>
          <w:w w:val="100"/>
          <w:position w:val="0"/>
        </w:rPr>
        <w:t>）</w:t>
        <w:tab/>
      </w:r>
      <w:r>
        <w:rPr>
          <w:color w:val="000000"/>
          <w:spacing w:val="0"/>
          <w:w w:val="100"/>
          <w:position w:val="0"/>
        </w:rPr>
        <w:t>财务报表的批准报出</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本财务报表业经公司全体董事于2017年4月17日批准报出。 本期纳入合并财务报表范围的主体共8户，具体包括：</w:t>
      </w:r>
    </w:p>
    <w:tbl>
      <w:tblPr>
        <w:tblOverlap w:val="never"/>
        <w:jc w:val="left"/>
        <w:tblLayout w:type="fixed"/>
      </w:tblPr>
      <w:tblGrid>
        <w:gridCol w:w="3278"/>
        <w:gridCol w:w="1248"/>
        <w:gridCol w:w="998"/>
        <w:gridCol w:w="1354"/>
        <w:gridCol w:w="1526"/>
      </w:tblGrid>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级次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深圳市易联技术有限公司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苏州新国都电子技术有限公司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深圳市新国都金服软件有限公司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4531"/>
        <w:gridCol w:w="4018"/>
      </w:tblGrid>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深圳市新国都金服软件有限公司</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4531"/>
        <w:gridCol w:w="4018"/>
      </w:tblGrid>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319" w:line="1" w:lineRule="exact"/>
      </w:pPr>
    </w:p>
    <w:p>
      <w:pPr>
        <w:pStyle w:val="Style25"/>
        <w:keepNext/>
        <w:keepLines/>
        <w:widowControl w:val="0"/>
        <w:shd w:val="clear" w:color="auto" w:fill="auto"/>
        <w:tabs>
          <w:tab w:pos="502" w:val="left"/>
        </w:tabs>
        <w:bidi w:val="0"/>
        <w:spacing w:before="0" w:after="32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sz w:val="24"/>
          <w:szCs w:val="24"/>
        </w:rPr>
        <w:t>四</w:t>
      </w:r>
      <w:bookmarkEnd w:id="801"/>
      <w:r>
        <w:rPr>
          <w:color w:val="000000"/>
          <w:spacing w:val="0"/>
          <w:w w:val="100"/>
          <w:position w:val="0"/>
          <w:sz w:val="24"/>
          <w:szCs w:val="24"/>
        </w:rPr>
        <w:t>、</w:t>
        <w:tab/>
        <w:t>财务报表的编制基础</w:t>
      </w:r>
      <w:bookmarkEnd w:id="799"/>
      <w:bookmarkEnd w:id="800"/>
      <w:bookmarkEnd w:id="802"/>
    </w:p>
    <w:p>
      <w:pPr>
        <w:pStyle w:val="Style33"/>
        <w:keepNext/>
        <w:keepLines/>
        <w:widowControl w:val="0"/>
        <w:shd w:val="clear" w:color="auto" w:fill="auto"/>
        <w:tabs>
          <w:tab w:pos="368"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color w:val="000000"/>
          <w:spacing w:val="0"/>
          <w:w w:val="100"/>
          <w:position w:val="0"/>
        </w:rPr>
        <w:t>、</w:t>
        <w:tab/>
        <w:t>编制基础</w:t>
      </w:r>
      <w:bookmarkEnd w:id="803"/>
      <w:bookmarkEnd w:id="804"/>
      <w:bookmarkEnd w:id="806"/>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 财务报表。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持续经营</w:t>
      </w:r>
      <w:bookmarkEnd w:id="807"/>
      <w:bookmarkEnd w:id="808"/>
      <w:bookmarkEnd w:id="810"/>
    </w:p>
    <w:p>
      <w:pPr>
        <w:pStyle w:val="Style28"/>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本公司对报告期末起12个月的持续经营能力进行了评价，未发现对持续经营能力产生重大怀疑的事项或情况。因此，本 财务报表系在持续经营假设的基础上编制。</w:t>
      </w:r>
    </w:p>
    <w:p>
      <w:pPr>
        <w:pStyle w:val="Style25"/>
        <w:keepNext/>
        <w:keepLines/>
        <w:widowControl w:val="0"/>
        <w:shd w:val="clear" w:color="auto" w:fill="auto"/>
        <w:tabs>
          <w:tab w:pos="522"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sz w:val="24"/>
          <w:szCs w:val="24"/>
        </w:rPr>
        <w:t>五</w:t>
      </w:r>
      <w:bookmarkEnd w:id="813"/>
      <w:r>
        <w:rPr>
          <w:color w:val="000000"/>
          <w:spacing w:val="0"/>
          <w:w w:val="100"/>
          <w:position w:val="0"/>
          <w:sz w:val="24"/>
          <w:szCs w:val="24"/>
        </w:rPr>
        <w:t>、</w:t>
        <w:tab/>
        <w:t>重要会计政策及会计估计</w:t>
      </w:r>
      <w:bookmarkEnd w:id="811"/>
      <w:bookmarkEnd w:id="812"/>
      <w:bookmarkEnd w:id="814"/>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本公司根据实际发生的交易和事项，按照财政部颁布的《企业会计准则一一基本准则》和具体企业会计准则、企业会计 准则应用指南、企业会计准则解释及其他相关规定（以下合称“企业会计准则”）进行确认和计量，在此基础上，结合中国 证券监督管理委员会《公开发行证券的公司信息披露编报规则第15号一一财务报告的一般规定》（2014年修订）的规定，编 制财务报表。</w:t>
      </w:r>
    </w:p>
    <w:p>
      <w:pPr>
        <w:pStyle w:val="Style33"/>
        <w:keepNext/>
        <w:keepLines/>
        <w:widowControl w:val="0"/>
        <w:shd w:val="clear" w:color="auto" w:fill="auto"/>
        <w:tabs>
          <w:tab w:pos="368"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遵循企业会计准则的声明</w:t>
      </w:r>
      <w:bookmarkEnd w:id="815"/>
      <w:bookmarkEnd w:id="816"/>
      <w:bookmarkEnd w:id="818"/>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3"/>
        <w:keepNext/>
        <w:keepLines/>
        <w:widowControl w:val="0"/>
        <w:shd w:val="clear" w:color="auto" w:fill="auto"/>
        <w:tabs>
          <w:tab w:pos="378" w:val="left"/>
        </w:tabs>
        <w:bidi w:val="0"/>
        <w:spacing w:before="0" w:after="26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color w:val="000000"/>
          <w:spacing w:val="0"/>
          <w:w w:val="100"/>
          <w:position w:val="0"/>
        </w:rPr>
        <w:t>、</w:t>
        <w:tab/>
        <w:t>会计期间</w:t>
      </w:r>
      <w:bookmarkEnd w:id="819"/>
      <w:bookmarkEnd w:id="820"/>
      <w:bookmarkEnd w:id="822"/>
    </w:p>
    <w:p>
      <w:pPr>
        <w:pStyle w:val="Style28"/>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自公历1月1日至12月31日止为一个会计年度。</w:t>
      </w:r>
    </w:p>
    <w:p>
      <w:pPr>
        <w:pStyle w:val="Style33"/>
        <w:keepNext/>
        <w:keepLines/>
        <w:widowControl w:val="0"/>
        <w:shd w:val="clear" w:color="auto" w:fill="auto"/>
        <w:tabs>
          <w:tab w:pos="378" w:val="left"/>
        </w:tabs>
        <w:bidi w:val="0"/>
        <w:spacing w:before="0" w:after="3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3</w:t>
      </w:r>
      <w:bookmarkEnd w:id="825"/>
      <w:r>
        <w:rPr>
          <w:color w:val="000000"/>
          <w:spacing w:val="0"/>
          <w:w w:val="100"/>
          <w:position w:val="0"/>
        </w:rPr>
        <w:t>、</w:t>
        <w:tab/>
        <w:t>营业周期</w:t>
      </w:r>
      <w:bookmarkEnd w:id="823"/>
      <w:bookmarkEnd w:id="824"/>
      <w:bookmarkEnd w:id="826"/>
    </w:p>
    <w:p>
      <w:pPr>
        <w:pStyle w:val="Style28"/>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自公历1月1日至12月31日止为一个营业周期。</w:t>
      </w:r>
    </w:p>
    <w:p>
      <w:pPr>
        <w:pStyle w:val="Style33"/>
        <w:keepNext/>
        <w:keepLines/>
        <w:widowControl w:val="0"/>
        <w:shd w:val="clear" w:color="auto" w:fill="auto"/>
        <w:tabs>
          <w:tab w:pos="377"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4</w:t>
      </w:r>
      <w:bookmarkEnd w:id="829"/>
      <w:r>
        <w:rPr>
          <w:color w:val="000000"/>
          <w:spacing w:val="0"/>
          <w:w w:val="100"/>
          <w:position w:val="0"/>
        </w:rPr>
        <w:t>、</w:t>
        <w:tab/>
        <w:t>记账本位币</w:t>
      </w:r>
      <w:bookmarkEnd w:id="827"/>
      <w:bookmarkEnd w:id="828"/>
      <w:bookmarkEnd w:id="830"/>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采用人民币为记账本位币。</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境外子公司以其经营所处的主要经济环境中的货币为记账本位币，编制财务报表时折算为人民币。</w:t>
      </w:r>
    </w:p>
    <w:p>
      <w:pPr>
        <w:pStyle w:val="Style33"/>
        <w:keepNext/>
        <w:keepLines/>
        <w:widowControl w:val="0"/>
        <w:shd w:val="clear" w:color="auto" w:fill="auto"/>
        <w:tabs>
          <w:tab w:pos="377" w:val="left"/>
        </w:tabs>
        <w:bidi w:val="0"/>
        <w:spacing w:before="0" w:after="28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5</w:t>
      </w:r>
      <w:bookmarkEnd w:id="833"/>
      <w:r>
        <w:rPr>
          <w:color w:val="000000"/>
          <w:spacing w:val="0"/>
          <w:w w:val="100"/>
          <w:position w:val="0"/>
        </w:rPr>
        <w:t>、</w:t>
        <w:tab/>
        <w:t>同一控制下和非同一控制下企业合并的会计处理方法</w:t>
      </w:r>
      <w:bookmarkEnd w:id="831"/>
      <w:bookmarkEnd w:id="832"/>
      <w:bookmarkEnd w:id="834"/>
    </w:p>
    <w:p>
      <w:pPr>
        <w:pStyle w:val="Style28"/>
        <w:keepNext w:val="0"/>
        <w:keepLines w:val="0"/>
        <w:widowControl w:val="0"/>
        <w:numPr>
          <w:ilvl w:val="0"/>
          <w:numId w:val="37"/>
        </w:numPr>
        <w:shd w:val="clear" w:color="auto" w:fill="auto"/>
        <w:tabs>
          <w:tab w:pos="300" w:val="left"/>
        </w:tabs>
        <w:bidi w:val="0"/>
        <w:spacing w:before="0" w:after="0" w:line="314" w:lineRule="exact"/>
        <w:ind w:left="0" w:right="0" w:firstLine="0"/>
        <w:jc w:val="both"/>
      </w:pPr>
      <w:bookmarkStart w:id="835" w:name="bookmark835"/>
      <w:bookmarkEnd w:id="835"/>
      <w:r>
        <w:rPr>
          <w:color w:val="000000"/>
          <w:spacing w:val="0"/>
          <w:w w:val="100"/>
          <w:position w:val="0"/>
        </w:rPr>
        <w:t>分步实现企业合并过程中的各项交易的条款、条件以及经济影响符合以下一种或多种情况，将多次交易事项作为一揽子交 易进行会计处理：</w:t>
      </w:r>
    </w:p>
    <w:p>
      <w:pPr>
        <w:pStyle w:val="Style28"/>
        <w:keepNext w:val="0"/>
        <w:keepLines w:val="0"/>
        <w:widowControl w:val="0"/>
        <w:shd w:val="clear" w:color="auto" w:fill="auto"/>
        <w:tabs>
          <w:tab w:pos="329" w:val="left"/>
        </w:tabs>
        <w:bidi w:val="0"/>
        <w:spacing w:before="0" w:after="0" w:line="314" w:lineRule="exact"/>
        <w:ind w:left="0" w:right="0" w:firstLine="0"/>
        <w:jc w:val="left"/>
      </w:pPr>
      <w:bookmarkStart w:id="836" w:name="bookmark836"/>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w:t>
        <w:tab/>
      </w:r>
      <w:r>
        <w:rPr>
          <w:color w:val="000000"/>
          <w:spacing w:val="0"/>
          <w:w w:val="100"/>
          <w:position w:val="0"/>
        </w:rPr>
        <w:t>这些交易是同时或者在考虑了彼此影响的情况下订立的；</w:t>
      </w:r>
    </w:p>
    <w:p>
      <w:pPr>
        <w:pStyle w:val="Style28"/>
        <w:keepNext w:val="0"/>
        <w:keepLines w:val="0"/>
        <w:widowControl w:val="0"/>
        <w:shd w:val="clear" w:color="auto" w:fill="auto"/>
        <w:tabs>
          <w:tab w:pos="348" w:val="left"/>
        </w:tabs>
        <w:bidi w:val="0"/>
        <w:spacing w:before="0" w:after="0" w:line="314" w:lineRule="exact"/>
        <w:ind w:left="0" w:right="0" w:firstLine="0"/>
        <w:jc w:val="left"/>
      </w:pPr>
      <w:bookmarkStart w:id="837" w:name="bookmark837"/>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w:t>
        <w:tab/>
      </w:r>
      <w:r>
        <w:rPr>
          <w:color w:val="000000"/>
          <w:spacing w:val="0"/>
          <w:w w:val="100"/>
          <w:position w:val="0"/>
        </w:rPr>
        <w:t>这些交易整体才能达成一项完整的商业结果；</w:t>
      </w:r>
    </w:p>
    <w:p>
      <w:pPr>
        <w:pStyle w:val="Style28"/>
        <w:keepNext w:val="0"/>
        <w:keepLines w:val="0"/>
        <w:widowControl w:val="0"/>
        <w:shd w:val="clear" w:color="auto" w:fill="auto"/>
        <w:tabs>
          <w:tab w:pos="348" w:val="left"/>
        </w:tabs>
        <w:bidi w:val="0"/>
        <w:spacing w:before="0" w:after="0" w:line="314" w:lineRule="exact"/>
        <w:ind w:left="0" w:right="0" w:firstLine="0"/>
        <w:jc w:val="left"/>
      </w:pPr>
      <w:bookmarkStart w:id="838" w:name="bookmark838"/>
      <w:r>
        <w:rPr>
          <w:rFonts w:ascii="Times New Roman" w:eastAsia="Times New Roman" w:hAnsi="Times New Roman" w:cs="Times New Roman"/>
          <w:color w:val="000000"/>
          <w:spacing w:val="0"/>
          <w:w w:val="100"/>
          <w:position w:val="0"/>
        </w:rPr>
        <w:t>3</w:t>
      </w:r>
      <w:bookmarkEnd w:id="838"/>
      <w:r>
        <w:rPr>
          <w:rFonts w:ascii="Times New Roman" w:eastAsia="Times New Roman" w:hAnsi="Times New Roman" w:cs="Times New Roman"/>
          <w:color w:val="000000"/>
          <w:spacing w:val="0"/>
          <w:w w:val="100"/>
          <w:position w:val="0"/>
        </w:rPr>
        <w:t>）</w:t>
        <w:tab/>
      </w:r>
      <w:r>
        <w:rPr>
          <w:color w:val="000000"/>
          <w:spacing w:val="0"/>
          <w:w w:val="100"/>
          <w:position w:val="0"/>
        </w:rPr>
        <w:t>一项交易的发生取决于其他至少一项交易的发生；</w:t>
      </w:r>
    </w:p>
    <w:p>
      <w:pPr>
        <w:pStyle w:val="Style28"/>
        <w:keepNext w:val="0"/>
        <w:keepLines w:val="0"/>
        <w:widowControl w:val="0"/>
        <w:shd w:val="clear" w:color="auto" w:fill="auto"/>
        <w:tabs>
          <w:tab w:pos="348" w:val="left"/>
        </w:tabs>
        <w:bidi w:val="0"/>
        <w:spacing w:before="0" w:after="0" w:line="314" w:lineRule="exact"/>
        <w:ind w:left="0" w:right="0" w:firstLine="0"/>
        <w:jc w:val="left"/>
      </w:pPr>
      <w:bookmarkStart w:id="839" w:name="bookmark839"/>
      <w:r>
        <w:rPr>
          <w:rFonts w:ascii="Times New Roman" w:eastAsia="Times New Roman" w:hAnsi="Times New Roman" w:cs="Times New Roman"/>
          <w:color w:val="000000"/>
          <w:spacing w:val="0"/>
          <w:w w:val="100"/>
          <w:position w:val="0"/>
        </w:rPr>
        <w:t>4</w:t>
      </w:r>
      <w:bookmarkEnd w:id="839"/>
      <w:r>
        <w:rPr>
          <w:rFonts w:ascii="Times New Roman" w:eastAsia="Times New Roman" w:hAnsi="Times New Roman" w:cs="Times New Roman"/>
          <w:color w:val="000000"/>
          <w:spacing w:val="0"/>
          <w:w w:val="100"/>
          <w:position w:val="0"/>
        </w:rPr>
        <w:t>）</w:t>
        <w:tab/>
      </w:r>
      <w:r>
        <w:rPr>
          <w:color w:val="000000"/>
          <w:spacing w:val="0"/>
          <w:w w:val="100"/>
          <w:position w:val="0"/>
        </w:rPr>
        <w:t>一项交易单独看是不经济的，但是和其他交易一并考虑时是经济的。</w:t>
      </w:r>
    </w:p>
    <w:p>
      <w:pPr>
        <w:pStyle w:val="Style28"/>
        <w:keepNext w:val="0"/>
        <w:keepLines w:val="0"/>
        <w:widowControl w:val="0"/>
        <w:numPr>
          <w:ilvl w:val="0"/>
          <w:numId w:val="37"/>
        </w:numPr>
        <w:shd w:val="clear" w:color="auto" w:fill="auto"/>
        <w:tabs>
          <w:tab w:pos="319" w:val="left"/>
        </w:tabs>
        <w:bidi w:val="0"/>
        <w:spacing w:before="0" w:after="0" w:line="314" w:lineRule="exact"/>
        <w:ind w:left="0" w:right="0" w:firstLine="0"/>
        <w:jc w:val="left"/>
      </w:pPr>
      <w:bookmarkStart w:id="840" w:name="bookmark840"/>
      <w:bookmarkEnd w:id="840"/>
      <w:r>
        <w:rPr>
          <w:color w:val="000000"/>
          <w:spacing w:val="0"/>
          <w:w w:val="100"/>
          <w:position w:val="0"/>
        </w:rPr>
        <w:t>同一控制下的企业合并</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8"/>
        <w:keepNext w:val="0"/>
        <w:keepLines w:val="0"/>
        <w:widowControl w:val="0"/>
        <w:numPr>
          <w:ilvl w:val="0"/>
          <w:numId w:val="37"/>
        </w:numPr>
        <w:shd w:val="clear" w:color="auto" w:fill="auto"/>
        <w:tabs>
          <w:tab w:pos="319" w:val="left"/>
        </w:tabs>
        <w:bidi w:val="0"/>
        <w:spacing w:before="0" w:after="0" w:line="314" w:lineRule="exact"/>
        <w:ind w:left="0" w:right="0" w:firstLine="0"/>
        <w:jc w:val="left"/>
      </w:pPr>
      <w:bookmarkStart w:id="841" w:name="bookmark841"/>
      <w:bookmarkEnd w:id="841"/>
      <w:r>
        <w:rPr>
          <w:color w:val="000000"/>
          <w:spacing w:val="0"/>
          <w:w w:val="100"/>
          <w:position w:val="0"/>
        </w:rPr>
        <w:t>非同一控制下的企业合并</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8"/>
        <w:keepNext w:val="0"/>
        <w:keepLines w:val="0"/>
        <w:widowControl w:val="0"/>
        <w:numPr>
          <w:ilvl w:val="0"/>
          <w:numId w:val="37"/>
        </w:numPr>
        <w:shd w:val="clear" w:color="auto" w:fill="auto"/>
        <w:tabs>
          <w:tab w:pos="319" w:val="left"/>
        </w:tabs>
        <w:bidi w:val="0"/>
        <w:spacing w:before="0" w:after="0" w:line="314" w:lineRule="exact"/>
        <w:ind w:left="0" w:right="0" w:firstLine="0"/>
        <w:jc w:val="left"/>
      </w:pPr>
      <w:bookmarkStart w:id="842" w:name="bookmark842"/>
      <w:bookmarkEnd w:id="842"/>
      <w:r>
        <w:rPr>
          <w:color w:val="000000"/>
          <w:spacing w:val="0"/>
          <w:w w:val="100"/>
          <w:position w:val="0"/>
        </w:rPr>
        <w:t>为合并发生的相关费用</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3"/>
        <w:keepNext/>
        <w:keepLines/>
        <w:widowControl w:val="0"/>
        <w:shd w:val="clear" w:color="auto" w:fill="auto"/>
        <w:tabs>
          <w:tab w:pos="377" w:val="left"/>
        </w:tabs>
        <w:bidi w:val="0"/>
        <w:spacing w:before="0" w:after="3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6</w:t>
      </w:r>
      <w:bookmarkEnd w:id="845"/>
      <w:r>
        <w:rPr>
          <w:color w:val="000000"/>
          <w:spacing w:val="0"/>
          <w:w w:val="100"/>
          <w:position w:val="0"/>
        </w:rPr>
        <w:t>、</w:t>
        <w:tab/>
        <w:t>合并财务报表的编制方法</w:t>
      </w:r>
      <w:bookmarkEnd w:id="843"/>
      <w:bookmarkEnd w:id="844"/>
      <w:bookmarkEnd w:id="846"/>
    </w:p>
    <w:p>
      <w:pPr>
        <w:pStyle w:val="Style28"/>
        <w:keepNext w:val="0"/>
        <w:keepLines w:val="0"/>
        <w:widowControl w:val="0"/>
        <w:numPr>
          <w:ilvl w:val="0"/>
          <w:numId w:val="39"/>
        </w:numPr>
        <w:shd w:val="clear" w:color="auto" w:fill="auto"/>
        <w:bidi w:val="0"/>
        <w:spacing w:before="0" w:after="0"/>
        <w:ind w:left="0" w:right="0" w:firstLine="0"/>
        <w:jc w:val="left"/>
      </w:pPr>
      <w:bookmarkStart w:id="847" w:name="bookmark847"/>
      <w:bookmarkEnd w:id="847"/>
      <w:r>
        <w:rPr>
          <w:color w:val="000000"/>
          <w:spacing w:val="0"/>
          <w:w w:val="100"/>
          <w:position w:val="0"/>
        </w:rPr>
        <w:t>合并范围</w:t>
      </w:r>
    </w:p>
    <w:p>
      <w:pPr>
        <w:pStyle w:val="Style28"/>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28"/>
        <w:keepNext w:val="0"/>
        <w:keepLines w:val="0"/>
        <w:widowControl w:val="0"/>
        <w:numPr>
          <w:ilvl w:val="0"/>
          <w:numId w:val="39"/>
        </w:numPr>
        <w:shd w:val="clear" w:color="auto" w:fill="auto"/>
        <w:bidi w:val="0"/>
        <w:spacing w:before="0" w:after="0" w:line="312" w:lineRule="exact"/>
        <w:ind w:left="0" w:right="0" w:firstLine="0"/>
        <w:jc w:val="left"/>
      </w:pPr>
      <w:bookmarkStart w:id="848" w:name="bookmark848"/>
      <w:bookmarkEnd w:id="848"/>
      <w:r>
        <w:rPr>
          <w:color w:val="000000"/>
          <w:spacing w:val="0"/>
          <w:w w:val="100"/>
          <w:position w:val="0"/>
        </w:rPr>
        <w:t>合并程序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8"/>
        <w:keepNext w:val="0"/>
        <w:keepLines w:val="0"/>
        <w:widowControl w:val="0"/>
        <w:shd w:val="clear" w:color="auto" w:fill="auto"/>
        <w:bidi w:val="0"/>
        <w:spacing w:before="0" w:after="0" w:line="278"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8"/>
        <w:keepNext w:val="0"/>
        <w:keepLines w:val="0"/>
        <w:widowControl w:val="0"/>
        <w:shd w:val="clear" w:color="auto" w:fill="auto"/>
        <w:bidi w:val="0"/>
        <w:spacing w:before="0" w:after="80" w:line="313" w:lineRule="exact"/>
        <w:ind w:left="0" w:right="0" w:firstLine="380"/>
        <w:jc w:val="left"/>
      </w:pPr>
      <w:r>
        <w:rPr>
          <w:color w:val="000000"/>
          <w:spacing w:val="0"/>
          <w:w w:val="100"/>
          <w:position w:val="0"/>
        </w:rPr>
        <w:t>对于非同一控制下企业合并取得的子公司，以购买日可辨认净资产公允价值为基础对其财务报表进行调整。</w:t>
      </w:r>
    </w:p>
    <w:p>
      <w:pPr>
        <w:pStyle w:val="Style28"/>
        <w:keepNext w:val="0"/>
        <w:keepLines w:val="0"/>
        <w:widowControl w:val="0"/>
        <w:numPr>
          <w:ilvl w:val="0"/>
          <w:numId w:val="41"/>
        </w:numPr>
        <w:shd w:val="clear" w:color="auto" w:fill="auto"/>
        <w:tabs>
          <w:tab w:pos="350" w:val="left"/>
        </w:tabs>
        <w:bidi w:val="0"/>
        <w:spacing w:before="0" w:after="0"/>
        <w:ind w:left="0" w:right="0" w:firstLine="0"/>
        <w:jc w:val="both"/>
      </w:pPr>
      <w:bookmarkStart w:id="849" w:name="bookmark849"/>
      <w:bookmarkEnd w:id="849"/>
      <w:r>
        <w:rPr>
          <w:color w:val="000000"/>
          <w:spacing w:val="0"/>
          <w:w w:val="100"/>
          <w:position w:val="0"/>
        </w:rPr>
        <w:t>增加子公司或业务</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8"/>
        <w:keepNext w:val="0"/>
        <w:keepLines w:val="0"/>
        <w:widowControl w:val="0"/>
        <w:numPr>
          <w:ilvl w:val="0"/>
          <w:numId w:val="41"/>
        </w:numPr>
        <w:shd w:val="clear" w:color="auto" w:fill="auto"/>
        <w:tabs>
          <w:tab w:pos="350" w:val="left"/>
        </w:tabs>
        <w:bidi w:val="0"/>
        <w:spacing w:before="0" w:after="0"/>
        <w:ind w:left="0" w:right="0" w:firstLine="0"/>
        <w:jc w:val="left"/>
      </w:pPr>
      <w:bookmarkStart w:id="850" w:name="bookmark850"/>
      <w:bookmarkEnd w:id="850"/>
      <w:r>
        <w:rPr>
          <w:color w:val="000000"/>
          <w:spacing w:val="0"/>
          <w:w w:val="100"/>
          <w:position w:val="0"/>
        </w:rPr>
        <w:t>处置子公司业务</w:t>
      </w:r>
    </w:p>
    <w:p>
      <w:pPr>
        <w:pStyle w:val="Style28"/>
        <w:keepNext w:val="0"/>
        <w:keepLines w:val="0"/>
        <w:widowControl w:val="0"/>
        <w:numPr>
          <w:ilvl w:val="0"/>
          <w:numId w:val="43"/>
        </w:numPr>
        <w:shd w:val="clear" w:color="auto" w:fill="auto"/>
        <w:tabs>
          <w:tab w:pos="297" w:val="left"/>
        </w:tabs>
        <w:bidi w:val="0"/>
        <w:spacing w:before="0" w:after="0" w:line="313" w:lineRule="exact"/>
        <w:ind w:left="0" w:right="0" w:firstLine="0"/>
        <w:jc w:val="left"/>
      </w:pPr>
      <w:bookmarkStart w:id="851" w:name="bookmark851"/>
      <w:bookmarkEnd w:id="851"/>
      <w:r>
        <w:rPr>
          <w:color w:val="000000"/>
          <w:spacing w:val="0"/>
          <w:w w:val="100"/>
          <w:position w:val="0"/>
        </w:rPr>
        <w:t>一般处理方法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numPr>
          <w:ilvl w:val="0"/>
          <w:numId w:val="43"/>
        </w:numPr>
        <w:shd w:val="clear" w:color="auto" w:fill="auto"/>
        <w:tabs>
          <w:tab w:pos="317" w:val="left"/>
        </w:tabs>
        <w:bidi w:val="0"/>
        <w:spacing w:before="0" w:after="0" w:line="313" w:lineRule="exact"/>
        <w:ind w:left="0" w:right="0" w:firstLine="0"/>
        <w:jc w:val="both"/>
      </w:pPr>
      <w:bookmarkStart w:id="852" w:name="bookmark852"/>
      <w:bookmarkEnd w:id="852"/>
      <w:r>
        <w:rPr>
          <w:color w:val="000000"/>
          <w:spacing w:val="0"/>
          <w:w w:val="100"/>
          <w:position w:val="0"/>
        </w:rPr>
        <w:t>分步处置子公司</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45"/>
        </w:numPr>
        <w:shd w:val="clear" w:color="auto" w:fill="auto"/>
        <w:bidi w:val="0"/>
        <w:spacing w:before="0" w:after="0" w:line="313" w:lineRule="exact"/>
        <w:ind w:left="0" w:right="0" w:firstLine="0"/>
        <w:jc w:val="left"/>
      </w:pPr>
      <w:bookmarkStart w:id="853" w:name="bookmark853"/>
      <w:bookmarkEnd w:id="853"/>
      <w:r>
        <w:rPr>
          <w:color w:val="000000"/>
          <w:spacing w:val="0"/>
          <w:w w:val="100"/>
          <w:position w:val="0"/>
        </w:rPr>
        <w:t>这些交易是同时或者在考虑了彼此影响的情况下订立的；</w:t>
      </w:r>
    </w:p>
    <w:p>
      <w:pPr>
        <w:pStyle w:val="Style28"/>
        <w:keepNext w:val="0"/>
        <w:keepLines w:val="0"/>
        <w:widowControl w:val="0"/>
        <w:numPr>
          <w:ilvl w:val="0"/>
          <w:numId w:val="45"/>
        </w:numPr>
        <w:shd w:val="clear" w:color="auto" w:fill="auto"/>
        <w:tabs>
          <w:tab w:pos="349" w:val="left"/>
        </w:tabs>
        <w:bidi w:val="0"/>
        <w:spacing w:before="0" w:after="0" w:line="313" w:lineRule="exact"/>
        <w:ind w:left="0" w:right="0" w:firstLine="0"/>
        <w:jc w:val="left"/>
      </w:pPr>
      <w:bookmarkStart w:id="854" w:name="bookmark854"/>
      <w:bookmarkEnd w:id="854"/>
      <w:r>
        <w:rPr>
          <w:color w:val="000000"/>
          <w:spacing w:val="0"/>
          <w:w w:val="100"/>
          <w:position w:val="0"/>
        </w:rPr>
        <w:t>这些交易整体才能达成一项完整的商业结果；</w:t>
      </w:r>
    </w:p>
    <w:p>
      <w:pPr>
        <w:pStyle w:val="Style28"/>
        <w:keepNext w:val="0"/>
        <w:keepLines w:val="0"/>
        <w:widowControl w:val="0"/>
        <w:numPr>
          <w:ilvl w:val="0"/>
          <w:numId w:val="45"/>
        </w:numPr>
        <w:shd w:val="clear" w:color="auto" w:fill="auto"/>
        <w:tabs>
          <w:tab w:pos="349" w:val="left"/>
        </w:tabs>
        <w:bidi w:val="0"/>
        <w:spacing w:before="0" w:after="0" w:line="313" w:lineRule="exact"/>
        <w:ind w:left="0" w:right="0" w:firstLine="0"/>
        <w:jc w:val="left"/>
      </w:pPr>
      <w:bookmarkStart w:id="855" w:name="bookmark855"/>
      <w:bookmarkEnd w:id="855"/>
      <w:r>
        <w:rPr>
          <w:color w:val="000000"/>
          <w:spacing w:val="0"/>
          <w:w w:val="100"/>
          <w:position w:val="0"/>
        </w:rPr>
        <w:t>一项交易的发生取决于其他至少一项交易的发生；</w:t>
      </w:r>
    </w:p>
    <w:p>
      <w:pPr>
        <w:pStyle w:val="Style28"/>
        <w:keepNext w:val="0"/>
        <w:keepLines w:val="0"/>
        <w:widowControl w:val="0"/>
        <w:numPr>
          <w:ilvl w:val="0"/>
          <w:numId w:val="45"/>
        </w:numPr>
        <w:shd w:val="clear" w:color="auto" w:fill="auto"/>
        <w:tabs>
          <w:tab w:pos="358" w:val="left"/>
        </w:tabs>
        <w:bidi w:val="0"/>
        <w:spacing w:before="0" w:after="0" w:line="313" w:lineRule="exact"/>
        <w:ind w:left="0" w:right="0" w:firstLine="0"/>
        <w:jc w:val="left"/>
      </w:pPr>
      <w:bookmarkStart w:id="856" w:name="bookmark856"/>
      <w:bookmarkEnd w:id="856"/>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8"/>
        <w:keepNext w:val="0"/>
        <w:keepLines w:val="0"/>
        <w:widowControl w:val="0"/>
        <w:numPr>
          <w:ilvl w:val="0"/>
          <w:numId w:val="41"/>
        </w:numPr>
        <w:shd w:val="clear" w:color="auto" w:fill="auto"/>
        <w:tabs>
          <w:tab w:pos="402" w:val="left"/>
        </w:tabs>
        <w:bidi w:val="0"/>
        <w:spacing w:before="0" w:after="0"/>
        <w:ind w:left="0" w:right="0" w:firstLine="0"/>
        <w:jc w:val="both"/>
      </w:pPr>
      <w:bookmarkStart w:id="857" w:name="bookmark857"/>
      <w:bookmarkEnd w:id="857"/>
      <w:r>
        <w:rPr>
          <w:color w:val="000000"/>
          <w:spacing w:val="0"/>
          <w:w w:val="100"/>
          <w:position w:val="0"/>
        </w:rPr>
        <w:t>购买子公司少数股权</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8"/>
        <w:keepNext w:val="0"/>
        <w:keepLines w:val="0"/>
        <w:widowControl w:val="0"/>
        <w:numPr>
          <w:ilvl w:val="0"/>
          <w:numId w:val="41"/>
        </w:numPr>
        <w:shd w:val="clear" w:color="auto" w:fill="auto"/>
        <w:tabs>
          <w:tab w:pos="402" w:val="left"/>
        </w:tabs>
        <w:bidi w:val="0"/>
        <w:spacing w:before="0" w:after="0" w:line="313" w:lineRule="exact"/>
        <w:ind w:left="0" w:right="0" w:firstLine="0"/>
        <w:jc w:val="left"/>
      </w:pPr>
      <w:bookmarkStart w:id="858" w:name="bookmark858"/>
      <w:bookmarkEnd w:id="858"/>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3"/>
        <w:keepNext/>
        <w:keepLines/>
        <w:widowControl w:val="0"/>
        <w:shd w:val="clear" w:color="auto" w:fill="auto"/>
        <w:bidi w:val="0"/>
        <w:spacing w:before="0" w:after="2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7</w:t>
      </w:r>
      <w:bookmarkEnd w:id="861"/>
      <w:r>
        <w:rPr>
          <w:color w:val="000000"/>
          <w:spacing w:val="0"/>
          <w:w w:val="100"/>
          <w:position w:val="0"/>
        </w:rPr>
        <w:t>、合营安排分类及共同经营会计处理方法</w:t>
      </w:r>
      <w:bookmarkEnd w:id="859"/>
      <w:bookmarkEnd w:id="860"/>
      <w:bookmarkEnd w:id="862"/>
    </w:p>
    <w:p>
      <w:pPr>
        <w:pStyle w:val="Style28"/>
        <w:keepNext w:val="0"/>
        <w:keepLines w:val="0"/>
        <w:widowControl w:val="0"/>
        <w:numPr>
          <w:ilvl w:val="0"/>
          <w:numId w:val="47"/>
        </w:numPr>
        <w:shd w:val="clear" w:color="auto" w:fill="auto"/>
        <w:tabs>
          <w:tab w:pos="301" w:val="left"/>
        </w:tabs>
        <w:bidi w:val="0"/>
        <w:spacing w:before="0" w:after="0" w:line="312" w:lineRule="exact"/>
        <w:ind w:left="0" w:right="0" w:firstLine="0"/>
        <w:jc w:val="both"/>
      </w:pPr>
      <w:bookmarkStart w:id="863" w:name="bookmark863"/>
      <w:bookmarkEnd w:id="863"/>
      <w:r>
        <w:rPr>
          <w:color w:val="000000"/>
          <w:spacing w:val="0"/>
          <w:w w:val="100"/>
          <w:position w:val="0"/>
        </w:rPr>
        <w:t>合营安排的分类</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8"/>
        <w:keepNext w:val="0"/>
        <w:keepLines w:val="0"/>
        <w:widowControl w:val="0"/>
        <w:numPr>
          <w:ilvl w:val="0"/>
          <w:numId w:val="49"/>
        </w:numPr>
        <w:shd w:val="clear" w:color="auto" w:fill="auto"/>
        <w:tabs>
          <w:tab w:pos="445" w:val="left"/>
        </w:tabs>
        <w:bidi w:val="0"/>
        <w:spacing w:before="0" w:after="0" w:line="312" w:lineRule="exact"/>
        <w:ind w:left="0" w:right="0" w:firstLine="0"/>
        <w:jc w:val="both"/>
      </w:pPr>
      <w:bookmarkStart w:id="864" w:name="bookmark864"/>
      <w:bookmarkEnd w:id="864"/>
      <w:r>
        <w:rPr>
          <w:color w:val="000000"/>
          <w:spacing w:val="0"/>
          <w:w w:val="100"/>
          <w:position w:val="0"/>
        </w:rPr>
        <w:t>合营安排的法律形式表明，合营方对该安排中的相关资产和负债分别享有权利和承担义务。</w:t>
      </w:r>
    </w:p>
    <w:p>
      <w:pPr>
        <w:pStyle w:val="Style28"/>
        <w:keepNext w:val="0"/>
        <w:keepLines w:val="0"/>
        <w:widowControl w:val="0"/>
        <w:numPr>
          <w:ilvl w:val="0"/>
          <w:numId w:val="49"/>
        </w:numPr>
        <w:shd w:val="clear" w:color="auto" w:fill="auto"/>
        <w:tabs>
          <w:tab w:pos="445" w:val="left"/>
        </w:tabs>
        <w:bidi w:val="0"/>
        <w:spacing w:before="0" w:after="0" w:line="312" w:lineRule="exact"/>
        <w:ind w:left="0" w:right="0" w:firstLine="0"/>
        <w:jc w:val="both"/>
      </w:pPr>
      <w:bookmarkStart w:id="865" w:name="bookmark865"/>
      <w:bookmarkEnd w:id="865"/>
      <w:r>
        <w:rPr>
          <w:color w:val="000000"/>
          <w:spacing w:val="0"/>
          <w:w w:val="100"/>
          <w:position w:val="0"/>
        </w:rPr>
        <w:t>合营安排的合同条款约定，合营方对该安排中的相关资产和负债分别享有权利和承担义务。</w:t>
      </w:r>
    </w:p>
    <w:p>
      <w:pPr>
        <w:pStyle w:val="Style28"/>
        <w:keepNext w:val="0"/>
        <w:keepLines w:val="0"/>
        <w:widowControl w:val="0"/>
        <w:numPr>
          <w:ilvl w:val="0"/>
          <w:numId w:val="49"/>
        </w:numPr>
        <w:shd w:val="clear" w:color="auto" w:fill="auto"/>
        <w:tabs>
          <w:tab w:pos="541" w:val="left"/>
        </w:tabs>
        <w:bidi w:val="0"/>
        <w:spacing w:before="0" w:after="0" w:line="312" w:lineRule="exact"/>
        <w:ind w:left="0" w:right="0" w:firstLine="0"/>
        <w:jc w:val="both"/>
      </w:pPr>
      <w:bookmarkStart w:id="866" w:name="bookmark866"/>
      <w:bookmarkEnd w:id="866"/>
      <w:r>
        <w:rPr>
          <w:color w:val="000000"/>
          <w:spacing w:val="0"/>
          <w:w w:val="100"/>
          <w:position w:val="0"/>
        </w:rPr>
        <w:t>其他相关事实和情况表明，合营方对该安排中的相关资产和负债分别享有权利和承担义务，如合营方享有与合营安排 相关的几乎所有产出，并且该安排中负债的清偿持续依赖于合营方的支持。</w:t>
      </w:r>
    </w:p>
    <w:p>
      <w:pPr>
        <w:pStyle w:val="Style28"/>
        <w:keepNext w:val="0"/>
        <w:keepLines w:val="0"/>
        <w:widowControl w:val="0"/>
        <w:numPr>
          <w:ilvl w:val="0"/>
          <w:numId w:val="47"/>
        </w:numPr>
        <w:shd w:val="clear" w:color="auto" w:fill="auto"/>
        <w:tabs>
          <w:tab w:pos="320" w:val="left"/>
        </w:tabs>
        <w:bidi w:val="0"/>
        <w:spacing w:before="0" w:after="0" w:line="312" w:lineRule="exact"/>
        <w:ind w:left="0" w:right="0" w:firstLine="0"/>
        <w:jc w:val="both"/>
      </w:pPr>
      <w:bookmarkStart w:id="867" w:name="bookmark867"/>
      <w:bookmarkEnd w:id="867"/>
      <w:r>
        <w:rPr>
          <w:color w:val="000000"/>
          <w:spacing w:val="0"/>
          <w:w w:val="100"/>
          <w:position w:val="0"/>
        </w:rPr>
        <w:t>共同经营会计处理方法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本公司确认共同经营中利益份额中与本公司相关的下列项目，并按照相关企业会计准则的规定进行会计处理：</w:t>
      </w:r>
    </w:p>
    <w:p>
      <w:pPr>
        <w:pStyle w:val="Style28"/>
        <w:keepNext w:val="0"/>
        <w:keepLines w:val="0"/>
        <w:widowControl w:val="0"/>
        <w:numPr>
          <w:ilvl w:val="0"/>
          <w:numId w:val="51"/>
        </w:numPr>
        <w:shd w:val="clear" w:color="auto" w:fill="auto"/>
        <w:tabs>
          <w:tab w:pos="445" w:val="left"/>
        </w:tabs>
        <w:bidi w:val="0"/>
        <w:spacing w:before="0" w:after="0" w:line="312" w:lineRule="exact"/>
        <w:ind w:left="0" w:right="0" w:firstLine="0"/>
        <w:jc w:val="both"/>
      </w:pPr>
      <w:bookmarkStart w:id="868" w:name="bookmark868"/>
      <w:bookmarkEnd w:id="868"/>
      <w:r>
        <w:rPr>
          <w:color w:val="000000"/>
          <w:spacing w:val="0"/>
          <w:w w:val="100"/>
          <w:position w:val="0"/>
        </w:rPr>
        <w:t>确认单独所持有的资产，以及按其份额确认共同持有的资产；</w:t>
      </w:r>
    </w:p>
    <w:p>
      <w:pPr>
        <w:pStyle w:val="Style28"/>
        <w:keepNext w:val="0"/>
        <w:keepLines w:val="0"/>
        <w:widowControl w:val="0"/>
        <w:numPr>
          <w:ilvl w:val="0"/>
          <w:numId w:val="51"/>
        </w:numPr>
        <w:shd w:val="clear" w:color="auto" w:fill="auto"/>
        <w:tabs>
          <w:tab w:pos="445" w:val="left"/>
        </w:tabs>
        <w:bidi w:val="0"/>
        <w:spacing w:before="0" w:after="0" w:line="312" w:lineRule="exact"/>
        <w:ind w:left="0" w:right="0" w:firstLine="0"/>
        <w:jc w:val="both"/>
      </w:pPr>
      <w:bookmarkStart w:id="869" w:name="bookmark869"/>
      <w:bookmarkEnd w:id="869"/>
      <w:r>
        <w:rPr>
          <w:color w:val="000000"/>
          <w:spacing w:val="0"/>
          <w:w w:val="100"/>
          <w:position w:val="0"/>
        </w:rPr>
        <w:t>确认单独所承担的负债，以及按其份额确认共同承担的负债；</w:t>
      </w:r>
    </w:p>
    <w:p>
      <w:pPr>
        <w:pStyle w:val="Style28"/>
        <w:keepNext w:val="0"/>
        <w:keepLines w:val="0"/>
        <w:widowControl w:val="0"/>
        <w:numPr>
          <w:ilvl w:val="0"/>
          <w:numId w:val="51"/>
        </w:numPr>
        <w:shd w:val="clear" w:color="auto" w:fill="auto"/>
        <w:tabs>
          <w:tab w:pos="445" w:val="left"/>
        </w:tabs>
        <w:bidi w:val="0"/>
        <w:spacing w:before="0" w:after="0" w:line="312" w:lineRule="exact"/>
        <w:ind w:left="0" w:right="0" w:firstLine="0"/>
        <w:jc w:val="both"/>
      </w:pPr>
      <w:bookmarkStart w:id="870" w:name="bookmark870"/>
      <w:bookmarkEnd w:id="870"/>
      <w:r>
        <w:rPr>
          <w:color w:val="000000"/>
          <w:spacing w:val="0"/>
          <w:w w:val="100"/>
          <w:position w:val="0"/>
        </w:rPr>
        <w:t>确认出售其享有的共同经营产出份额所产生的收入；</w:t>
      </w:r>
    </w:p>
    <w:p>
      <w:pPr>
        <w:pStyle w:val="Style28"/>
        <w:keepNext w:val="0"/>
        <w:keepLines w:val="0"/>
        <w:widowControl w:val="0"/>
        <w:numPr>
          <w:ilvl w:val="0"/>
          <w:numId w:val="51"/>
        </w:numPr>
        <w:shd w:val="clear" w:color="auto" w:fill="auto"/>
        <w:tabs>
          <w:tab w:pos="445" w:val="left"/>
        </w:tabs>
        <w:bidi w:val="0"/>
        <w:spacing w:before="0" w:after="0" w:line="312" w:lineRule="exact"/>
        <w:ind w:left="0" w:right="0" w:firstLine="0"/>
        <w:jc w:val="both"/>
      </w:pPr>
      <w:bookmarkStart w:id="871" w:name="bookmark871"/>
      <w:bookmarkEnd w:id="871"/>
      <w:r>
        <w:rPr>
          <w:color w:val="000000"/>
          <w:spacing w:val="0"/>
          <w:w w:val="100"/>
          <w:position w:val="0"/>
        </w:rPr>
        <w:t>按其份额确认共同经营因出售产出所产生的收入；</w:t>
      </w:r>
    </w:p>
    <w:p>
      <w:pPr>
        <w:pStyle w:val="Style28"/>
        <w:keepNext w:val="0"/>
        <w:keepLines w:val="0"/>
        <w:widowControl w:val="0"/>
        <w:numPr>
          <w:ilvl w:val="0"/>
          <w:numId w:val="51"/>
        </w:numPr>
        <w:shd w:val="clear" w:color="auto" w:fill="auto"/>
        <w:tabs>
          <w:tab w:pos="445" w:val="left"/>
        </w:tabs>
        <w:bidi w:val="0"/>
        <w:spacing w:before="0" w:after="0" w:line="312" w:lineRule="exact"/>
        <w:ind w:left="0" w:right="0" w:firstLine="0"/>
        <w:jc w:val="both"/>
      </w:pPr>
      <w:bookmarkStart w:id="872" w:name="bookmark872"/>
      <w:bookmarkEnd w:id="872"/>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该交易产生的损益中归属于共同经营其他参与方的部分。投出或出售的资产发生符合《企业会计准则第8号一一资产减值》 等规定的资产减值损失的，本公司全额确认该损失。</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益中归属于共同经营其他参与方的部分。购入的资产发生符合《企业会计准则第8号一一资产减值》等规定的资产减值损失 的，本公司按承担的份额确认该部分损失。</w:t>
      </w:r>
    </w:p>
    <w:p>
      <w:pPr>
        <w:pStyle w:val="Style28"/>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3"/>
        <w:keepNext/>
        <w:keepLines/>
        <w:widowControl w:val="0"/>
        <w:shd w:val="clear" w:color="auto" w:fill="auto"/>
        <w:tabs>
          <w:tab w:pos="378"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8</w:t>
      </w:r>
      <w:bookmarkEnd w:id="875"/>
      <w:r>
        <w:rPr>
          <w:color w:val="000000"/>
          <w:spacing w:val="0"/>
          <w:w w:val="100"/>
          <w:position w:val="0"/>
        </w:rPr>
        <w:t>、</w:t>
        <w:tab/>
        <w:t>现金及现金等价物的确定标准</w:t>
      </w:r>
      <w:bookmarkEnd w:id="873"/>
      <w:bookmarkEnd w:id="874"/>
      <w:bookmarkEnd w:id="876"/>
    </w:p>
    <w:p>
      <w:pPr>
        <w:pStyle w:val="Style28"/>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3"/>
        <w:keepNext/>
        <w:keepLines/>
        <w:widowControl w:val="0"/>
        <w:shd w:val="clear" w:color="auto" w:fill="auto"/>
        <w:tabs>
          <w:tab w:pos="378" w:val="left"/>
        </w:tabs>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9</w:t>
      </w:r>
      <w:bookmarkEnd w:id="879"/>
      <w:r>
        <w:rPr>
          <w:color w:val="000000"/>
          <w:spacing w:val="0"/>
          <w:w w:val="100"/>
          <w:position w:val="0"/>
        </w:rPr>
        <w:t>、</w:t>
        <w:tab/>
        <w:t>外币业务和外币报表折算</w:t>
      </w:r>
      <w:bookmarkEnd w:id="877"/>
      <w:bookmarkEnd w:id="878"/>
      <w:bookmarkEnd w:id="880"/>
    </w:p>
    <w:p>
      <w:pPr>
        <w:pStyle w:val="Style28"/>
        <w:keepNext w:val="0"/>
        <w:keepLines w:val="0"/>
        <w:widowControl w:val="0"/>
        <w:numPr>
          <w:ilvl w:val="0"/>
          <w:numId w:val="53"/>
        </w:numPr>
        <w:shd w:val="clear" w:color="auto" w:fill="auto"/>
        <w:tabs>
          <w:tab w:pos="301" w:val="left"/>
        </w:tabs>
        <w:bidi w:val="0"/>
        <w:spacing w:before="0" w:after="0"/>
        <w:ind w:left="0" w:right="0" w:firstLine="0"/>
        <w:jc w:val="left"/>
      </w:pPr>
      <w:bookmarkStart w:id="881" w:name="bookmark881"/>
      <w:bookmarkEnd w:id="881"/>
      <w:r>
        <w:rPr>
          <w:color w:val="000000"/>
          <w:spacing w:val="0"/>
          <w:w w:val="100"/>
          <w:position w:val="0"/>
        </w:rPr>
        <w:t>外币业务</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外币业务交易在初始确认时，采用交易发生日的即期汇率作为折算汇率折合成人民币记账。</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8"/>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28"/>
        <w:keepNext w:val="0"/>
        <w:keepLines w:val="0"/>
        <w:widowControl w:val="0"/>
        <w:numPr>
          <w:ilvl w:val="0"/>
          <w:numId w:val="53"/>
        </w:numPr>
        <w:shd w:val="clear" w:color="auto" w:fill="auto"/>
        <w:tabs>
          <w:tab w:pos="320" w:val="left"/>
        </w:tabs>
        <w:bidi w:val="0"/>
        <w:spacing w:before="0" w:after="0"/>
        <w:ind w:left="0" w:right="0" w:firstLine="0"/>
        <w:jc w:val="left"/>
      </w:pPr>
      <w:bookmarkStart w:id="882" w:name="bookmark882"/>
      <w:bookmarkEnd w:id="882"/>
      <w:r>
        <w:rPr>
          <w:color w:val="000000"/>
          <w:spacing w:val="0"/>
          <w:w w:val="100"/>
          <w:position w:val="0"/>
        </w:rPr>
        <w:t>外币财务报表的折算</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财务报表折算差额计入其他综合收益。</w:t>
      </w:r>
    </w:p>
    <w:p>
      <w:pPr>
        <w:pStyle w:val="Style28"/>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3"/>
        <w:keepNext/>
        <w:keepLines/>
        <w:widowControl w:val="0"/>
        <w:shd w:val="clear" w:color="auto" w:fill="auto"/>
        <w:tabs>
          <w:tab w:pos="469" w:val="left"/>
        </w:tabs>
        <w:bidi w:val="0"/>
        <w:spacing w:before="0" w:after="26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83"/>
      <w:bookmarkEnd w:id="884"/>
      <w:bookmarkEnd w:id="886"/>
    </w:p>
    <w:p>
      <w:pPr>
        <w:pStyle w:val="Style28"/>
        <w:keepNext w:val="0"/>
        <w:keepLines w:val="0"/>
        <w:widowControl w:val="0"/>
        <w:shd w:val="clear" w:color="auto" w:fill="auto"/>
        <w:bidi w:val="0"/>
        <w:spacing w:before="0" w:after="80" w:line="316" w:lineRule="exact"/>
        <w:ind w:left="0" w:right="0" w:firstLine="0"/>
        <w:jc w:val="both"/>
      </w:pPr>
      <w:r>
        <w:rPr>
          <w:color w:val="000000"/>
          <w:spacing w:val="0"/>
          <w:w w:val="100"/>
          <w:position w:val="0"/>
        </w:rPr>
        <w:t>金融工具包括金融资产、金融负债和权益工具。</w:t>
      </w:r>
    </w:p>
    <w:p>
      <w:pPr>
        <w:pStyle w:val="Style28"/>
        <w:keepNext w:val="0"/>
        <w:keepLines w:val="0"/>
        <w:widowControl w:val="0"/>
        <w:numPr>
          <w:ilvl w:val="0"/>
          <w:numId w:val="55"/>
        </w:numPr>
        <w:shd w:val="clear" w:color="auto" w:fill="auto"/>
        <w:tabs>
          <w:tab w:pos="301" w:val="left"/>
        </w:tabs>
        <w:bidi w:val="0"/>
        <w:spacing w:before="0" w:after="0"/>
        <w:ind w:left="0" w:right="0" w:firstLine="0"/>
        <w:jc w:val="both"/>
      </w:pPr>
      <w:bookmarkStart w:id="887" w:name="bookmark887"/>
      <w:bookmarkEnd w:id="887"/>
      <w:r>
        <w:rPr>
          <w:color w:val="000000"/>
          <w:spacing w:val="0"/>
          <w:w w:val="100"/>
          <w:position w:val="0"/>
        </w:rPr>
        <w:t>金融工具的分类</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本公司根据所发行金融工具的合同条款及其所反映的经济实质而非仅以法律形式，结合取得持有金融资产和承担金融负 债的目的，在初始确认时将金融资产和金融负债分为不同类别：以公允价值计量且其变动计入当期损益的金融资产（或金融 负债）；持有至到期投资；应收款项；可供出售金融资产；其他金融负债等。</w:t>
      </w:r>
    </w:p>
    <w:p>
      <w:pPr>
        <w:pStyle w:val="Style28"/>
        <w:keepNext w:val="0"/>
        <w:keepLines w:val="0"/>
        <w:widowControl w:val="0"/>
        <w:numPr>
          <w:ilvl w:val="0"/>
          <w:numId w:val="55"/>
        </w:numPr>
        <w:shd w:val="clear" w:color="auto" w:fill="auto"/>
        <w:tabs>
          <w:tab w:pos="320" w:val="left"/>
        </w:tabs>
        <w:bidi w:val="0"/>
        <w:spacing w:before="0" w:after="0" w:line="316" w:lineRule="exact"/>
        <w:ind w:left="0" w:right="0" w:firstLine="0"/>
        <w:jc w:val="left"/>
      </w:pPr>
      <w:bookmarkStart w:id="888" w:name="bookmark888"/>
      <w:bookmarkEnd w:id="888"/>
      <w:r>
        <w:rPr>
          <w:color w:val="000000"/>
          <w:spacing w:val="0"/>
          <w:w w:val="100"/>
          <w:position w:val="0"/>
        </w:rPr>
        <w:t>金融工具的确认依据和计量方法</w:t>
      </w:r>
    </w:p>
    <w:p>
      <w:pPr>
        <w:pStyle w:val="Style28"/>
        <w:keepNext w:val="0"/>
        <w:keepLines w:val="0"/>
        <w:widowControl w:val="0"/>
        <w:shd w:val="clear" w:color="auto" w:fill="auto"/>
        <w:bidi w:val="0"/>
        <w:spacing w:before="0" w:after="0" w:line="316" w:lineRule="exact"/>
        <w:ind w:left="0" w:right="0" w:firstLine="0"/>
        <w:jc w:val="left"/>
      </w:pPr>
      <w:bookmarkStart w:id="889" w:name="bookmark889"/>
      <w:r>
        <w:rPr>
          <w:rFonts w:ascii="Times New Roman" w:eastAsia="Times New Roman" w:hAnsi="Times New Roman" w:cs="Times New Roman"/>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以公允价值计量且其变动计入当期损益的金融资产或金融负债，包括交易性金融资产或金融负债和直接指定为以公允价 值计量且其变动计入当期损益的金融资产或金融负债。</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交易性金融资产或金融负债是指满足下列条件之一的金融资产或金融负债：</w:t>
      </w:r>
    </w:p>
    <w:p>
      <w:pPr>
        <w:pStyle w:val="Style28"/>
        <w:keepNext w:val="0"/>
        <w:keepLines w:val="0"/>
        <w:widowControl w:val="0"/>
        <w:shd w:val="clear" w:color="auto" w:fill="auto"/>
        <w:tabs>
          <w:tab w:pos="349" w:val="left"/>
        </w:tabs>
        <w:bidi w:val="0"/>
        <w:spacing w:before="0" w:after="0" w:line="316" w:lineRule="exact"/>
        <w:ind w:left="0" w:right="0" w:firstLine="0"/>
        <w:jc w:val="both"/>
      </w:pPr>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w:t>
        <w:tab/>
        <w:t>取得该金融资产或金融负债的目的是为了在短期内出售、回购或赎回；</w:t>
      </w:r>
    </w:p>
    <w:p>
      <w:pPr>
        <w:pStyle w:val="Style28"/>
        <w:keepNext w:val="0"/>
        <w:keepLines w:val="0"/>
        <w:widowControl w:val="0"/>
        <w:shd w:val="clear" w:color="auto" w:fill="auto"/>
        <w:tabs>
          <w:tab w:pos="368" w:val="left"/>
        </w:tabs>
        <w:bidi w:val="0"/>
        <w:spacing w:before="0" w:after="0" w:line="316" w:lineRule="exact"/>
        <w:ind w:left="0" w:right="0" w:firstLine="0"/>
        <w:jc w:val="both"/>
      </w:pPr>
      <w:bookmarkStart w:id="891" w:name="bookmark891"/>
      <w:r>
        <w:rPr>
          <w:rFonts w:ascii="Times New Roman" w:eastAsia="Times New Roman" w:hAnsi="Times New Roman" w:cs="Times New Roman"/>
          <w:color w:val="000000"/>
          <w:spacing w:val="0"/>
          <w:w w:val="100"/>
          <w:position w:val="0"/>
        </w:rPr>
        <w:t>2</w:t>
      </w:r>
      <w:bookmarkEnd w:id="891"/>
      <w:r>
        <w:rPr>
          <w:color w:val="000000"/>
          <w:spacing w:val="0"/>
          <w:w w:val="100"/>
          <w:position w:val="0"/>
        </w:rPr>
        <w:t>）</w:t>
        <w:tab/>
        <w:t>属于进行集中管理的可辨认金融工具组合的一部分，且有客观证据表明本公司近期采用短期获利方式对该组合进行管理；</w:t>
      </w:r>
    </w:p>
    <w:p>
      <w:pPr>
        <w:pStyle w:val="Style28"/>
        <w:keepNext w:val="0"/>
        <w:keepLines w:val="0"/>
        <w:widowControl w:val="0"/>
        <w:shd w:val="clear" w:color="auto" w:fill="auto"/>
        <w:tabs>
          <w:tab w:pos="368" w:val="left"/>
        </w:tabs>
        <w:bidi w:val="0"/>
        <w:spacing w:before="0" w:after="0" w:line="316" w:lineRule="exact"/>
        <w:ind w:left="0" w:right="0" w:firstLine="0"/>
        <w:jc w:val="both"/>
      </w:pPr>
      <w:bookmarkStart w:id="892" w:name="bookmark892"/>
      <w:r>
        <w:rPr>
          <w:rFonts w:ascii="Times New Roman" w:eastAsia="Times New Roman" w:hAnsi="Times New Roman" w:cs="Times New Roman"/>
          <w:color w:val="000000"/>
          <w:spacing w:val="0"/>
          <w:w w:val="100"/>
          <w:position w:val="0"/>
        </w:rPr>
        <w:t>3</w:t>
      </w:r>
      <w:bookmarkEnd w:id="892"/>
      <w:r>
        <w:rPr>
          <w:color w:val="000000"/>
          <w:spacing w:val="0"/>
          <w:w w:val="100"/>
          <w:position w:val="0"/>
        </w:rPr>
        <w:t>）</w:t>
        <w:tab/>
        <w:t>属于衍生金融工具，但是被指定为有效套期工具的衍生工具、属于财务担保合同的衍生工具、与在活跃市场中没有报价 且其公允价值不能可靠计量的权益工具投资挂钩并须通过交付该权益工具结算的衍生工具除外。</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只有符合以下条件之一，金融资产或金融负债才可在初始计量时指定为以公允价值计量且其变动计入损益的金融资产或 金融负债：</w:t>
      </w:r>
    </w:p>
    <w:p>
      <w:pPr>
        <w:pStyle w:val="Style28"/>
        <w:keepNext w:val="0"/>
        <w:keepLines w:val="0"/>
        <w:widowControl w:val="0"/>
        <w:shd w:val="clear" w:color="auto" w:fill="auto"/>
        <w:tabs>
          <w:tab w:pos="358" w:val="left"/>
        </w:tabs>
        <w:bidi w:val="0"/>
        <w:spacing w:before="0" w:after="0" w:line="316" w:lineRule="exact"/>
        <w:ind w:left="0" w:right="0" w:firstLine="0"/>
        <w:jc w:val="both"/>
      </w:pPr>
      <w:bookmarkStart w:id="893" w:name="bookmark893"/>
      <w:r>
        <w:rPr>
          <w:rFonts w:ascii="Times New Roman" w:eastAsia="Times New Roman" w:hAnsi="Times New Roman" w:cs="Times New Roman"/>
          <w:color w:val="000000"/>
          <w:spacing w:val="0"/>
          <w:w w:val="100"/>
          <w:position w:val="0"/>
        </w:rPr>
        <w:t>1</w:t>
      </w:r>
      <w:bookmarkEnd w:id="893"/>
      <w:r>
        <w:rPr>
          <w:color w:val="000000"/>
          <w:spacing w:val="0"/>
          <w:w w:val="100"/>
          <w:position w:val="0"/>
        </w:rPr>
        <w:t>）</w:t>
        <w:tab/>
        <w:t>该项指定可以消除或明显减少由于金融资产或金融负债的计量基础不同所导致的相关利得或损失在确认或计量方面不一 致的情况；</w:t>
      </w:r>
    </w:p>
    <w:p>
      <w:pPr>
        <w:pStyle w:val="Style28"/>
        <w:keepNext w:val="0"/>
        <w:keepLines w:val="0"/>
        <w:widowControl w:val="0"/>
        <w:shd w:val="clear" w:color="auto" w:fill="auto"/>
        <w:tabs>
          <w:tab w:pos="368" w:val="left"/>
        </w:tabs>
        <w:bidi w:val="0"/>
        <w:spacing w:before="0" w:after="180" w:line="316" w:lineRule="exact"/>
        <w:ind w:left="0" w:right="0" w:firstLine="0"/>
        <w:jc w:val="both"/>
      </w:pPr>
      <w:bookmarkStart w:id="894" w:name="bookmark894"/>
      <w:r>
        <w:rPr>
          <w:rFonts w:ascii="Times New Roman" w:eastAsia="Times New Roman" w:hAnsi="Times New Roman" w:cs="Times New Roman"/>
          <w:color w:val="000000"/>
          <w:spacing w:val="0"/>
          <w:w w:val="100"/>
          <w:position w:val="0"/>
        </w:rPr>
        <w:t>2</w:t>
      </w:r>
      <w:bookmarkEnd w:id="894"/>
      <w:r>
        <w:rPr>
          <w:color w:val="000000"/>
          <w:spacing w:val="0"/>
          <w:w w:val="100"/>
          <w:position w:val="0"/>
        </w:rPr>
        <w:t>）</w:t>
        <w:tab/>
        <w:t>风险管理或投资策略的正式书面文件已载明，该金融资产组合、该金融负债组合、或该金融资产和金融负债组合，以公 允价值为基础进行管理、评价并向关键管理人员报告；</w:t>
      </w:r>
    </w:p>
    <w:p>
      <w:pPr>
        <w:pStyle w:val="Style28"/>
        <w:keepNext w:val="0"/>
        <w:keepLines w:val="0"/>
        <w:widowControl w:val="0"/>
        <w:shd w:val="clear" w:color="auto" w:fill="auto"/>
        <w:tabs>
          <w:tab w:pos="358" w:val="left"/>
        </w:tabs>
        <w:bidi w:val="0"/>
        <w:spacing w:before="0" w:after="0" w:line="313" w:lineRule="exact"/>
        <w:ind w:left="0" w:right="0" w:firstLine="0"/>
        <w:jc w:val="both"/>
      </w:pPr>
      <w:bookmarkStart w:id="895" w:name="bookmark895"/>
      <w:r>
        <w:rPr>
          <w:rFonts w:ascii="Times New Roman" w:eastAsia="Times New Roman" w:hAnsi="Times New Roman" w:cs="Times New Roman"/>
          <w:color w:val="000000"/>
          <w:spacing w:val="0"/>
          <w:w w:val="100"/>
          <w:position w:val="0"/>
        </w:rPr>
        <w:t>3</w:t>
      </w:r>
      <w:bookmarkEnd w:id="895"/>
      <w:r>
        <w:rPr>
          <w:color w:val="000000"/>
          <w:spacing w:val="0"/>
          <w:w w:val="100"/>
          <w:position w:val="0"/>
        </w:rPr>
        <w:t>）</w:t>
        <w:tab/>
        <w:t>包含一项或多项嵌入衍生工具的混合工具，除非嵌入衍生工具对混合工具的现金流量没有重大改变，或所嵌入的衍生工 具明显不应当从相关混合工具中分拆；</w:t>
      </w:r>
    </w:p>
    <w:p>
      <w:pPr>
        <w:pStyle w:val="Style28"/>
        <w:keepNext w:val="0"/>
        <w:keepLines w:val="0"/>
        <w:widowControl w:val="0"/>
        <w:shd w:val="clear" w:color="auto" w:fill="auto"/>
        <w:tabs>
          <w:tab w:pos="368" w:val="left"/>
        </w:tabs>
        <w:bidi w:val="0"/>
        <w:spacing w:before="0" w:after="0" w:line="313" w:lineRule="exact"/>
        <w:ind w:left="0" w:right="0" w:firstLine="0"/>
        <w:jc w:val="both"/>
      </w:pPr>
      <w:bookmarkStart w:id="896" w:name="bookmark896"/>
      <w:r>
        <w:rPr>
          <w:rFonts w:ascii="Times New Roman" w:eastAsia="Times New Roman" w:hAnsi="Times New Roman" w:cs="Times New Roman"/>
          <w:color w:val="000000"/>
          <w:spacing w:val="0"/>
          <w:w w:val="100"/>
          <w:position w:val="0"/>
        </w:rPr>
        <w:t>4</w:t>
      </w:r>
      <w:bookmarkEnd w:id="896"/>
      <w:r>
        <w:rPr>
          <w:color w:val="000000"/>
          <w:spacing w:val="0"/>
          <w:w w:val="100"/>
          <w:position w:val="0"/>
        </w:rPr>
        <w:t>）</w:t>
        <w:tab/>
        <w:t>包含需要分拆但无法在取得时或后续的资产负债表日对其进行单独计量的嵌入衍生工具的混合工具。</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本公司对以公允价值计量且其变动计入当期损益的金融资产或金融负债，在取得时以公允价值（扣除已宣告但尚未发放 的现金股利或已到付息期但尚未领取的债券利息）作为初始确认金额，相关的交易费用计入当期损益。持有期间将取得的利 息或现金股利确认为投资收益，期末将公允价值变动计入当期损益。处置时，其公允价值与初始入账金额之间的差额确认为 投资收益，同时调整公允价值变动损益。</w:t>
      </w:r>
    </w:p>
    <w:p>
      <w:pPr>
        <w:pStyle w:val="Style28"/>
        <w:keepNext w:val="0"/>
        <w:keepLines w:val="0"/>
        <w:widowControl w:val="0"/>
        <w:shd w:val="clear" w:color="auto" w:fill="auto"/>
        <w:tabs>
          <w:tab w:pos="401" w:val="left"/>
        </w:tabs>
        <w:bidi w:val="0"/>
        <w:spacing w:before="0" w:after="0"/>
        <w:ind w:left="0" w:right="0" w:firstLine="0"/>
        <w:jc w:val="left"/>
      </w:pPr>
      <w:bookmarkStart w:id="897" w:name="bookmark897"/>
      <w:r>
        <w:rPr>
          <w:rFonts w:ascii="Times New Roman" w:eastAsia="Times New Roman" w:hAnsi="Times New Roman" w:cs="Times New Roman"/>
          <w:color w:val="000000"/>
          <w:spacing w:val="0"/>
          <w:w w:val="100"/>
          <w:position w:val="0"/>
        </w:rPr>
        <w:t>（</w:t>
      </w:r>
      <w:bookmarkEnd w:id="897"/>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应收款项是指在活跃市场中没有报价、回收金额固定或可确定的非衍生金融资产。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本公司对外销售商品或提供劳务形成的应收债权，以及公司持有的其他企业的不包括在活跃市场上有报价的债务工具的 债权，包括应收账款、其他应收款、应收票据、预付款项等，以向购货方应收的合同或协议价款作为初始确认金额；具有融 资性质的，按其现值进行初始确认。</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401" w:val="left"/>
        </w:tabs>
        <w:bidi w:val="0"/>
        <w:spacing w:before="0" w:after="0"/>
        <w:ind w:left="0" w:right="0" w:firstLine="0"/>
        <w:jc w:val="left"/>
      </w:pPr>
      <w:bookmarkStart w:id="898" w:name="bookmark898"/>
      <w:r>
        <w:rPr>
          <w:rFonts w:ascii="Times New Roman" w:eastAsia="Times New Roman" w:hAnsi="Times New Roman" w:cs="Times New Roman"/>
          <w:color w:val="000000"/>
          <w:spacing w:val="0"/>
          <w:w w:val="100"/>
          <w:position w:val="0"/>
        </w:rPr>
        <w:t>（</w:t>
      </w:r>
      <w:bookmarkEnd w:id="898"/>
      <w:r>
        <w:rPr>
          <w:rFonts w:ascii="Times New Roman" w:eastAsia="Times New Roman" w:hAnsi="Times New Roman" w:cs="Times New Roman"/>
          <w:color w:val="000000"/>
          <w:spacing w:val="0"/>
          <w:w w:val="100"/>
          <w:position w:val="0"/>
        </w:rPr>
        <w:t>3）</w:t>
        <w:tab/>
      </w:r>
      <w:r>
        <w:rPr>
          <w:color w:val="000000"/>
          <w:spacing w:val="0"/>
          <w:w w:val="100"/>
          <w:position w:val="0"/>
        </w:rPr>
        <w:t>持有至到期投资</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持有至到期投资是指到期日固定、回收金额固定或可确定,且本公司有明确意图和能力持有至到期的非衍生性金融资产。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本公司对持有至到期投资，在取得时按公允价值（扣除已到付息期但尚未领取的债券利息）和相关交易费用之和作为初 始确认金额。持有期间按照摊余成本和实际利率计算确认利息收入，计入投资收益。实际利率在取得时确定，在该预期存续 期间或适用的更短期间内保持不变。处置时，将所取得价款与该投资账面价值之间的差额计入投资收益。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如果持有至到期投资处置或重分类为其他类金融资产的金额，相对于本公司全部持有至到期投资在出售或重分类前的总 额较大，在处置或重分类后应立即将其剩余的持有至到期投资重分类为可供出售金融资产；重分类日，该投资的账面价值与 其公允价值之间的差额计入其他综合收益，在该可供出售金融资产发生减值或终止确认时转出，计入当期损益。但是，遇到 下列情况可以除外：</w:t>
      </w:r>
    </w:p>
    <w:p>
      <w:pPr>
        <w:pStyle w:val="Style28"/>
        <w:keepNext w:val="0"/>
        <w:keepLines w:val="0"/>
        <w:widowControl w:val="0"/>
        <w:shd w:val="clear" w:color="auto" w:fill="auto"/>
        <w:tabs>
          <w:tab w:pos="353" w:val="left"/>
        </w:tabs>
        <w:bidi w:val="0"/>
        <w:spacing w:before="0" w:after="0" w:line="313" w:lineRule="exact"/>
        <w:ind w:left="0" w:right="0" w:firstLine="0"/>
        <w:jc w:val="left"/>
      </w:pPr>
      <w:bookmarkStart w:id="899" w:name="bookmark899"/>
      <w:r>
        <w:rPr>
          <w:rFonts w:ascii="Times New Roman" w:eastAsia="Times New Roman" w:hAnsi="Times New Roman" w:cs="Times New Roman"/>
          <w:color w:val="000000"/>
          <w:spacing w:val="0"/>
          <w:w w:val="100"/>
          <w:position w:val="0"/>
        </w:rPr>
        <w:t>1</w:t>
      </w:r>
      <w:bookmarkEnd w:id="899"/>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，且市场利率变化对该项投资的公允价值没有 显著影响。</w:t>
      </w:r>
    </w:p>
    <w:p>
      <w:pPr>
        <w:pStyle w:val="Style28"/>
        <w:keepNext w:val="0"/>
        <w:keepLines w:val="0"/>
        <w:widowControl w:val="0"/>
        <w:shd w:val="clear" w:color="auto" w:fill="auto"/>
        <w:tabs>
          <w:tab w:pos="368" w:val="left"/>
        </w:tabs>
        <w:bidi w:val="0"/>
        <w:spacing w:before="0" w:after="0" w:line="313" w:lineRule="exact"/>
        <w:ind w:left="0" w:right="0" w:firstLine="0"/>
        <w:jc w:val="left"/>
      </w:pPr>
      <w:bookmarkStart w:id="900" w:name="bookmark900"/>
      <w:r>
        <w:rPr>
          <w:rFonts w:ascii="Times New Roman" w:eastAsia="Times New Roman" w:hAnsi="Times New Roman" w:cs="Times New Roman"/>
          <w:color w:val="000000"/>
          <w:spacing w:val="0"/>
          <w:w w:val="100"/>
          <w:position w:val="0"/>
        </w:rPr>
        <w:t>2</w:t>
      </w:r>
      <w:bookmarkEnd w:id="900"/>
      <w:r>
        <w:rPr>
          <w:color w:val="000000"/>
          <w:spacing w:val="0"/>
          <w:w w:val="100"/>
          <w:position w:val="0"/>
        </w:rPr>
        <w:t>）</w:t>
        <w:tab/>
        <w:t>根据合同约定的偿付方式，企业已收回几乎所有初始本金。</w:t>
      </w:r>
    </w:p>
    <w:p>
      <w:pPr>
        <w:pStyle w:val="Style28"/>
        <w:keepNext w:val="0"/>
        <w:keepLines w:val="0"/>
        <w:widowControl w:val="0"/>
        <w:shd w:val="clear" w:color="auto" w:fill="auto"/>
        <w:tabs>
          <w:tab w:pos="368" w:val="left"/>
        </w:tabs>
        <w:bidi w:val="0"/>
        <w:spacing w:before="0" w:after="80" w:line="313" w:lineRule="exact"/>
        <w:ind w:left="0" w:right="0" w:firstLine="0"/>
        <w:jc w:val="left"/>
      </w:pPr>
      <w:bookmarkStart w:id="901" w:name="bookmark901"/>
      <w:r>
        <w:rPr>
          <w:rFonts w:ascii="Times New Roman" w:eastAsia="Times New Roman" w:hAnsi="Times New Roman" w:cs="Times New Roman"/>
          <w:color w:val="000000"/>
          <w:spacing w:val="0"/>
          <w:w w:val="100"/>
          <w:position w:val="0"/>
        </w:rPr>
        <w:t>3</w:t>
      </w:r>
      <w:bookmarkEnd w:id="901"/>
      <w:r>
        <w:rPr>
          <w:color w:val="000000"/>
          <w:spacing w:val="0"/>
          <w:w w:val="100"/>
          <w:position w:val="0"/>
        </w:rPr>
        <w:t>）</w:t>
        <w:tab/>
        <w:t>出售或重分类是由于企业无法控制、预期不会重复发生且难以合理预计的独立事件所引起。</w:t>
      </w:r>
    </w:p>
    <w:p>
      <w:pPr>
        <w:pStyle w:val="Style28"/>
        <w:keepNext w:val="0"/>
        <w:keepLines w:val="0"/>
        <w:widowControl w:val="0"/>
        <w:shd w:val="clear" w:color="auto" w:fill="auto"/>
        <w:tabs>
          <w:tab w:pos="401" w:val="left"/>
        </w:tabs>
        <w:bidi w:val="0"/>
        <w:spacing w:before="0" w:after="0"/>
        <w:ind w:left="0" w:right="0" w:firstLine="0"/>
        <w:jc w:val="left"/>
      </w:pPr>
      <w:bookmarkStart w:id="902" w:name="bookmark902"/>
      <w:r>
        <w:rPr>
          <w:rFonts w:ascii="Times New Roman" w:eastAsia="Times New Roman" w:hAnsi="Times New Roman" w:cs="Times New Roman"/>
          <w:color w:val="000000"/>
          <w:spacing w:val="0"/>
          <w:w w:val="100"/>
          <w:position w:val="0"/>
        </w:rPr>
        <w:t>（</w:t>
      </w:r>
      <w:bookmarkEnd w:id="902"/>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可供出售金融资产，是指初始确认时即指定为可供出售的非衍生金融资产，以及除其他金融资产类别以外的金融资产。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本公司对可供出售金融资产，在取得时按公允价值（扣除已宣告但尚未发放的现金股利或已到付息期但尚未领取的债券 利息）和相关交易费用之和作为初始确认金额。持有期间将取得的利息或现金股利确认为投资收益。可供出售金融资产的公 允价值变动形成的利得或损失，除减值损失和外币货币性金融资产形成的汇兑差额外，直接计入其他综合收益。处置可供出 售金融资产时，将取得的价款与该金融资产账面价值之间的差额，计入投资损益；同时，将原直接计入其他综合收益的公允 价值变动累计额对应处置部分的金额转出，计入投资损益。</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本公司对在活跃市场中没有报价且其公允价值不能可靠计量的权益工具投资，以及与该权益工具挂钩并须通过交付该权 益工具结算的衍生金融资产，按照成本计量。</w:t>
      </w:r>
    </w:p>
    <w:p>
      <w:pPr>
        <w:pStyle w:val="Style28"/>
        <w:keepNext w:val="0"/>
        <w:keepLines w:val="0"/>
        <w:widowControl w:val="0"/>
        <w:shd w:val="clear" w:color="auto" w:fill="auto"/>
        <w:tabs>
          <w:tab w:pos="401" w:val="left"/>
        </w:tabs>
        <w:bidi w:val="0"/>
        <w:spacing w:before="0" w:after="0"/>
        <w:ind w:left="0" w:right="0" w:firstLine="0"/>
        <w:jc w:val="left"/>
      </w:pPr>
      <w:bookmarkStart w:id="903" w:name="bookmark903"/>
      <w:r>
        <w:rPr>
          <w:rFonts w:ascii="Times New Roman" w:eastAsia="Times New Roman" w:hAnsi="Times New Roman" w:cs="Times New Roman"/>
          <w:color w:val="000000"/>
          <w:spacing w:val="0"/>
          <w:w w:val="100"/>
          <w:position w:val="0"/>
        </w:rPr>
        <w:t>（</w:t>
      </w:r>
      <w:bookmarkEnd w:id="903"/>
      <w:r>
        <w:rPr>
          <w:rFonts w:ascii="Times New Roman" w:eastAsia="Times New Roman" w:hAnsi="Times New Roman" w:cs="Times New Roman"/>
          <w:color w:val="000000"/>
          <w:spacing w:val="0"/>
          <w:w w:val="100"/>
          <w:position w:val="0"/>
        </w:rPr>
        <w:t>5）</w:t>
        <w:tab/>
      </w:r>
      <w:r>
        <w:rPr>
          <w:color w:val="000000"/>
          <w:spacing w:val="0"/>
          <w:w w:val="100"/>
          <w:position w:val="0"/>
        </w:rPr>
        <w:t>其他金融负债</w:t>
      </w:r>
    </w:p>
    <w:p>
      <w:pPr>
        <w:pStyle w:val="Style28"/>
        <w:keepNext w:val="0"/>
        <w:keepLines w:val="0"/>
        <w:widowControl w:val="0"/>
        <w:shd w:val="clear" w:color="auto" w:fill="auto"/>
        <w:bidi w:val="0"/>
        <w:spacing w:before="0" w:after="80" w:line="313"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28"/>
        <w:keepNext w:val="0"/>
        <w:keepLines w:val="0"/>
        <w:widowControl w:val="0"/>
        <w:numPr>
          <w:ilvl w:val="0"/>
          <w:numId w:val="55"/>
        </w:numPr>
        <w:shd w:val="clear" w:color="auto" w:fill="auto"/>
        <w:bidi w:val="0"/>
        <w:spacing w:before="0" w:after="0"/>
        <w:ind w:left="0" w:right="0" w:firstLine="0"/>
        <w:jc w:val="left"/>
      </w:pPr>
      <w:bookmarkStart w:id="904" w:name="bookmark904"/>
      <w:bookmarkEnd w:id="904"/>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8"/>
        <w:keepNext w:val="0"/>
        <w:keepLines w:val="0"/>
        <w:widowControl w:val="0"/>
        <w:shd w:val="clear" w:color="auto" w:fill="auto"/>
        <w:tabs>
          <w:tab w:pos="444" w:val="left"/>
        </w:tabs>
        <w:bidi w:val="0"/>
        <w:spacing w:before="0" w:after="0" w:line="313" w:lineRule="exact"/>
        <w:ind w:left="0" w:right="0" w:firstLine="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8"/>
        <w:keepNext w:val="0"/>
        <w:keepLines w:val="0"/>
        <w:widowControl w:val="0"/>
        <w:shd w:val="clear" w:color="auto" w:fill="auto"/>
        <w:tabs>
          <w:tab w:pos="444" w:val="left"/>
        </w:tabs>
        <w:bidi w:val="0"/>
        <w:spacing w:before="0" w:after="0" w:line="313" w:lineRule="exact"/>
        <w:ind w:left="0" w:right="0" w:firstLine="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因转移而收到的对价，与原直接计入所有者权益的公允价值变动累计额（涉及转移的金融资产为可供出售金融资产的 </w:t>
      </w:r>
      <w:r>
        <w:rPr>
          <w:color w:val="000000"/>
          <w:spacing w:val="0"/>
          <w:w w:val="100"/>
          <w:position w:val="0"/>
        </w:rPr>
        <w:t>情形)之和。</w:t>
      </w:r>
    </w:p>
    <w:p>
      <w:pPr>
        <w:pStyle w:val="Style2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numPr>
          <w:ilvl w:val="0"/>
          <w:numId w:val="57"/>
        </w:numPr>
        <w:shd w:val="clear" w:color="auto" w:fill="auto"/>
        <w:tabs>
          <w:tab w:pos="445" w:val="left"/>
        </w:tabs>
        <w:bidi w:val="0"/>
        <w:spacing w:before="0" w:after="0" w:line="315" w:lineRule="exact"/>
        <w:ind w:left="0" w:right="0" w:firstLine="0"/>
        <w:jc w:val="both"/>
      </w:pPr>
      <w:bookmarkStart w:id="907" w:name="bookmark907"/>
      <w:bookmarkEnd w:id="907"/>
      <w:r>
        <w:rPr>
          <w:color w:val="000000"/>
          <w:spacing w:val="0"/>
          <w:w w:val="100"/>
          <w:position w:val="0"/>
        </w:rPr>
        <w:t>终止确认部分的账面价值；</w:t>
      </w:r>
    </w:p>
    <w:p>
      <w:pPr>
        <w:pStyle w:val="Style28"/>
        <w:keepNext w:val="0"/>
        <w:keepLines w:val="0"/>
        <w:widowControl w:val="0"/>
        <w:numPr>
          <w:ilvl w:val="0"/>
          <w:numId w:val="57"/>
        </w:numPr>
        <w:shd w:val="clear" w:color="auto" w:fill="auto"/>
        <w:tabs>
          <w:tab w:pos="536" w:val="left"/>
        </w:tabs>
        <w:bidi w:val="0"/>
        <w:spacing w:before="0" w:after="0" w:line="315" w:lineRule="exact"/>
        <w:ind w:left="0" w:right="0" w:firstLine="0"/>
        <w:jc w:val="both"/>
      </w:pPr>
      <w:bookmarkStart w:id="908" w:name="bookmark908"/>
      <w:bookmarkEnd w:id="908"/>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8"/>
        <w:keepNext w:val="0"/>
        <w:keepLines w:val="0"/>
        <w:widowControl w:val="0"/>
        <w:shd w:val="clear" w:color="auto" w:fill="auto"/>
        <w:bidi w:val="0"/>
        <w:spacing w:before="0" w:after="80" w:line="315" w:lineRule="exact"/>
        <w:ind w:left="0" w:right="0" w:firstLine="380"/>
        <w:jc w:val="left"/>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numPr>
          <w:ilvl w:val="0"/>
          <w:numId w:val="55"/>
        </w:numPr>
        <w:shd w:val="clear" w:color="auto" w:fill="auto"/>
        <w:tabs>
          <w:tab w:pos="320" w:val="left"/>
        </w:tabs>
        <w:bidi w:val="0"/>
        <w:spacing w:before="0" w:after="0"/>
        <w:ind w:left="0" w:right="0" w:firstLine="0"/>
        <w:jc w:val="left"/>
      </w:pPr>
      <w:bookmarkStart w:id="909" w:name="bookmark909"/>
      <w:bookmarkEnd w:id="909"/>
      <w:r>
        <w:rPr>
          <w:color w:val="000000"/>
          <w:spacing w:val="0"/>
          <w:w w:val="100"/>
          <w:position w:val="0"/>
        </w:rPr>
        <w:t>金融负债终止确认条件</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8"/>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8"/>
        <w:keepNext w:val="0"/>
        <w:keepLines w:val="0"/>
        <w:widowControl w:val="0"/>
        <w:numPr>
          <w:ilvl w:val="0"/>
          <w:numId w:val="55"/>
        </w:numPr>
        <w:shd w:val="clear" w:color="auto" w:fill="auto"/>
        <w:tabs>
          <w:tab w:pos="320" w:val="left"/>
        </w:tabs>
        <w:bidi w:val="0"/>
        <w:spacing w:before="0" w:after="0"/>
        <w:ind w:left="0" w:right="0" w:firstLine="0"/>
        <w:jc w:val="left"/>
      </w:pPr>
      <w:bookmarkStart w:id="910" w:name="bookmark910"/>
      <w:bookmarkEnd w:id="910"/>
      <w:r>
        <w:rPr>
          <w:color w:val="000000"/>
          <w:spacing w:val="0"/>
          <w:w w:val="100"/>
          <w:position w:val="0"/>
        </w:rPr>
        <w:t>金融资产和金融负债公允价值的确定方法</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存在活跃市场的金融资产或金融负债，以活跃市场的报价确定其公允价值;活跃市场的报价包括易于且可定期从交易所、 交易商、经纪人、行业集团、定价机构或监管机构等获得相关资产或负债的报价，且能代表在公平交易基础上实际并经常发 生的市场交易。</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初始取得或衍生的金融资产或承担的金融负债，以市场交易价格作为确定其公允价值的基础。</w:t>
      </w:r>
    </w:p>
    <w:p>
      <w:pPr>
        <w:pStyle w:val="Style28"/>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8"/>
        <w:keepNext w:val="0"/>
        <w:keepLines w:val="0"/>
        <w:widowControl w:val="0"/>
        <w:numPr>
          <w:ilvl w:val="0"/>
          <w:numId w:val="55"/>
        </w:numPr>
        <w:shd w:val="clear" w:color="auto" w:fill="auto"/>
        <w:tabs>
          <w:tab w:pos="320" w:val="left"/>
        </w:tabs>
        <w:bidi w:val="0"/>
        <w:spacing w:before="0" w:after="0"/>
        <w:ind w:left="0" w:right="0" w:firstLine="0"/>
        <w:jc w:val="left"/>
      </w:pPr>
      <w:bookmarkStart w:id="911" w:name="bookmark911"/>
      <w:bookmarkEnd w:id="911"/>
      <w:r>
        <w:rPr>
          <w:color w:val="000000"/>
          <w:spacing w:val="0"/>
          <w:w w:val="100"/>
          <w:position w:val="0"/>
        </w:rPr>
        <w:t>金融资产(不含应收款项)减值准备计提</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资产负债表日对以公允价值计量且其变动计入当期损益的金融资产以外的金融资产的账面价值进行检查，如有客观证据 表明该金融资产发生减值的，计提减值准备。</w:t>
      </w:r>
    </w:p>
    <w:p>
      <w:pPr>
        <w:pStyle w:val="Style28"/>
        <w:keepNext w:val="0"/>
        <w:keepLines w:val="0"/>
        <w:widowControl w:val="0"/>
        <w:shd w:val="clear" w:color="auto" w:fill="auto"/>
        <w:bidi w:val="0"/>
        <w:spacing w:before="0" w:after="80" w:line="315" w:lineRule="exact"/>
        <w:ind w:left="0" w:right="0" w:firstLine="0"/>
        <w:jc w:val="left"/>
      </w:pPr>
      <w:r>
        <w:rPr>
          <w:color w:val="000000"/>
          <w:spacing w:val="0"/>
          <w:w w:val="100"/>
          <w:position w:val="0"/>
        </w:rPr>
        <w:t>金融资产发生减值的客观证据，包括但不限于：</w:t>
      </w:r>
    </w:p>
    <w:p>
      <w:pPr>
        <w:pStyle w:val="Style28"/>
        <w:keepNext w:val="0"/>
        <w:keepLines w:val="0"/>
        <w:widowControl w:val="0"/>
        <w:numPr>
          <w:ilvl w:val="0"/>
          <w:numId w:val="59"/>
        </w:numPr>
        <w:shd w:val="clear" w:color="auto" w:fill="auto"/>
        <w:tabs>
          <w:tab w:pos="402" w:val="left"/>
        </w:tabs>
        <w:bidi w:val="0"/>
        <w:spacing w:before="0" w:after="0"/>
        <w:ind w:left="0" w:right="0" w:firstLine="0"/>
        <w:jc w:val="left"/>
      </w:pPr>
      <w:bookmarkStart w:id="912" w:name="bookmark912"/>
      <w:bookmarkEnd w:id="912"/>
      <w:r>
        <w:rPr>
          <w:color w:val="000000"/>
          <w:spacing w:val="0"/>
          <w:w w:val="100"/>
          <w:position w:val="0"/>
        </w:rPr>
        <w:t>发行方或债务人发生严重财务困难；</w:t>
      </w:r>
    </w:p>
    <w:p>
      <w:pPr>
        <w:pStyle w:val="Style28"/>
        <w:keepNext w:val="0"/>
        <w:keepLines w:val="0"/>
        <w:widowControl w:val="0"/>
        <w:numPr>
          <w:ilvl w:val="0"/>
          <w:numId w:val="59"/>
        </w:numPr>
        <w:shd w:val="clear" w:color="auto" w:fill="auto"/>
        <w:tabs>
          <w:tab w:pos="402" w:val="left"/>
        </w:tabs>
        <w:bidi w:val="0"/>
        <w:spacing w:before="0" w:after="0"/>
        <w:ind w:left="0" w:right="0" w:firstLine="0"/>
        <w:jc w:val="left"/>
      </w:pPr>
      <w:bookmarkStart w:id="913" w:name="bookmark913"/>
      <w:bookmarkEnd w:id="913"/>
      <w:r>
        <w:rPr>
          <w:color w:val="000000"/>
          <w:spacing w:val="0"/>
          <w:w w:val="100"/>
          <w:position w:val="0"/>
        </w:rPr>
        <w:t>债务人违反了合同条款，如偿付利息或本金发生违约或逾期等；</w:t>
      </w:r>
    </w:p>
    <w:p>
      <w:pPr>
        <w:pStyle w:val="Style28"/>
        <w:keepNext w:val="0"/>
        <w:keepLines w:val="0"/>
        <w:widowControl w:val="0"/>
        <w:numPr>
          <w:ilvl w:val="0"/>
          <w:numId w:val="59"/>
        </w:numPr>
        <w:shd w:val="clear" w:color="auto" w:fill="auto"/>
        <w:tabs>
          <w:tab w:pos="402" w:val="left"/>
        </w:tabs>
        <w:bidi w:val="0"/>
        <w:spacing w:before="0" w:after="0"/>
        <w:ind w:left="0" w:right="0" w:firstLine="0"/>
        <w:jc w:val="left"/>
      </w:pPr>
      <w:bookmarkStart w:id="914" w:name="bookmark914"/>
      <w:bookmarkEnd w:id="914"/>
      <w:r>
        <w:rPr>
          <w:color w:val="000000"/>
          <w:spacing w:val="0"/>
          <w:w w:val="100"/>
          <w:position w:val="0"/>
        </w:rPr>
        <w:t>债权人出于经济或法律等方面因素的考虑，对发生财务困难的债务人作出让步；</w:t>
      </w:r>
    </w:p>
    <w:p>
      <w:pPr>
        <w:pStyle w:val="Style28"/>
        <w:keepNext w:val="0"/>
        <w:keepLines w:val="0"/>
        <w:widowControl w:val="0"/>
        <w:numPr>
          <w:ilvl w:val="0"/>
          <w:numId w:val="59"/>
        </w:numPr>
        <w:shd w:val="clear" w:color="auto" w:fill="auto"/>
        <w:tabs>
          <w:tab w:pos="402" w:val="left"/>
        </w:tabs>
        <w:bidi w:val="0"/>
        <w:spacing w:before="0" w:after="0"/>
        <w:ind w:left="0" w:right="0" w:firstLine="0"/>
        <w:jc w:val="left"/>
      </w:pPr>
      <w:bookmarkStart w:id="915" w:name="bookmark915"/>
      <w:bookmarkEnd w:id="915"/>
      <w:r>
        <w:rPr>
          <w:color w:val="000000"/>
          <w:spacing w:val="0"/>
          <w:w w:val="100"/>
          <w:position w:val="0"/>
        </w:rPr>
        <w:t>债务人很可能倒闭或进行其他财务重组；</w:t>
      </w:r>
    </w:p>
    <w:p>
      <w:pPr>
        <w:pStyle w:val="Style28"/>
        <w:keepNext w:val="0"/>
        <w:keepLines w:val="0"/>
        <w:widowControl w:val="0"/>
        <w:numPr>
          <w:ilvl w:val="0"/>
          <w:numId w:val="59"/>
        </w:numPr>
        <w:shd w:val="clear" w:color="auto" w:fill="auto"/>
        <w:tabs>
          <w:tab w:pos="402" w:val="left"/>
        </w:tabs>
        <w:bidi w:val="0"/>
        <w:spacing w:before="0" w:after="0"/>
        <w:ind w:left="0" w:right="0" w:firstLine="0"/>
        <w:jc w:val="left"/>
      </w:pPr>
      <w:bookmarkStart w:id="916" w:name="bookmark916"/>
      <w:bookmarkEnd w:id="916"/>
      <w:r>
        <w:rPr>
          <w:color w:val="000000"/>
          <w:spacing w:val="0"/>
          <w:w w:val="100"/>
          <w:position w:val="0"/>
        </w:rPr>
        <w:t>因发行方发生重大财务困难，该金融资产无法在活跃市场继续交易；</w:t>
      </w:r>
    </w:p>
    <w:p>
      <w:pPr>
        <w:pStyle w:val="Style28"/>
        <w:keepNext w:val="0"/>
        <w:keepLines w:val="0"/>
        <w:widowControl w:val="0"/>
        <w:numPr>
          <w:ilvl w:val="0"/>
          <w:numId w:val="59"/>
        </w:numPr>
        <w:shd w:val="clear" w:color="auto" w:fill="auto"/>
        <w:tabs>
          <w:tab w:pos="402" w:val="left"/>
        </w:tabs>
        <w:bidi w:val="0"/>
        <w:spacing w:before="0" w:after="0" w:line="315" w:lineRule="exact"/>
        <w:ind w:left="0" w:right="0" w:firstLine="0"/>
        <w:jc w:val="left"/>
      </w:pPr>
      <w:bookmarkStart w:id="917" w:name="bookmark917"/>
      <w:bookmarkEnd w:id="917"/>
      <w:r>
        <w:rPr>
          <w:color w:val="000000"/>
          <w:spacing w:val="0"/>
          <w:w w:val="100"/>
          <w:position w:val="0"/>
        </w:rPr>
        <w:t>无法辨认一组金融资产中的某项资产的现金流量是否已经减少，但根据公开的数据对其进行总体评价后发现，该组金融 资产自初始确认以来的预计未来现金流量确已减少且可计量，如该组金融资产的债务人支付能力逐步恶化，或债务人所在国 家或地区失业率提高、担保物在其所在地区的价格明显下降、所处行业不景气等；</w:t>
      </w:r>
    </w:p>
    <w:p>
      <w:pPr>
        <w:pStyle w:val="Style28"/>
        <w:keepNext w:val="0"/>
        <w:keepLines w:val="0"/>
        <w:widowControl w:val="0"/>
        <w:numPr>
          <w:ilvl w:val="0"/>
          <w:numId w:val="59"/>
        </w:numPr>
        <w:shd w:val="clear" w:color="auto" w:fill="auto"/>
        <w:tabs>
          <w:tab w:pos="402" w:val="left"/>
        </w:tabs>
        <w:bidi w:val="0"/>
        <w:spacing w:before="0" w:after="0" w:line="315" w:lineRule="exact"/>
        <w:ind w:left="0" w:right="0" w:firstLine="0"/>
        <w:jc w:val="left"/>
      </w:pPr>
      <w:bookmarkStart w:id="918" w:name="bookmark918"/>
      <w:bookmarkEnd w:id="918"/>
      <w:r>
        <w:rPr>
          <w:color w:val="000000"/>
          <w:spacing w:val="0"/>
          <w:w w:val="100"/>
          <w:position w:val="0"/>
        </w:rPr>
        <w:t>权益工具发行方经营所处的技术、市场、经济或法律环境等发生重大不利变化，使权益工具投资人可能无法收回投资成 本；</w:t>
      </w:r>
    </w:p>
    <w:p>
      <w:pPr>
        <w:pStyle w:val="Style28"/>
        <w:keepNext w:val="0"/>
        <w:keepLines w:val="0"/>
        <w:widowControl w:val="0"/>
        <w:numPr>
          <w:ilvl w:val="0"/>
          <w:numId w:val="59"/>
        </w:numPr>
        <w:shd w:val="clear" w:color="auto" w:fill="auto"/>
        <w:tabs>
          <w:tab w:pos="402" w:val="left"/>
        </w:tabs>
        <w:bidi w:val="0"/>
        <w:spacing w:before="0" w:after="0" w:line="315" w:lineRule="exact"/>
        <w:ind w:left="0" w:right="0" w:firstLine="0"/>
        <w:jc w:val="left"/>
      </w:pPr>
      <w:bookmarkStart w:id="919" w:name="bookmark919"/>
      <w:bookmarkEnd w:id="919"/>
      <w:r>
        <w:rPr>
          <w:color w:val="000000"/>
          <w:spacing w:val="0"/>
          <w:w w:val="100"/>
          <w:position w:val="0"/>
        </w:rPr>
        <w:t>权益工具投资的公允价值发生严重或非暂时性下跌； 金融资产的具体减值方法如下：</w:t>
      </w:r>
    </w:p>
    <w:p>
      <w:pPr>
        <w:pStyle w:val="Style28"/>
        <w:keepNext w:val="0"/>
        <w:keepLines w:val="0"/>
        <w:widowControl w:val="0"/>
        <w:numPr>
          <w:ilvl w:val="0"/>
          <w:numId w:val="61"/>
        </w:numPr>
        <w:shd w:val="clear" w:color="auto" w:fill="auto"/>
        <w:bidi w:val="0"/>
        <w:spacing w:before="0" w:after="80" w:line="315" w:lineRule="exact"/>
        <w:ind w:left="0" w:right="0" w:firstLine="0"/>
        <w:jc w:val="left"/>
      </w:pPr>
      <w:bookmarkStart w:id="920" w:name="bookmark920"/>
      <w:bookmarkEnd w:id="920"/>
      <w:r>
        <w:rPr>
          <w:color w:val="000000"/>
          <w:spacing w:val="0"/>
          <w:w w:val="100"/>
          <w:position w:val="0"/>
        </w:rPr>
        <w:t>可供出售金融资产的减值准备</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本公司于资产负债表日对各项可供出售权益工具投资单独进行检查，若该权益工具投资于资产负债表日的公允价值低于 其成本超过50% （含50%）或低于其成本持续时间超过一年（含一年）的，则表明其发生减值；若该权益工具投资于资产负债 表日的公允价值低于其成本超过20%（含20%）但尚未达到50%的，本公司会综合考虑其他相关因素诸如价格波动率等，判断 该权益工具投资是否发生减值。</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上段所述成本按照可供出售权益工具投资的初始取得成本扣除已收回本金和已摊销金额、原已计入损益的减值损失确 定；不存在活跃市场的可供出售权益工具投资的公允价值，按照类似金融资产当时市场收益率对未来现金流量折现确定的现 值确定；在活跃市场有报价的可供出售权益工具投资的公允价值根据证券交易所期末收盘价确定，除非该项可供出售权益工 具投资存在限售期。对于存在限售期的可供出售权益工具投资，按照证券交易所期末收盘价扣除市场参与者因承担指定期间 内无法在公开市场上出售该权益工具的风险而要求获得的补偿金额后确定。</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可供出售金融资产发生减值时，即使该金融资产没有终止确认，本公司将原直接计入其他综合收益的因公允价值下降形 成的累计损失从其他综合收益转出，计入当期损益。该转出的累计损失，等于可供出售金融资产的初始取得成本扣除已收回 本金和已摊余金额、当前公允价值和原已计入损益的减值损失后的余额。</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对于已确认减值损失的可供出售债务工具，在随后的会计期间公允价值已上升且客观上与确认原减值损失后发生的事项 有关的，原确认的减值损失予以转回计入当期损益；对于可供出售权益工具投资发生的减值损失，在该权益工具价值回升时 通过权益转回；但在活跃市场中没有报价且其公允价值不能可靠计量的权益工具投资，或与该权益工具挂钩并须通过交付该 权益工具结算的衍生金融资产发生的减值损失，不得转回。</w:t>
      </w:r>
    </w:p>
    <w:p>
      <w:pPr>
        <w:pStyle w:val="Style28"/>
        <w:keepNext w:val="0"/>
        <w:keepLines w:val="0"/>
        <w:widowControl w:val="0"/>
        <w:shd w:val="clear" w:color="auto" w:fill="auto"/>
        <w:bidi w:val="0"/>
        <w:spacing w:before="0" w:after="0" w:line="311" w:lineRule="exact"/>
        <w:ind w:left="0" w:right="0" w:firstLine="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）持有至到期投资的减值准备</w:t>
      </w:r>
    </w:p>
    <w:p>
      <w:pPr>
        <w:pStyle w:val="Style28"/>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对于持有至到期投资，有客观证据表明其发生了减值的，根据其账面价值与预计未来现金流量现值之间差额计算确认减 值损失；计提后如有证据表明其价值已恢复，原确认的减值损失可予以转回，记入当期损益，但该转回的账面价值不超过假 定不计提减值准备情况下该金融资产在转回日的摊余成本。</w:t>
      </w:r>
    </w:p>
    <w:p>
      <w:pPr>
        <w:pStyle w:val="Style28"/>
        <w:keepNext w:val="0"/>
        <w:keepLines w:val="0"/>
        <w:widowControl w:val="0"/>
        <w:numPr>
          <w:ilvl w:val="0"/>
          <w:numId w:val="55"/>
        </w:numPr>
        <w:shd w:val="clear" w:color="auto" w:fill="auto"/>
        <w:bidi w:val="0"/>
        <w:spacing w:before="0" w:after="0"/>
        <w:ind w:left="0" w:right="0" w:firstLine="0"/>
        <w:jc w:val="left"/>
      </w:pPr>
      <w:bookmarkStart w:id="922" w:name="bookmark922"/>
      <w:bookmarkEnd w:id="922"/>
      <w:r>
        <w:rPr>
          <w:color w:val="000000"/>
          <w:spacing w:val="0"/>
          <w:w w:val="100"/>
          <w:position w:val="0"/>
        </w:rPr>
        <w:t>金融资产及金融负债的抵销</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8"/>
        <w:keepNext w:val="0"/>
        <w:keepLines w:val="0"/>
        <w:widowControl w:val="0"/>
        <w:shd w:val="clear" w:color="auto" w:fill="auto"/>
        <w:tabs>
          <w:tab w:pos="430" w:val="left"/>
        </w:tabs>
        <w:bidi w:val="0"/>
        <w:spacing w:before="0" w:after="0" w:line="311" w:lineRule="exact"/>
        <w:ind w:left="0" w:right="0" w:firstLine="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8"/>
        <w:keepNext w:val="0"/>
        <w:keepLines w:val="0"/>
        <w:widowControl w:val="0"/>
        <w:shd w:val="clear" w:color="auto" w:fill="auto"/>
        <w:tabs>
          <w:tab w:pos="430" w:val="left"/>
        </w:tabs>
        <w:bidi w:val="0"/>
        <w:spacing w:before="0" w:after="380" w:line="311" w:lineRule="exact"/>
        <w:ind w:left="0" w:right="0" w:firstLine="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3"/>
        <w:keepNext/>
        <w:keepLines/>
        <w:widowControl w:val="0"/>
        <w:shd w:val="clear" w:color="auto" w:fill="auto"/>
        <w:bidi w:val="0"/>
        <w:spacing w:before="0" w:after="32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925"/>
      <w:bookmarkEnd w:id="926"/>
      <w:bookmarkEnd w:id="928"/>
    </w:p>
    <w:p>
      <w:pPr>
        <w:pStyle w:val="Style37"/>
        <w:keepNext/>
        <w:keepLines/>
        <w:widowControl w:val="0"/>
        <w:shd w:val="clear" w:color="auto" w:fill="auto"/>
        <w:bidi w:val="0"/>
        <w:spacing w:before="0" w:after="320" w:line="240" w:lineRule="auto"/>
        <w:ind w:left="0" w:right="0" w:firstLine="14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929"/>
      <w:bookmarkEnd w:id="930"/>
      <w:bookmarkEnd w:id="932"/>
    </w:p>
    <w:tbl>
      <w:tblPr>
        <w:tblOverlap w:val="never"/>
        <w:jc w:val="center"/>
        <w:tblLayout w:type="fixed"/>
      </w:tblPr>
      <w:tblGrid>
        <w:gridCol w:w="4800"/>
        <w:gridCol w:w="4786"/>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单项金额重大并单项计提坏账准备的应收款项的确认标准： </w:t>
            </w:r>
            <w:r>
              <w:rPr>
                <w:rFonts w:ascii="Times New Roman" w:eastAsia="Times New Roman" w:hAnsi="Times New Roman" w:cs="Times New Roman"/>
                <w:color w:val="000000"/>
                <w:spacing w:val="0"/>
                <w:w w:val="100"/>
                <w:position w:val="0"/>
              </w:rPr>
              <w:t>100</w:t>
            </w:r>
            <w:r>
              <w:rPr>
                <w:color w:val="000000"/>
                <w:spacing w:val="0"/>
                <w:w w:val="100"/>
                <w:position w:val="0"/>
              </w:rPr>
              <w:t>万元以上（含）。</w:t>
            </w: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933"/>
      <w:bookmarkEnd w:id="934"/>
      <w:bookmarkEnd w:id="93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关联方组合（合并范围内关联方款项）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14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937"/>
      <w:bookmarkEnd w:id="938"/>
      <w:bookmarkEnd w:id="940"/>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存在客观证据表明本公司将无法按应收款项的原有条款收回 款项。</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根据应收款项的预计未来现金流量现值低于其账面价值的差 额进行计提。</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941"/>
      <w:bookmarkEnd w:id="942"/>
      <w:bookmarkEnd w:id="944"/>
    </w:p>
    <w:p>
      <w:pPr>
        <w:pStyle w:val="Style28"/>
        <w:keepNext w:val="0"/>
        <w:keepLines w:val="0"/>
        <w:widowControl w:val="0"/>
        <w:shd w:val="clear" w:color="auto" w:fill="auto"/>
        <w:bidi w:val="0"/>
        <w:spacing w:before="0" w:after="60" w:line="309"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60" w:line="309"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349" w:val="left"/>
        </w:tabs>
        <w:bidi w:val="0"/>
        <w:spacing w:before="0" w:after="0" w:line="309" w:lineRule="exact"/>
        <w:ind w:left="0" w:right="0" w:firstLine="0"/>
        <w:jc w:val="left"/>
      </w:pPr>
      <w:bookmarkStart w:id="945" w:name="bookmark945"/>
      <w:r>
        <w:rPr>
          <w:rFonts w:ascii="Times New Roman" w:eastAsia="Times New Roman" w:hAnsi="Times New Roman" w:cs="Times New Roman"/>
          <w:color w:val="000000"/>
          <w:spacing w:val="0"/>
          <w:w w:val="100"/>
          <w:position w:val="0"/>
        </w:rPr>
        <w:t>1</w:t>
      </w:r>
      <w:bookmarkEnd w:id="945"/>
      <w:r>
        <w:rPr>
          <w:color w:val="000000"/>
          <w:spacing w:val="0"/>
          <w:w w:val="100"/>
          <w:position w:val="0"/>
        </w:rPr>
        <w:t>）</w:t>
        <w:tab/>
        <w:t>存货的分类</w:t>
      </w:r>
    </w:p>
    <w:p>
      <w:pPr>
        <w:pStyle w:val="Style2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耗用的材料和物料等。主要包括原材料、委托加工物资、在产品、自制半成品、发出商品、库存商品等。</w:t>
      </w:r>
    </w:p>
    <w:p>
      <w:pPr>
        <w:pStyle w:val="Style28"/>
        <w:keepNext w:val="0"/>
        <w:keepLines w:val="0"/>
        <w:widowControl w:val="0"/>
        <w:shd w:val="clear" w:color="auto" w:fill="auto"/>
        <w:tabs>
          <w:tab w:pos="368" w:val="left"/>
        </w:tabs>
        <w:bidi w:val="0"/>
        <w:spacing w:before="0" w:after="0" w:line="309" w:lineRule="exact"/>
        <w:ind w:left="0" w:right="0" w:firstLine="0"/>
        <w:jc w:val="both"/>
      </w:pPr>
      <w:bookmarkStart w:id="946" w:name="bookmark946"/>
      <w:r>
        <w:rPr>
          <w:rFonts w:ascii="Times New Roman" w:eastAsia="Times New Roman" w:hAnsi="Times New Roman" w:cs="Times New Roman"/>
          <w:color w:val="000000"/>
          <w:spacing w:val="0"/>
          <w:w w:val="100"/>
          <w:position w:val="0"/>
        </w:rPr>
        <w:t>2</w:t>
      </w:r>
      <w:bookmarkEnd w:id="946"/>
      <w:r>
        <w:rPr>
          <w:color w:val="000000"/>
          <w:spacing w:val="0"/>
          <w:w w:val="100"/>
          <w:position w:val="0"/>
        </w:rPr>
        <w:t>）</w:t>
        <w:tab/>
        <w:t>存货的计价方法</w:t>
      </w:r>
    </w:p>
    <w:p>
      <w:pPr>
        <w:pStyle w:val="Style28"/>
        <w:keepNext w:val="0"/>
        <w:keepLines w:val="0"/>
        <w:widowControl w:val="0"/>
        <w:shd w:val="clear" w:color="auto" w:fill="auto"/>
        <w:bidi w:val="0"/>
        <w:spacing w:before="0" w:after="0" w:line="309" w:lineRule="exact"/>
        <w:ind w:left="0" w:right="0" w:firstLine="380"/>
        <w:jc w:val="left"/>
      </w:pPr>
      <w:r>
        <w:rPr>
          <w:color w:val="000000"/>
          <w:spacing w:val="0"/>
          <w:w w:val="100"/>
          <w:position w:val="0"/>
        </w:rPr>
        <w:t>存货在取得时，按成本进行初始计量，包括采购成本、加工成本和其他成本。存货发出时按加权平均法计价。</w:t>
      </w:r>
    </w:p>
    <w:p>
      <w:pPr>
        <w:pStyle w:val="Style28"/>
        <w:keepNext w:val="0"/>
        <w:keepLines w:val="0"/>
        <w:widowControl w:val="0"/>
        <w:shd w:val="clear" w:color="auto" w:fill="auto"/>
        <w:tabs>
          <w:tab w:pos="368" w:val="left"/>
        </w:tabs>
        <w:bidi w:val="0"/>
        <w:spacing w:before="0" w:after="0" w:line="309" w:lineRule="exact"/>
        <w:ind w:left="0" w:right="0" w:firstLine="0"/>
        <w:jc w:val="left"/>
      </w:pPr>
      <w:bookmarkStart w:id="947" w:name="bookmark947"/>
      <w:r>
        <w:rPr>
          <w:rFonts w:ascii="Times New Roman" w:eastAsia="Times New Roman" w:hAnsi="Times New Roman" w:cs="Times New Roman"/>
          <w:color w:val="000000"/>
          <w:spacing w:val="0"/>
          <w:w w:val="100"/>
          <w:position w:val="0"/>
        </w:rPr>
        <w:t>3</w:t>
      </w:r>
      <w:bookmarkEnd w:id="947"/>
      <w:r>
        <w:rPr>
          <w:color w:val="000000"/>
          <w:spacing w:val="0"/>
          <w:w w:val="100"/>
          <w:position w:val="0"/>
        </w:rPr>
        <w:t>）</w:t>
        <w:tab/>
        <w:t>存货可变现净值的确定依据及存货跌价准备的计提方法</w:t>
      </w:r>
    </w:p>
    <w:p>
      <w:pPr>
        <w:pStyle w:val="Style2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期末对存货进行全面清查后，按存货的成本与可变现净值孰低提取或调整存货跌价准备。库存商品和用于出售的材料等 直接用于出售的商品存货，在正常生产经营过程中，以该存货的估计售价减去估计的销售费用和相关税费后的金额，确定其 可变现净值；需要经过加工的材料存货，在正常生产经营过程中，以所生产的产成品的估计售价减去至完工时估计将要发生 的成本、估计的销售费用和相关税费后的金额，确定其可变现净值；为执行销售合同或者劳务合同而持有的存货，其可变现 净值以合同价格为基础计算，若持有存货的数量多于销售合同订购数量的，超出部分的存货的可变现净值以一般销售价格为 基础计算。</w:t>
      </w:r>
    </w:p>
    <w:p>
      <w:pPr>
        <w:pStyle w:val="Style2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 xml:space="preserve">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w:t>
      </w:r>
      <w:r>
        <w:rPr>
          <w:color w:val="000000"/>
          <w:spacing w:val="0"/>
          <w:w w:val="100"/>
          <w:position w:val="0"/>
        </w:rPr>
        <w:t>货跌价准备。</w:t>
      </w:r>
    </w:p>
    <w:p>
      <w:pPr>
        <w:pStyle w:val="Style28"/>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8"/>
        <w:keepNext w:val="0"/>
        <w:keepLines w:val="0"/>
        <w:widowControl w:val="0"/>
        <w:numPr>
          <w:ilvl w:val="0"/>
          <w:numId w:val="63"/>
        </w:numPr>
        <w:shd w:val="clear" w:color="auto" w:fill="auto"/>
        <w:tabs>
          <w:tab w:pos="368" w:val="left"/>
        </w:tabs>
        <w:bidi w:val="0"/>
        <w:spacing w:before="0" w:after="0"/>
        <w:ind w:left="0" w:right="0" w:firstLine="0"/>
        <w:jc w:val="both"/>
      </w:pPr>
      <w:bookmarkStart w:id="948" w:name="bookmark948"/>
      <w:bookmarkEnd w:id="948"/>
      <w:r>
        <w:rPr>
          <w:color w:val="000000"/>
          <w:spacing w:val="0"/>
          <w:w w:val="100"/>
          <w:position w:val="0"/>
        </w:rPr>
        <w:t>存货的盘存制度</w:t>
      </w:r>
    </w:p>
    <w:p>
      <w:pPr>
        <w:pStyle w:val="Style28"/>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采用永续盘存制。</w:t>
      </w:r>
    </w:p>
    <w:p>
      <w:pPr>
        <w:pStyle w:val="Style28"/>
        <w:keepNext w:val="0"/>
        <w:keepLines w:val="0"/>
        <w:widowControl w:val="0"/>
        <w:numPr>
          <w:ilvl w:val="0"/>
          <w:numId w:val="63"/>
        </w:numPr>
        <w:shd w:val="clear" w:color="auto" w:fill="auto"/>
        <w:tabs>
          <w:tab w:pos="368" w:val="left"/>
        </w:tabs>
        <w:bidi w:val="0"/>
        <w:spacing w:before="0" w:after="0"/>
        <w:ind w:left="0" w:right="0" w:firstLine="0"/>
        <w:jc w:val="both"/>
      </w:pPr>
      <w:bookmarkStart w:id="949" w:name="bookmark949"/>
      <w:bookmarkEnd w:id="949"/>
      <w:r>
        <w:rPr>
          <w:color w:val="000000"/>
          <w:spacing w:val="0"/>
          <w:w w:val="100"/>
          <w:position w:val="0"/>
        </w:rPr>
        <w:t>低值易耗品和包装物的摊销方法</w:t>
      </w:r>
    </w:p>
    <w:p>
      <w:pPr>
        <w:pStyle w:val="Style28"/>
        <w:keepNext w:val="0"/>
        <w:keepLines w:val="0"/>
        <w:widowControl w:val="0"/>
        <w:numPr>
          <w:ilvl w:val="0"/>
          <w:numId w:val="65"/>
        </w:numPr>
        <w:shd w:val="clear" w:color="auto" w:fill="auto"/>
        <w:tabs>
          <w:tab w:pos="445" w:val="left"/>
        </w:tabs>
        <w:bidi w:val="0"/>
        <w:spacing w:before="0" w:after="0" w:line="312" w:lineRule="exact"/>
        <w:ind w:left="0" w:right="0" w:firstLine="0"/>
        <w:jc w:val="both"/>
      </w:pPr>
      <w:bookmarkStart w:id="950" w:name="bookmark950"/>
      <w:bookmarkEnd w:id="950"/>
      <w:r>
        <w:rPr>
          <w:color w:val="000000"/>
          <w:spacing w:val="0"/>
          <w:w w:val="100"/>
          <w:position w:val="0"/>
        </w:rPr>
        <w:t>低值易耗品采用一次转销法；</w:t>
      </w:r>
    </w:p>
    <w:p>
      <w:pPr>
        <w:pStyle w:val="Style28"/>
        <w:keepNext w:val="0"/>
        <w:keepLines w:val="0"/>
        <w:widowControl w:val="0"/>
        <w:numPr>
          <w:ilvl w:val="0"/>
          <w:numId w:val="65"/>
        </w:numPr>
        <w:shd w:val="clear" w:color="auto" w:fill="auto"/>
        <w:tabs>
          <w:tab w:pos="445" w:val="left"/>
        </w:tabs>
        <w:bidi w:val="0"/>
        <w:spacing w:before="0" w:after="0" w:line="312" w:lineRule="exact"/>
        <w:ind w:left="0" w:right="0" w:firstLine="0"/>
        <w:jc w:val="both"/>
      </w:pPr>
      <w:bookmarkStart w:id="951" w:name="bookmark951"/>
      <w:bookmarkEnd w:id="951"/>
      <w:r>
        <w:rPr>
          <w:color w:val="000000"/>
          <w:spacing w:val="0"/>
          <w:w w:val="100"/>
          <w:position w:val="0"/>
        </w:rPr>
        <w:t>包装物采用一次转销法；</w:t>
      </w:r>
    </w:p>
    <w:p>
      <w:pPr>
        <w:pStyle w:val="Style28"/>
        <w:keepNext w:val="0"/>
        <w:keepLines w:val="0"/>
        <w:widowControl w:val="0"/>
        <w:numPr>
          <w:ilvl w:val="0"/>
          <w:numId w:val="65"/>
        </w:numPr>
        <w:shd w:val="clear" w:color="auto" w:fill="auto"/>
        <w:tabs>
          <w:tab w:pos="445" w:val="left"/>
        </w:tabs>
        <w:bidi w:val="0"/>
        <w:spacing w:before="0" w:after="360" w:line="312" w:lineRule="exact"/>
        <w:ind w:left="0" w:right="0" w:firstLine="0"/>
        <w:jc w:val="both"/>
      </w:pPr>
      <w:bookmarkStart w:id="952" w:name="bookmark952"/>
      <w:bookmarkEnd w:id="952"/>
      <w:r>
        <w:rPr>
          <w:color w:val="000000"/>
          <w:spacing w:val="0"/>
          <w:w w:val="100"/>
          <w:position w:val="0"/>
        </w:rPr>
        <w:t>其他周转材料采用一次转销法。</w:t>
      </w:r>
    </w:p>
    <w:p>
      <w:pPr>
        <w:pStyle w:val="Style33"/>
        <w:keepNext/>
        <w:keepLines/>
        <w:widowControl w:val="0"/>
        <w:shd w:val="clear" w:color="auto" w:fill="auto"/>
        <w:tabs>
          <w:tab w:pos="469" w:val="left"/>
        </w:tabs>
        <w:bidi w:val="0"/>
        <w:spacing w:before="0" w:after="26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53"/>
      <w:bookmarkEnd w:id="954"/>
      <w:bookmarkEnd w:id="956"/>
    </w:p>
    <w:p>
      <w:pPr>
        <w:pStyle w:val="Style2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69" w:val="left"/>
        </w:tabs>
        <w:bidi w:val="0"/>
        <w:spacing w:before="0" w:after="36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57"/>
      <w:bookmarkEnd w:id="958"/>
      <w:bookmarkEnd w:id="960"/>
    </w:p>
    <w:p>
      <w:pPr>
        <w:pStyle w:val="Style28"/>
        <w:keepNext w:val="0"/>
        <w:keepLines w:val="0"/>
        <w:widowControl w:val="0"/>
        <w:numPr>
          <w:ilvl w:val="0"/>
          <w:numId w:val="67"/>
        </w:numPr>
        <w:shd w:val="clear" w:color="auto" w:fill="auto"/>
        <w:tabs>
          <w:tab w:pos="301" w:val="left"/>
        </w:tabs>
        <w:bidi w:val="0"/>
        <w:spacing w:before="0" w:after="0"/>
        <w:ind w:left="0" w:right="0" w:firstLine="0"/>
        <w:jc w:val="both"/>
      </w:pPr>
      <w:bookmarkStart w:id="961" w:name="bookmark961"/>
      <w:bookmarkEnd w:id="961"/>
      <w:r>
        <w:rPr>
          <w:color w:val="000000"/>
          <w:spacing w:val="0"/>
          <w:w w:val="100"/>
          <w:position w:val="0"/>
        </w:rPr>
        <w:t>初始投资成本的确定</w:t>
      </w:r>
    </w:p>
    <w:p>
      <w:pPr>
        <w:pStyle w:val="Style28"/>
        <w:keepNext w:val="0"/>
        <w:keepLines w:val="0"/>
        <w:widowControl w:val="0"/>
        <w:numPr>
          <w:ilvl w:val="0"/>
          <w:numId w:val="69"/>
        </w:numPr>
        <w:shd w:val="clear" w:color="auto" w:fill="auto"/>
        <w:tabs>
          <w:tab w:pos="541" w:val="left"/>
        </w:tabs>
        <w:bidi w:val="0"/>
        <w:spacing w:before="0" w:after="0" w:line="313" w:lineRule="exact"/>
        <w:ind w:left="0" w:right="0" w:firstLine="0"/>
        <w:jc w:val="both"/>
      </w:pPr>
      <w:bookmarkStart w:id="962" w:name="bookmark962"/>
      <w:bookmarkEnd w:id="962"/>
      <w:r>
        <w:rPr>
          <w:color w:val="000000"/>
          <w:spacing w:val="0"/>
          <w:w w:val="100"/>
          <w:position w:val="0"/>
        </w:rPr>
        <w:t>企业合并形成的长期股权投资，具体会计政策详见本附注四、(四)同一控制下和非同一控制下企业合并的会计处理 方法。</w:t>
      </w:r>
    </w:p>
    <w:p>
      <w:pPr>
        <w:pStyle w:val="Style28"/>
        <w:keepNext w:val="0"/>
        <w:keepLines w:val="0"/>
        <w:widowControl w:val="0"/>
        <w:numPr>
          <w:ilvl w:val="0"/>
          <w:numId w:val="69"/>
        </w:numPr>
        <w:shd w:val="clear" w:color="auto" w:fill="auto"/>
        <w:tabs>
          <w:tab w:pos="445" w:val="left"/>
        </w:tabs>
        <w:bidi w:val="0"/>
        <w:spacing w:before="0" w:after="0" w:line="313" w:lineRule="exact"/>
        <w:ind w:left="0" w:right="0" w:firstLine="0"/>
        <w:jc w:val="both"/>
      </w:pPr>
      <w:bookmarkStart w:id="963" w:name="bookmark963"/>
      <w:bookmarkEnd w:id="963"/>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numPr>
          <w:ilvl w:val="0"/>
          <w:numId w:val="67"/>
        </w:numPr>
        <w:shd w:val="clear" w:color="auto" w:fill="auto"/>
        <w:tabs>
          <w:tab w:pos="320" w:val="left"/>
        </w:tabs>
        <w:bidi w:val="0"/>
        <w:spacing w:before="0" w:after="0"/>
        <w:ind w:left="0" w:right="0" w:firstLine="0"/>
        <w:jc w:val="both"/>
      </w:pPr>
      <w:bookmarkStart w:id="964" w:name="bookmark964"/>
      <w:bookmarkEnd w:id="964"/>
      <w:r>
        <w:rPr>
          <w:color w:val="000000"/>
          <w:spacing w:val="0"/>
          <w:w w:val="100"/>
          <w:position w:val="0"/>
        </w:rPr>
        <w:t>后续计量及损益确认</w:t>
      </w:r>
    </w:p>
    <w:p>
      <w:pPr>
        <w:pStyle w:val="Style28"/>
        <w:keepNext w:val="0"/>
        <w:keepLines w:val="0"/>
        <w:widowControl w:val="0"/>
        <w:numPr>
          <w:ilvl w:val="0"/>
          <w:numId w:val="71"/>
        </w:numPr>
        <w:shd w:val="clear" w:color="auto" w:fill="auto"/>
        <w:tabs>
          <w:tab w:pos="445" w:val="left"/>
        </w:tabs>
        <w:bidi w:val="0"/>
        <w:spacing w:before="0" w:after="0" w:line="313" w:lineRule="exact"/>
        <w:ind w:left="0" w:right="0" w:firstLine="0"/>
        <w:jc w:val="both"/>
      </w:pPr>
      <w:bookmarkStart w:id="965" w:name="bookmark965"/>
      <w:bookmarkEnd w:id="965"/>
      <w:r>
        <w:rPr>
          <w:color w:val="000000"/>
          <w:spacing w:val="0"/>
          <w:w w:val="100"/>
          <w:position w:val="0"/>
        </w:rPr>
        <w:t>成本法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8"/>
        <w:keepNext w:val="0"/>
        <w:keepLines w:val="0"/>
        <w:widowControl w:val="0"/>
        <w:numPr>
          <w:ilvl w:val="0"/>
          <w:numId w:val="71"/>
        </w:numPr>
        <w:shd w:val="clear" w:color="auto" w:fill="auto"/>
        <w:tabs>
          <w:tab w:pos="445" w:val="left"/>
        </w:tabs>
        <w:bidi w:val="0"/>
        <w:spacing w:before="0" w:after="0" w:line="313" w:lineRule="exact"/>
        <w:ind w:left="0" w:right="0" w:firstLine="0"/>
        <w:jc w:val="both"/>
      </w:pPr>
      <w:bookmarkStart w:id="966" w:name="bookmark966"/>
      <w:bookmarkEnd w:id="966"/>
      <w:r>
        <w:rPr>
          <w:color w:val="000000"/>
          <w:spacing w:val="0"/>
          <w:w w:val="100"/>
          <w:position w:val="0"/>
        </w:rPr>
        <w:t>权益法</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w:t>
      </w:r>
      <w:r>
        <w:rPr>
          <w:color w:val="000000"/>
          <w:spacing w:val="0"/>
          <w:w w:val="100"/>
          <w:position w:val="0"/>
        </w:rPr>
        <w:t>属于本公司的部分予以抵销，在此基础上确认投资损益。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8"/>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8"/>
        <w:keepNext w:val="0"/>
        <w:keepLines w:val="0"/>
        <w:widowControl w:val="0"/>
        <w:numPr>
          <w:ilvl w:val="0"/>
          <w:numId w:val="67"/>
        </w:numPr>
        <w:shd w:val="clear" w:color="auto" w:fill="auto"/>
        <w:tabs>
          <w:tab w:pos="288" w:val="left"/>
        </w:tabs>
        <w:bidi w:val="0"/>
        <w:spacing w:before="0" w:after="0"/>
        <w:ind w:left="0" w:right="0" w:firstLine="0"/>
        <w:jc w:val="left"/>
      </w:pPr>
      <w:bookmarkStart w:id="967" w:name="bookmark967"/>
      <w:bookmarkEnd w:id="967"/>
      <w:r>
        <w:rPr>
          <w:color w:val="000000"/>
          <w:spacing w:val="0"/>
          <w:w w:val="100"/>
          <w:position w:val="0"/>
        </w:rPr>
        <w:t>长期股权投资核算方法的转换</w:t>
      </w:r>
    </w:p>
    <w:p>
      <w:pPr>
        <w:pStyle w:val="Style28"/>
        <w:keepNext w:val="0"/>
        <w:keepLines w:val="0"/>
        <w:widowControl w:val="0"/>
        <w:numPr>
          <w:ilvl w:val="0"/>
          <w:numId w:val="73"/>
        </w:numPr>
        <w:shd w:val="clear" w:color="auto" w:fill="auto"/>
        <w:tabs>
          <w:tab w:pos="422" w:val="left"/>
        </w:tabs>
        <w:bidi w:val="0"/>
        <w:spacing w:before="0" w:after="0" w:line="313" w:lineRule="exact"/>
        <w:ind w:left="0" w:right="0" w:firstLine="0"/>
        <w:jc w:val="left"/>
      </w:pPr>
      <w:bookmarkStart w:id="968" w:name="bookmark968"/>
      <w:bookmarkEnd w:id="968"/>
      <w:r>
        <w:rPr>
          <w:color w:val="000000"/>
          <w:spacing w:val="0"/>
          <w:w w:val="100"/>
          <w:position w:val="0"/>
        </w:rPr>
        <w:t>公允价值计量转权益法核算</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资，因追加投资等原因能够对被投资单位施加重大影响或实施共同控制但不构成控制的，按照《企业会计准则第22号一一金 融工具确认和计量》确定的原持有的股权投资的公允价值加上新增投资成本之和，作为改按权益法核算的初始投资成本。</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原持有的股权投资分类为可供出售金融资产的，其公允价值与账面价值之间的差额，以及原计入其他综合收益的累计公 允价值变动转入改按权益法核算的当期损益。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8"/>
        <w:keepNext w:val="0"/>
        <w:keepLines w:val="0"/>
        <w:widowControl w:val="0"/>
        <w:numPr>
          <w:ilvl w:val="0"/>
          <w:numId w:val="73"/>
        </w:numPr>
        <w:shd w:val="clear" w:color="auto" w:fill="auto"/>
        <w:tabs>
          <w:tab w:pos="422" w:val="left"/>
        </w:tabs>
        <w:bidi w:val="0"/>
        <w:spacing w:before="0" w:after="0" w:line="313" w:lineRule="exact"/>
        <w:ind w:left="0" w:right="0" w:firstLine="0"/>
        <w:jc w:val="left"/>
      </w:pPr>
      <w:bookmarkStart w:id="969" w:name="bookmark969"/>
      <w:bookmarkEnd w:id="969"/>
      <w:r>
        <w:rPr>
          <w:color w:val="000000"/>
          <w:spacing w:val="0"/>
          <w:w w:val="100"/>
          <w:position w:val="0"/>
        </w:rPr>
        <w:t>公允价值计量或权益法核算转成本法核算</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购买日之前持有的股权投资按照《企业会计准则第22号一一金融工具确认和计量》的有关规定进行会计处理的，原计入 其他综合收益的累计公允价值变动在改按成本法核算时转入当期损益。</w:t>
      </w:r>
    </w:p>
    <w:p>
      <w:pPr>
        <w:pStyle w:val="Style28"/>
        <w:keepNext w:val="0"/>
        <w:keepLines w:val="0"/>
        <w:widowControl w:val="0"/>
        <w:numPr>
          <w:ilvl w:val="0"/>
          <w:numId w:val="73"/>
        </w:numPr>
        <w:shd w:val="clear" w:color="auto" w:fill="auto"/>
        <w:tabs>
          <w:tab w:pos="422" w:val="left"/>
        </w:tabs>
        <w:bidi w:val="0"/>
        <w:spacing w:before="0" w:after="0" w:line="313" w:lineRule="exact"/>
        <w:ind w:left="0" w:right="0" w:firstLine="0"/>
        <w:jc w:val="left"/>
      </w:pPr>
      <w:bookmarkStart w:id="970" w:name="bookmark970"/>
      <w:bookmarkEnd w:id="970"/>
      <w:r>
        <w:rPr>
          <w:color w:val="000000"/>
          <w:spacing w:val="0"/>
          <w:w w:val="100"/>
          <w:position w:val="0"/>
        </w:rPr>
        <w:t>权益法核算转公允价值计量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本公司因处置部分股权投资等原因丧失了对被投资单位的共同控制或重大影响的，处置后的剩余股权改按《企业会计准 则第22号一一金融工具确认和计量》核算，其在丧失共同控制或重大影响之日的公允价值与账面价值之间的差额计入当期损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8"/>
        <w:keepNext w:val="0"/>
        <w:keepLines w:val="0"/>
        <w:widowControl w:val="0"/>
        <w:numPr>
          <w:ilvl w:val="0"/>
          <w:numId w:val="73"/>
        </w:numPr>
        <w:shd w:val="clear" w:color="auto" w:fill="auto"/>
        <w:tabs>
          <w:tab w:pos="422" w:val="left"/>
        </w:tabs>
        <w:bidi w:val="0"/>
        <w:spacing w:before="0" w:after="0" w:line="313" w:lineRule="exact"/>
        <w:ind w:left="380" w:right="0" w:hanging="380"/>
        <w:jc w:val="left"/>
      </w:pPr>
      <w:bookmarkStart w:id="971" w:name="bookmark971"/>
      <w:bookmarkEnd w:id="971"/>
      <w:r>
        <w:rPr>
          <w:color w:val="000000"/>
          <w:spacing w:val="0"/>
          <w:w w:val="100"/>
          <w:position w:val="0"/>
        </w:rPr>
        <w:t>成本法转权益法 本公司因处置部分权益性投资等原因丧失了对被投资单位的控制的，在编制个别财务报表时，处置后的剩余股权能够对</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28"/>
        <w:keepNext w:val="0"/>
        <w:keepLines w:val="0"/>
        <w:widowControl w:val="0"/>
        <w:numPr>
          <w:ilvl w:val="0"/>
          <w:numId w:val="73"/>
        </w:numPr>
        <w:shd w:val="clear" w:color="auto" w:fill="auto"/>
        <w:tabs>
          <w:tab w:pos="422" w:val="left"/>
        </w:tabs>
        <w:bidi w:val="0"/>
        <w:spacing w:before="0" w:after="0" w:line="313" w:lineRule="exact"/>
        <w:ind w:left="380" w:right="0" w:hanging="380"/>
        <w:jc w:val="left"/>
      </w:pPr>
      <w:bookmarkStart w:id="972" w:name="bookmark972"/>
      <w:bookmarkEnd w:id="972"/>
      <w:r>
        <w:rPr>
          <w:color w:val="000000"/>
          <w:spacing w:val="0"/>
          <w:w w:val="100"/>
          <w:position w:val="0"/>
        </w:rPr>
        <w:t>成本法转公允价值计量 本公司因处置部分权益性投资等原因丧失了对被投资单位的控制的，在编制个别财务报表时，处置后的剩余股权不能对</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被投资单位实施共同控制或施加重大影响的，改按《企业会计准则第22号一一金融工具确认和计量》的有关规定进行会计处 理，其在丧失控制之日的公允价值与账面价值间的差额计入当期损益。</w:t>
      </w:r>
    </w:p>
    <w:p>
      <w:pPr>
        <w:pStyle w:val="Style28"/>
        <w:keepNext w:val="0"/>
        <w:keepLines w:val="0"/>
        <w:widowControl w:val="0"/>
        <w:numPr>
          <w:ilvl w:val="0"/>
          <w:numId w:val="67"/>
        </w:numPr>
        <w:shd w:val="clear" w:color="auto" w:fill="auto"/>
        <w:tabs>
          <w:tab w:pos="302" w:val="left"/>
        </w:tabs>
        <w:bidi w:val="0"/>
        <w:spacing w:before="0" w:after="0"/>
        <w:ind w:left="0" w:right="0" w:firstLine="0"/>
        <w:jc w:val="both"/>
      </w:pPr>
      <w:bookmarkStart w:id="973" w:name="bookmark973"/>
      <w:bookmarkEnd w:id="973"/>
      <w:r>
        <w:rPr>
          <w:color w:val="000000"/>
          <w:spacing w:val="0"/>
          <w:w w:val="100"/>
          <w:position w:val="0"/>
        </w:rPr>
        <w:t>长期股权投资的处置</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)这些交易是同时或者在考虑了彼此影响的情况下订立的；</w:t>
      </w:r>
    </w:p>
    <w:p>
      <w:pPr>
        <w:pStyle w:val="Style28"/>
        <w:keepNext w:val="0"/>
        <w:keepLines w:val="0"/>
        <w:widowControl w:val="0"/>
        <w:shd w:val="clear" w:color="auto" w:fill="auto"/>
        <w:tabs>
          <w:tab w:pos="411" w:val="left"/>
        </w:tabs>
        <w:bidi w:val="0"/>
        <w:spacing w:before="0" w:after="0" w:line="313" w:lineRule="exact"/>
        <w:ind w:left="0" w:right="0" w:firstLine="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8"/>
        <w:keepNext w:val="0"/>
        <w:keepLines w:val="0"/>
        <w:widowControl w:val="0"/>
        <w:shd w:val="clear" w:color="auto" w:fill="auto"/>
        <w:tabs>
          <w:tab w:pos="411" w:val="left"/>
        </w:tabs>
        <w:bidi w:val="0"/>
        <w:spacing w:before="0" w:after="0" w:line="313" w:lineRule="exact"/>
        <w:ind w:left="0" w:right="0" w:firstLine="0"/>
        <w:jc w:val="left"/>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8"/>
        <w:keepNext w:val="0"/>
        <w:keepLines w:val="0"/>
        <w:widowControl w:val="0"/>
        <w:shd w:val="clear" w:color="auto" w:fill="auto"/>
        <w:tabs>
          <w:tab w:pos="411" w:val="left"/>
        </w:tabs>
        <w:bidi w:val="0"/>
        <w:spacing w:before="0" w:after="0" w:line="313" w:lineRule="exact"/>
        <w:ind w:left="0" w:right="0" w:firstLine="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8"/>
        <w:keepNext w:val="0"/>
        <w:keepLines w:val="0"/>
        <w:widowControl w:val="0"/>
        <w:shd w:val="clear" w:color="auto" w:fill="auto"/>
        <w:tabs>
          <w:tab w:pos="867" w:val="left"/>
        </w:tabs>
        <w:bidi w:val="0"/>
        <w:spacing w:before="0" w:after="0" w:line="313" w:lineRule="exact"/>
        <w:ind w:left="0" w:right="0" w:firstLine="380"/>
        <w:jc w:val="both"/>
      </w:pPr>
      <w:bookmarkStart w:id="977" w:name="bookmark977"/>
      <w:r>
        <w:rPr>
          <w:color w:val="000000"/>
          <w:spacing w:val="0"/>
          <w:w w:val="100"/>
          <w:position w:val="0"/>
        </w:rPr>
        <w:t>（</w:t>
      </w:r>
      <w:bookmarkEnd w:id="977"/>
      <w:r>
        <w:rPr>
          <w:color w:val="000000"/>
          <w:spacing w:val="0"/>
          <w:w w:val="100"/>
          <w:position w:val="0"/>
        </w:rPr>
        <w:t>1）</w:t>
        <w:tab/>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调整；处置后的剩余股权不能对被投资单位实施共同控制或施加重大影响的，改按《企业会计准则第22号一一金融工具确认 和计量》的有关规定进行会计处理，其在丧失控制之日的公允价值与账面价值间的差额计入当期损益。</w:t>
      </w:r>
    </w:p>
    <w:p>
      <w:pPr>
        <w:pStyle w:val="Style28"/>
        <w:keepNext w:val="0"/>
        <w:keepLines w:val="0"/>
        <w:widowControl w:val="0"/>
        <w:shd w:val="clear" w:color="auto" w:fill="auto"/>
        <w:tabs>
          <w:tab w:pos="867" w:val="left"/>
        </w:tabs>
        <w:bidi w:val="0"/>
        <w:spacing w:before="0" w:after="0" w:line="313" w:lineRule="exact"/>
        <w:ind w:left="0" w:right="0" w:firstLine="380"/>
        <w:jc w:val="both"/>
      </w:pPr>
      <w:bookmarkStart w:id="978" w:name="bookmark978"/>
      <w:r>
        <w:rPr>
          <w:color w:val="000000"/>
          <w:spacing w:val="0"/>
          <w:w w:val="100"/>
          <w:position w:val="0"/>
        </w:rPr>
        <w:t>（</w:t>
      </w:r>
      <w:bookmarkEnd w:id="978"/>
      <w:r>
        <w:rPr>
          <w:color w:val="000000"/>
          <w:spacing w:val="0"/>
          <w:w w:val="100"/>
          <w:position w:val="0"/>
        </w:rPr>
        <w:t>2）</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8"/>
        <w:keepNext w:val="0"/>
        <w:keepLines w:val="0"/>
        <w:widowControl w:val="0"/>
        <w:shd w:val="clear" w:color="auto" w:fill="auto"/>
        <w:tabs>
          <w:tab w:pos="867" w:val="left"/>
        </w:tabs>
        <w:bidi w:val="0"/>
        <w:spacing w:before="0" w:after="0" w:line="313" w:lineRule="exact"/>
        <w:ind w:left="0" w:right="0" w:firstLine="380"/>
        <w:jc w:val="both"/>
      </w:pPr>
      <w:bookmarkStart w:id="979" w:name="bookmark979"/>
      <w:r>
        <w:rPr>
          <w:color w:val="000000"/>
          <w:spacing w:val="0"/>
          <w:w w:val="100"/>
          <w:position w:val="0"/>
        </w:rPr>
        <w:t>（</w:t>
      </w:r>
      <w:bookmarkEnd w:id="979"/>
      <w:r>
        <w:rPr>
          <w:color w:val="000000"/>
          <w:spacing w:val="0"/>
          <w:w w:val="100"/>
          <w:position w:val="0"/>
        </w:rPr>
        <w:t>1）</w:t>
        <w:tab/>
        <w:t>在个别财务报表中，在丧失控制权之前每一次处置价款与处置的股权对应的长期股权投资账面价值之间的差额， 确认为其他综合收益，在丧失控制权时一并转入丧失控制权当期的损益。</w:t>
      </w:r>
    </w:p>
    <w:p>
      <w:pPr>
        <w:pStyle w:val="Style28"/>
        <w:keepNext w:val="0"/>
        <w:keepLines w:val="0"/>
        <w:widowControl w:val="0"/>
        <w:shd w:val="clear" w:color="auto" w:fill="auto"/>
        <w:tabs>
          <w:tab w:pos="867" w:val="left"/>
        </w:tabs>
        <w:bidi w:val="0"/>
        <w:spacing w:before="0" w:after="0" w:line="313" w:lineRule="exact"/>
        <w:ind w:left="0" w:right="0" w:firstLine="380"/>
        <w:jc w:val="both"/>
      </w:pPr>
      <w:bookmarkStart w:id="980" w:name="bookmark980"/>
      <w:r>
        <w:rPr>
          <w:color w:val="000000"/>
          <w:spacing w:val="0"/>
          <w:w w:val="100"/>
          <w:position w:val="0"/>
        </w:rPr>
        <w:t>（</w:t>
      </w:r>
      <w:bookmarkEnd w:id="980"/>
      <w:r>
        <w:rPr>
          <w:color w:val="000000"/>
          <w:spacing w:val="0"/>
          <w:w w:val="100"/>
          <w:position w:val="0"/>
        </w:rPr>
        <w:t>2）</w:t>
        <w:tab/>
        <w:t>在合并财务报表中，在丧失控制权之前每一次处置价款与处置投资对应的享有该子公司净资产份额的差额，确认 为其他综合收益，在丧失控制权时一并转入丧失控制权当期的损益。</w:t>
      </w:r>
    </w:p>
    <w:p>
      <w:pPr>
        <w:pStyle w:val="Style28"/>
        <w:keepNext w:val="0"/>
        <w:keepLines w:val="0"/>
        <w:widowControl w:val="0"/>
        <w:numPr>
          <w:ilvl w:val="0"/>
          <w:numId w:val="67"/>
        </w:numPr>
        <w:shd w:val="clear" w:color="auto" w:fill="auto"/>
        <w:bidi w:val="0"/>
        <w:spacing w:before="0" w:after="0" w:line="313" w:lineRule="exact"/>
        <w:ind w:left="0" w:right="0" w:firstLine="0"/>
        <w:jc w:val="left"/>
      </w:pPr>
      <w:bookmarkStart w:id="981" w:name="bookmark981"/>
      <w:bookmarkEnd w:id="981"/>
      <w:r>
        <w:rPr>
          <w:color w:val="000000"/>
          <w:spacing w:val="0"/>
          <w:w w:val="100"/>
          <w:position w:val="0"/>
        </w:rPr>
        <w:t>共同控制、重大影响的判断标准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这些政策的制定。本公司通过以下一种或多种情形，并综合考虑所有事实和情况后，判断对被投资单位具有重大影响。（1） 在被投资单位的董事会或类似权力机构中派有代表；（2）参与被投资单位财务和经营政策制定过程；（3）与被投资单位之 间发生重要交易；（4）向被投资单位派出管理人员；（5）向被投资单位提供关键技术资料。</w:t>
      </w:r>
    </w:p>
    <w:p>
      <w:pPr>
        <w:pStyle w:val="Style33"/>
        <w:keepNext/>
        <w:keepLines/>
        <w:widowControl w:val="0"/>
        <w:shd w:val="clear" w:color="auto" w:fill="auto"/>
        <w:tabs>
          <w:tab w:pos="435" w:val="left"/>
        </w:tabs>
        <w:bidi w:val="0"/>
        <w:spacing w:before="0" w:after="24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982"/>
      <w:bookmarkEnd w:id="983"/>
      <w:bookmarkEnd w:id="985"/>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投资性房地产计量模式 不适用</w:t>
      </w:r>
    </w:p>
    <w:p>
      <w:pPr>
        <w:pStyle w:val="Style33"/>
        <w:keepNext/>
        <w:keepLines/>
        <w:widowControl w:val="0"/>
        <w:shd w:val="clear" w:color="auto" w:fill="auto"/>
        <w:tabs>
          <w:tab w:pos="435" w:val="left"/>
        </w:tabs>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86"/>
      <w:bookmarkEnd w:id="987"/>
      <w:bookmarkEnd w:id="989"/>
    </w:p>
    <w:p>
      <w:pPr>
        <w:pStyle w:val="Style37"/>
        <w:keepNext/>
        <w:keepLines/>
        <w:widowControl w:val="0"/>
        <w:shd w:val="clear" w:color="auto" w:fill="auto"/>
        <w:bidi w:val="0"/>
        <w:spacing w:before="0" w:after="24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90"/>
      <w:bookmarkEnd w:id="991"/>
      <w:bookmarkEnd w:id="993"/>
    </w:p>
    <w:p>
      <w:pPr>
        <w:pStyle w:val="Style28"/>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同时满足下列条件时予以确认：（1）与该固定资产有关的经济利益很可能流入企业；（2）该固定资产的成本能够可靠地计 量。</w:t>
      </w:r>
    </w:p>
    <w:p>
      <w:pPr>
        <w:pStyle w:val="Style37"/>
        <w:keepNext/>
        <w:keepLines/>
        <w:widowControl w:val="0"/>
        <w:numPr>
          <w:ilvl w:val="0"/>
          <w:numId w:val="61"/>
        </w:numPr>
        <w:shd w:val="clear" w:color="auto" w:fill="auto"/>
        <w:bidi w:val="0"/>
        <w:spacing w:before="0" w:line="240" w:lineRule="auto"/>
        <w:ind w:left="0" w:right="0" w:firstLine="140"/>
        <w:jc w:val="left"/>
      </w:pPr>
      <w:bookmarkStart w:id="994" w:name="bookmark994"/>
      <w:bookmarkStart w:id="995" w:name="bookmark995"/>
      <w:bookmarkStart w:id="996" w:name="bookmark996"/>
      <w:bookmarkStart w:id="997" w:name="bookmark997"/>
      <w:bookmarkEnd w:id="996"/>
      <w:r>
        <w:rPr>
          <w:color w:val="000000"/>
          <w:spacing w:val="0"/>
          <w:w w:val="100"/>
          <w:position w:val="0"/>
        </w:rPr>
        <w:t>折旧方法</w:t>
      </w:r>
      <w:bookmarkEnd w:id="994"/>
      <w:bookmarkEnd w:id="995"/>
      <w:bookmarkEnd w:id="997"/>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699" w:line="1" w:lineRule="exact"/>
      </w:pPr>
    </w:p>
    <w:p>
      <w:pPr>
        <w:pStyle w:val="Style37"/>
        <w:keepNext/>
        <w:keepLines/>
        <w:widowControl w:val="0"/>
        <w:numPr>
          <w:ilvl w:val="0"/>
          <w:numId w:val="61"/>
        </w:numPr>
        <w:shd w:val="clear" w:color="auto" w:fill="auto"/>
        <w:bidi w:val="0"/>
        <w:spacing w:before="0" w:after="28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融资租入固定资产的认定依据、计价和折旧方法</w:t>
      </w:r>
      <w:bookmarkEnd w:id="1001"/>
      <w:bookmarkEnd w:id="998"/>
      <w:bookmarkEnd w:id="999"/>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69" w:val="left"/>
        </w:tabs>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002"/>
      <w:bookmarkEnd w:id="1003"/>
      <w:bookmarkEnd w:id="1005"/>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3"/>
        <w:keepNext/>
        <w:keepLines/>
        <w:widowControl w:val="0"/>
        <w:shd w:val="clear" w:color="auto" w:fill="auto"/>
        <w:tabs>
          <w:tab w:pos="469" w:val="left"/>
        </w:tabs>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06"/>
      <w:bookmarkEnd w:id="1007"/>
      <w:bookmarkEnd w:id="1009"/>
    </w:p>
    <w:p>
      <w:pPr>
        <w:pStyle w:val="Style28"/>
        <w:keepNext w:val="0"/>
        <w:keepLines w:val="0"/>
        <w:widowControl w:val="0"/>
        <w:numPr>
          <w:ilvl w:val="0"/>
          <w:numId w:val="75"/>
        </w:numPr>
        <w:shd w:val="clear" w:color="auto" w:fill="auto"/>
        <w:tabs>
          <w:tab w:pos="301" w:val="left"/>
        </w:tabs>
        <w:bidi w:val="0"/>
        <w:spacing w:before="0" w:after="0"/>
        <w:ind w:left="0" w:right="0" w:firstLine="0"/>
        <w:jc w:val="left"/>
      </w:pPr>
      <w:bookmarkStart w:id="1010" w:name="bookmark1010"/>
      <w:bookmarkEnd w:id="1010"/>
      <w:r>
        <w:rPr>
          <w:color w:val="000000"/>
          <w:spacing w:val="0"/>
          <w:w w:val="100"/>
          <w:position w:val="0"/>
        </w:rPr>
        <w:t>借款费用资本化的确认原则</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公司发生的借款费用，可直接归属于符合资本化条件的资产的购建或者生产的,在符合资本化条件的情况下开始资本化, 计入相关资产成本；其他借款费用，在发生时根据其发生额确认为费用，计入当期损益。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28"/>
        <w:keepNext w:val="0"/>
        <w:keepLines w:val="0"/>
        <w:widowControl w:val="0"/>
        <w:numPr>
          <w:ilvl w:val="0"/>
          <w:numId w:val="77"/>
        </w:numPr>
        <w:shd w:val="clear" w:color="auto" w:fill="auto"/>
        <w:tabs>
          <w:tab w:pos="536" w:val="left"/>
        </w:tabs>
        <w:bidi w:val="0"/>
        <w:spacing w:before="0" w:after="0" w:line="312" w:lineRule="exact"/>
        <w:ind w:left="0" w:right="0" w:firstLine="0"/>
        <w:jc w:val="left"/>
      </w:pPr>
      <w:bookmarkStart w:id="1011" w:name="bookmark1011"/>
      <w:bookmarkEnd w:id="1011"/>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numPr>
          <w:ilvl w:val="0"/>
          <w:numId w:val="77"/>
        </w:numPr>
        <w:shd w:val="clear" w:color="auto" w:fill="auto"/>
        <w:tabs>
          <w:tab w:pos="445" w:val="left"/>
        </w:tabs>
        <w:bidi w:val="0"/>
        <w:spacing w:before="0" w:after="0" w:line="312" w:lineRule="exact"/>
        <w:ind w:left="0" w:right="0" w:firstLine="0"/>
        <w:jc w:val="left"/>
      </w:pPr>
      <w:bookmarkStart w:id="1012" w:name="bookmark1012"/>
      <w:bookmarkEnd w:id="1012"/>
      <w:r>
        <w:rPr>
          <w:color w:val="000000"/>
          <w:spacing w:val="0"/>
          <w:w w:val="100"/>
          <w:position w:val="0"/>
        </w:rPr>
        <w:t>借款费用已经发生；</w:t>
      </w:r>
    </w:p>
    <w:p>
      <w:pPr>
        <w:pStyle w:val="Style28"/>
        <w:keepNext w:val="0"/>
        <w:keepLines w:val="0"/>
        <w:widowControl w:val="0"/>
        <w:numPr>
          <w:ilvl w:val="0"/>
          <w:numId w:val="77"/>
        </w:numPr>
        <w:shd w:val="clear" w:color="auto" w:fill="auto"/>
        <w:tabs>
          <w:tab w:pos="445" w:val="left"/>
        </w:tabs>
        <w:bidi w:val="0"/>
        <w:spacing w:before="0" w:after="80" w:line="312" w:lineRule="exact"/>
        <w:ind w:left="0" w:right="0" w:firstLine="0"/>
        <w:jc w:val="left"/>
      </w:pPr>
      <w:bookmarkStart w:id="1013" w:name="bookmark1013"/>
      <w:bookmarkEnd w:id="1013"/>
      <w:r>
        <w:rPr>
          <w:color w:val="000000"/>
          <w:spacing w:val="0"/>
          <w:w w:val="100"/>
          <w:position w:val="0"/>
        </w:rPr>
        <w:t>为使资产达到预定可使用或者可销售状态所必要的购建或者生产活动已经开始。</w:t>
      </w:r>
    </w:p>
    <w:p>
      <w:pPr>
        <w:pStyle w:val="Style28"/>
        <w:keepNext w:val="0"/>
        <w:keepLines w:val="0"/>
        <w:widowControl w:val="0"/>
        <w:numPr>
          <w:ilvl w:val="0"/>
          <w:numId w:val="75"/>
        </w:numPr>
        <w:shd w:val="clear" w:color="auto" w:fill="auto"/>
        <w:tabs>
          <w:tab w:pos="320" w:val="left"/>
        </w:tabs>
        <w:bidi w:val="0"/>
        <w:spacing w:before="0" w:after="0"/>
        <w:ind w:left="0" w:right="0" w:firstLine="0"/>
        <w:jc w:val="left"/>
      </w:pPr>
      <w:bookmarkStart w:id="1014" w:name="bookmark1014"/>
      <w:bookmarkEnd w:id="1014"/>
      <w:r>
        <w:rPr>
          <w:color w:val="000000"/>
          <w:spacing w:val="0"/>
          <w:w w:val="100"/>
          <w:position w:val="0"/>
        </w:rPr>
        <w:t>借款费用资本化期间</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320" w:line="312"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28"/>
        <w:keepNext w:val="0"/>
        <w:keepLines w:val="0"/>
        <w:widowControl w:val="0"/>
        <w:numPr>
          <w:ilvl w:val="0"/>
          <w:numId w:val="75"/>
        </w:numPr>
        <w:shd w:val="clear" w:color="auto" w:fill="auto"/>
        <w:tabs>
          <w:tab w:pos="310" w:val="left"/>
        </w:tabs>
        <w:bidi w:val="0"/>
        <w:spacing w:before="0" w:after="0" w:line="312" w:lineRule="exact"/>
        <w:ind w:left="0" w:right="0" w:firstLine="0"/>
        <w:jc w:val="both"/>
      </w:pPr>
      <w:bookmarkStart w:id="1015" w:name="bookmark1015"/>
      <w:bookmarkEnd w:id="1015"/>
      <w:r>
        <w:rPr>
          <w:color w:val="000000"/>
          <w:spacing w:val="0"/>
          <w:w w:val="100"/>
          <w:position w:val="0"/>
        </w:rPr>
        <w:t>暂停资本化期间</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符合资本化条件的资产在购建或生产过程中发生的非正常中断、且中断时间连续超过3个月的，则借款费用暂停资本化；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numPr>
          <w:ilvl w:val="0"/>
          <w:numId w:val="75"/>
        </w:numPr>
        <w:shd w:val="clear" w:color="auto" w:fill="auto"/>
        <w:tabs>
          <w:tab w:pos="320" w:val="left"/>
        </w:tabs>
        <w:bidi w:val="0"/>
        <w:spacing w:before="0" w:after="0" w:line="312" w:lineRule="exact"/>
        <w:ind w:left="0" w:right="0" w:firstLine="0"/>
        <w:jc w:val="left"/>
      </w:pPr>
      <w:bookmarkStart w:id="1016" w:name="bookmark1016"/>
      <w:bookmarkEnd w:id="1016"/>
      <w:r>
        <w:rPr>
          <w:color w:val="000000"/>
          <w:spacing w:val="0"/>
          <w:w w:val="100"/>
          <w:position w:val="0"/>
        </w:rPr>
        <w:t>借款费用资本化金额的计算方法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33"/>
        <w:keepNext/>
        <w:keepLines/>
        <w:widowControl w:val="0"/>
        <w:shd w:val="clear" w:color="auto" w:fill="auto"/>
        <w:tabs>
          <w:tab w:pos="469" w:val="left"/>
        </w:tabs>
        <w:bidi w:val="0"/>
        <w:spacing w:before="0" w:after="2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1017"/>
      <w:bookmarkEnd w:id="1018"/>
      <w:bookmarkEnd w:id="1020"/>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6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1021"/>
      <w:bookmarkEnd w:id="1022"/>
      <w:bookmarkEnd w:id="1024"/>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025"/>
      <w:bookmarkEnd w:id="1026"/>
      <w:bookmarkEnd w:id="1028"/>
    </w:p>
    <w:p>
      <w:pPr>
        <w:pStyle w:val="Style37"/>
        <w:keepNext/>
        <w:keepLines/>
        <w:widowControl w:val="0"/>
        <w:shd w:val="clear" w:color="auto" w:fill="auto"/>
        <w:bidi w:val="0"/>
        <w:spacing w:before="0" w:after="2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9"/>
      <w:bookmarkEnd w:id="1030"/>
      <w:bookmarkEnd w:id="1032"/>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361" w:val="left"/>
        </w:tabs>
        <w:bidi w:val="0"/>
        <w:spacing w:before="0" w:after="0" w:line="313" w:lineRule="exact"/>
        <w:ind w:left="0" w:right="0" w:firstLine="0"/>
        <w:jc w:val="left"/>
      </w:pPr>
      <w:bookmarkStart w:id="1033" w:name="bookmark1033"/>
      <w:r>
        <w:rPr>
          <w:rFonts w:ascii="Times New Roman" w:eastAsia="Times New Roman" w:hAnsi="Times New Roman" w:cs="Times New Roman"/>
          <w:color w:val="000000"/>
          <w:spacing w:val="0"/>
          <w:w w:val="100"/>
          <w:position w:val="0"/>
        </w:rPr>
        <w:t>1</w:t>
      </w:r>
      <w:bookmarkEnd w:id="1033"/>
      <w:r>
        <w:rPr>
          <w:color w:val="000000"/>
          <w:spacing w:val="0"/>
          <w:w w:val="100"/>
          <w:position w:val="0"/>
        </w:rPr>
        <w:t>、</w:t>
        <w:tab/>
        <w:t>无形资产的初始计量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8"/>
        <w:keepNext w:val="0"/>
        <w:keepLines w:val="0"/>
        <w:widowControl w:val="0"/>
        <w:shd w:val="clear" w:color="auto" w:fill="auto"/>
        <w:tabs>
          <w:tab w:pos="361" w:val="left"/>
        </w:tabs>
        <w:bidi w:val="0"/>
        <w:spacing w:before="0" w:after="0" w:line="313" w:lineRule="exact"/>
        <w:ind w:left="0" w:right="0" w:firstLine="0"/>
        <w:jc w:val="left"/>
      </w:pPr>
      <w:bookmarkStart w:id="1034" w:name="bookmark1034"/>
      <w:r>
        <w:rPr>
          <w:rFonts w:ascii="Times New Roman" w:eastAsia="Times New Roman" w:hAnsi="Times New Roman" w:cs="Times New Roman"/>
          <w:color w:val="000000"/>
          <w:spacing w:val="0"/>
          <w:w w:val="100"/>
          <w:position w:val="0"/>
        </w:rPr>
        <w:t>2</w:t>
      </w:r>
      <w:bookmarkEnd w:id="1034"/>
      <w:r>
        <w:rPr>
          <w:color w:val="000000"/>
          <w:spacing w:val="0"/>
          <w:w w:val="100"/>
          <w:position w:val="0"/>
        </w:rPr>
        <w:t>、</w:t>
        <w:tab/>
        <w:t>无形资产的后续计量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本公司在取得无形资产时分析判断其使用寿命，划分为使用寿命有限和使用寿命不确定的无形资产。</w:t>
      </w:r>
    </w:p>
    <w:p>
      <w:pPr>
        <w:pStyle w:val="Style28"/>
        <w:keepNext w:val="0"/>
        <w:keepLines w:val="0"/>
        <w:widowControl w:val="0"/>
        <w:shd w:val="clear" w:color="auto" w:fill="auto"/>
        <w:bidi w:val="0"/>
        <w:spacing w:before="0" w:after="0" w:line="313" w:lineRule="exact"/>
        <w:ind w:left="0" w:right="0" w:firstLine="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2630"/>
        <w:gridCol w:w="2635"/>
        <w:gridCol w:w="3245"/>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按合同规定的使用年限</w:t>
            </w:r>
          </w:p>
        </w:tc>
      </w:tr>
    </w:tbl>
    <w:p>
      <w:pPr>
        <w:widowControl w:val="0"/>
        <w:spacing w:line="1" w:lineRule="exact"/>
      </w:pPr>
    </w:p>
    <w:tbl>
      <w:tblPr>
        <w:tblOverlap w:val="never"/>
        <w:jc w:val="center"/>
        <w:tblLayout w:type="fixed"/>
      </w:tblPr>
      <w:tblGrid>
        <w:gridCol w:w="2630"/>
        <w:gridCol w:w="2635"/>
        <w:gridCol w:w="3245"/>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r>
        <w:trPr>
          <w:trHeight w:val="3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r>
        <w:trPr>
          <w:trHeight w:val="33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bl>
    <w:p>
      <w:pPr>
        <w:pStyle w:val="Style28"/>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8"/>
        <w:keepNext w:val="0"/>
        <w:keepLines w:val="0"/>
        <w:widowControl w:val="0"/>
        <w:numPr>
          <w:ilvl w:val="0"/>
          <w:numId w:val="79"/>
        </w:numPr>
        <w:shd w:val="clear" w:color="auto" w:fill="auto"/>
        <w:bidi w:val="0"/>
        <w:spacing w:before="0" w:after="0" w:line="312" w:lineRule="exact"/>
        <w:ind w:left="0" w:right="0" w:firstLine="0"/>
        <w:jc w:val="left"/>
      </w:pPr>
      <w:bookmarkStart w:id="1036" w:name="bookmark1036"/>
      <w:bookmarkEnd w:id="1036"/>
      <w:r>
        <w:rPr>
          <w:color w:val="000000"/>
          <w:spacing w:val="0"/>
          <w:w w:val="100"/>
          <w:position w:val="0"/>
        </w:rPr>
        <w:t>使用寿命不确定的无形资产</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无法预见无形资产为企业带来经济利益期限的，视为使用寿命不确定的无形资产。</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每期末，对使用寿命不确定的无形资产的使用寿命进行复核。</w:t>
      </w:r>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经复核，本公司无使用寿命不确定的无形资产。</w:t>
      </w:r>
    </w:p>
    <w:p>
      <w:pPr>
        <w:pStyle w:val="Style37"/>
        <w:keepNext/>
        <w:keepLines/>
        <w:widowControl w:val="0"/>
        <w:numPr>
          <w:ilvl w:val="0"/>
          <w:numId w:val="81"/>
        </w:numPr>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内部研究开发支出会计政策</w:t>
      </w:r>
      <w:bookmarkEnd w:id="1037"/>
      <w:bookmarkEnd w:id="1038"/>
      <w:bookmarkEnd w:id="1040"/>
    </w:p>
    <w:p>
      <w:pPr>
        <w:pStyle w:val="Style28"/>
        <w:keepNext w:val="0"/>
        <w:keepLines w:val="0"/>
        <w:widowControl w:val="0"/>
        <w:shd w:val="clear" w:color="auto" w:fill="auto"/>
        <w:tabs>
          <w:tab w:pos="346" w:val="left"/>
        </w:tabs>
        <w:bidi w:val="0"/>
        <w:spacing w:before="0" w:after="0"/>
        <w:ind w:left="0" w:right="0" w:firstLine="0"/>
        <w:jc w:val="left"/>
      </w:pPr>
      <w:bookmarkStart w:id="1041" w:name="bookmark1041"/>
      <w:r>
        <w:rPr>
          <w:rFonts w:ascii="Times New Roman" w:eastAsia="Times New Roman" w:hAnsi="Times New Roman" w:cs="Times New Roman"/>
          <w:color w:val="000000"/>
          <w:spacing w:val="0"/>
          <w:w w:val="100"/>
          <w:position w:val="0"/>
        </w:rPr>
        <w:t>1</w:t>
      </w:r>
      <w:bookmarkEnd w:id="1041"/>
      <w:r>
        <w:rPr>
          <w:color w:val="000000"/>
          <w:spacing w:val="0"/>
          <w:w w:val="100"/>
          <w:position w:val="0"/>
        </w:rPr>
        <w:t>、</w:t>
        <w:tab/>
        <w:t>划分公司内部研究开发项目的研究阶段和开发阶段具体标准</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8"/>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内部研究开发项目研究阶段的支出，在发生时计入当期损益。</w:t>
      </w:r>
    </w:p>
    <w:p>
      <w:pPr>
        <w:pStyle w:val="Style28"/>
        <w:keepNext w:val="0"/>
        <w:keepLines w:val="0"/>
        <w:widowControl w:val="0"/>
        <w:shd w:val="clear" w:color="auto" w:fill="auto"/>
        <w:tabs>
          <w:tab w:pos="354" w:val="left"/>
        </w:tabs>
        <w:bidi w:val="0"/>
        <w:spacing w:before="0" w:after="0"/>
        <w:ind w:left="0" w:right="0" w:firstLine="0"/>
        <w:jc w:val="left"/>
      </w:pPr>
      <w:bookmarkStart w:id="1042" w:name="bookmark1042"/>
      <w:r>
        <w:rPr>
          <w:rFonts w:ascii="Times New Roman" w:eastAsia="Times New Roman" w:hAnsi="Times New Roman" w:cs="Times New Roman"/>
          <w:color w:val="000000"/>
          <w:spacing w:val="0"/>
          <w:w w:val="100"/>
          <w:position w:val="0"/>
        </w:rPr>
        <w:t>2</w:t>
      </w:r>
      <w:bookmarkEnd w:id="1042"/>
      <w:r>
        <w:rPr>
          <w:color w:val="000000"/>
          <w:spacing w:val="0"/>
          <w:w w:val="100"/>
          <w:position w:val="0"/>
        </w:rPr>
        <w:t>、</w:t>
        <w:tab/>
        <w:t>开发阶段支出符合资本化的具体标准</w:t>
      </w:r>
    </w:p>
    <w:p>
      <w:pPr>
        <w:pStyle w:val="Style2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内部研究开发项目开发阶段的支出，同时满足下列条件时确认为无形资产：</w:t>
      </w:r>
    </w:p>
    <w:p>
      <w:pPr>
        <w:pStyle w:val="Style28"/>
        <w:keepNext w:val="0"/>
        <w:keepLines w:val="0"/>
        <w:widowControl w:val="0"/>
        <w:numPr>
          <w:ilvl w:val="0"/>
          <w:numId w:val="83"/>
        </w:numPr>
        <w:shd w:val="clear" w:color="auto" w:fill="auto"/>
        <w:tabs>
          <w:tab w:pos="445" w:val="left"/>
        </w:tabs>
        <w:bidi w:val="0"/>
        <w:spacing w:before="0" w:after="0" w:line="317" w:lineRule="exact"/>
        <w:ind w:left="0" w:right="0" w:firstLine="0"/>
        <w:jc w:val="left"/>
      </w:pPr>
      <w:bookmarkStart w:id="1043" w:name="bookmark1043"/>
      <w:bookmarkEnd w:id="1043"/>
      <w:r>
        <w:rPr>
          <w:color w:val="000000"/>
          <w:spacing w:val="0"/>
          <w:w w:val="100"/>
          <w:position w:val="0"/>
        </w:rPr>
        <w:t>完成该无形资产以使其能够使用或出售在技术上具有可行性；</w:t>
      </w:r>
    </w:p>
    <w:p>
      <w:pPr>
        <w:pStyle w:val="Style28"/>
        <w:keepNext w:val="0"/>
        <w:keepLines w:val="0"/>
        <w:widowControl w:val="0"/>
        <w:numPr>
          <w:ilvl w:val="0"/>
          <w:numId w:val="83"/>
        </w:numPr>
        <w:shd w:val="clear" w:color="auto" w:fill="auto"/>
        <w:tabs>
          <w:tab w:pos="445" w:val="left"/>
        </w:tabs>
        <w:bidi w:val="0"/>
        <w:spacing w:before="0" w:after="0" w:line="317" w:lineRule="exact"/>
        <w:ind w:left="0" w:right="0" w:firstLine="0"/>
        <w:jc w:val="left"/>
      </w:pPr>
      <w:bookmarkStart w:id="1044" w:name="bookmark1044"/>
      <w:bookmarkEnd w:id="1044"/>
      <w:r>
        <w:rPr>
          <w:color w:val="000000"/>
          <w:spacing w:val="0"/>
          <w:w w:val="100"/>
          <w:position w:val="0"/>
        </w:rPr>
        <w:t>具有完成该无形资产并使用或出售的意图；</w:t>
      </w:r>
    </w:p>
    <w:p>
      <w:pPr>
        <w:pStyle w:val="Style28"/>
        <w:keepNext w:val="0"/>
        <w:keepLines w:val="0"/>
        <w:widowControl w:val="0"/>
        <w:numPr>
          <w:ilvl w:val="0"/>
          <w:numId w:val="83"/>
        </w:numPr>
        <w:shd w:val="clear" w:color="auto" w:fill="auto"/>
        <w:tabs>
          <w:tab w:pos="541" w:val="left"/>
        </w:tabs>
        <w:bidi w:val="0"/>
        <w:spacing w:before="0" w:after="0" w:line="317" w:lineRule="exact"/>
        <w:ind w:left="0" w:right="0" w:firstLine="0"/>
        <w:jc w:val="left"/>
      </w:pPr>
      <w:bookmarkStart w:id="1045" w:name="bookmark1045"/>
      <w:bookmarkEnd w:id="1045"/>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8"/>
        <w:keepNext w:val="0"/>
        <w:keepLines w:val="0"/>
        <w:widowControl w:val="0"/>
        <w:numPr>
          <w:ilvl w:val="0"/>
          <w:numId w:val="83"/>
        </w:numPr>
        <w:shd w:val="clear" w:color="auto" w:fill="auto"/>
        <w:tabs>
          <w:tab w:pos="445" w:val="left"/>
        </w:tabs>
        <w:bidi w:val="0"/>
        <w:spacing w:before="0" w:after="0" w:line="317" w:lineRule="exact"/>
        <w:ind w:left="0" w:right="0" w:firstLine="0"/>
        <w:jc w:val="left"/>
      </w:pPr>
      <w:bookmarkStart w:id="1046" w:name="bookmark1046"/>
      <w:bookmarkEnd w:id="1046"/>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83"/>
        </w:numPr>
        <w:shd w:val="clear" w:color="auto" w:fill="auto"/>
        <w:tabs>
          <w:tab w:pos="445" w:val="left"/>
        </w:tabs>
        <w:bidi w:val="0"/>
        <w:spacing w:before="0" w:after="0" w:line="317" w:lineRule="exact"/>
        <w:ind w:left="0" w:right="0" w:firstLine="0"/>
        <w:jc w:val="left"/>
      </w:pPr>
      <w:bookmarkStart w:id="1047" w:name="bookmark1047"/>
      <w:bookmarkEnd w:id="1047"/>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3"/>
        <w:keepNext/>
        <w:keepLines/>
        <w:widowControl w:val="0"/>
        <w:shd w:val="clear" w:color="auto" w:fill="auto"/>
        <w:bidi w:val="0"/>
        <w:spacing w:before="0" w:after="2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048"/>
      <w:bookmarkEnd w:id="1049"/>
      <w:bookmarkEnd w:id="1051"/>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 资产可收回金额的估计，根据其公允价值减去处置费用后的净额与资产预计未来现金流量的现值两者之间较高者确定。 可收回金额的计量结果表明，长期资产的可收回金额低于其账面价值的，将长期资产的账面价值减记至可收回金额，减记的 金额确认为资产减值损失，计入当期损益，同时计提相应的资产减值准备。资产减值损失一经确认，在以后会计期间不得转 回。</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因企业合并所形成的商誉和使用寿命不确定的无形资产，无论是否存在减值迹象，每年都进行减值测试。</w:t>
      </w:r>
    </w:p>
    <w:p>
      <w:pPr>
        <w:pStyle w:val="Style28"/>
        <w:keepNext w:val="0"/>
        <w:keepLines w:val="0"/>
        <w:widowControl w:val="0"/>
        <w:shd w:val="clear" w:color="auto" w:fill="auto"/>
        <w:bidi w:val="0"/>
        <w:spacing w:before="0" w:after="180" w:line="311" w:lineRule="exact"/>
        <w:ind w:left="0" w:right="0" w:firstLine="380"/>
        <w:jc w:val="left"/>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3"/>
        <w:keepNext/>
        <w:keepLines/>
        <w:widowControl w:val="0"/>
        <w:shd w:val="clear" w:color="auto" w:fill="auto"/>
        <w:bidi w:val="0"/>
        <w:spacing w:before="0" w:after="28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52"/>
      <w:bookmarkEnd w:id="1053"/>
      <w:bookmarkEnd w:id="1055"/>
    </w:p>
    <w:p>
      <w:pPr>
        <w:pStyle w:val="Style28"/>
        <w:keepNext w:val="0"/>
        <w:keepLines w:val="0"/>
        <w:widowControl w:val="0"/>
        <w:shd w:val="clear" w:color="auto" w:fill="auto"/>
        <w:tabs>
          <w:tab w:pos="369" w:val="left"/>
        </w:tabs>
        <w:bidi w:val="0"/>
        <w:spacing w:before="0" w:after="0" w:line="312" w:lineRule="exact"/>
        <w:ind w:left="0" w:right="0" w:firstLine="0"/>
        <w:jc w:val="both"/>
      </w:pPr>
      <w:bookmarkStart w:id="1056" w:name="bookmark1056"/>
      <w:r>
        <w:rPr>
          <w:rFonts w:ascii="Times New Roman" w:eastAsia="Times New Roman" w:hAnsi="Times New Roman" w:cs="Times New Roman"/>
          <w:color w:val="000000"/>
          <w:spacing w:val="0"/>
          <w:w w:val="100"/>
          <w:position w:val="0"/>
        </w:rPr>
        <w:t>1</w:t>
      </w:r>
      <w:bookmarkEnd w:id="1056"/>
      <w:r>
        <w:rPr>
          <w:color w:val="000000"/>
          <w:spacing w:val="0"/>
          <w:w w:val="100"/>
          <w:position w:val="0"/>
        </w:rPr>
        <w:t>、</w:t>
        <w:tab/>
        <w:t>摊销方法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长期待摊费用，是指本公司已经发生但应由本期和以后各期负担的分摊期限在1年以上的各项费用。长期待摊费用在受 益期内按直线法分期摊销。</w:t>
      </w:r>
    </w:p>
    <w:p>
      <w:pPr>
        <w:pStyle w:val="Style28"/>
        <w:keepNext w:val="0"/>
        <w:keepLines w:val="0"/>
        <w:widowControl w:val="0"/>
        <w:shd w:val="clear" w:color="auto" w:fill="auto"/>
        <w:tabs>
          <w:tab w:pos="369" w:val="left"/>
        </w:tabs>
        <w:bidi w:val="0"/>
        <w:spacing w:before="0" w:after="40" w:line="312" w:lineRule="exact"/>
        <w:ind w:left="0" w:right="0" w:firstLine="0"/>
        <w:jc w:val="left"/>
      </w:pPr>
      <w:bookmarkStart w:id="1057" w:name="bookmark1057"/>
      <w:r>
        <w:rPr>
          <w:rFonts w:ascii="Times New Roman" w:eastAsia="Times New Roman" w:hAnsi="Times New Roman" w:cs="Times New Roman"/>
          <w:color w:val="000000"/>
          <w:spacing w:val="0"/>
          <w:w w:val="100"/>
          <w:position w:val="0"/>
        </w:rPr>
        <w:t>2</w:t>
      </w:r>
      <w:bookmarkEnd w:id="1057"/>
      <w:r>
        <w:rPr>
          <w:color w:val="000000"/>
          <w:spacing w:val="0"/>
          <w:w w:val="100"/>
          <w:position w:val="0"/>
        </w:rPr>
        <w:t>、</w:t>
        <w:tab/>
        <w:t>摊销期限</w:t>
      </w:r>
    </w:p>
    <w:tbl>
      <w:tblPr>
        <w:tblOverlap w:val="never"/>
        <w:jc w:val="center"/>
        <w:tblLayout w:type="fixed"/>
      </w:tblPr>
      <w:tblGrid>
        <w:gridCol w:w="4123"/>
        <w:gridCol w:w="4243"/>
      </w:tblGrid>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1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r>
      <w:tr>
        <w:trPr>
          <w:trHeight w:val="3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r>
        <w:trPr>
          <w:trHeight w:val="31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地图平台服务费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58"/>
      <w:bookmarkEnd w:id="1059"/>
      <w:bookmarkEnd w:id="1061"/>
    </w:p>
    <w:p>
      <w:pPr>
        <w:pStyle w:val="Style37"/>
        <w:keepNext/>
        <w:keepLines/>
        <w:widowControl w:val="0"/>
        <w:shd w:val="clear" w:color="auto" w:fill="auto"/>
        <w:tabs>
          <w:tab w:pos="488"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2"/>
      <w:bookmarkEnd w:id="1063"/>
      <w:bookmarkEnd w:id="1065"/>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37"/>
        <w:keepNext/>
        <w:keepLines/>
        <w:widowControl w:val="0"/>
        <w:shd w:val="clear" w:color="auto" w:fill="auto"/>
        <w:tabs>
          <w:tab w:pos="488"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6"/>
      <w:bookmarkEnd w:id="1067"/>
      <w:bookmarkEnd w:id="1069"/>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本公司的离职后福利计划全部为设定提存计划。</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本公司按照国家规定的标准定期缴付上述款项后，不再有其他的支付义务。</w:t>
      </w:r>
    </w:p>
    <w:p>
      <w:pPr>
        <w:pStyle w:val="Style37"/>
        <w:keepNext/>
        <w:keepLines/>
        <w:widowControl w:val="0"/>
        <w:shd w:val="clear" w:color="auto" w:fill="auto"/>
        <w:tabs>
          <w:tab w:pos="488"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0"/>
      <w:bookmarkEnd w:id="1071"/>
      <w:bookmarkEnd w:id="1073"/>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8"/>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37"/>
        <w:keepNext/>
        <w:keepLines/>
        <w:widowControl w:val="0"/>
        <w:shd w:val="clear" w:color="auto" w:fill="auto"/>
        <w:tabs>
          <w:tab w:pos="488" w:val="left"/>
        </w:tabs>
        <w:bidi w:val="0"/>
        <w:spacing w:before="0" w:after="2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74"/>
      <w:bookmarkEnd w:id="1075"/>
      <w:bookmarkEnd w:id="1077"/>
    </w:p>
    <w:p>
      <w:pPr>
        <w:pStyle w:val="Style28"/>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其他长期职工福利是指除短期薪酬、离职后福利、辞退福利之外的其他所有职工福利。</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078"/>
      <w:bookmarkEnd w:id="1079"/>
      <w:bookmarkEnd w:id="1081"/>
    </w:p>
    <w:p>
      <w:pPr>
        <w:pStyle w:val="Style28"/>
        <w:keepNext w:val="0"/>
        <w:keepLines w:val="0"/>
        <w:widowControl w:val="0"/>
        <w:numPr>
          <w:ilvl w:val="0"/>
          <w:numId w:val="85"/>
        </w:numPr>
        <w:shd w:val="clear" w:color="auto" w:fill="auto"/>
        <w:tabs>
          <w:tab w:pos="301" w:val="left"/>
        </w:tabs>
        <w:bidi w:val="0"/>
        <w:spacing w:before="0" w:after="0" w:line="314" w:lineRule="exact"/>
        <w:ind w:left="0" w:right="0" w:firstLine="0"/>
        <w:jc w:val="left"/>
      </w:pPr>
      <w:bookmarkStart w:id="1082" w:name="bookmark1082"/>
      <w:bookmarkEnd w:id="1082"/>
      <w:r>
        <w:rPr>
          <w:color w:val="000000"/>
          <w:spacing w:val="0"/>
          <w:w w:val="100"/>
          <w:position w:val="0"/>
        </w:rPr>
        <w:t>预计负债的确认标准</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与或有事项相关的义务同时满足下列条件时，本公司确认为预计负债：</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该义务是本公司承担的现时义务；</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履行该义务很可能导致经济利益流出本公司；</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该义务的金额能够可靠地计量。</w:t>
      </w:r>
    </w:p>
    <w:p>
      <w:pPr>
        <w:pStyle w:val="Style28"/>
        <w:keepNext w:val="0"/>
        <w:keepLines w:val="0"/>
        <w:widowControl w:val="0"/>
        <w:numPr>
          <w:ilvl w:val="0"/>
          <w:numId w:val="85"/>
        </w:numPr>
        <w:shd w:val="clear" w:color="auto" w:fill="auto"/>
        <w:tabs>
          <w:tab w:pos="320" w:val="left"/>
        </w:tabs>
        <w:bidi w:val="0"/>
        <w:spacing w:before="0" w:after="0" w:line="314" w:lineRule="exact"/>
        <w:ind w:left="0" w:right="0" w:firstLine="0"/>
        <w:jc w:val="left"/>
      </w:pPr>
      <w:bookmarkStart w:id="1083" w:name="bookmark1083"/>
      <w:bookmarkEnd w:id="1083"/>
      <w:r>
        <w:rPr>
          <w:color w:val="000000"/>
          <w:spacing w:val="0"/>
          <w:w w:val="100"/>
          <w:position w:val="0"/>
        </w:rPr>
        <w:t>预计负债的计量方法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84"/>
      <w:bookmarkEnd w:id="1085"/>
      <w:bookmarkEnd w:id="1087"/>
    </w:p>
    <w:p>
      <w:pPr>
        <w:pStyle w:val="Style28"/>
        <w:keepNext w:val="0"/>
        <w:keepLines w:val="0"/>
        <w:widowControl w:val="0"/>
        <w:numPr>
          <w:ilvl w:val="0"/>
          <w:numId w:val="87"/>
        </w:numPr>
        <w:shd w:val="clear" w:color="auto" w:fill="auto"/>
        <w:tabs>
          <w:tab w:pos="301" w:val="left"/>
        </w:tabs>
        <w:bidi w:val="0"/>
        <w:spacing w:before="0" w:after="0" w:line="311" w:lineRule="exact"/>
        <w:ind w:left="0" w:right="0" w:firstLine="0"/>
        <w:jc w:val="left"/>
      </w:pPr>
      <w:bookmarkStart w:id="1088" w:name="bookmark1088"/>
      <w:bookmarkEnd w:id="1088"/>
      <w:r>
        <w:rPr>
          <w:color w:val="000000"/>
          <w:spacing w:val="0"/>
          <w:w w:val="100"/>
          <w:position w:val="0"/>
        </w:rPr>
        <w:t>股份支付的种类</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本公司的股份支付分为以权益结算的股份支付和以现金结算的股份支付。</w:t>
      </w:r>
    </w:p>
    <w:p>
      <w:pPr>
        <w:pStyle w:val="Style28"/>
        <w:keepNext w:val="0"/>
        <w:keepLines w:val="0"/>
        <w:widowControl w:val="0"/>
        <w:numPr>
          <w:ilvl w:val="0"/>
          <w:numId w:val="87"/>
        </w:numPr>
        <w:shd w:val="clear" w:color="auto" w:fill="auto"/>
        <w:tabs>
          <w:tab w:pos="320" w:val="left"/>
        </w:tabs>
        <w:bidi w:val="0"/>
        <w:spacing w:before="0" w:after="0" w:line="311" w:lineRule="exact"/>
        <w:ind w:left="0" w:right="0" w:firstLine="0"/>
        <w:jc w:val="left"/>
      </w:pPr>
      <w:bookmarkStart w:id="1089" w:name="bookmark1089"/>
      <w:bookmarkEnd w:id="1089"/>
      <w:r>
        <w:rPr>
          <w:color w:val="000000"/>
          <w:spacing w:val="0"/>
          <w:w w:val="100"/>
          <w:position w:val="0"/>
        </w:rPr>
        <w:t>权益工具公允价值的确定方法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权等权益工具，采用期权定价模型等确定其公允价值，选用的期权定价模型考虑以下因素：（1）期权的行权价格；（2）期 权的有效期；（3）标的股份的现行价格；（4）股价预计波动率；（5）股份的预计股利；（6）期权有效期内的无风险利率。</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8"/>
        <w:keepNext w:val="0"/>
        <w:keepLines w:val="0"/>
        <w:widowControl w:val="0"/>
        <w:numPr>
          <w:ilvl w:val="0"/>
          <w:numId w:val="87"/>
        </w:numPr>
        <w:shd w:val="clear" w:color="auto" w:fill="auto"/>
        <w:tabs>
          <w:tab w:pos="320" w:val="left"/>
        </w:tabs>
        <w:bidi w:val="0"/>
        <w:spacing w:before="0" w:after="0" w:line="311" w:lineRule="exact"/>
        <w:ind w:left="0" w:right="0" w:firstLine="0"/>
        <w:jc w:val="left"/>
      </w:pPr>
      <w:bookmarkStart w:id="1090" w:name="bookmark1090"/>
      <w:bookmarkEnd w:id="1090"/>
      <w:r>
        <w:rPr>
          <w:color w:val="000000"/>
          <w:spacing w:val="0"/>
          <w:w w:val="100"/>
          <w:position w:val="0"/>
        </w:rPr>
        <w:t>确定可行权权益工具最佳估计的依据</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8"/>
        <w:keepNext w:val="0"/>
        <w:keepLines w:val="0"/>
        <w:widowControl w:val="0"/>
        <w:numPr>
          <w:ilvl w:val="0"/>
          <w:numId w:val="87"/>
        </w:numPr>
        <w:shd w:val="clear" w:color="auto" w:fill="auto"/>
        <w:tabs>
          <w:tab w:pos="320" w:val="left"/>
        </w:tabs>
        <w:bidi w:val="0"/>
        <w:spacing w:before="0" w:after="0" w:line="311" w:lineRule="exact"/>
        <w:ind w:left="0" w:right="0" w:firstLine="0"/>
        <w:jc w:val="both"/>
      </w:pPr>
      <w:bookmarkStart w:id="1091" w:name="bookmark1091"/>
      <w:bookmarkEnd w:id="1091"/>
      <w:r>
        <w:rPr>
          <w:color w:val="000000"/>
          <w:spacing w:val="0"/>
          <w:w w:val="100"/>
          <w:position w:val="0"/>
        </w:rPr>
        <w:t>会计处理方法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3"/>
        <w:keepNext/>
        <w:keepLines/>
        <w:widowControl w:val="0"/>
        <w:shd w:val="clear" w:color="auto" w:fill="auto"/>
        <w:tabs>
          <w:tab w:pos="478" w:val="left"/>
        </w:tabs>
        <w:bidi w:val="0"/>
        <w:spacing w:before="0" w:after="2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92"/>
      <w:bookmarkEnd w:id="1093"/>
      <w:bookmarkEnd w:id="1095"/>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96"/>
      <w:bookmarkEnd w:id="1097"/>
      <w:bookmarkEnd w:id="1099"/>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否</w:t>
      </w:r>
    </w:p>
    <w:p>
      <w:pPr>
        <w:pStyle w:val="Style28"/>
        <w:keepNext w:val="0"/>
        <w:keepLines w:val="0"/>
        <w:widowControl w:val="0"/>
        <w:numPr>
          <w:ilvl w:val="0"/>
          <w:numId w:val="89"/>
        </w:numPr>
        <w:shd w:val="clear" w:color="auto" w:fill="auto"/>
        <w:tabs>
          <w:tab w:pos="301" w:val="left"/>
        </w:tabs>
        <w:bidi w:val="0"/>
        <w:spacing w:before="0" w:after="0"/>
        <w:ind w:left="0" w:right="0" w:firstLine="0"/>
        <w:jc w:val="left"/>
      </w:pPr>
      <w:bookmarkStart w:id="1100" w:name="bookmark1100"/>
      <w:bookmarkEnd w:id="1100"/>
      <w:r>
        <w:rPr>
          <w:color w:val="000000"/>
          <w:spacing w:val="0"/>
          <w:w w:val="100"/>
          <w:position w:val="0"/>
        </w:rPr>
        <w:t>销售商品收入确认时间的具体判断标准</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8"/>
        <w:keepNext w:val="0"/>
        <w:keepLines w:val="0"/>
        <w:widowControl w:val="0"/>
        <w:numPr>
          <w:ilvl w:val="0"/>
          <w:numId w:val="89"/>
        </w:numPr>
        <w:shd w:val="clear" w:color="auto" w:fill="auto"/>
        <w:tabs>
          <w:tab w:pos="320" w:val="left"/>
        </w:tabs>
        <w:bidi w:val="0"/>
        <w:spacing w:before="0" w:after="0"/>
        <w:ind w:left="0" w:right="0" w:firstLine="0"/>
        <w:jc w:val="left"/>
      </w:pPr>
      <w:bookmarkStart w:id="1101" w:name="bookmark1101"/>
      <w:bookmarkEnd w:id="1101"/>
      <w:r>
        <w:rPr>
          <w:color w:val="000000"/>
          <w:spacing w:val="0"/>
          <w:w w:val="100"/>
          <w:position w:val="0"/>
        </w:rPr>
        <w:t>确认让渡资产使用权收入的依据</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28"/>
        <w:keepNext w:val="0"/>
        <w:keepLines w:val="0"/>
        <w:widowControl w:val="0"/>
        <w:shd w:val="clear" w:color="auto" w:fill="auto"/>
        <w:tabs>
          <w:tab w:pos="445" w:val="left"/>
        </w:tabs>
        <w:bidi w:val="0"/>
        <w:spacing w:before="0" w:after="100" w:line="314" w:lineRule="exact"/>
        <w:ind w:left="0" w:right="0" w:firstLine="0"/>
        <w:jc w:val="left"/>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28"/>
        <w:keepNext w:val="0"/>
        <w:keepLines w:val="0"/>
        <w:widowControl w:val="0"/>
        <w:numPr>
          <w:ilvl w:val="0"/>
          <w:numId w:val="89"/>
        </w:numPr>
        <w:shd w:val="clear" w:color="auto" w:fill="auto"/>
        <w:tabs>
          <w:tab w:pos="320" w:val="left"/>
        </w:tabs>
        <w:bidi w:val="0"/>
        <w:spacing w:before="0" w:after="0"/>
        <w:ind w:left="0" w:right="0" w:firstLine="0"/>
        <w:jc w:val="left"/>
      </w:pPr>
      <w:bookmarkStart w:id="1104" w:name="bookmark1104"/>
      <w:bookmarkEnd w:id="1104"/>
      <w:r>
        <w:rPr>
          <w:color w:val="000000"/>
          <w:spacing w:val="0"/>
          <w:w w:val="100"/>
          <w:position w:val="0"/>
        </w:rPr>
        <w:t>提供劳务收入的确认依据和方法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提供劳务交易的结果能够可靠估计，是指同时满足下列条件：</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收入的金额能够可靠地计量；</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相关的经济利益很可能流入企业；</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w:t>
        <w:tab/>
        <w:t>交易的完工进度能够可靠地确定；</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w:t>
        <w:tab/>
        <w:t>交易中已发生和将发生的成本能够可靠地计量。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在资产负债表日提供劳务交易结果不能够可靠估计的，分别下列情况处理：</w:t>
      </w:r>
    </w:p>
    <w:p>
      <w:pPr>
        <w:pStyle w:val="Style28"/>
        <w:keepNext w:val="0"/>
        <w:keepLines w:val="0"/>
        <w:widowControl w:val="0"/>
        <w:shd w:val="clear" w:color="auto" w:fill="auto"/>
        <w:tabs>
          <w:tab w:pos="541" w:val="left"/>
        </w:tabs>
        <w:bidi w:val="0"/>
        <w:spacing w:before="0" w:after="0" w:line="314" w:lineRule="exact"/>
        <w:ind w:left="0" w:right="0" w:firstLine="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已经发生的劳务成本预计能够得到补偿的，按照已经发生的劳务成本金额确认提供劳务收入，并按相同金额结转劳务 成本。</w:t>
      </w:r>
    </w:p>
    <w:p>
      <w:pPr>
        <w:pStyle w:val="Style28"/>
        <w:keepNext w:val="0"/>
        <w:keepLines w:val="0"/>
        <w:widowControl w:val="0"/>
        <w:shd w:val="clear" w:color="auto" w:fill="auto"/>
        <w:tabs>
          <w:tab w:pos="445" w:val="left"/>
        </w:tabs>
        <w:bidi w:val="0"/>
        <w:spacing w:before="0" w:after="0" w:line="314" w:lineRule="exact"/>
        <w:ind w:left="0" w:right="0" w:firstLine="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已经发生的劳务成本预计不能够得到补偿的，将已经发生的劳务成本计入当期损益，不确认提供劳务收入。</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bookmarkEnd w:id="1113"/>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111"/>
      <w:bookmarkEnd w:id="1112"/>
      <w:bookmarkEnd w:id="1114"/>
    </w:p>
    <w:p>
      <w:pPr>
        <w:pStyle w:val="Style37"/>
        <w:keepNext/>
        <w:keepLines/>
        <w:widowControl w:val="0"/>
        <w:shd w:val="clear" w:color="auto" w:fill="auto"/>
        <w:bidi w:val="0"/>
        <w:spacing w:before="0" w:after="2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115"/>
      <w:bookmarkEnd w:id="1116"/>
      <w:bookmarkEnd w:id="1118"/>
    </w:p>
    <w:p>
      <w:pPr>
        <w:pStyle w:val="Style28"/>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 xml:space="preserve">与资产相关的政府补助，是指本公司取得的、用于购建或以其他方式形成长期资产的政府补助。与收益相关的政府补助， </w:t>
      </w:r>
      <w:r>
        <w:rPr>
          <w:color w:val="000000"/>
          <w:spacing w:val="0"/>
          <w:w w:val="100"/>
          <w:position w:val="0"/>
        </w:rPr>
        <w:t>是指除与资产相关的政府补助之外的政府补助。</w:t>
      </w:r>
    </w:p>
    <w:p>
      <w:pPr>
        <w:pStyle w:val="Style28"/>
        <w:keepNext w:val="0"/>
        <w:keepLines w:val="0"/>
        <w:widowControl w:val="0"/>
        <w:numPr>
          <w:ilvl w:val="0"/>
          <w:numId w:val="91"/>
        </w:numPr>
        <w:shd w:val="clear" w:color="auto" w:fill="auto"/>
        <w:tabs>
          <w:tab w:pos="301" w:val="left"/>
        </w:tabs>
        <w:bidi w:val="0"/>
        <w:spacing w:before="0" w:after="0"/>
        <w:ind w:left="0" w:right="0" w:firstLine="0"/>
        <w:jc w:val="both"/>
      </w:pPr>
      <w:bookmarkStart w:id="1119" w:name="bookmark1119"/>
      <w:bookmarkEnd w:id="1119"/>
      <w:r>
        <w:rPr>
          <w:color w:val="000000"/>
          <w:spacing w:val="0"/>
          <w:w w:val="100"/>
          <w:position w:val="0"/>
        </w:rPr>
        <w:t>政府补助的确认</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8"/>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28"/>
        <w:keepNext w:val="0"/>
        <w:keepLines w:val="0"/>
        <w:widowControl w:val="0"/>
        <w:numPr>
          <w:ilvl w:val="0"/>
          <w:numId w:val="91"/>
        </w:numPr>
        <w:shd w:val="clear" w:color="auto" w:fill="auto"/>
        <w:tabs>
          <w:tab w:pos="320" w:val="left"/>
        </w:tabs>
        <w:bidi w:val="0"/>
        <w:spacing w:before="0" w:after="0"/>
        <w:ind w:left="0" w:right="0" w:firstLine="0"/>
        <w:jc w:val="both"/>
      </w:pPr>
      <w:bookmarkStart w:id="1120" w:name="bookmark1120"/>
      <w:bookmarkEnd w:id="1120"/>
      <w:r>
        <w:rPr>
          <w:color w:val="000000"/>
          <w:spacing w:val="0"/>
          <w:w w:val="100"/>
          <w:position w:val="0"/>
        </w:rPr>
        <w:t>会计处理方法</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与资产相关的政府补助，确认为递延收益，按照所建造或购买的资产使用年限分期计入营业外收入；</w:t>
      </w:r>
    </w:p>
    <w:p>
      <w:pPr>
        <w:pStyle w:val="Style28"/>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7"/>
        <w:keepNext/>
        <w:keepLines/>
        <w:widowControl w:val="0"/>
        <w:shd w:val="clear" w:color="auto" w:fill="auto"/>
        <w:bidi w:val="0"/>
        <w:spacing w:before="0" w:after="280" w:line="240" w:lineRule="auto"/>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121"/>
      <w:bookmarkEnd w:id="1122"/>
      <w:bookmarkEnd w:id="1124"/>
    </w:p>
    <w:p>
      <w:pPr>
        <w:pStyle w:val="Style28"/>
        <w:keepNext w:val="0"/>
        <w:keepLines w:val="0"/>
        <w:widowControl w:val="0"/>
        <w:shd w:val="clear" w:color="auto" w:fill="auto"/>
        <w:bidi w:val="0"/>
        <w:spacing w:before="0" w:after="80" w:line="314" w:lineRule="exact"/>
        <w:ind w:left="0" w:right="0" w:firstLine="0"/>
        <w:jc w:val="both"/>
      </w:pPr>
      <w:r>
        <w:rPr>
          <w:color w:val="000000"/>
          <w:spacing w:val="0"/>
          <w:w w:val="100"/>
          <w:position w:val="0"/>
        </w:rPr>
        <w:t>与收益相关的政府补助，是指除与资产相关的政府补助之外的政府补助。</w:t>
      </w:r>
    </w:p>
    <w:p>
      <w:pPr>
        <w:pStyle w:val="Style28"/>
        <w:keepNext w:val="0"/>
        <w:keepLines w:val="0"/>
        <w:widowControl w:val="0"/>
        <w:numPr>
          <w:ilvl w:val="0"/>
          <w:numId w:val="93"/>
        </w:numPr>
        <w:shd w:val="clear" w:color="auto" w:fill="auto"/>
        <w:tabs>
          <w:tab w:pos="301" w:val="left"/>
        </w:tabs>
        <w:bidi w:val="0"/>
        <w:spacing w:before="0" w:after="0"/>
        <w:ind w:left="0" w:right="0" w:firstLine="0"/>
        <w:jc w:val="both"/>
      </w:pPr>
      <w:bookmarkStart w:id="1125" w:name="bookmark1125"/>
      <w:bookmarkEnd w:id="1125"/>
      <w:r>
        <w:rPr>
          <w:color w:val="000000"/>
          <w:spacing w:val="0"/>
          <w:w w:val="100"/>
          <w:position w:val="0"/>
        </w:rPr>
        <w:t>政府补助的确认</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8"/>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28"/>
        <w:keepNext w:val="0"/>
        <w:keepLines w:val="0"/>
        <w:widowControl w:val="0"/>
        <w:numPr>
          <w:ilvl w:val="0"/>
          <w:numId w:val="93"/>
        </w:numPr>
        <w:shd w:val="clear" w:color="auto" w:fill="auto"/>
        <w:tabs>
          <w:tab w:pos="320" w:val="left"/>
        </w:tabs>
        <w:bidi w:val="0"/>
        <w:spacing w:before="0" w:after="0"/>
        <w:ind w:left="0" w:right="0" w:firstLine="0"/>
        <w:jc w:val="both"/>
      </w:pPr>
      <w:bookmarkStart w:id="1126" w:name="bookmark1126"/>
      <w:bookmarkEnd w:id="1126"/>
      <w:r>
        <w:rPr>
          <w:color w:val="000000"/>
          <w:spacing w:val="0"/>
          <w:w w:val="100"/>
          <w:position w:val="0"/>
        </w:rPr>
        <w:t>会计处理方法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与收益相关的政府补助，用于补偿企业以后期间的相关费用或损失的，确认为递延收益，在确认相关费用的期间计入当 期营业外收入；用于补偿企业已发生的相关费用或损失的，取得时直接计入当期营业外收入。</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3"/>
        <w:keepNext/>
        <w:keepLines/>
        <w:widowControl w:val="0"/>
        <w:shd w:val="clear" w:color="auto" w:fill="auto"/>
        <w:bidi w:val="0"/>
        <w:spacing w:before="0" w:after="2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7"/>
      <w:bookmarkEnd w:id="1128"/>
      <w:bookmarkEnd w:id="1130"/>
    </w:p>
    <w:p>
      <w:pPr>
        <w:pStyle w:val="Style28"/>
        <w:keepNext w:val="0"/>
        <w:keepLines w:val="0"/>
        <w:widowControl w:val="0"/>
        <w:shd w:val="clear" w:color="auto" w:fill="auto"/>
        <w:bidi w:val="0"/>
        <w:spacing w:before="0" w:after="80" w:line="316" w:lineRule="exact"/>
        <w:ind w:left="0" w:right="0" w:firstLine="3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 表日，递延所得税资产和递延所得税负债，按照预期收回该资产或清偿该负债期间的适用税率计量。</w:t>
      </w:r>
    </w:p>
    <w:p>
      <w:pPr>
        <w:pStyle w:val="Style28"/>
        <w:keepNext w:val="0"/>
        <w:keepLines w:val="0"/>
        <w:widowControl w:val="0"/>
        <w:numPr>
          <w:ilvl w:val="0"/>
          <w:numId w:val="95"/>
        </w:numPr>
        <w:shd w:val="clear" w:color="auto" w:fill="auto"/>
        <w:tabs>
          <w:tab w:pos="301" w:val="left"/>
        </w:tabs>
        <w:bidi w:val="0"/>
        <w:spacing w:before="0" w:after="0"/>
        <w:ind w:left="0" w:right="0" w:firstLine="0"/>
        <w:jc w:val="left"/>
      </w:pPr>
      <w:bookmarkStart w:id="1131" w:name="bookmark1131"/>
      <w:bookmarkEnd w:id="1131"/>
      <w:r>
        <w:rPr>
          <w:color w:val="000000"/>
          <w:spacing w:val="0"/>
          <w:w w:val="100"/>
          <w:position w:val="0"/>
        </w:rPr>
        <w:t>确认递延所得税资产的依据</w:t>
      </w:r>
    </w:p>
    <w:p>
      <w:pPr>
        <w:pStyle w:val="Style28"/>
        <w:keepNext w:val="0"/>
        <w:keepLines w:val="0"/>
        <w:widowControl w:val="0"/>
        <w:shd w:val="clear" w:color="auto" w:fill="auto"/>
        <w:bidi w:val="0"/>
        <w:spacing w:before="0" w:after="80" w:line="316" w:lineRule="exact"/>
        <w:ind w:left="0" w:right="0" w:firstLine="38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 对于与联营企业投资相关的可抵扣暂时性差异，同时满足下列条件的，确认相应的递延所得税资产：暂时性差异在可预见的 未来很可能转回，且未来很可能获得用来抵扣可抵扣暂时性差异的应纳税所得额。</w:t>
      </w:r>
    </w:p>
    <w:p>
      <w:pPr>
        <w:pStyle w:val="Style28"/>
        <w:keepNext w:val="0"/>
        <w:keepLines w:val="0"/>
        <w:widowControl w:val="0"/>
        <w:numPr>
          <w:ilvl w:val="0"/>
          <w:numId w:val="95"/>
        </w:numPr>
        <w:shd w:val="clear" w:color="auto" w:fill="auto"/>
        <w:tabs>
          <w:tab w:pos="320" w:val="left"/>
        </w:tabs>
        <w:bidi w:val="0"/>
        <w:spacing w:before="0" w:after="0"/>
        <w:ind w:left="0" w:right="0" w:firstLine="0"/>
        <w:jc w:val="left"/>
      </w:pPr>
      <w:bookmarkStart w:id="1132" w:name="bookmark1132"/>
      <w:bookmarkEnd w:id="1132"/>
      <w:r>
        <w:rPr>
          <w:color w:val="000000"/>
          <w:spacing w:val="0"/>
          <w:w w:val="100"/>
          <w:position w:val="0"/>
        </w:rPr>
        <w:t>确认递延所得税负债的依据</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28"/>
        <w:keepNext w:val="0"/>
        <w:keepLines w:val="0"/>
        <w:widowControl w:val="0"/>
        <w:shd w:val="clear" w:color="auto" w:fill="auto"/>
        <w:tabs>
          <w:tab w:pos="445" w:val="left"/>
        </w:tabs>
        <w:bidi w:val="0"/>
        <w:spacing w:before="0" w:after="0" w:line="316" w:lineRule="exact"/>
        <w:ind w:left="0" w:right="0" w:firstLine="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28"/>
        <w:keepNext w:val="0"/>
        <w:keepLines w:val="0"/>
        <w:widowControl w:val="0"/>
        <w:shd w:val="clear" w:color="auto" w:fill="auto"/>
        <w:tabs>
          <w:tab w:pos="541" w:val="left"/>
        </w:tabs>
        <w:bidi w:val="0"/>
        <w:spacing w:before="0" w:after="0" w:line="316" w:lineRule="exact"/>
        <w:ind w:left="0" w:right="0" w:firstLine="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非企业合并形成的交易或事项，且该交易或事项发生时既不影响会计利润，也不影响应纳税所得额（或可抵扣亏损） 所形成的暂时性差异；</w:t>
      </w:r>
    </w:p>
    <w:p>
      <w:pPr>
        <w:pStyle w:val="Style28"/>
        <w:keepNext w:val="0"/>
        <w:keepLines w:val="0"/>
        <w:widowControl w:val="0"/>
        <w:shd w:val="clear" w:color="auto" w:fill="auto"/>
        <w:tabs>
          <w:tab w:pos="541" w:val="left"/>
        </w:tabs>
        <w:bidi w:val="0"/>
        <w:spacing w:before="0" w:after="80" w:line="316" w:lineRule="exact"/>
        <w:ind w:left="0" w:right="0" w:firstLine="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对于与子公司、联营企业投资相关的应纳税暂时性差异，该暂时性差异转回的时间能够控制并且该暂时性差异在可预 见的未来很可能不会转回。</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136"/>
      <w:bookmarkEnd w:id="1137"/>
      <w:bookmarkEnd w:id="1139"/>
    </w:p>
    <w:p>
      <w:pPr>
        <w:pStyle w:val="Style37"/>
        <w:keepNext/>
        <w:keepLines/>
        <w:widowControl w:val="0"/>
        <w:shd w:val="clear" w:color="auto" w:fill="auto"/>
        <w:bidi w:val="0"/>
        <w:spacing w:before="0" w:after="2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0"/>
      <w:bookmarkEnd w:id="1141"/>
      <w:bookmarkEnd w:id="1143"/>
    </w:p>
    <w:p>
      <w:pPr>
        <w:pStyle w:val="Style28"/>
        <w:keepNext w:val="0"/>
        <w:keepLines w:val="0"/>
        <w:widowControl w:val="0"/>
        <w:shd w:val="clear" w:color="auto" w:fill="auto"/>
        <w:tabs>
          <w:tab w:pos="541" w:val="left"/>
        </w:tabs>
        <w:bidi w:val="0"/>
        <w:spacing w:before="0" w:after="0" w:line="316" w:lineRule="exact"/>
        <w:ind w:left="0" w:right="0" w:firstLine="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8"/>
        <w:keepNext w:val="0"/>
        <w:keepLines w:val="0"/>
        <w:widowControl w:val="0"/>
        <w:shd w:val="clear" w:color="auto" w:fill="auto"/>
        <w:tabs>
          <w:tab w:pos="536" w:val="left"/>
        </w:tabs>
        <w:bidi w:val="0"/>
        <w:spacing w:before="0" w:after="0" w:line="316" w:lineRule="exact"/>
        <w:ind w:left="0" w:right="0" w:firstLine="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公司出租资产所收取的租赁费，在不扣除免租期的整个租赁期内，按直线法进行分摊，确认为租赁收入。公司支付的 与租赁交易相关的初始直接费用，计入当期费用；如金额较大的，则予以资本化，在整个租赁期间内按照与租赁收入确认相 同的基础分期计入当期收益。</w:t>
      </w:r>
    </w:p>
    <w:p>
      <w:pPr>
        <w:pStyle w:val="Style2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7"/>
        <w:keepNext/>
        <w:keepLines/>
        <w:widowControl w:val="0"/>
        <w:shd w:val="clear" w:color="auto" w:fill="auto"/>
        <w:bidi w:val="0"/>
        <w:spacing w:before="0" w:after="2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6"/>
      <w:bookmarkEnd w:id="1147"/>
      <w:bookmarkEnd w:id="1149"/>
    </w:p>
    <w:p>
      <w:pPr>
        <w:pStyle w:val="Style28"/>
        <w:keepNext w:val="0"/>
        <w:keepLines w:val="0"/>
        <w:widowControl w:val="0"/>
        <w:shd w:val="clear" w:color="auto" w:fill="auto"/>
        <w:tabs>
          <w:tab w:pos="546" w:val="left"/>
        </w:tabs>
        <w:bidi w:val="0"/>
        <w:spacing w:before="0" w:after="0" w:line="313" w:lineRule="exact"/>
        <w:ind w:left="0" w:right="0" w:firstLine="0"/>
        <w:jc w:val="left"/>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融资租入资产：公司在承租开始日，将租赁资产公允价值与最低租赁付款额现值两者中较低者作为租入资产的入账价 值，将最低租赁付款额作为长期应付款的入账价值，其差额作为未确认的融资费用。融资租入资产的认定依据、计价和折旧 方法详见本附注四、（十二）固定资产。</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公司采用实际利率法对未确认的融资费用，在资产租赁期间内摊销，计入财务费用。</w:t>
      </w:r>
    </w:p>
    <w:p>
      <w:pPr>
        <w:pStyle w:val="Style28"/>
        <w:keepNext w:val="0"/>
        <w:keepLines w:val="0"/>
        <w:widowControl w:val="0"/>
        <w:shd w:val="clear" w:color="auto" w:fill="auto"/>
        <w:tabs>
          <w:tab w:pos="541" w:val="left"/>
        </w:tabs>
        <w:bidi w:val="0"/>
        <w:spacing w:before="0" w:after="360" w:line="313" w:lineRule="exact"/>
        <w:ind w:left="0" w:right="0" w:firstLine="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152"/>
      <w:bookmarkEnd w:id="1153"/>
      <w:bookmarkEnd w:id="1155"/>
    </w:p>
    <w:p>
      <w:pPr>
        <w:pStyle w:val="Style2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156"/>
      <w:bookmarkEnd w:id="1157"/>
      <w:bookmarkEnd w:id="1159"/>
    </w:p>
    <w:p>
      <w:pPr>
        <w:pStyle w:val="Style37"/>
        <w:keepNext/>
        <w:keepLines/>
        <w:widowControl w:val="0"/>
        <w:shd w:val="clear" w:color="auto" w:fill="auto"/>
        <w:tabs>
          <w:tab w:pos="488" w:val="left"/>
        </w:tabs>
        <w:bidi w:val="0"/>
        <w:spacing w:before="0" w:after="2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60"/>
      <w:bookmarkEnd w:id="1161"/>
      <w:bookmarkEnd w:id="1163"/>
    </w:p>
    <w:p>
      <w:pPr>
        <w:pStyle w:val="Style2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8" w:val="left"/>
        </w:tabs>
        <w:bidi w:val="0"/>
        <w:spacing w:before="0" w:after="2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64"/>
      <w:bookmarkEnd w:id="1165"/>
      <w:bookmarkEnd w:id="1167"/>
    </w:p>
    <w:p>
      <w:pPr>
        <w:pStyle w:val="Style2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168"/>
      <w:bookmarkEnd w:id="1169"/>
      <w:bookmarkEnd w:id="1171"/>
    </w:p>
    <w:p>
      <w:pPr>
        <w:pStyle w:val="Style28"/>
        <w:keepNext w:val="0"/>
        <w:keepLines w:val="0"/>
        <w:widowControl w:val="0"/>
        <w:shd w:val="clear" w:color="auto" w:fill="auto"/>
        <w:bidi w:val="0"/>
        <w:spacing w:before="0" w:after="320" w:line="316" w:lineRule="exact"/>
        <w:ind w:left="0" w:right="0" w:firstLine="0"/>
        <w:jc w:val="left"/>
      </w:pPr>
      <w:r>
        <w:rPr>
          <w:color w:val="000000"/>
          <w:spacing w:val="0"/>
          <w:w w:val="100"/>
          <w:position w:val="0"/>
        </w:rPr>
        <w:t>不适用。</w:t>
      </w:r>
      <w:r>
        <w:br w:type="page"/>
      </w:r>
    </w:p>
    <w:p>
      <w:pPr>
        <w:pStyle w:val="Style25"/>
        <w:keepNext/>
        <w:keepLines/>
        <w:widowControl w:val="0"/>
        <w:shd w:val="clear" w:color="auto" w:fill="auto"/>
        <w:bidi w:val="0"/>
        <w:spacing w:before="0" w:after="30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sz w:val="24"/>
          <w:szCs w:val="24"/>
        </w:rPr>
        <w:t>六</w:t>
      </w:r>
      <w:bookmarkEnd w:id="1174"/>
      <w:r>
        <w:rPr>
          <w:color w:val="000000"/>
          <w:spacing w:val="0"/>
          <w:w w:val="100"/>
          <w:position w:val="0"/>
          <w:sz w:val="24"/>
          <w:szCs w:val="24"/>
        </w:rPr>
        <w:t>、税项</w:t>
      </w:r>
      <w:bookmarkEnd w:id="1172"/>
      <w:bookmarkEnd w:id="1173"/>
      <w:bookmarkEnd w:id="1175"/>
    </w:p>
    <w:p>
      <w:pPr>
        <w:pStyle w:val="Style33"/>
        <w:keepNext/>
        <w:keepLines/>
        <w:widowControl w:val="0"/>
        <w:shd w:val="clear" w:color="auto" w:fill="auto"/>
        <w:bidi w:val="0"/>
        <w:spacing w:before="0" w:after="3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color w:val="000000"/>
          <w:spacing w:val="0"/>
          <w:w w:val="100"/>
          <w:position w:val="0"/>
        </w:rPr>
        <w:t>、主要税种及税率</w:t>
      </w:r>
      <w:bookmarkEnd w:id="1176"/>
      <w:bookmarkEnd w:id="1177"/>
      <w:bookmarkEnd w:id="1179"/>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应纳税所得税</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720"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为纳税基准或以租金收 入为纳税基</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深圳市易联技术有限公司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苏州新国都电子技术有限公司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ExaDigm,Inc</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深圳市新国都金服软件有限公司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color w:val="000000"/>
          <w:spacing w:val="0"/>
          <w:w w:val="100"/>
          <w:position w:val="0"/>
        </w:rPr>
        <w:t>、税收优惠</w:t>
      </w:r>
      <w:bookmarkEnd w:id="1180"/>
      <w:bookmarkEnd w:id="1181"/>
      <w:bookmarkEnd w:id="1183"/>
    </w:p>
    <w:p>
      <w:pPr>
        <w:pStyle w:val="Style28"/>
        <w:keepNext w:val="0"/>
        <w:keepLines w:val="0"/>
        <w:widowControl w:val="0"/>
        <w:numPr>
          <w:ilvl w:val="0"/>
          <w:numId w:val="97"/>
        </w:numPr>
        <w:shd w:val="clear" w:color="auto" w:fill="auto"/>
        <w:tabs>
          <w:tab w:pos="402" w:val="left"/>
        </w:tabs>
        <w:bidi w:val="0"/>
        <w:spacing w:before="0" w:after="0" w:line="315" w:lineRule="exact"/>
        <w:ind w:left="0" w:right="0" w:firstLine="0"/>
        <w:jc w:val="left"/>
      </w:pPr>
      <w:bookmarkStart w:id="1184" w:name="bookmark1184"/>
      <w:bookmarkEnd w:id="1184"/>
      <w:r>
        <w:rPr>
          <w:color w:val="000000"/>
          <w:spacing w:val="0"/>
          <w:w w:val="100"/>
          <w:position w:val="0"/>
        </w:rPr>
        <w:t>增值税</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日起执行的财税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号《财政部、国家税务总局关于软件产品增值税政策的通知》的有关规定， 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本公司、深圳市易联技术有限公司、深圳市新国都支付技术有限公司、浙江中正智能科技有限公司、苏州新国都电子技 术有限公司均享受该税收优惠。</w:t>
      </w:r>
    </w:p>
    <w:p>
      <w:pPr>
        <w:pStyle w:val="Style28"/>
        <w:keepNext w:val="0"/>
        <w:keepLines w:val="0"/>
        <w:widowControl w:val="0"/>
        <w:numPr>
          <w:ilvl w:val="0"/>
          <w:numId w:val="97"/>
        </w:numPr>
        <w:shd w:val="clear" w:color="auto" w:fill="auto"/>
        <w:tabs>
          <w:tab w:pos="402" w:val="left"/>
        </w:tabs>
        <w:bidi w:val="0"/>
        <w:spacing w:before="0" w:after="0" w:line="315" w:lineRule="exact"/>
        <w:ind w:left="0" w:right="0" w:firstLine="0"/>
        <w:jc w:val="left"/>
      </w:pPr>
      <w:bookmarkStart w:id="1185" w:name="bookmark1185"/>
      <w:bookmarkEnd w:id="1185"/>
      <w:r>
        <w:rPr>
          <w:color w:val="000000"/>
          <w:spacing w:val="0"/>
          <w:w w:val="100"/>
          <w:position w:val="0"/>
        </w:rPr>
        <w:t>企业所得税</w:t>
      </w:r>
    </w:p>
    <w:p>
      <w:pPr>
        <w:pStyle w:val="Style2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日取得国家级高新技术企业证书，证书编号：</w:t>
      </w:r>
      <w:r>
        <w:rPr>
          <w:rFonts w:ascii="Times New Roman" w:eastAsia="Times New Roman" w:hAnsi="Times New Roman" w:cs="Times New Roman"/>
          <w:color w:val="000000"/>
          <w:spacing w:val="0"/>
          <w:w w:val="100"/>
          <w:position w:val="0"/>
        </w:rPr>
        <w:t>GF201144200147</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日经复 审后重新取得国家高新技术企业证书，证书编号：</w:t>
      </w:r>
      <w:r>
        <w:rPr>
          <w:rFonts w:ascii="Times New Roman" w:eastAsia="Times New Roman" w:hAnsi="Times New Roman" w:cs="Times New Roman"/>
          <w:color w:val="000000"/>
          <w:spacing w:val="0"/>
          <w:w w:val="100"/>
          <w:position w:val="0"/>
        </w:rPr>
        <w:t>GF201444201725</w:t>
      </w:r>
      <w:r>
        <w:rPr>
          <w:color w:val="000000"/>
          <w:spacing w:val="0"/>
          <w:w w:val="100"/>
          <w:position w:val="0"/>
        </w:rPr>
        <w:t>，有效三年，</w:t>
      </w:r>
      <w:r>
        <w:rPr>
          <w:rFonts w:ascii="Times New Roman" w:eastAsia="Times New Roman" w:hAnsi="Times New Roman" w:cs="Times New Roman"/>
          <w:color w:val="000000"/>
          <w:spacing w:val="0"/>
          <w:w w:val="100"/>
          <w:position w:val="0"/>
        </w:rPr>
        <w:t>2016</w:t>
      </w:r>
      <w:r>
        <w:rPr>
          <w:color w:val="000000"/>
          <w:spacing w:val="0"/>
          <w:w w:val="100"/>
          <w:position w:val="0"/>
        </w:rPr>
        <w:t>年度本公司企业所得税税率减按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执行。</w:t>
      </w:r>
    </w:p>
    <w:p>
      <w:pPr>
        <w:pStyle w:val="Style28"/>
        <w:keepNext w:val="0"/>
        <w:keepLines w:val="0"/>
        <w:widowControl w:val="0"/>
        <w:shd w:val="clear" w:color="auto" w:fill="auto"/>
        <w:bidi w:val="0"/>
        <w:spacing w:before="0" w:after="300" w:line="315" w:lineRule="exact"/>
        <w:ind w:left="0" w:right="0" w:firstLine="380"/>
        <w:jc w:val="left"/>
      </w:pPr>
      <w:r>
        <w:rPr>
          <w:color w:val="000000"/>
          <w:spacing w:val="0"/>
          <w:w w:val="100"/>
          <w:position w:val="0"/>
        </w:rPr>
        <w:t>深圳市易联技术有限公司取得证书编号为</w:t>
      </w:r>
      <w:r>
        <w:rPr>
          <w:rFonts w:ascii="Times New Roman" w:eastAsia="Times New Roman" w:hAnsi="Times New Roman" w:cs="Times New Roman"/>
          <w:color w:val="000000"/>
          <w:spacing w:val="0"/>
          <w:w w:val="100"/>
          <w:position w:val="0"/>
        </w:rPr>
        <w:t>GR201444201682</w:t>
      </w:r>
      <w:r>
        <w:rPr>
          <w:color w:val="000000"/>
          <w:spacing w:val="0"/>
          <w:w w:val="100"/>
          <w:position w:val="0"/>
        </w:rPr>
        <w:t>的国家高新企业证书，根据深圳市国家税务局深国税南减免 备案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2015]890</w:t>
      </w:r>
      <w:r>
        <w:rPr>
          <w:color w:val="000000"/>
          <w:spacing w:val="0"/>
          <w:w w:val="100"/>
          <w:position w:val="0"/>
        </w:rPr>
        <w:t>号的税务事项通知书，</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浙江中正智能科技有限公司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日取得国家高新技术企业证书，证书编号：</w:t>
      </w:r>
      <w:r>
        <w:rPr>
          <w:rFonts w:ascii="Times New Roman" w:eastAsia="Times New Roman" w:hAnsi="Times New Roman" w:cs="Times New Roman"/>
          <w:color w:val="000000"/>
          <w:spacing w:val="0"/>
          <w:w w:val="100"/>
          <w:position w:val="0"/>
        </w:rPr>
        <w:t>GR201433000480</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苏州新国都电子技术有限公司取得编号为苏</w:t>
      </w:r>
      <w:r>
        <w:rPr>
          <w:rFonts w:ascii="Times New Roman" w:eastAsia="Times New Roman" w:hAnsi="Times New Roman" w:cs="Times New Roman"/>
          <w:color w:val="000000"/>
          <w:spacing w:val="0"/>
          <w:w w:val="100"/>
          <w:position w:val="0"/>
        </w:rPr>
        <w:t>R-2015-E0088</w:t>
      </w:r>
      <w:r>
        <w:rPr>
          <w:color w:val="000000"/>
          <w:spacing w:val="0"/>
          <w:w w:val="100"/>
          <w:position w:val="0"/>
        </w:rPr>
        <w:t>号的软件企业证书，根据财税（</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号以及国家税务总局</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号公告文件，苏州新国都电子技术有限公司符合软件企业的认定条件，可以享受两免三减 半的所得税优惠，</w:t>
      </w:r>
      <w:r>
        <w:rPr>
          <w:rFonts w:ascii="Times New Roman" w:eastAsia="Times New Roman" w:hAnsi="Times New Roman" w:cs="Times New Roman"/>
          <w:color w:val="000000"/>
          <w:spacing w:val="0"/>
          <w:w w:val="100"/>
          <w:position w:val="0"/>
        </w:rPr>
        <w:t>2016</w:t>
      </w:r>
      <w:r>
        <w:rPr>
          <w:color w:val="000000"/>
          <w:spacing w:val="0"/>
          <w:w w:val="100"/>
          <w:position w:val="0"/>
        </w:rPr>
        <w:t>年度免征企业所得税。</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长沙公信诚丰信息技术服务有限公司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日被湖南省科学技术厅、湖南省财政厅、湖南省国家税务局、湖南省 地方税务局批准为高新技术企业，有效期三年</w:t>
      </w:r>
      <w:r>
        <w:rPr>
          <w:color w:val="000000"/>
          <w:spacing w:val="0"/>
          <w:w w:val="100"/>
          <w:position w:val="0"/>
        </w:rPr>
        <w:t>，</w:t>
      </w:r>
      <w:r>
        <w:rPr>
          <w:color w:val="000000"/>
          <w:spacing w:val="0"/>
          <w:w w:val="100"/>
          <w:position w:val="0"/>
        </w:rPr>
        <w:t>高新技术企业证书编号：</w:t>
      </w:r>
      <w:r>
        <w:rPr>
          <w:rFonts w:ascii="Times New Roman" w:eastAsia="Times New Roman" w:hAnsi="Times New Roman" w:cs="Times New Roman"/>
          <w:color w:val="000000"/>
          <w:spacing w:val="0"/>
          <w:w w:val="100"/>
          <w:position w:val="0"/>
        </w:rPr>
        <w:t>GF201543000485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 业所得税。</w:t>
      </w:r>
    </w:p>
    <w:p>
      <w:pPr>
        <w:pStyle w:val="Style28"/>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深圳市信联征信有限公司符合《关于广东横琴新区福建平潭综合实验区深圳前海深港现代服务业合作区企业所得税优惠 政策》的条件，并已在深圳市前海国家税务局进行了备案。</w:t>
      </w:r>
      <w:r>
        <w:rPr>
          <w:rFonts w:ascii="Times New Roman" w:eastAsia="Times New Roman" w:hAnsi="Times New Roman" w:cs="Times New Roman"/>
          <w:color w:val="000000"/>
          <w:spacing w:val="0"/>
          <w:w w:val="100"/>
          <w:position w:val="0"/>
        </w:rPr>
        <w:t>2016</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3"/>
        <w:keepNext/>
        <w:keepLines/>
        <w:widowControl w:val="0"/>
        <w:shd w:val="clear" w:color="auto" w:fill="auto"/>
        <w:bidi w:val="0"/>
        <w:spacing w:before="0" w:after="2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、其他</w:t>
      </w:r>
      <w:bookmarkEnd w:id="1186"/>
      <w:bookmarkEnd w:id="1187"/>
      <w:bookmarkEnd w:id="1189"/>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4"/>
          <w:szCs w:val="24"/>
        </w:rPr>
        <w:t>七</w:t>
      </w:r>
      <w:bookmarkEnd w:id="1192"/>
      <w:r>
        <w:rPr>
          <w:color w:val="000000"/>
          <w:spacing w:val="0"/>
          <w:w w:val="100"/>
          <w:position w:val="0"/>
          <w:sz w:val="24"/>
          <w:szCs w:val="24"/>
        </w:rPr>
        <w:t>、合并财务报表项目注释</w:t>
      </w:r>
      <w:bookmarkEnd w:id="1190"/>
      <w:bookmarkEnd w:id="1191"/>
      <w:bookmarkEnd w:id="1193"/>
    </w:p>
    <w:p>
      <w:pPr>
        <w:pStyle w:val="Style33"/>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、货币资金</w:t>
      </w:r>
      <w:bookmarkEnd w:id="1194"/>
      <w:bookmarkEnd w:id="1195"/>
      <w:bookmarkEnd w:id="11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21,673.28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538,624,226.75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388,801,519.89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39,330,241.88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576,199,962.02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428,153,435.05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、以公允价值计量且其变动计入当期损益的金融资产</w:t>
      </w:r>
      <w:bookmarkEnd w:id="1198"/>
      <w:bookmarkEnd w:id="1199"/>
      <w:bookmarkEnd w:id="12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结构性存款。</w:t>
      </w:r>
    </w:p>
    <w:p>
      <w:pPr>
        <w:pStyle w:val="Style33"/>
        <w:keepNext/>
        <w:keepLines/>
        <w:widowControl w:val="0"/>
        <w:shd w:val="clear" w:color="auto" w:fill="auto"/>
        <w:tabs>
          <w:tab w:pos="378" w:val="left"/>
        </w:tabs>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w:t>
        <w:tab/>
        <w:t>衍生金融资产</w:t>
      </w:r>
      <w:bookmarkEnd w:id="1202"/>
      <w:bookmarkEnd w:id="1203"/>
      <w:bookmarkEnd w:id="1205"/>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color w:val="000000"/>
          <w:spacing w:val="0"/>
          <w:w w:val="100"/>
          <w:position w:val="0"/>
        </w:rPr>
        <w:t>、</w:t>
        <w:tab/>
        <w:t>应收票据</w:t>
      </w:r>
      <w:bookmarkEnd w:id="1206"/>
      <w:bookmarkEnd w:id="1207"/>
      <w:bookmarkEnd w:id="1209"/>
    </w:p>
    <w:p>
      <w:pPr>
        <w:pStyle w:val="Style37"/>
        <w:keepNext/>
        <w:keepLines/>
        <w:widowControl w:val="0"/>
        <w:numPr>
          <w:ilvl w:val="0"/>
          <w:numId w:val="99"/>
        </w:numPr>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应收票据分类列示</w:t>
      </w:r>
      <w:bookmarkEnd w:id="1210"/>
      <w:bookmarkEnd w:id="1211"/>
      <w:bookmarkEnd w:id="12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9,739,046.00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56,279,381.02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13,739,046.00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56,779,381.02</w:t>
            </w:r>
          </w:p>
        </w:tc>
      </w:tr>
    </w:tbl>
    <w:p>
      <w:pPr>
        <w:widowControl w:val="0"/>
        <w:spacing w:after="339" w:line="1" w:lineRule="exact"/>
      </w:pPr>
    </w:p>
    <w:p>
      <w:pPr>
        <w:pStyle w:val="Style37"/>
        <w:keepNext/>
        <w:keepLines/>
        <w:widowControl w:val="0"/>
        <w:numPr>
          <w:ilvl w:val="0"/>
          <w:numId w:val="99"/>
        </w:numPr>
        <w:shd w:val="clear" w:color="auto" w:fill="auto"/>
        <w:bidi w:val="0"/>
        <w:spacing w:before="0" w:after="340" w:line="240" w:lineRule="auto"/>
        <w:ind w:left="0" w:right="0" w:firstLine="14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期末公司已质押的应收票据</w:t>
      </w:r>
      <w:bookmarkEnd w:id="1214"/>
      <w:bookmarkEnd w:id="1215"/>
      <w:bookmarkEnd w:id="12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7"/>
        <w:keepNext/>
        <w:keepLines/>
        <w:widowControl w:val="0"/>
        <w:numPr>
          <w:ilvl w:val="0"/>
          <w:numId w:val="99"/>
        </w:numPr>
        <w:shd w:val="clear" w:color="auto" w:fill="auto"/>
        <w:bidi w:val="0"/>
        <w:spacing w:before="0" w:after="340" w:line="240" w:lineRule="auto"/>
        <w:ind w:left="0" w:right="0" w:firstLine="14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期末公司已背书或贴现且在资产负债表日尚未到期的应收票据</w:t>
      </w:r>
      <w:bookmarkEnd w:id="1218"/>
      <w:bookmarkEnd w:id="1219"/>
      <w:bookmarkEnd w:id="122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23,023,418.00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23,023,418.00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99"/>
        </w:numPr>
        <w:shd w:val="clear" w:color="auto" w:fill="auto"/>
        <w:bidi w:val="0"/>
        <w:spacing w:before="0" w:after="340" w:line="240" w:lineRule="auto"/>
        <w:ind w:left="0" w:right="0" w:firstLine="14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期末公司因出票人未履约而将其转应收账款的票据</w:t>
      </w:r>
      <w:bookmarkEnd w:id="1222"/>
      <w:bookmarkEnd w:id="1223"/>
      <w:bookmarkEnd w:id="122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5</w:t>
      </w:r>
      <w:bookmarkEnd w:id="1228"/>
      <w:r>
        <w:rPr>
          <w:color w:val="000000"/>
          <w:spacing w:val="0"/>
          <w:w w:val="100"/>
          <w:position w:val="0"/>
        </w:rPr>
        <w:t>、应收账款</w:t>
      </w:r>
      <w:bookmarkEnd w:id="1226"/>
      <w:bookmarkEnd w:id="1227"/>
      <w:bookmarkEnd w:id="1229"/>
    </w:p>
    <w:p>
      <w:pPr>
        <w:pStyle w:val="Style37"/>
        <w:keepNext/>
        <w:keepLines/>
        <w:widowControl w:val="0"/>
        <w:numPr>
          <w:ilvl w:val="0"/>
          <w:numId w:val="101"/>
        </w:numPr>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应收账款分类披露</w:t>
      </w:r>
      <w:bookmarkEnd w:id="1230"/>
      <w:bookmarkEnd w:id="1231"/>
      <w:bookmarkEnd w:id="123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56"/>
        <w:gridCol w:w="1512"/>
        <w:gridCol w:w="1526"/>
        <w:gridCol w:w="782"/>
        <w:gridCol w:w="1435"/>
        <w:gridCol w:w="1728"/>
        <w:gridCol w:w="946"/>
      </w:tblGrid>
      <w:tr>
        <w:trPr>
          <w:trHeight w:val="41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306,253,</w:t>
            </w:r>
          </w:p>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29,448,9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276,804,9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387,864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29,567,38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358,297,45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306,253,</w:t>
            </w:r>
          </w:p>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29,448,9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276,804,9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387,864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29,567,38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358,297,45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261,486,390.11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13,074,319.50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31,739,937.36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6,347,987.40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6,001,824.92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3,000,912.46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7,025,701.20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7,025,701.20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306,253,853.59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29,448,920.64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7"/>
        <w:keepNext/>
        <w:keepLines/>
        <w:widowControl w:val="0"/>
        <w:numPr>
          <w:ilvl w:val="0"/>
          <w:numId w:val="101"/>
        </w:numPr>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本期计提、收回或转回的坏账准备情况</w:t>
      </w:r>
      <w:bookmarkEnd w:id="1234"/>
      <w:bookmarkEnd w:id="1235"/>
      <w:bookmarkEnd w:id="123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301,864.09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7"/>
        <w:keepNext/>
        <w:keepLines/>
        <w:widowControl w:val="0"/>
        <w:numPr>
          <w:ilvl w:val="0"/>
          <w:numId w:val="101"/>
        </w:numPr>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本期实际核销的应收账款情况</w:t>
      </w:r>
      <w:bookmarkEnd w:id="1238"/>
      <w:bookmarkEnd w:id="1239"/>
      <w:bookmarkEnd w:id="124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中国农业银行股份有限公司内蒙古自治区分行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345,480.00</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中国农业银行股份有限公司湖南省分行</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30,972.00</w:t>
            </w:r>
          </w:p>
        </w:tc>
      </w:tr>
    </w:tbl>
    <w:p>
      <w:pPr>
        <w:widowControl w:val="0"/>
        <w:spacing w:line="1" w:lineRule="exact"/>
      </w:pP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国网兴国县供电有限责任公司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27,030.13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芦溪县供电有限责任公司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11,924.97</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银联商务有限公司江苏分公司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江苏阜宁农村商业银行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银联商务有限公司福建分公司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湖北秭归农村商业银行股份有限公司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中国邮政邮储银行咸宁市分行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2"/>
      <w:bookmarkEnd w:id="1243"/>
      <w:bookmarkEnd w:id="124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1877"/>
        <w:gridCol w:w="1843"/>
        <w:gridCol w:w="1699"/>
        <w:gridCol w:w="1560"/>
        <w:gridCol w:w="1954"/>
      </w:tblGrid>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 总额的比例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35,240,345.60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25,001,164.95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8.16%</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24,912,548.75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8.13%</w:t>
            </w:r>
          </w:p>
        </w:tc>
      </w:tr>
      <w:tr>
        <w:trPr>
          <w:trHeight w:val="322"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8,855,785.83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2.89%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11,989,578.26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3.91%</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208,114.30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0.07%</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19,618,150.00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6.41%</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125,825,687.69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46"/>
      <w:bookmarkEnd w:id="1247"/>
      <w:bookmarkEnd w:id="1249"/>
    </w:p>
    <w:p>
      <w:pPr>
        <w:pStyle w:val="Style37"/>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50"/>
      <w:bookmarkEnd w:id="1251"/>
      <w:bookmarkEnd w:id="125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6</w:t>
      </w:r>
      <w:bookmarkEnd w:id="1256"/>
      <w:r>
        <w:rPr>
          <w:color w:val="000000"/>
          <w:spacing w:val="0"/>
          <w:w w:val="100"/>
          <w:position w:val="0"/>
        </w:rPr>
        <w:t>、预付款项</w:t>
      </w:r>
      <w:bookmarkEnd w:id="1254"/>
      <w:bookmarkEnd w:id="1255"/>
      <w:bookmarkEnd w:id="1257"/>
    </w:p>
    <w:p>
      <w:pPr>
        <w:pStyle w:val="Style37"/>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8"/>
      <w:bookmarkEnd w:id="1259"/>
      <w:bookmarkEnd w:id="126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7,323,784.72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4,058,759.39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332,677.65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7,601,070.22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4,466,437.04</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2"/>
      <w:bookmarkEnd w:id="1263"/>
      <w:bookmarkEnd w:id="1265"/>
    </w:p>
    <w:tbl>
      <w:tblPr>
        <w:tblOverlap w:val="never"/>
        <w:jc w:val="center"/>
        <w:tblLayout w:type="fixed"/>
      </w:tblPr>
      <w:tblGrid>
        <w:gridCol w:w="2683"/>
        <w:gridCol w:w="1368"/>
        <w:gridCol w:w="1306"/>
        <w:gridCol w:w="1368"/>
        <w:gridCol w:w="1925"/>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长沙永琪房地产开发有限公司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1,010,083.08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合同尚未执行完毕</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NextBiometricsAS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1,007,532.62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合同尚未执行完毕</w:t>
            </w:r>
          </w:p>
        </w:tc>
      </w:tr>
      <w:tr>
        <w:trPr>
          <w:trHeight w:val="63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深圳市中小企业信用融资担保 集团有限公司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合同尚未执行完毕</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银联智惠信息服务（上海）有限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575,996.97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合同尚未执行完毕</w:t>
            </w:r>
          </w:p>
        </w:tc>
      </w:tr>
      <w:tr>
        <w:trPr>
          <w:trHeight w:val="63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北京银联金卡科技有限公司深 圳分公司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556,939.60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合同尚未执行完毕</w:t>
            </w:r>
          </w:p>
        </w:tc>
      </w:tr>
      <w:tr>
        <w:trPr>
          <w:trHeight w:val="331"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3,950,552.27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7</w:t>
      </w:r>
      <w:bookmarkEnd w:id="1268"/>
      <w:r>
        <w:rPr>
          <w:color w:val="000000"/>
          <w:spacing w:val="0"/>
          <w:w w:val="100"/>
          <w:position w:val="0"/>
        </w:rPr>
        <w:t>、应收利息</w:t>
      </w:r>
      <w:bookmarkEnd w:id="1266"/>
      <w:bookmarkEnd w:id="1267"/>
      <w:bookmarkEnd w:id="1269"/>
    </w:p>
    <w:p>
      <w:pPr>
        <w:pStyle w:val="Style37"/>
        <w:keepNext/>
        <w:keepLines/>
        <w:widowControl w:val="0"/>
        <w:shd w:val="clear" w:color="auto" w:fill="auto"/>
        <w:bidi w:val="0"/>
        <w:spacing w:before="0" w:after="32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70"/>
      <w:bookmarkEnd w:id="1271"/>
      <w:bookmarkEnd w:id="12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433,364.32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65,670.45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433,364.32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65,670.45</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74"/>
      <w:bookmarkEnd w:id="1275"/>
      <w:bookmarkEnd w:id="1277"/>
    </w:p>
    <w:tbl>
      <w:tblPr>
        <w:tblOverlap w:val="never"/>
        <w:jc w:val="center"/>
        <w:tblLayout w:type="fixed"/>
      </w:tblPr>
      <w:tblGrid>
        <w:gridCol w:w="1920"/>
        <w:gridCol w:w="1915"/>
        <w:gridCol w:w="1915"/>
        <w:gridCol w:w="1910"/>
        <w:gridCol w:w="1982"/>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7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278" w:name="bookmark1278"/>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27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123" w:hRule="exact"/>
        </w:trPr>
        <w:tc>
          <w:tcPr>
            <w:tcBorders>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rPr>
                <w:sz w:val="20"/>
                <w:szCs w:val="20"/>
              </w:rPr>
            </w:pPr>
            <w:bookmarkStart w:id="1279" w:name="bookmark127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279"/>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1"/>
        <w:keepNext w:val="0"/>
        <w:keepLines w:val="0"/>
        <w:widowControl w:val="0"/>
        <w:shd w:val="clear" w:color="auto" w:fill="auto"/>
        <w:tabs>
          <w:tab w:pos="3562" w:val="left"/>
          <w:tab w:pos="6758" w:val="left"/>
        </w:tabs>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期初余额</w:t>
      </w:r>
      <w:r>
        <w:br w:type="page"/>
      </w:r>
    </w:p>
    <w:p>
      <w:pPr>
        <w:pStyle w:val="Style37"/>
        <w:keepNext/>
        <w:keepLines/>
        <w:widowControl w:val="0"/>
        <w:shd w:val="clear" w:color="auto" w:fill="auto"/>
        <w:bidi w:val="0"/>
        <w:spacing w:before="0" w:line="240" w:lineRule="auto"/>
        <w:ind w:left="0" w:right="0" w:firstLine="14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0"/>
      <w:bookmarkEnd w:id="1281"/>
      <w:bookmarkEnd w:id="128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9</w:t>
      </w:r>
      <w:bookmarkEnd w:id="1286"/>
      <w:r>
        <w:rPr>
          <w:color w:val="000000"/>
          <w:spacing w:val="0"/>
          <w:w w:val="100"/>
          <w:position w:val="0"/>
        </w:rPr>
        <w:t>、其他应收款</w:t>
      </w:r>
      <w:bookmarkEnd w:id="1284"/>
      <w:bookmarkEnd w:id="1285"/>
      <w:bookmarkEnd w:id="1287"/>
    </w:p>
    <w:p>
      <w:pPr>
        <w:pStyle w:val="Style37"/>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88"/>
      <w:bookmarkEnd w:id="1289"/>
      <w:bookmarkEnd w:id="129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46,719,1</w:t>
            </w:r>
          </w:p>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5,340,00</w:t>
            </w:r>
          </w:p>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41,379,18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8,566,1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3,314,251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5,251,857.1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47,219,1</w:t>
            </w:r>
          </w:p>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5,840,00</w:t>
            </w:r>
          </w:p>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41,379,18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9,066,1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3,814,251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5,251,857.1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41,032,795.25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2,049,565.64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2,485,604.74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497,120.94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814,950.14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407,475.07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2,385,841.02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2,385,841.02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期末单项金额虽不重大但单项计提坏账准备的其他应收款</w:t>
      </w:r>
    </w:p>
    <w:tbl>
      <w:tblPr>
        <w:tblOverlap w:val="never"/>
        <w:jc w:val="center"/>
        <w:tblLayout w:type="fixed"/>
      </w:tblPr>
      <w:tblGrid>
        <w:gridCol w:w="3264"/>
        <w:gridCol w:w="1421"/>
        <w:gridCol w:w="1416"/>
        <w:gridCol w:w="1133"/>
        <w:gridCol w:w="1570"/>
      </w:tblGrid>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line="1" w:lineRule="exact"/>
      </w:pPr>
      <w:r>
        <w:br w:type="page"/>
      </w:r>
    </w:p>
    <w:tbl>
      <w:tblPr>
        <w:tblOverlap w:val="never"/>
        <w:jc w:val="center"/>
        <w:tblLayout w:type="fixed"/>
      </w:tblPr>
      <w:tblGrid>
        <w:gridCol w:w="3264"/>
        <w:gridCol w:w="1421"/>
        <w:gridCol w:w="1416"/>
        <w:gridCol w:w="1133"/>
        <w:gridCol w:w="1570"/>
      </w:tblGrid>
      <w:tr>
        <w:trPr>
          <w:trHeight w:val="33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北京瑞天启明科技发展有限责任公司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估计无法收回</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2"/>
      <w:bookmarkEnd w:id="1293"/>
      <w:bookmarkEnd w:id="12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2,025,751.39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296"/>
      <w:bookmarkEnd w:id="1297"/>
      <w:bookmarkEnd w:id="12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608"/>
        <w:gridCol w:w="1651"/>
      </w:tblGrid>
      <w:tr>
        <w:trPr>
          <w:trHeight w:val="403"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300"/>
      <w:bookmarkEnd w:id="1301"/>
      <w:bookmarkEnd w:id="130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职员借款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2,988,632.91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1,910,529.40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14,554,986.81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5,998,327.84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574,663.48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639,920.22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500,907.95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517,331.00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47,219,191.15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9,066,108.46</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304"/>
      <w:bookmarkEnd w:id="1305"/>
      <w:bookmarkEnd w:id="130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608"/>
        <w:gridCol w:w="1594"/>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4"/>
        <w:gridCol w:w="1603"/>
        <w:gridCol w:w="1594"/>
        <w:gridCol w:w="1594"/>
        <w:gridCol w:w="1594"/>
        <w:gridCol w:w="160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深圳市柏士泰科技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28,600,000.00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1,430,000.00</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信美人寿相互保险 社</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375,000.00</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北京市海淀区人民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1,464,000.00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292,800.00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麦启光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1,159,920.00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1,159,920.00</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北京瑞天启明科技 发展有限责任公司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39,223,920.00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3,757,720.00</w:t>
            </w:r>
          </w:p>
        </w:tc>
      </w:tr>
    </w:tbl>
    <w:p>
      <w:pPr>
        <w:widowControl w:val="0"/>
        <w:spacing w:after="339" w:line="1" w:lineRule="exact"/>
      </w:pPr>
    </w:p>
    <w:p>
      <w:pPr>
        <w:pStyle w:val="Style37"/>
        <w:keepNext/>
        <w:keepLines/>
        <w:widowControl w:val="0"/>
        <w:numPr>
          <w:ilvl w:val="0"/>
          <w:numId w:val="103"/>
        </w:numPr>
        <w:shd w:val="clear" w:color="auto" w:fill="auto"/>
        <w:bidi w:val="0"/>
        <w:spacing w:before="0" w:after="34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涉及政府补助的应收款项</w:t>
      </w:r>
      <w:bookmarkEnd w:id="1308"/>
      <w:bookmarkEnd w:id="1309"/>
      <w:bookmarkEnd w:id="13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7"/>
        <w:keepNext/>
        <w:keepLines/>
        <w:widowControl w:val="0"/>
        <w:numPr>
          <w:ilvl w:val="0"/>
          <w:numId w:val="103"/>
        </w:numPr>
        <w:shd w:val="clear" w:color="auto" w:fill="auto"/>
        <w:tabs>
          <w:tab w:pos="488" w:val="left"/>
        </w:tabs>
        <w:bidi w:val="0"/>
        <w:spacing w:before="0" w:after="34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因金融资产转移而终止确认的其他应收款</w:t>
      </w:r>
      <w:bookmarkEnd w:id="1312"/>
      <w:bookmarkEnd w:id="1313"/>
      <w:bookmarkEnd w:id="1315"/>
    </w:p>
    <w:p>
      <w:pPr>
        <w:pStyle w:val="Style37"/>
        <w:keepNext/>
        <w:keepLines/>
        <w:widowControl w:val="0"/>
        <w:numPr>
          <w:ilvl w:val="0"/>
          <w:numId w:val="103"/>
        </w:numPr>
        <w:shd w:val="clear" w:color="auto" w:fill="auto"/>
        <w:tabs>
          <w:tab w:pos="488" w:val="left"/>
        </w:tabs>
        <w:bidi w:val="0"/>
        <w:spacing w:before="0" w:after="34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转移其他应收款且继续涉入形成的资产、负债金额</w:t>
      </w:r>
      <w:bookmarkEnd w:id="1316"/>
      <w:bookmarkEnd w:id="1317"/>
      <w:bookmarkEnd w:id="1319"/>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320"/>
      <w:bookmarkEnd w:id="1321"/>
      <w:bookmarkEnd w:id="132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7"/>
        <w:keepNext/>
        <w:keepLines/>
        <w:widowControl w:val="0"/>
        <w:numPr>
          <w:ilvl w:val="0"/>
          <w:numId w:val="105"/>
        </w:numPr>
        <w:shd w:val="clear" w:color="auto" w:fill="auto"/>
        <w:bidi w:val="0"/>
        <w:spacing w:before="0" w:after="34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存货分类</w:t>
      </w:r>
      <w:bookmarkEnd w:id="1324"/>
      <w:bookmarkEnd w:id="1325"/>
      <w:bookmarkEnd w:id="13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30,976,151.35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833,800.93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30,142,350.42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27,079,296.25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922,031.67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26,157,264.58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3,706,404.06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3,706,404.06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5,213,657.72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5,213,657.72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20,107,907.05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1,980,345.24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18,127,561.81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16,503,255.09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2,663,330.27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13,839,924.82</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11,123,220.41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11,123,220.41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27,206,162.34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27,206,162.34</w:t>
            </w:r>
          </w:p>
        </w:tc>
      </w:tr>
      <w:tr>
        <w:trPr>
          <w:trHeight w:val="40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62,617,444.09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3,646,662.52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58,970,781.57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71,998,270.40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5,199,498.40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66,798,772.00</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38,851,258.63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616,225.13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38,235,033.50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58,970,149.28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58,970,149.28</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167,382,385.59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7,077,033.82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160,305,351.77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206,970,791.08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8,784,860.34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198,185,930.74</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8"/>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37"/>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28"/>
      <w:bookmarkEnd w:id="1329"/>
      <w:bookmarkEnd w:id="13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922,031.67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131,581.79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833,800.93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2,663,330.27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703,511.36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1,980,345.24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5,199,498.40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660,079.81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2,212,915.69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3,646,662.52</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616,225.13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616,225.13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8,784,860.34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1,340,182.32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3,048,008.84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7,077,033.82</w:t>
            </w:r>
          </w:p>
        </w:tc>
      </w:tr>
    </w:tbl>
    <w:p>
      <w:pPr>
        <w:widowControl w:val="0"/>
        <w:spacing w:after="359" w:line="1" w:lineRule="exact"/>
      </w:pPr>
    </w:p>
    <w:p>
      <w:pPr>
        <w:pStyle w:val="Style37"/>
        <w:keepNext/>
        <w:keepLines/>
        <w:widowControl w:val="0"/>
        <w:shd w:val="clear" w:color="auto" w:fill="auto"/>
        <w:tabs>
          <w:tab w:pos="488"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32"/>
      <w:bookmarkEnd w:id="1333"/>
      <w:bookmarkEnd w:id="1335"/>
    </w:p>
    <w:p>
      <w:pPr>
        <w:pStyle w:val="Style37"/>
        <w:keepNext/>
        <w:keepLines/>
        <w:widowControl w:val="0"/>
        <w:shd w:val="clear" w:color="auto" w:fill="auto"/>
        <w:tabs>
          <w:tab w:pos="488" w:val="left"/>
        </w:tabs>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w:t>
      </w:r>
      <w:bookmarkEnd w:id="133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336"/>
      <w:bookmarkEnd w:id="1337"/>
      <w:bookmarkEnd w:id="13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340"/>
      <w:bookmarkEnd w:id="1341"/>
      <w:bookmarkEnd w:id="13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44"/>
      <w:bookmarkEnd w:id="1345"/>
      <w:bookmarkEnd w:id="13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48"/>
      <w:bookmarkEnd w:id="1349"/>
      <w:bookmarkEnd w:id="13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871,087.20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871,991.00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19,098,353.98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9,670,285.73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未交增值税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145,614.24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136,569.43</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20,115,055.42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66,678,846.16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352"/>
      <w:bookmarkEnd w:id="1353"/>
      <w:bookmarkEnd w:id="1355"/>
    </w:p>
    <w:p>
      <w:pPr>
        <w:pStyle w:val="Style37"/>
        <w:keepNext/>
        <w:keepLines/>
        <w:widowControl w:val="0"/>
        <w:numPr>
          <w:ilvl w:val="0"/>
          <w:numId w:val="107"/>
        </w:numPr>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可供出售金融资产情况</w:t>
      </w:r>
      <w:bookmarkEnd w:id="1356"/>
      <w:bookmarkEnd w:id="1357"/>
      <w:bookmarkEnd w:id="13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0"/>
        <w:gridCol w:w="1253"/>
        <w:gridCol w:w="1368"/>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w:t>
            </w:r>
          </w:p>
        </w:tc>
      </w:tr>
    </w:tbl>
    <w:p>
      <w:pPr>
        <w:widowControl w:val="0"/>
        <w:spacing w:after="299" w:line="1" w:lineRule="exact"/>
      </w:pPr>
    </w:p>
    <w:p>
      <w:pPr>
        <w:pStyle w:val="Style37"/>
        <w:keepNext/>
        <w:keepLines/>
        <w:widowControl w:val="0"/>
        <w:numPr>
          <w:ilvl w:val="0"/>
          <w:numId w:val="107"/>
        </w:numPr>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期末按公允价值计量的可供出售金融资产</w:t>
      </w:r>
      <w:bookmarkEnd w:id="1360"/>
      <w:bookmarkEnd w:id="1361"/>
      <w:bookmarkEnd w:id="136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7"/>
        <w:keepNext/>
        <w:keepLines/>
        <w:widowControl w:val="0"/>
        <w:numPr>
          <w:ilvl w:val="0"/>
          <w:numId w:val="107"/>
        </w:numPr>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期末按成本计量的可供出售金融资产</w:t>
      </w:r>
      <w:bookmarkEnd w:id="1364"/>
      <w:bookmarkEnd w:id="1365"/>
      <w:bookmarkEnd w:id="136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1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杭州磐联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信美人寿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相互保险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37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50,240,000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107"/>
        </w:numPr>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报告期内可供出售金融资产减值的变动情况</w:t>
      </w:r>
      <w:bookmarkEnd w:id="1368"/>
      <w:bookmarkEnd w:id="1369"/>
      <w:bookmarkEnd w:id="13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7"/>
        <w:keepNext/>
        <w:keepLines/>
        <w:widowControl w:val="0"/>
        <w:numPr>
          <w:ilvl w:val="0"/>
          <w:numId w:val="107"/>
        </w:numPr>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可供出售权益工具期末公允价值严重下跌或非暂时性下跌但未计提减值准备的相关说明</w:t>
      </w:r>
      <w:bookmarkEnd w:id="1372"/>
      <w:bookmarkEnd w:id="1373"/>
      <w:bookmarkEnd w:id="137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376"/>
      <w:bookmarkEnd w:id="1377"/>
      <w:bookmarkEnd w:id="1379"/>
    </w:p>
    <w:p>
      <w:pPr>
        <w:pStyle w:val="Style37"/>
        <w:keepNext/>
        <w:keepLines/>
        <w:widowControl w:val="0"/>
        <w:numPr>
          <w:ilvl w:val="0"/>
          <w:numId w:val="109"/>
        </w:numPr>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持有至到期投资情况</w:t>
      </w:r>
      <w:bookmarkEnd w:id="1380"/>
      <w:bookmarkEnd w:id="1381"/>
      <w:bookmarkEnd w:id="138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7"/>
        <w:keepNext/>
        <w:keepLines/>
        <w:widowControl w:val="0"/>
        <w:numPr>
          <w:ilvl w:val="0"/>
          <w:numId w:val="109"/>
        </w:numPr>
        <w:shd w:val="clear" w:color="auto" w:fill="auto"/>
        <w:bidi w:val="0"/>
        <w:spacing w:before="0" w:after="34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期末重要的持有至到期投资</w:t>
      </w:r>
      <w:bookmarkEnd w:id="1384"/>
      <w:bookmarkEnd w:id="1385"/>
      <w:bookmarkEnd w:id="138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7"/>
        <w:keepNext/>
        <w:keepLines/>
        <w:widowControl w:val="0"/>
        <w:numPr>
          <w:ilvl w:val="0"/>
          <w:numId w:val="109"/>
        </w:numPr>
        <w:shd w:val="clear" w:color="auto" w:fill="auto"/>
        <w:bidi w:val="0"/>
        <w:spacing w:before="0" w:after="380" w:line="240" w:lineRule="auto"/>
        <w:ind w:left="0" w:right="0" w:firstLine="0"/>
        <w:jc w:val="both"/>
      </w:pPr>
      <w:bookmarkStart w:id="1388" w:name="bookmark1388"/>
      <w:bookmarkStart w:id="1389" w:name="bookmark1389"/>
      <w:bookmarkStart w:id="1390" w:name="bookmark1390"/>
      <w:bookmarkStart w:id="1391" w:name="bookmark1391"/>
      <w:bookmarkEnd w:id="1390"/>
      <w:r>
        <w:rPr>
          <w:color w:val="000000"/>
          <w:spacing w:val="0"/>
          <w:w w:val="100"/>
          <w:position w:val="0"/>
        </w:rPr>
        <w:t>本期重分类的持有至到期投资</w:t>
      </w:r>
      <w:bookmarkEnd w:id="1388"/>
      <w:bookmarkEnd w:id="1389"/>
      <w:bookmarkEnd w:id="1391"/>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92"/>
      <w:bookmarkEnd w:id="1393"/>
      <w:bookmarkEnd w:id="1395"/>
    </w:p>
    <w:p>
      <w:pPr>
        <w:pStyle w:val="Style37"/>
        <w:keepNext/>
        <w:keepLines/>
        <w:widowControl w:val="0"/>
        <w:numPr>
          <w:ilvl w:val="0"/>
          <w:numId w:val="111"/>
        </w:numPr>
        <w:shd w:val="clear" w:color="auto" w:fill="auto"/>
        <w:bidi w:val="0"/>
        <w:spacing w:before="0" w:after="340" w:line="240" w:lineRule="auto"/>
        <w:ind w:left="0" w:right="0" w:firstLine="0"/>
        <w:jc w:val="both"/>
      </w:pPr>
      <w:bookmarkStart w:id="1396" w:name="bookmark1396"/>
      <w:bookmarkStart w:id="1397" w:name="bookmark1397"/>
      <w:bookmarkStart w:id="1398" w:name="bookmark1398"/>
      <w:bookmarkStart w:id="1399" w:name="bookmark1399"/>
      <w:bookmarkEnd w:id="1398"/>
      <w:r>
        <w:rPr>
          <w:color w:val="000000"/>
          <w:spacing w:val="0"/>
          <w:w w:val="100"/>
          <w:position w:val="0"/>
        </w:rPr>
        <w:t>长期应收款情况</w:t>
      </w:r>
      <w:bookmarkEnd w:id="1396"/>
      <w:bookmarkEnd w:id="1397"/>
      <w:bookmarkEnd w:id="139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p>
      <w:pPr>
        <w:pStyle w:val="Style37"/>
        <w:keepNext/>
        <w:keepLines/>
        <w:widowControl w:val="0"/>
        <w:numPr>
          <w:ilvl w:val="0"/>
          <w:numId w:val="111"/>
        </w:numPr>
        <w:shd w:val="clear" w:color="auto" w:fill="auto"/>
        <w:tabs>
          <w:tab w:pos="488" w:val="left"/>
        </w:tabs>
        <w:bidi w:val="0"/>
        <w:spacing w:before="0" w:line="240" w:lineRule="auto"/>
        <w:ind w:left="0" w:right="0" w:firstLine="0"/>
        <w:jc w:val="both"/>
      </w:pPr>
      <w:bookmarkStart w:id="1400" w:name="bookmark1400"/>
      <w:bookmarkStart w:id="1401" w:name="bookmark1401"/>
      <w:bookmarkStart w:id="1402" w:name="bookmark1402"/>
      <w:bookmarkStart w:id="1403" w:name="bookmark1403"/>
      <w:bookmarkEnd w:id="1402"/>
      <w:r>
        <w:rPr>
          <w:color w:val="000000"/>
          <w:spacing w:val="0"/>
          <w:w w:val="100"/>
          <w:position w:val="0"/>
        </w:rPr>
        <w:t>因金融资产转移而终止确认的长期应收款</w:t>
      </w:r>
      <w:bookmarkEnd w:id="1400"/>
      <w:bookmarkEnd w:id="1401"/>
      <w:bookmarkEnd w:id="1403"/>
    </w:p>
    <w:p>
      <w:pPr>
        <w:pStyle w:val="Style37"/>
        <w:keepNext/>
        <w:keepLines/>
        <w:widowControl w:val="0"/>
        <w:numPr>
          <w:ilvl w:val="0"/>
          <w:numId w:val="111"/>
        </w:numPr>
        <w:shd w:val="clear" w:color="auto" w:fill="auto"/>
        <w:tabs>
          <w:tab w:pos="488" w:val="left"/>
        </w:tabs>
        <w:bidi w:val="0"/>
        <w:spacing w:before="0" w:line="240" w:lineRule="auto"/>
        <w:ind w:left="0" w:right="0" w:firstLine="0"/>
        <w:jc w:val="both"/>
      </w:pPr>
      <w:bookmarkStart w:id="1404" w:name="bookmark1404"/>
      <w:bookmarkStart w:id="1405" w:name="bookmark1405"/>
      <w:bookmarkStart w:id="1406" w:name="bookmark1406"/>
      <w:bookmarkStart w:id="1407" w:name="bookmark1407"/>
      <w:bookmarkEnd w:id="1406"/>
      <w:r>
        <w:rPr>
          <w:color w:val="000000"/>
          <w:spacing w:val="0"/>
          <w:w w:val="100"/>
          <w:position w:val="0"/>
        </w:rPr>
        <w:t>转移长期应收款且继续涉入形成的资产、负债金额</w:t>
      </w:r>
      <w:bookmarkEnd w:id="1404"/>
      <w:bookmarkEnd w:id="1405"/>
      <w:bookmarkEnd w:id="1407"/>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08"/>
      <w:bookmarkEnd w:id="1409"/>
      <w:bookmarkEnd w:id="1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28" w:hRule="exact"/>
        </w:trPr>
        <w:tc>
          <w:tcPr>
            <w:vMerge w:val="restart"/>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 柏泰电子 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31,625,43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CCE8C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深圳市大 拿科技有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7,884,722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494" w:hRule="exact"/>
        </w:trPr>
        <w:tc>
          <w:tcPr>
            <w:vMerge/>
            <w:tcBorders>
              <w:left w:val="single" w:sz="4"/>
            </w:tcBorders>
            <w:shd w:val="clear" w:color="auto" w:fill="CCE8C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682" w:hRule="exact"/>
        </w:trPr>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深圳嘉石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大岩资本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17,764,51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518,047,1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管理股份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31,625,43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15,762,40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525,931,8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374"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31,625,43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15,762,40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525,931,8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350"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36.09</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bl>
    <w:p>
      <w:pPr>
        <w:widowControl w:val="0"/>
        <w:spacing w:after="5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bookmarkEnd w:id="141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412"/>
      <w:bookmarkEnd w:id="1413"/>
      <w:bookmarkEnd w:id="1415"/>
    </w:p>
    <w:p>
      <w:pPr>
        <w:pStyle w:val="Style37"/>
        <w:keepNext/>
        <w:keepLines/>
        <w:widowControl w:val="0"/>
        <w:numPr>
          <w:ilvl w:val="0"/>
          <w:numId w:val="113"/>
        </w:numPr>
        <w:shd w:val="clear" w:color="auto" w:fill="auto"/>
        <w:tabs>
          <w:tab w:pos="488" w:val="left"/>
        </w:tabs>
        <w:bidi w:val="0"/>
        <w:spacing w:before="0" w:line="240" w:lineRule="auto"/>
        <w:ind w:left="0" w:right="0" w:firstLine="0"/>
        <w:jc w:val="both"/>
      </w:pPr>
      <w:bookmarkStart w:id="1416" w:name="bookmark1416"/>
      <w:bookmarkStart w:id="1417" w:name="bookmark1417"/>
      <w:bookmarkStart w:id="1418" w:name="bookmark1418"/>
      <w:bookmarkStart w:id="1419" w:name="bookmark1419"/>
      <w:bookmarkEnd w:id="1418"/>
      <w:r>
        <w:rPr>
          <w:color w:val="000000"/>
          <w:spacing w:val="0"/>
          <w:w w:val="100"/>
          <w:position w:val="0"/>
        </w:rPr>
        <w:t>采用成本计量模式的投资性房地产</w:t>
      </w:r>
      <w:bookmarkEnd w:id="1416"/>
      <w:bookmarkEnd w:id="1417"/>
      <w:bookmarkEnd w:id="141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13"/>
        </w:numPr>
        <w:shd w:val="clear" w:color="auto" w:fill="auto"/>
        <w:tabs>
          <w:tab w:pos="488" w:val="left"/>
        </w:tabs>
        <w:bidi w:val="0"/>
        <w:spacing w:before="0" w:line="240" w:lineRule="auto"/>
        <w:ind w:left="0" w:right="0" w:firstLine="0"/>
        <w:jc w:val="both"/>
      </w:pPr>
      <w:bookmarkStart w:id="1420" w:name="bookmark1420"/>
      <w:bookmarkStart w:id="1421" w:name="bookmark1421"/>
      <w:bookmarkStart w:id="1422" w:name="bookmark1422"/>
      <w:bookmarkStart w:id="1423" w:name="bookmark1423"/>
      <w:bookmarkEnd w:id="1422"/>
      <w:r>
        <w:rPr>
          <w:color w:val="000000"/>
          <w:spacing w:val="0"/>
          <w:w w:val="100"/>
          <w:position w:val="0"/>
        </w:rPr>
        <w:t>采用公允价值计量模式的投资性房地产</w:t>
      </w:r>
      <w:bookmarkEnd w:id="1420"/>
      <w:bookmarkEnd w:id="1421"/>
      <w:bookmarkEnd w:id="142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24"/>
      <w:bookmarkEnd w:id="1425"/>
      <w:bookmarkEnd w:id="14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428"/>
      <w:bookmarkEnd w:id="1429"/>
      <w:bookmarkEnd w:id="1431"/>
    </w:p>
    <w:p>
      <w:pPr>
        <w:pStyle w:val="Style37"/>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2"/>
      <w:bookmarkEnd w:id="1433"/>
      <w:bookmarkEnd w:id="143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2,976,066.85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2,165,048.57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7,098,728.12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36,324,043.09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25,001,057.58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73,564,944.21</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385,828,469.75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482,478.61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247,758.16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12,564,533.82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6,727,738.87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405,850,979.21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15,207,188.00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482,478.61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4,627,800.26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20,337,171.11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370,621,281.75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370,621,281.75</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228,053.92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2,099,938.61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2,327,992.53</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12,564,533.82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12,564,533.82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42,529,389.10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3,010,530.31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46,160,919.41</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4,381,422.79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2,983,002.31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7,985,425.10</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27,528.00</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38,147,966.31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38,147,966.31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388,804,536.60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2,647,527.18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6,725,486.28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6,359,187.81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28,718,266.14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433,255,004.01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286,304.28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1,529,011.49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5,348,257.90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7,403,978.56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15,444,698.01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30,012,250.24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4,696,431.41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312,564.59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918,175.62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6,283,553.97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3,741,887.32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15,952,612.91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4,696,431.41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312,564.59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855,277.45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6,283,553.97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3,269,648.11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15,417,475.53</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472,239.21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535,137.38</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589,950.00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11,982,220.91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2,856,503.41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15,428,674.32</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4,138,322.60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2,833,852.12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7,562,124.72</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22,651.29</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7,843,898.31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7,843,898.31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4,982,735.69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1,841,576.08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5,676,483.52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1,705,311.62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16,330,081.92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30,536,188.83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383,821,800.91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805,951.10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1,049,002.76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4,653,876.19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12,388,184.22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402,718,815.18</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2,689,762.57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636,037.08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1,750,470.22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28,920,064.53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9,556,359.57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43,552,693.97</w:t>
            </w:r>
          </w:p>
        </w:tc>
      </w:tr>
    </w:tbl>
    <w:p>
      <w:pPr>
        <w:widowControl w:val="0"/>
        <w:spacing w:after="299" w:line="1" w:lineRule="exact"/>
      </w:pPr>
    </w:p>
    <w:p>
      <w:pPr>
        <w:pStyle w:val="Style37"/>
        <w:keepNext/>
        <w:keepLines/>
        <w:widowControl w:val="0"/>
        <w:numPr>
          <w:ilvl w:val="0"/>
          <w:numId w:val="105"/>
        </w:numPr>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暂时闲置的固定资产情况</w:t>
      </w:r>
      <w:bookmarkEnd w:id="1436"/>
      <w:bookmarkEnd w:id="1437"/>
      <w:bookmarkEnd w:id="14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37"/>
        <w:keepNext/>
        <w:keepLines/>
        <w:widowControl w:val="0"/>
        <w:numPr>
          <w:ilvl w:val="0"/>
          <w:numId w:val="105"/>
        </w:numPr>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通过融资租赁租入的固定资产情况</w:t>
      </w:r>
      <w:bookmarkEnd w:id="1440"/>
      <w:bookmarkEnd w:id="1441"/>
      <w:bookmarkEnd w:id="14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37"/>
        <w:keepNext/>
        <w:keepLines/>
        <w:widowControl w:val="0"/>
        <w:numPr>
          <w:ilvl w:val="0"/>
          <w:numId w:val="105"/>
        </w:numPr>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通过经营租赁租出的固定资产</w:t>
      </w:r>
      <w:bookmarkEnd w:id="1444"/>
      <w:bookmarkEnd w:id="1445"/>
      <w:bookmarkEnd w:id="14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4,653,876.19</w:t>
            </w:r>
          </w:p>
        </w:tc>
      </w:tr>
    </w:tbl>
    <w:p>
      <w:pPr>
        <w:spacing w:lineRule="exact" w:line="1"/>
        <w:rPr>
          <w:sz w:val="2"/>
          <w:szCs w:val="2"/>
        </w:rPr>
      </w:pPr>
      <w:r>
        <w:br w:type="page"/>
      </w:r>
    </w:p>
    <w:p>
      <w:pPr>
        <w:pStyle w:val="Style37"/>
        <w:keepNext/>
        <w:keepLines/>
        <w:widowControl w:val="0"/>
        <w:numPr>
          <w:ilvl w:val="0"/>
          <w:numId w:val="105"/>
        </w:numPr>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未办妥产权证书的固定资产情况</w:t>
      </w:r>
      <w:bookmarkEnd w:id="1448"/>
      <w:bookmarkEnd w:id="1449"/>
      <w:bookmarkEnd w:id="14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211"/>
        <w:gridCol w:w="318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366,173,211.52</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年在建工程完工转入，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产权证书已办妥</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17,648,589.39</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人才安居房，无法办理产权证书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452"/>
      <w:bookmarkEnd w:id="1453"/>
      <w:bookmarkEnd w:id="1455"/>
    </w:p>
    <w:p>
      <w:pPr>
        <w:pStyle w:val="Style37"/>
        <w:keepNext/>
        <w:keepLines/>
        <w:widowControl w:val="0"/>
        <w:numPr>
          <w:ilvl w:val="0"/>
          <w:numId w:val="115"/>
        </w:numPr>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在建工程情况</w:t>
      </w:r>
      <w:bookmarkEnd w:id="1456"/>
      <w:bookmarkEnd w:id="1457"/>
      <w:bookmarkEnd w:id="14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苏州电子支付研 发基地项目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296,925,757.82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296,925,757.82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296,925,757.82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296,925,757.82</w:t>
            </w:r>
          </w:p>
        </w:tc>
      </w:tr>
    </w:tbl>
    <w:p>
      <w:pPr>
        <w:widowControl w:val="0"/>
        <w:spacing w:after="319" w:line="1" w:lineRule="exact"/>
      </w:pPr>
    </w:p>
    <w:p>
      <w:pPr>
        <w:pStyle w:val="Style37"/>
        <w:keepNext/>
        <w:keepLines/>
        <w:widowControl w:val="0"/>
        <w:numPr>
          <w:ilvl w:val="0"/>
          <w:numId w:val="115"/>
        </w:numPr>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重要在建工程项目本期变动情况</w:t>
      </w:r>
      <w:bookmarkEnd w:id="1460"/>
      <w:bookmarkEnd w:id="1461"/>
      <w:bookmarkEnd w:id="146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电子支 付研发 苏州基 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408,060,</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296,925,</w:t>
            </w:r>
          </w:p>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73,695,5</w:t>
            </w:r>
          </w:p>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370,621,</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90.83%</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408,060,</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296,925,</w:t>
            </w:r>
          </w:p>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73,695,5</w:t>
            </w:r>
          </w:p>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370,621,</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numPr>
          <w:ilvl w:val="0"/>
          <w:numId w:val="115"/>
        </w:numPr>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本期计提在建工程减值准备情况</w:t>
      </w:r>
      <w:bookmarkEnd w:id="1464"/>
      <w:bookmarkEnd w:id="1465"/>
      <w:bookmarkEnd w:id="146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468"/>
      <w:bookmarkEnd w:id="1469"/>
      <w:bookmarkEnd w:id="14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472"/>
      <w:bookmarkEnd w:id="1473"/>
      <w:bookmarkEnd w:id="14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76"/>
      <w:bookmarkEnd w:id="1477"/>
      <w:bookmarkEnd w:id="1479"/>
    </w:p>
    <w:p>
      <w:pPr>
        <w:pStyle w:val="Style37"/>
        <w:keepNext/>
        <w:keepLines/>
        <w:widowControl w:val="0"/>
        <w:numPr>
          <w:ilvl w:val="0"/>
          <w:numId w:val="117"/>
        </w:numPr>
        <w:shd w:val="clear" w:color="auto" w:fill="auto"/>
        <w:tabs>
          <w:tab w:pos="488" w:val="left"/>
        </w:tabs>
        <w:bidi w:val="0"/>
        <w:spacing w:before="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采用成本计量模式的生产性生物资产</w:t>
      </w:r>
      <w:bookmarkEnd w:id="1480"/>
      <w:bookmarkEnd w:id="1481"/>
      <w:bookmarkEnd w:id="14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17"/>
        </w:numPr>
        <w:shd w:val="clear" w:color="auto" w:fill="auto"/>
        <w:tabs>
          <w:tab w:pos="488" w:val="left"/>
        </w:tabs>
        <w:bidi w:val="0"/>
        <w:spacing w:before="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采用公允价值计量模式的生产性生物资产</w:t>
      </w:r>
      <w:bookmarkEnd w:id="1484"/>
      <w:bookmarkEnd w:id="1485"/>
      <w:bookmarkEnd w:id="148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8"/>
      <w:bookmarkEnd w:id="1489"/>
      <w:bookmarkEnd w:id="149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492"/>
      <w:bookmarkEnd w:id="1493"/>
      <w:bookmarkEnd w:id="1495"/>
    </w:p>
    <w:p>
      <w:pPr>
        <w:pStyle w:val="Style37"/>
        <w:keepNext/>
        <w:keepLines/>
        <w:widowControl w:val="0"/>
        <w:numPr>
          <w:ilvl w:val="0"/>
          <w:numId w:val="119"/>
        </w:numPr>
        <w:shd w:val="clear" w:color="auto" w:fill="auto"/>
        <w:bidi w:val="0"/>
        <w:spacing w:before="0" w:after="220" w:line="240" w:lineRule="auto"/>
        <w:ind w:left="0" w:right="0" w:firstLine="14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无形资产情况</w:t>
      </w:r>
      <w:bookmarkEnd w:id="1496"/>
      <w:bookmarkEnd w:id="1497"/>
      <w:bookmarkEnd w:id="1499"/>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33,376,838.80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6,068,374.12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84,418,928.17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22,073,884.13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22,073,884.13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741,208.36</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21,332,675.77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21,332,675.77</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12,811,900.00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12,811,900.00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12,811,900.00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12,811,900.00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20,564,938.80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28,142,258.25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93,680,912.30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3,288,469.01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4,993,684.21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2,624,240.32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3,395.26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10,909,788.80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539,437.74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9,987,368.42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5,115,940.23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6,790.53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15,649,536.92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539,437.74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9,987,368.42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2,629,017.93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6,790.53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13,162,614.62</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2,486,922.30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2,486,922.30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1,772,313.11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1,772,313.11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1,772,313.11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1,772,313.11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2,055,593.64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14,981,052.63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7,740,180.55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10,185.79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24,787,012.61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18,509,345.16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29,962,105.26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20,402,077.70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20,371.57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68,893,899.69</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30,088,369.79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39,949,473.68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3,444,133.80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27,162.10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73,509,139.37</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37"/>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0"/>
      <w:bookmarkEnd w:id="1501"/>
      <w:bookmarkEnd w:id="15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504"/>
      <w:bookmarkEnd w:id="1505"/>
      <w:bookmarkEnd w:id="15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3192"/>
        <w:gridCol w:w="3187"/>
        <w:gridCol w:w="107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508"/>
      <w:bookmarkEnd w:id="1509"/>
      <w:bookmarkEnd w:id="1511"/>
    </w:p>
    <w:p>
      <w:pPr>
        <w:pStyle w:val="Style37"/>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2"/>
      <w:bookmarkEnd w:id="1513"/>
      <w:bookmarkEnd w:id="151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139,753,563.89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139,753,563.89</w:t>
            </w:r>
          </w:p>
        </w:tc>
      </w:tr>
      <w:tr>
        <w:trPr>
          <w:trHeight w:val="398"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36,293,613.94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36,293,613.94</w:t>
            </w:r>
          </w:p>
        </w:tc>
      </w:tr>
      <w:tr>
        <w:trPr>
          <w:trHeight w:val="1027"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长沙公信诚丰信 息技术服务有限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433,158,998.49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176,047,177.83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609,206,176.32</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6"/>
      <w:bookmarkEnd w:id="1517"/>
      <w:bookmarkEnd w:id="151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682" w:hRule="exact"/>
        </w:trPr>
        <w:tc>
          <w:tcPr>
            <w:tcBorders>
              <w:top w:val="single" w:sz="4"/>
              <w:left w:val="single" w:sz="4"/>
              <w:bottom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长沙公信诚丰信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息技术服务有限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7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本公司对企业合并取得的子公司商誉进行了减值测试，子公司的可回收金额按照预计未来现金流量的现值确定，其预计 </w:t>
      </w:r>
      <w:r>
        <w:rPr>
          <w:color w:val="000000"/>
          <w:spacing w:val="0"/>
          <w:w w:val="100"/>
          <w:position w:val="0"/>
        </w:rPr>
        <w:t>未来现金流量根据管理层批准的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年期财务预算为基础的现金流量来确定，</w:t>
      </w:r>
      <w:r>
        <w:rPr>
          <w:rFonts w:ascii="Times New Roman" w:eastAsia="Times New Roman" w:hAnsi="Times New Roman" w:cs="Times New Roman"/>
          <w:color w:val="000000"/>
          <w:spacing w:val="0"/>
          <w:w w:val="100"/>
          <w:position w:val="0"/>
        </w:rPr>
        <w:t>5</w:t>
      </w:r>
      <w:r>
        <w:rPr>
          <w:color w:val="000000"/>
          <w:spacing w:val="0"/>
          <w:w w:val="100"/>
          <w:position w:val="0"/>
        </w:rPr>
        <w:t>年期后的现金流量以增长率为零推算。</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计算子公司于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日的预计未来现金流量现值采用了关键假设。以下详述了管理层为进行商誉的减值测试，在 确定现金流量预测时作出的关键假设。</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折现率</w:t>
      </w:r>
      <w:r>
        <w:rPr>
          <w:rFonts w:ascii="Times New Roman" w:eastAsia="Times New Roman" w:hAnsi="Times New Roman" w:cs="Times New Roman"/>
          <w:color w:val="000000"/>
          <w:spacing w:val="0"/>
          <w:w w:val="100"/>
          <w:position w:val="0"/>
        </w:rPr>
        <w:t>=</w:t>
      </w:r>
      <w:r>
        <w:rPr>
          <w:color w:val="000000"/>
          <w:spacing w:val="0"/>
          <w:w w:val="100"/>
          <w:position w:val="0"/>
        </w:rPr>
        <w:t>企业加权平均资金成本</w:t>
      </w:r>
      <w:r>
        <w:rPr>
          <w:rFonts w:ascii="Times New Roman" w:eastAsia="Times New Roman" w:hAnsi="Times New Roman" w:cs="Times New Roman"/>
          <w:color w:val="000000"/>
          <w:spacing w:val="0"/>
          <w:w w:val="100"/>
          <w:position w:val="0"/>
        </w:rPr>
        <w:t>/(1-</w:t>
      </w:r>
      <w:r>
        <w:rPr>
          <w:color w:val="000000"/>
          <w:spacing w:val="0"/>
          <w:w w:val="100"/>
          <w:position w:val="0"/>
        </w:rPr>
        <w:t>适用的所得税率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管理层经过上述商誉减值测试，判断期末合并取得的子公司商誉无需计提减值。</w:t>
      </w:r>
    </w:p>
    <w:p>
      <w:pPr>
        <w:pStyle w:val="Style28"/>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20"/>
      <w:bookmarkEnd w:id="1521"/>
      <w:bookmarkEnd w:id="15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本期摊销金额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4,139,042.59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3,133,545.61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1,657,668.26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5,614,919.94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地图平台服务费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25,000.10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2,135,790.00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320,658.00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1,815,132.00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922,824.02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745,871.98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969,892.23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698,803.77</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137,628.64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102,206.14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7,370,285.31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3,879,417.59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2,993,640.95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8,256,061.95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4"/>
      <w:bookmarkEnd w:id="1525"/>
      <w:bookmarkEnd w:id="1527"/>
    </w:p>
    <w:p>
      <w:pPr>
        <w:pStyle w:val="Style37"/>
        <w:keepNext/>
        <w:keepLines/>
        <w:widowControl w:val="0"/>
        <w:numPr>
          <w:ilvl w:val="0"/>
          <w:numId w:val="121"/>
        </w:numPr>
        <w:shd w:val="clear" w:color="auto" w:fill="auto"/>
        <w:bidi w:val="0"/>
        <w:spacing w:before="0" w:line="240" w:lineRule="auto"/>
        <w:ind w:left="0" w:right="0" w:firstLine="14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未经抵销的递延所得税资产</w:t>
      </w:r>
      <w:bookmarkEnd w:id="1528"/>
      <w:bookmarkEnd w:id="1529"/>
      <w:bookmarkEnd w:id="153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34,731,871.40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7,364,836.19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41,124,038.65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6,168,539.83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69,212,582.07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17,303,145.52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8,302,057.21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1,245,308.58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37,761,681.33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9,440,420.33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13,155,833.33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1,973,375.00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40,198,396.62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6,029,759.49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141,706,134.80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34,108,402.04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102,780,325.81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15,416,982.90</w:t>
            </w:r>
          </w:p>
        </w:tc>
      </w:tr>
    </w:tbl>
    <w:p>
      <w:pPr>
        <w:spacing w:lineRule="exact" w:line="1"/>
        <w:rPr>
          <w:sz w:val="2"/>
          <w:szCs w:val="2"/>
        </w:rPr>
      </w:pPr>
      <w:r>
        <w:br w:type="page"/>
      </w:r>
    </w:p>
    <w:p>
      <w:pPr>
        <w:pStyle w:val="Style37"/>
        <w:keepNext/>
        <w:keepLines/>
        <w:widowControl w:val="0"/>
        <w:numPr>
          <w:ilvl w:val="0"/>
          <w:numId w:val="121"/>
        </w:numPr>
        <w:shd w:val="clear" w:color="auto" w:fill="auto"/>
        <w:bidi w:val="0"/>
        <w:spacing w:before="0" w:line="240" w:lineRule="auto"/>
        <w:ind w:left="0" w:right="0" w:firstLine="14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未经抵销的递延所得税负债</w:t>
      </w:r>
      <w:bookmarkEnd w:id="1532"/>
      <w:bookmarkEnd w:id="1533"/>
      <w:bookmarkEnd w:id="15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评估增值资产的计税基 础和入账价值差异产生 的递延所得税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46,549,075.06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6,982,456.05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41,587,531.47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6,238,129.72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46,549,075.06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6,982,456.05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41,587,531.47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6,238,129.72</w:t>
            </w:r>
          </w:p>
        </w:tc>
      </w:tr>
    </w:tbl>
    <w:p>
      <w:pPr>
        <w:widowControl w:val="0"/>
        <w:spacing w:after="299" w:line="1" w:lineRule="exact"/>
      </w:pPr>
    </w:p>
    <w:p>
      <w:pPr>
        <w:pStyle w:val="Style37"/>
        <w:keepNext/>
        <w:keepLines/>
        <w:widowControl w:val="0"/>
        <w:numPr>
          <w:ilvl w:val="0"/>
          <w:numId w:val="121"/>
        </w:numPr>
        <w:shd w:val="clear" w:color="auto" w:fill="auto"/>
        <w:bidi w:val="0"/>
        <w:spacing w:before="0" w:line="240" w:lineRule="auto"/>
        <w:ind w:left="0" w:right="0" w:firstLine="14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以抵销后净额列示的递延所得税资产或负债</w:t>
      </w:r>
      <w:bookmarkEnd w:id="1536"/>
      <w:bookmarkEnd w:id="1537"/>
      <w:bookmarkEnd w:id="15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34,108,402.04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15,416,982.90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6,982,456.05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6,238,129.72</w:t>
            </w:r>
          </w:p>
        </w:tc>
      </w:tr>
    </w:tbl>
    <w:p>
      <w:pPr>
        <w:widowControl w:val="0"/>
        <w:spacing w:after="299" w:line="1" w:lineRule="exact"/>
      </w:pPr>
    </w:p>
    <w:p>
      <w:pPr>
        <w:pStyle w:val="Style37"/>
        <w:keepNext/>
        <w:keepLines/>
        <w:widowControl w:val="0"/>
        <w:numPr>
          <w:ilvl w:val="0"/>
          <w:numId w:val="121"/>
        </w:numPr>
        <w:shd w:val="clear" w:color="auto" w:fill="auto"/>
        <w:bidi w:val="0"/>
        <w:spacing w:before="0" w:line="240" w:lineRule="auto"/>
        <w:ind w:left="0" w:right="0" w:firstLine="14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未确认递延所得税资产明细</w:t>
      </w:r>
      <w:bookmarkEnd w:id="1540"/>
      <w:bookmarkEnd w:id="1541"/>
      <w:bookmarkEnd w:id="154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41,832,650.64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1,042,455.02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20,708,494.05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749,283.84</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20,464,737.30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83,005,881.99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1,791,738.86</w:t>
            </w:r>
          </w:p>
        </w:tc>
      </w:tr>
    </w:tbl>
    <w:p>
      <w:pPr>
        <w:widowControl w:val="0"/>
        <w:spacing w:after="299" w:line="1" w:lineRule="exact"/>
      </w:pPr>
    </w:p>
    <w:p>
      <w:pPr>
        <w:pStyle w:val="Style37"/>
        <w:keepNext/>
        <w:keepLines/>
        <w:widowControl w:val="0"/>
        <w:numPr>
          <w:ilvl w:val="0"/>
          <w:numId w:val="121"/>
        </w:numPr>
        <w:shd w:val="clear" w:color="auto" w:fill="auto"/>
        <w:bidi w:val="0"/>
        <w:spacing w:before="0" w:line="240" w:lineRule="auto"/>
        <w:ind w:left="0" w:right="0" w:firstLine="14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未确认递延所得税资产的可抵扣亏损将于以下年度到期</w:t>
      </w:r>
      <w:bookmarkEnd w:id="1544"/>
      <w:bookmarkEnd w:id="1545"/>
      <w:bookmarkEnd w:id="15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因本公司将现有金融</w:t>
      </w:r>
      <w:r>
        <w:rPr>
          <w:color w:val="000000"/>
          <w:spacing w:val="0"/>
          <w:w w:val="100"/>
          <w:position w:val="0"/>
        </w:rPr>
        <w:t>POS</w:t>
      </w:r>
      <w:r>
        <w:rPr>
          <w:color w:val="000000"/>
          <w:spacing w:val="0"/>
          <w:w w:val="100"/>
          <w:position w:val="0"/>
        </w:rPr>
        <w:t>设备技术研发、销售和生产业务全部切换至全资子公司深圳市新国都支付技术有限公司(以下 简称：支付公司)，实现支付公司独立经营</w:t>
      </w:r>
      <w:r>
        <w:rPr>
          <w:color w:val="000000"/>
          <w:spacing w:val="0"/>
          <w:w w:val="100"/>
          <w:position w:val="0"/>
        </w:rPr>
        <w:t>POS</w:t>
      </w:r>
      <w:r>
        <w:rPr>
          <w:color w:val="000000"/>
          <w:spacing w:val="0"/>
          <w:w w:val="100"/>
          <w:position w:val="0"/>
        </w:rPr>
        <w:t>业务，本公司则作为集团公司统筹管理旗下不同业务模块。本公司未来能否 获得足够的应纳税所得额具有不确定性，因此对本公司的可抵扣暂时性差异未确认递延所得税资产。</w:t>
      </w:r>
    </w:p>
    <w:p>
      <w:pPr>
        <w:pStyle w:val="Style33"/>
        <w:keepNext/>
        <w:keepLines/>
        <w:widowControl w:val="0"/>
        <w:shd w:val="clear" w:color="auto" w:fill="auto"/>
        <w:bidi w:val="0"/>
        <w:spacing w:before="0" w:after="24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48"/>
      <w:bookmarkEnd w:id="1549"/>
      <w:bookmarkEnd w:id="1551"/>
    </w:p>
    <w:p>
      <w:pPr>
        <w:pStyle w:val="Style28"/>
        <w:keepNext w:val="0"/>
        <w:keepLines w:val="0"/>
        <w:widowControl w:val="0"/>
        <w:shd w:val="clear" w:color="auto" w:fill="auto"/>
        <w:bidi w:val="0"/>
        <w:spacing w:before="0" w:after="340" w:line="317" w:lineRule="exact"/>
        <w:ind w:left="0" w:right="0" w:firstLine="0"/>
        <w:jc w:val="right"/>
      </w:pPr>
      <w:r>
        <w:rPr>
          <w:color w:val="000000"/>
          <w:spacing w:val="0"/>
          <w:w w:val="100"/>
          <w:position w:val="0"/>
        </w:rPr>
        <w:t>单位： 元</w:t>
      </w:r>
      <w:r>
        <w:br w:type="page"/>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15,207,188.00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预付的设备采购款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824,850.00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498,020.00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824,850.00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15,705,208.00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552"/>
      <w:bookmarkEnd w:id="1553"/>
      <w:bookmarkEnd w:id="1555"/>
    </w:p>
    <w:p>
      <w:pPr>
        <w:pStyle w:val="Style37"/>
        <w:keepNext/>
        <w:keepLines/>
        <w:widowControl w:val="0"/>
        <w:numPr>
          <w:ilvl w:val="0"/>
          <w:numId w:val="123"/>
        </w:numPr>
        <w:shd w:val="clear" w:color="auto" w:fill="auto"/>
        <w:bidi w:val="0"/>
        <w:spacing w:before="0" w:line="240" w:lineRule="auto"/>
        <w:ind w:left="0" w:right="0" w:firstLine="14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短期借款分类</w:t>
      </w:r>
      <w:bookmarkEnd w:id="1556"/>
      <w:bookmarkEnd w:id="1557"/>
      <w:bookmarkEnd w:id="15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1,179,084.73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51,558,464.00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17,179,084.73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51,558,464.00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7"/>
        <w:keepNext/>
        <w:keepLines/>
        <w:widowControl w:val="0"/>
        <w:numPr>
          <w:ilvl w:val="0"/>
          <w:numId w:val="123"/>
        </w:numPr>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已逾期未偿还的短期借款情况</w:t>
      </w:r>
      <w:bookmarkEnd w:id="1560"/>
      <w:bookmarkEnd w:id="1561"/>
      <w:bookmarkEnd w:id="156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564"/>
      <w:bookmarkEnd w:id="1565"/>
      <w:bookmarkEnd w:id="15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568"/>
      <w:bookmarkEnd w:id="1569"/>
      <w:bookmarkEnd w:id="157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572"/>
      <w:bookmarkEnd w:id="1573"/>
      <w:bookmarkEnd w:id="157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1,325,908.33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288,008.11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105,363,953.99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113,296,534.05</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106,689,862.32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113,584,542.16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6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76"/>
      <w:bookmarkEnd w:id="1577"/>
      <w:bookmarkEnd w:id="1579"/>
    </w:p>
    <w:p>
      <w:pPr>
        <w:pStyle w:val="Style37"/>
        <w:keepNext/>
        <w:keepLines/>
        <w:widowControl w:val="0"/>
        <w:numPr>
          <w:ilvl w:val="0"/>
          <w:numId w:val="125"/>
        </w:numPr>
        <w:shd w:val="clear" w:color="auto" w:fill="auto"/>
        <w:bidi w:val="0"/>
        <w:spacing w:before="0" w:line="240" w:lineRule="auto"/>
        <w:ind w:left="0" w:right="0" w:firstLine="0"/>
        <w:jc w:val="both"/>
      </w:pPr>
      <w:bookmarkStart w:id="1580" w:name="bookmark1580"/>
      <w:bookmarkStart w:id="1581" w:name="bookmark1581"/>
      <w:bookmarkStart w:id="1582" w:name="bookmark1582"/>
      <w:bookmarkStart w:id="1583" w:name="bookmark1583"/>
      <w:bookmarkEnd w:id="1582"/>
      <w:r>
        <w:rPr>
          <w:color w:val="000000"/>
          <w:spacing w:val="0"/>
          <w:w w:val="100"/>
          <w:position w:val="0"/>
        </w:rPr>
        <w:t>应付账款列示</w:t>
      </w:r>
      <w:bookmarkEnd w:id="1580"/>
      <w:bookmarkEnd w:id="1581"/>
      <w:bookmarkEnd w:id="15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118,751,202.94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235,462,915.06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15,300,953.24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7,176,562.50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134,052,156.18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242,639,477.56</w:t>
            </w:r>
          </w:p>
        </w:tc>
      </w:tr>
    </w:tbl>
    <w:p>
      <w:pPr>
        <w:widowControl w:val="0"/>
        <w:spacing w:after="299" w:line="1" w:lineRule="exact"/>
      </w:pPr>
    </w:p>
    <w:p>
      <w:pPr>
        <w:pStyle w:val="Style37"/>
        <w:keepNext/>
        <w:keepLines/>
        <w:widowControl w:val="0"/>
        <w:numPr>
          <w:ilvl w:val="0"/>
          <w:numId w:val="125"/>
        </w:numPr>
        <w:shd w:val="clear" w:color="auto" w:fill="auto"/>
        <w:bidi w:val="0"/>
        <w:spacing w:before="0" w:line="240" w:lineRule="auto"/>
        <w:ind w:left="0" w:right="0" w:firstLine="14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4"/>
      <w:bookmarkEnd w:id="1585"/>
      <w:bookmarkEnd w:id="158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88"/>
      <w:bookmarkEnd w:id="1589"/>
      <w:bookmarkEnd w:id="1591"/>
    </w:p>
    <w:p>
      <w:pPr>
        <w:pStyle w:val="Style37"/>
        <w:keepNext/>
        <w:keepLines/>
        <w:widowControl w:val="0"/>
        <w:numPr>
          <w:ilvl w:val="0"/>
          <w:numId w:val="127"/>
        </w:numPr>
        <w:shd w:val="clear" w:color="auto" w:fill="auto"/>
        <w:bidi w:val="0"/>
        <w:spacing w:before="0" w:line="240" w:lineRule="auto"/>
        <w:ind w:left="0" w:right="0" w:firstLine="0"/>
        <w:jc w:val="both"/>
      </w:pPr>
      <w:bookmarkStart w:id="1592" w:name="bookmark1592"/>
      <w:bookmarkStart w:id="1593" w:name="bookmark1593"/>
      <w:bookmarkStart w:id="1594" w:name="bookmark1594"/>
      <w:bookmarkStart w:id="1595" w:name="bookmark1595"/>
      <w:bookmarkEnd w:id="1594"/>
      <w:r>
        <w:rPr>
          <w:color w:val="000000"/>
          <w:spacing w:val="0"/>
          <w:w w:val="100"/>
          <w:position w:val="0"/>
        </w:rPr>
        <w:t>预收款项列示</w:t>
      </w:r>
      <w:bookmarkEnd w:id="1592"/>
      <w:bookmarkEnd w:id="1593"/>
      <w:bookmarkEnd w:id="159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24,370,796.68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49,101,803.37</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预收信息查询费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152,715.90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24,525,312.58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49,101,803.37</w:t>
            </w:r>
          </w:p>
        </w:tc>
      </w:tr>
    </w:tbl>
    <w:p>
      <w:pPr>
        <w:widowControl w:val="0"/>
        <w:spacing w:after="299" w:line="1" w:lineRule="exact"/>
      </w:pPr>
    </w:p>
    <w:p>
      <w:pPr>
        <w:pStyle w:val="Style37"/>
        <w:keepNext/>
        <w:keepLines/>
        <w:widowControl w:val="0"/>
        <w:numPr>
          <w:ilvl w:val="0"/>
          <w:numId w:val="127"/>
        </w:numPr>
        <w:shd w:val="clear" w:color="auto" w:fill="auto"/>
        <w:bidi w:val="0"/>
        <w:spacing w:before="0" w:line="240" w:lineRule="auto"/>
        <w:ind w:left="0" w:right="0" w:firstLine="14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6"/>
      <w:bookmarkEnd w:id="1597"/>
      <w:bookmarkEnd w:id="159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299" w:line="1" w:lineRule="exact"/>
      </w:pPr>
    </w:p>
    <w:p>
      <w:pPr>
        <w:pStyle w:val="Style37"/>
        <w:keepNext/>
        <w:keepLines/>
        <w:widowControl w:val="0"/>
        <w:numPr>
          <w:ilvl w:val="0"/>
          <w:numId w:val="127"/>
        </w:numPr>
        <w:shd w:val="clear" w:color="auto" w:fill="auto"/>
        <w:bidi w:val="0"/>
        <w:spacing w:before="0" w:line="240" w:lineRule="auto"/>
        <w:ind w:left="0" w:right="0" w:firstLine="14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期末建造合同形成的已结算未完工项目情况</w:t>
      </w:r>
      <w:bookmarkEnd w:id="1600"/>
      <w:bookmarkEnd w:id="1601"/>
      <w:bookmarkEnd w:id="16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786"/>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3</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604"/>
      <w:bookmarkEnd w:id="1605"/>
      <w:bookmarkEnd w:id="1607"/>
    </w:p>
    <w:p>
      <w:pPr>
        <w:pStyle w:val="Style37"/>
        <w:keepNext/>
        <w:keepLines/>
        <w:widowControl w:val="0"/>
        <w:shd w:val="clear" w:color="auto" w:fill="auto"/>
        <w:bidi w:val="0"/>
        <w:spacing w:before="0" w:after="34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08"/>
      <w:bookmarkEnd w:id="1609"/>
      <w:bookmarkEnd w:id="16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31,111,348.44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215,186,712.98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211,954,211.76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34,343,849.66</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125,967.81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8,414,995.06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8,375,962.87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31,237,316.25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223,601,708.04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220,330,174.63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34,508,849.66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11"/>
      <w:bookmarkEnd w:id="1612"/>
      <w:bookmarkEnd w:id="16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30,921,794.85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199,869,448.40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196,855,339.07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33,935,904.18</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5,235,202.48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5,235,202.48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97,147.73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4,656,788.25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4,614,235.98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89,698.93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4,177,251.73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4,140,450.66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327,539.42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320,868.25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9,791.14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151,997.10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152,917.07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3,408.86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71,076.00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3,826,516.50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3,822,702.50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21,329.86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1,598,757.35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1,426,731.73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193,355.48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31,111,348.44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215,186,712.98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211,954,211.76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34,343,849.66</w:t>
            </w:r>
          </w:p>
        </w:tc>
      </w:tr>
    </w:tbl>
    <w:p>
      <w:pPr>
        <w:widowControl w:val="0"/>
        <w:spacing w:after="339" w:line="1" w:lineRule="exact"/>
      </w:pPr>
    </w:p>
    <w:p>
      <w:pPr>
        <w:pStyle w:val="Style37"/>
        <w:keepNext/>
        <w:keepLines/>
        <w:widowControl w:val="0"/>
        <w:numPr>
          <w:ilvl w:val="0"/>
          <w:numId w:val="125"/>
        </w:numPr>
        <w:shd w:val="clear" w:color="auto" w:fill="auto"/>
        <w:bidi w:val="0"/>
        <w:spacing w:before="0" w:after="340" w:line="240" w:lineRule="auto"/>
        <w:ind w:left="0" w:right="0" w:firstLine="14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设定提存计划列示</w:t>
      </w:r>
      <w:bookmarkEnd w:id="1614"/>
      <w:bookmarkEnd w:id="1615"/>
      <w:bookmarkEnd w:id="161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109,198.69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7,964,106.51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7,919,305.20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450,888.55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456,657.67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125,967.81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8,414,995.06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8,375,962.87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618"/>
      <w:bookmarkEnd w:id="1619"/>
      <w:bookmarkEnd w:id="162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5,625,004.03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8,725,100.77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9,423,739.14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5,221,533.07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2,358,944.01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735,376.92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361,638.58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601,203.34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258,972.73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429,436.30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1,139,048.77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308,108.70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19,167,347.26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16,020,759.10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622"/>
      <w:bookmarkEnd w:id="1623"/>
      <w:bookmarkEnd w:id="16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16,177,777.81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16,177,777.81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626"/>
      <w:bookmarkEnd w:id="1627"/>
      <w:bookmarkEnd w:id="16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0"/>
      <w:bookmarkEnd w:id="1631"/>
      <w:bookmarkEnd w:id="1633"/>
    </w:p>
    <w:p>
      <w:pPr>
        <w:pStyle w:val="Style37"/>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34"/>
      <w:bookmarkEnd w:id="1635"/>
      <w:bookmarkEnd w:id="163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25,200,000.00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50,043,765.53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4,261,433.12</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预提未支付款及其他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2,175,949.83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2,252,888.81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452,219,715.36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31,714,321.93</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37"/>
      <w:bookmarkEnd w:id="1638"/>
      <w:bookmarkEnd w:id="16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640"/>
      <w:bookmarkEnd w:id="1641"/>
      <w:bookmarkEnd w:id="16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44"/>
      <w:bookmarkEnd w:id="1645"/>
      <w:bookmarkEnd w:id="16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48"/>
      <w:bookmarkEnd w:id="1649"/>
      <w:bookmarkEnd w:id="165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792"/>
        <w:gridCol w:w="2395"/>
        <w:gridCol w:w="797"/>
        <w:gridCol w:w="802"/>
        <w:gridCol w:w="1594"/>
        <w:gridCol w:w="859"/>
      </w:tblGrid>
      <w:tr>
        <w:trP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债券名称面值发行日期</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2"/>
      <w:bookmarkEnd w:id="1653"/>
      <w:bookmarkEnd w:id="1655"/>
    </w:p>
    <w:p>
      <w:pPr>
        <w:pStyle w:val="Style37"/>
        <w:keepNext/>
        <w:keepLines/>
        <w:widowControl w:val="0"/>
        <w:shd w:val="clear" w:color="auto" w:fill="auto"/>
        <w:bidi w:val="0"/>
        <w:spacing w:before="0" w:line="240" w:lineRule="auto"/>
        <w:ind w:left="0" w:right="0" w:firstLine="14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6"/>
      <w:bookmarkEnd w:id="1657"/>
      <w:bookmarkEnd w:id="165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1,038,783.85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1,038,783.85</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9"/>
      <w:bookmarkEnd w:id="1660"/>
      <w:bookmarkEnd w:id="1662"/>
    </w:p>
    <w:p>
      <w:pPr>
        <w:pStyle w:val="Style37"/>
        <w:keepNext/>
        <w:keepLines/>
        <w:widowControl w:val="0"/>
        <w:shd w:val="clear" w:color="auto" w:fill="auto"/>
        <w:bidi w:val="0"/>
        <w:spacing w:before="0" w:after="34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63"/>
      <w:bookmarkEnd w:id="1664"/>
      <w:bookmarkEnd w:id="16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397,154,334.33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397,154,334.33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66"/>
      <w:bookmarkEnd w:id="1667"/>
      <w:bookmarkEnd w:id="166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2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面值</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按面值计</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溢折价摊</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tcBorders>
              <w:top w:val="single" w:sz="4"/>
              <w:left w:val="single" w:sz="4"/>
              <w:bottom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 xml:space="preserve">新国 都（代码 </w:t>
            </w:r>
            <w:r>
              <w:rPr>
                <w:rFonts w:ascii="Times New Roman" w:eastAsia="Times New Roman" w:hAnsi="Times New Roman" w:cs="Times New Roman"/>
                <w:color w:val="000000"/>
                <w:spacing w:val="0"/>
                <w:w w:val="100"/>
                <w:position w:val="0"/>
              </w:rPr>
              <w:t>112379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754,334.3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397,154,3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w:t>
            </w:r>
          </w:p>
        </w:tc>
      </w:tr>
    </w:tbl>
    <w:p>
      <w:pPr>
        <w:widowControl w:val="0"/>
        <w:spacing w:after="339" w:line="1" w:lineRule="exact"/>
      </w:pPr>
    </w:p>
    <w:p>
      <w:pPr>
        <w:pStyle w:val="Style37"/>
        <w:keepNext/>
        <w:keepLines/>
        <w:widowControl w:val="0"/>
        <w:shd w:val="clear" w:color="auto" w:fill="auto"/>
        <w:tabs>
          <w:tab w:pos="488" w:val="left"/>
        </w:tabs>
        <w:bidi w:val="0"/>
        <w:spacing w:before="0" w:after="34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69"/>
      <w:bookmarkEnd w:id="1670"/>
      <w:bookmarkEnd w:id="1672"/>
    </w:p>
    <w:p>
      <w:pPr>
        <w:pStyle w:val="Style37"/>
        <w:keepNext/>
        <w:keepLines/>
        <w:widowControl w:val="0"/>
        <w:shd w:val="clear" w:color="auto" w:fill="auto"/>
        <w:tabs>
          <w:tab w:pos="488" w:val="left"/>
        </w:tabs>
        <w:bidi w:val="0"/>
        <w:spacing w:before="0" w:after="34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73"/>
      <w:bookmarkEnd w:id="1674"/>
      <w:bookmarkEnd w:id="167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6"/>
        <w:gridCol w:w="1056"/>
        <w:gridCol w:w="1066"/>
        <w:gridCol w:w="1070"/>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677"/>
      <w:bookmarkEnd w:id="1678"/>
      <w:bookmarkEnd w:id="1680"/>
    </w:p>
    <w:p>
      <w:pPr>
        <w:pStyle w:val="Style37"/>
        <w:keepNext/>
        <w:keepLines/>
        <w:widowControl w:val="0"/>
        <w:shd w:val="clear" w:color="auto" w:fill="auto"/>
        <w:bidi w:val="0"/>
        <w:spacing w:before="0" w:after="34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1"/>
      <w:bookmarkEnd w:id="1682"/>
      <w:bookmarkEnd w:id="1683"/>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684"/>
      <w:bookmarkEnd w:id="1685"/>
      <w:bookmarkEnd w:id="1687"/>
    </w:p>
    <w:p>
      <w:pPr>
        <w:pStyle w:val="Style37"/>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88"/>
      <w:bookmarkEnd w:id="1689"/>
      <w:bookmarkEnd w:id="169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91"/>
      <w:bookmarkEnd w:id="1692"/>
      <w:bookmarkEnd w:id="169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694"/>
      <w:bookmarkEnd w:id="1695"/>
      <w:bookmarkEnd w:id="169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98"/>
      <w:bookmarkEnd w:id="1699"/>
      <w:bookmarkEnd w:id="170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5</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2"/>
      <w:bookmarkEnd w:id="1703"/>
      <w:bookmarkEnd w:id="17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13,155,833.33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21,249,946.91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13,941,042.94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20,464,737.30</w:t>
            </w: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安居房长期租赁费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1,633,096.10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317,546.25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1,315,549.85</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人才安居房长期租</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13,155,833.33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22,883,043.01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14,258,589.19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21,780,287.15</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国密算法安全</w:t>
            </w:r>
          </w:p>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机具研产一 体化项目专项补 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1,160,192.11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4,502,307.89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PCP4.0</w:t>
            </w:r>
            <w:r>
              <w:rPr>
                <w:color w:val="000000"/>
                <w:spacing w:val="0"/>
                <w:w w:val="100"/>
                <w:position w:val="0"/>
              </w:rPr>
              <w:t>电子支付 信息安全关键技 术专项补贴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基于移动互联网 的</w:t>
            </w:r>
            <w:r>
              <w:rPr>
                <w:rFonts w:ascii="Times New Roman" w:eastAsia="Times New Roman" w:hAnsi="Times New Roman" w:cs="Times New Roman"/>
                <w:color w:val="000000"/>
                <w:spacing w:val="0"/>
                <w:w w:val="100"/>
                <w:position w:val="0"/>
              </w:rPr>
              <w:t>G</w:t>
            </w:r>
            <w:r>
              <w:rPr>
                <w:color w:val="000000"/>
                <w:spacing w:val="0"/>
                <w:w w:val="100"/>
                <w:position w:val="0"/>
              </w:rPr>
              <w:t>系列支付终 端产业化项目专 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432,737.26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1,727,262.74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PCP4.0</w:t>
            </w:r>
            <w:r>
              <w:rPr>
                <w:color w:val="000000"/>
                <w:spacing w:val="0"/>
                <w:w w:val="100"/>
                <w:position w:val="0"/>
              </w:rPr>
              <w:t>电子支付 信息安全关键技 术专项补贴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云计算应用的</w:t>
            </w:r>
          </w:p>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S-POS</w:t>
            </w:r>
            <w:r>
              <w:rPr>
                <w:color w:val="000000"/>
                <w:spacing w:val="0"/>
                <w:w w:val="100"/>
                <w:position w:val="0"/>
              </w:rPr>
              <w:t>平台软件 研发及产业化项 目专项补贴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指纹与人脸识别 安全支付技术专 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国际科技合作项 目专项补贴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国际科技合作项 目专项补贴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爱用</w:t>
            </w:r>
            <w:r>
              <w:rPr>
                <w:rFonts w:ascii="Times New Roman" w:eastAsia="Times New Roman" w:hAnsi="Times New Roman" w:cs="Times New Roman"/>
                <w:color w:val="000000"/>
                <w:spacing w:val="0"/>
                <w:w w:val="100"/>
                <w:position w:val="0"/>
              </w:rPr>
              <w:t>'</w:t>
            </w:r>
            <w:r>
              <w:rPr>
                <w:color w:val="000000"/>
                <w:spacing w:val="0"/>
                <w:w w:val="100"/>
                <w:position w:val="0"/>
              </w:rPr>
              <w:t>网银宝</w:t>
            </w:r>
            <w:r>
              <w:rPr>
                <w:rFonts w:ascii="Times New Roman" w:eastAsia="Times New Roman" w:hAnsi="Times New Roman" w:cs="Times New Roman"/>
                <w:color w:val="000000"/>
                <w:spacing w:val="0"/>
                <w:w w:val="100"/>
                <w:position w:val="0"/>
              </w:rPr>
              <w:t>'</w:t>
            </w:r>
            <w:r>
              <w:rPr>
                <w:color w:val="000000"/>
                <w:spacing w:val="0"/>
                <w:w w:val="100"/>
                <w:position w:val="0"/>
              </w:rPr>
              <w:t>互 联网支付系统专 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贴息补贴款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2,059,833.33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5,210,166.67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研发项目加计扣 除奖励款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总部金融服务奖</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励资金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1,430,400.00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对外投资财政补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品牌培育补贴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科技小巨人奖励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499,442.77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杭州市标准创新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高新技术产业专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转型升级技术进 步项目奖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79,482.14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杭州市大学生招</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13,155,833.33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21,249,946.91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13,941,042.94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20,464,737.30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06"/>
      <w:bookmarkEnd w:id="1707"/>
      <w:bookmarkEnd w:id="17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10"/>
      <w:bookmarkEnd w:id="1711"/>
      <w:bookmarkEnd w:id="17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231,021,360.00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4,412,720.00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4,412,720.00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235,434,080.00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714" w:val="left"/>
        </w:tabs>
        <w:bidi w:val="0"/>
        <w:spacing w:before="0" w:after="80" w:line="240" w:lineRule="auto"/>
        <w:ind w:left="0" w:right="0" w:firstLine="380"/>
        <w:jc w:val="left"/>
      </w:pPr>
      <w:bookmarkStart w:id="1714" w:name="bookmark1714"/>
      <w:r>
        <w:rPr>
          <w:color w:val="000000"/>
          <w:spacing w:val="0"/>
          <w:w w:val="100"/>
          <w:position w:val="0"/>
        </w:rPr>
        <w:t>1</w:t>
      </w:r>
      <w:bookmarkEnd w:id="1714"/>
      <w:r>
        <w:rPr>
          <w:color w:val="000000"/>
          <w:spacing w:val="0"/>
          <w:w w:val="100"/>
          <w:position w:val="0"/>
        </w:rPr>
        <w:t>、</w:t>
        <w:tab/>
        <w:t>股本本期增加系由于股权激励行权所致；</w:t>
      </w:r>
    </w:p>
    <w:p>
      <w:pPr>
        <w:pStyle w:val="Style28"/>
        <w:keepNext w:val="0"/>
        <w:keepLines w:val="0"/>
        <w:widowControl w:val="0"/>
        <w:shd w:val="clear" w:color="auto" w:fill="auto"/>
        <w:tabs>
          <w:tab w:pos="344" w:val="left"/>
        </w:tabs>
        <w:bidi w:val="0"/>
        <w:spacing w:before="0" w:after="240" w:line="240" w:lineRule="auto"/>
        <w:ind w:left="0" w:right="0" w:firstLine="380"/>
        <w:jc w:val="left"/>
      </w:pPr>
      <w:bookmarkStart w:id="1715" w:name="bookmark1715"/>
      <w:r>
        <w:rPr>
          <w:color w:val="000000"/>
          <w:spacing w:val="0"/>
          <w:w w:val="100"/>
          <w:position w:val="0"/>
        </w:rPr>
        <w:t>2</w:t>
      </w:r>
      <w:bookmarkEnd w:id="1715"/>
      <w:r>
        <w:rPr>
          <w:color w:val="000000"/>
          <w:spacing w:val="0"/>
          <w:w w:val="100"/>
          <w:position w:val="0"/>
        </w:rPr>
        <w:t>、</w:t>
        <w:tab/>
        <w:t xml:space="preserve">截止2016年12月31日中国证券登记结算有限责任公司登记的股本总额为235,481,280股，其中已在中国证券登记结算 </w:t>
      </w:r>
      <w:r>
        <w:rPr>
          <w:color w:val="000000"/>
          <w:spacing w:val="0"/>
          <w:w w:val="100"/>
          <w:position w:val="0"/>
        </w:rPr>
        <w:t>有限责任公司登记但公司未收到款项股本47, 200股。</w:t>
      </w:r>
      <w:r>
        <w:br w:type="page"/>
      </w:r>
    </w:p>
    <w:p>
      <w:pPr>
        <w:pStyle w:val="Style33"/>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16"/>
      <w:bookmarkEnd w:id="1717"/>
      <w:bookmarkEnd w:id="1719"/>
    </w:p>
    <w:p>
      <w:pPr>
        <w:pStyle w:val="Style37"/>
        <w:keepNext/>
        <w:keepLines/>
        <w:widowControl w:val="0"/>
        <w:shd w:val="clear" w:color="auto" w:fill="auto"/>
        <w:tabs>
          <w:tab w:pos="488"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0"/>
      <w:bookmarkEnd w:id="1721"/>
      <w:bookmarkEnd w:id="1723"/>
    </w:p>
    <w:p>
      <w:pPr>
        <w:pStyle w:val="Style37"/>
        <w:keepNext/>
        <w:keepLines/>
        <w:widowControl w:val="0"/>
        <w:shd w:val="clear" w:color="auto" w:fill="auto"/>
        <w:tabs>
          <w:tab w:pos="488"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4"/>
      <w:bookmarkEnd w:id="1725"/>
      <w:bookmarkEnd w:id="17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28"/>
      <w:bookmarkEnd w:id="1729"/>
      <w:bookmarkEnd w:id="17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559,812,949.25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62,342,901.07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622,155,850.32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46,893,600.01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32,132,488.47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33,505,775.87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45,520,312.61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606,706,549.26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94,475,389.54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33,505,775.87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667,676,162.93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其他资本公积本期增加系由于股份支付所形成，详见附注十一。</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其他资本公积本期减少系由于股权激励行权所致。</w:t>
      </w:r>
    </w:p>
    <w:p>
      <w:pPr>
        <w:pStyle w:val="Style33"/>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2"/>
      <w:bookmarkEnd w:id="1733"/>
      <w:bookmarkEnd w:id="17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6"/>
      <w:bookmarkEnd w:id="1737"/>
      <w:bookmarkEnd w:id="173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5"/>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一、以后不能重分类进损益的其他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其中：重新计算设定受益计划净负 债和净资产的变动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813"/>
        <w:gridCol w:w="1075"/>
        <w:gridCol w:w="936"/>
        <w:gridCol w:w="1152"/>
        <w:gridCol w:w="931"/>
        <w:gridCol w:w="936"/>
        <w:gridCol w:w="936"/>
        <w:gridCol w:w="806"/>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权益法下在被投资单位不能 重分类进损益的其他综合收益中享 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-87,737.42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282,596.85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282,596.8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560"/>
              <w:jc w:val="both"/>
            </w:pPr>
            <w:r>
              <w:rPr>
                <w:color w:val="000000"/>
                <w:spacing w:val="0"/>
                <w:w w:val="100"/>
                <w:position w:val="0"/>
              </w:rPr>
              <w:t>可供出售金融资产公允价值 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持有至到期投资重分类为可 供出售金融资产损益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现金流量套期损益的有效部 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-87,737.42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-402,347.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-87,737.42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0"/>
      <w:bookmarkEnd w:id="1741"/>
      <w:bookmarkEnd w:id="17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4"/>
      <w:bookmarkEnd w:id="1745"/>
      <w:bookmarkEnd w:id="17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24,685,764.62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964,567.66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25,650,332.28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24,685,764.62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964,567.66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25,650,332.28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3"/>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48"/>
      <w:bookmarkEnd w:id="1749"/>
      <w:bookmarkEnd w:id="17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400,028,473.46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327,492,908.55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400,028,473.46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327,492,908.55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139,021,692.71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85,495,853.97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964,567.66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7,245,289.06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11,551,068.00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526,534,530.51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400,028,473.46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752" w:name="bookmark1752"/>
      <w:r>
        <w:rPr>
          <w:rFonts w:ascii="Times New Roman" w:eastAsia="Times New Roman" w:hAnsi="Times New Roman" w:cs="Times New Roman"/>
          <w:color w:val="000000"/>
          <w:spacing w:val="0"/>
          <w:w w:val="100"/>
          <w:position w:val="0"/>
        </w:rPr>
        <w:t>1</w:t>
      </w:r>
      <w:bookmarkEnd w:id="175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753" w:name="bookmark1753"/>
      <w:r>
        <w:rPr>
          <w:rFonts w:ascii="Times New Roman" w:eastAsia="Times New Roman" w:hAnsi="Times New Roman" w:cs="Times New Roman"/>
          <w:color w:val="000000"/>
          <w:spacing w:val="0"/>
          <w:w w:val="100"/>
          <w:position w:val="0"/>
        </w:rPr>
        <w:t>2</w:t>
      </w:r>
      <w:bookmarkEnd w:id="175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754" w:name="bookmark1754"/>
      <w:r>
        <w:rPr>
          <w:rFonts w:ascii="Times New Roman" w:eastAsia="Times New Roman" w:hAnsi="Times New Roman" w:cs="Times New Roman"/>
          <w:color w:val="000000"/>
          <w:spacing w:val="0"/>
          <w:w w:val="100"/>
          <w:position w:val="0"/>
        </w:rPr>
        <w:t>3</w:t>
      </w:r>
      <w:bookmarkEnd w:id="175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755" w:name="bookmark1755"/>
      <w:r>
        <w:rPr>
          <w:rFonts w:ascii="Times New Roman" w:eastAsia="Times New Roman" w:hAnsi="Times New Roman" w:cs="Times New Roman"/>
          <w:color w:val="000000"/>
          <w:spacing w:val="0"/>
          <w:w w:val="100"/>
          <w:position w:val="0"/>
        </w:rPr>
        <w:t>4</w:t>
      </w:r>
      <w:bookmarkEnd w:id="175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60" w:line="240" w:lineRule="auto"/>
        <w:ind w:left="0" w:right="0" w:firstLine="0"/>
        <w:jc w:val="left"/>
      </w:pPr>
      <w:bookmarkStart w:id="1756" w:name="bookmark1756"/>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57"/>
      <w:bookmarkEnd w:id="1758"/>
      <w:bookmarkEnd w:id="176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1,124,991,567.59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635,623,836.14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977,566,389.51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608,664,489.99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1,554,339.78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1,048,016.39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1,126,545,907.37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636,671,852.53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977,566,389.51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608,664,489.99</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1"/>
      <w:bookmarkEnd w:id="1762"/>
      <w:bookmarkEnd w:id="176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5,564,271.59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5,089,330.08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4,330,546.79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3,692,202.82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1,392,561.82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178,831.45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1,324,908.24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12,791,119.89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8,781,532.90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65"/>
      <w:bookmarkEnd w:id="1766"/>
      <w:bookmarkEnd w:id="17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37,508,676.24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32,611,062.15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5,166,885.00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6,011,007.97</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7,919,844.21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7,164,886.00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14,098,634.89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10,572,379.21</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21,579,353.34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16,894,432.62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27,747,981.23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24,044,819.76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7,525,134.73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7,549,445.10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2,068,020.94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2,131,920.08</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1,595,565.27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1,195,967.64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125,210,095.85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108,175,920.53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9"/>
      <w:bookmarkEnd w:id="1770"/>
      <w:bookmarkEnd w:id="17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148,932,441.36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131,493,087.64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66,139,757.59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44,871,957.13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7,281,918.40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8,070,383.00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1,918,583.27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1,695,643.21</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4,947,097.53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1,453,299.81</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11,381,135.54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9,147,587.79</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2,814,832.76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1,821,184.07</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23,279,176.84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13,158,509.88</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266,694,943.29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211,711,652.53</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773"/>
      <w:bookmarkEnd w:id="1774"/>
      <w:bookmarkEnd w:id="17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38,398,505.22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8,109,006.23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3,588,854.56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3,586,317.95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37,600.31</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542,998.25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357,628.69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35,396,458.11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4,917,917.28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本期财务费用比上期增加</w:t>
      </w:r>
      <w:r>
        <w:rPr>
          <w:rFonts w:ascii="Times New Roman" w:eastAsia="Times New Roman" w:hAnsi="Times New Roman" w:cs="Times New Roman"/>
          <w:color w:val="000000"/>
          <w:spacing w:val="0"/>
          <w:w w:val="100"/>
          <w:position w:val="0"/>
        </w:rPr>
        <w:t>30,478,540.83</w:t>
      </w:r>
      <w:r>
        <w:rPr>
          <w:color w:val="000000"/>
          <w:spacing w:val="0"/>
          <w:w w:val="100"/>
          <w:position w:val="0"/>
        </w:rPr>
        <w:t>元，增长幅度</w:t>
      </w:r>
      <w:r>
        <w:rPr>
          <w:rFonts w:ascii="Times New Roman" w:eastAsia="Times New Roman" w:hAnsi="Times New Roman" w:cs="Times New Roman"/>
          <w:color w:val="000000"/>
          <w:spacing w:val="0"/>
          <w:w w:val="100"/>
          <w:position w:val="0"/>
        </w:rPr>
        <w:t>619.74%</w:t>
      </w:r>
      <w:r>
        <w:rPr>
          <w:color w:val="000000"/>
          <w:spacing w:val="0"/>
          <w:w w:val="100"/>
          <w:position w:val="0"/>
        </w:rPr>
        <w:t>，主要系由于公司</w:t>
      </w:r>
      <w:r>
        <w:rPr>
          <w:rFonts w:ascii="Times New Roman" w:eastAsia="Times New Roman" w:hAnsi="Times New Roman" w:cs="Times New Roman"/>
          <w:color w:val="000000"/>
          <w:spacing w:val="0"/>
          <w:w w:val="100"/>
          <w:position w:val="0"/>
        </w:rPr>
        <w:t>2016</w:t>
      </w:r>
      <w:r>
        <w:rPr>
          <w:color w:val="000000"/>
          <w:spacing w:val="0"/>
          <w:w w:val="100"/>
          <w:position w:val="0"/>
        </w:rPr>
        <w:t>年度发行债券、开展保理融资业务 产生的利息支出较多所致。</w:t>
      </w:r>
    </w:p>
    <w:p>
      <w:pPr>
        <w:pStyle w:val="Style33"/>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777"/>
      <w:bookmarkEnd w:id="1778"/>
      <w:bookmarkEnd w:id="178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1,365,521.50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4,524,123.88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1,340,182.32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5,352,224.69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36,904,268.73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9,876,348.57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本期资产减值损失比上期增加</w:t>
      </w:r>
      <w:r>
        <w:rPr>
          <w:color w:val="000000"/>
          <w:spacing w:val="0"/>
          <w:w w:val="100"/>
          <w:position w:val="0"/>
        </w:rPr>
        <w:t>27,027,920.16</w:t>
      </w:r>
      <w:r>
        <w:rPr>
          <w:color w:val="000000"/>
          <w:spacing w:val="0"/>
          <w:w w:val="100"/>
          <w:position w:val="0"/>
        </w:rPr>
        <w:t>元，增加幅度</w:t>
      </w:r>
      <w:r>
        <w:rPr>
          <w:color w:val="000000"/>
          <w:spacing w:val="0"/>
          <w:w w:val="100"/>
          <w:position w:val="0"/>
        </w:rPr>
        <w:t xml:space="preserve">273. </w:t>
      </w:r>
      <w:r>
        <w:rPr>
          <w:color w:val="000000"/>
          <w:spacing w:val="0"/>
          <w:w w:val="100"/>
          <w:position w:val="0"/>
        </w:rPr>
        <w:t>66%，主要系由于参股公司深圳市大拿科技有限公司经营</w:t>
        <w:br w:type="page"/>
      </w:r>
      <w:r>
        <w:rPr>
          <w:color w:val="000000"/>
          <w:spacing w:val="0"/>
          <w:w w:val="100"/>
          <w:position w:val="0"/>
        </w:rPr>
        <w:t>业绩低于预期，本公司对长期股权投资计提了减值准备所致。</w:t>
      </w:r>
    </w:p>
    <w:p>
      <w:pPr>
        <w:pStyle w:val="Style33"/>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781"/>
      <w:bookmarkEnd w:id="1782"/>
      <w:bookmarkEnd w:id="17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85"/>
      <w:bookmarkEnd w:id="1786"/>
      <w:bookmarkEnd w:id="17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15,762,405.16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1,186,040.87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29,934,844.20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2,912,824.66</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46,272,338.41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4,098,865.53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本期投资收益比上期增加</w:t>
      </w:r>
      <w:r>
        <w:rPr>
          <w:color w:val="000000"/>
          <w:spacing w:val="0"/>
          <w:w w:val="100"/>
          <w:position w:val="0"/>
        </w:rPr>
        <w:t>42,173,472.88</w:t>
      </w:r>
      <w:r>
        <w:rPr>
          <w:color w:val="000000"/>
          <w:spacing w:val="0"/>
          <w:w w:val="100"/>
          <w:position w:val="0"/>
        </w:rPr>
        <w:t>元，增长幅度1,028.91%,主要系由于：①公司2016年度处置了子公司及联营公 司股权确认了投资收益；②公司2016年度新增联营企业权益法核算确认了投资收益。</w:t>
      </w:r>
      <w:r>
        <w:br w:type="page"/>
      </w:r>
    </w:p>
    <w:p>
      <w:pPr>
        <w:pStyle w:val="Style33"/>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789"/>
      <w:bookmarkEnd w:id="1790"/>
      <w:bookmarkEnd w:id="17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13,941,042.94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7,293,367.20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13,941,042.94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61,982,123.86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50,546,421.35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1,036,406.29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481,095.94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1,036,406.29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76,959,573.09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58,348,072.41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14,977,449.23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国密算法安 全</w:t>
            </w:r>
            <w:r>
              <w:rPr>
                <w:rFonts w:ascii="Times New Roman" w:eastAsia="Times New Roman" w:hAnsi="Times New Roman" w:cs="Times New Roman"/>
                <w:color w:val="000000"/>
                <w:spacing w:val="0"/>
                <w:w w:val="100"/>
                <w:position w:val="0"/>
              </w:rPr>
              <w:t>POS</w:t>
            </w:r>
            <w:r>
              <w:rPr>
                <w:color w:val="000000"/>
                <w:spacing w:val="0"/>
                <w:w w:val="100"/>
                <w:position w:val="0"/>
              </w:rPr>
              <w:t>机具 研产一体化 项目专项补 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PCP4.0</w:t>
            </w:r>
            <w:r>
              <w:rPr>
                <w:color w:val="000000"/>
                <w:spacing w:val="0"/>
                <w:w w:val="100"/>
                <w:position w:val="0"/>
              </w:rPr>
              <w:t>电子 支付信息安 全关键技术 专项补贴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PCP4.0</w:t>
            </w:r>
            <w:r>
              <w:rPr>
                <w:color w:val="000000"/>
                <w:spacing w:val="0"/>
                <w:w w:val="100"/>
                <w:position w:val="0"/>
              </w:rPr>
              <w:t>电子 支付信息安 全关键技术 专项补贴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 联网的</w:t>
            </w:r>
            <w:r>
              <w:rPr>
                <w:rFonts w:ascii="Times New Roman" w:eastAsia="Times New Roman" w:hAnsi="Times New Roman" w:cs="Times New Roman"/>
                <w:color w:val="000000"/>
                <w:spacing w:val="0"/>
                <w:w w:val="100"/>
                <w:position w:val="0"/>
              </w:rPr>
              <w:t>G</w:t>
            </w:r>
            <w:r>
              <w:rPr>
                <w:color w:val="000000"/>
                <w:spacing w:val="0"/>
                <w:w w:val="100"/>
                <w:position w:val="0"/>
              </w:rPr>
              <w:t>系 列支付终端 产业化项目 专项补贴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云计算应用 的</w:t>
            </w:r>
            <w:r>
              <w:rPr>
                <w:rFonts w:ascii="Times New Roman" w:eastAsia="Times New Roman" w:hAnsi="Times New Roman" w:cs="Times New Roman"/>
                <w:color w:val="000000"/>
                <w:spacing w:val="0"/>
                <w:w w:val="100"/>
                <w:position w:val="0"/>
              </w:rPr>
              <w:t>S-POS</w:t>
            </w:r>
            <w:r>
              <w:rPr>
                <w:color w:val="000000"/>
                <w:spacing w:val="0"/>
                <w:w w:val="100"/>
                <w:position w:val="0"/>
              </w:rPr>
              <w:t>平</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台软件研发 及产业化项 目专项补贴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指纹与人脸 识别安全支 付技术专项 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国际科技合 作项目专项 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国际科技合 作项目专项 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爱用</w:t>
            </w:r>
            <w:r>
              <w:rPr>
                <w:rFonts w:ascii="Times New Roman" w:eastAsia="Times New Roman" w:hAnsi="Times New Roman" w:cs="Times New Roman"/>
                <w:color w:val="000000"/>
                <w:spacing w:val="0"/>
                <w:w w:val="100"/>
                <w:position w:val="0"/>
              </w:rPr>
              <w:t>'</w:t>
            </w:r>
            <w:r>
              <w:rPr>
                <w:color w:val="000000"/>
                <w:spacing w:val="0"/>
                <w:w w:val="100"/>
                <w:position w:val="0"/>
              </w:rPr>
              <w:t>网银 宝</w:t>
            </w:r>
            <w:r>
              <w:rPr>
                <w:rFonts w:ascii="Times New Roman" w:eastAsia="Times New Roman" w:hAnsi="Times New Roman" w:cs="Times New Roman"/>
                <w:color w:val="000000"/>
                <w:spacing w:val="0"/>
                <w:w w:val="100"/>
                <w:position w:val="0"/>
              </w:rPr>
              <w:t>'</w:t>
            </w:r>
            <w:r>
              <w:rPr>
                <w:color w:val="000000"/>
                <w:spacing w:val="0"/>
                <w:w w:val="100"/>
                <w:position w:val="0"/>
              </w:rPr>
              <w:t>互联网支 付系统专项 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贴息补贴款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研发项目加 计扣除奖励 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总部金融服 务奖励资金</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对外投资财 政补贴</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874,900.00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4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品牌培育补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科技小巨人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奖励款</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499,442.77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专利技术补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杭州市标准 创新奖励</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高新技术产 业专项奖励</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转型升级技 术进步项目 奖</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79,482.14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杭州市大学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生招生补贴</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22,522.00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21,249,946.9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)本公司收到</w:t>
      </w:r>
      <w:r>
        <w:rPr>
          <w:rFonts w:ascii="Times New Roman" w:eastAsia="Times New Roman" w:hAnsi="Times New Roman" w:cs="Times New Roman"/>
          <w:color w:val="000000"/>
          <w:spacing w:val="0"/>
          <w:w w:val="100"/>
          <w:position w:val="0"/>
        </w:rPr>
        <w:t>“</w:t>
      </w:r>
      <w:r>
        <w:rPr>
          <w:color w:val="000000"/>
          <w:spacing w:val="0"/>
          <w:w w:val="100"/>
          <w:position w:val="0"/>
        </w:rPr>
        <w:t>国密算法安全</w:t>
      </w:r>
      <w:r>
        <w:rPr>
          <w:rFonts w:ascii="Times New Roman" w:eastAsia="Times New Roman" w:hAnsi="Times New Roman" w:cs="Times New Roman"/>
          <w:color w:val="000000"/>
          <w:spacing w:val="0"/>
          <w:w w:val="100"/>
          <w:position w:val="0"/>
        </w:rPr>
        <w:t>POS</w:t>
      </w:r>
      <w:r>
        <w:rPr>
          <w:color w:val="000000"/>
          <w:spacing w:val="0"/>
          <w:w w:val="100"/>
          <w:position w:val="0"/>
        </w:rPr>
        <w:t>机具研产一体化项目</w:t>
      </w:r>
      <w:r>
        <w:rPr>
          <w:rFonts w:ascii="Times New Roman" w:eastAsia="Times New Roman" w:hAnsi="Times New Roman" w:cs="Times New Roman"/>
          <w:color w:val="000000"/>
          <w:spacing w:val="0"/>
          <w:w w:val="100"/>
          <w:position w:val="0"/>
        </w:rPr>
        <w:t>”</w:t>
      </w:r>
      <w:r>
        <w:rPr>
          <w:color w:val="000000"/>
          <w:spacing w:val="0"/>
          <w:w w:val="100"/>
          <w:position w:val="0"/>
        </w:rPr>
        <w:t>专项资助款</w:t>
      </w:r>
      <w:r>
        <w:rPr>
          <w:rFonts w:ascii="Times New Roman" w:eastAsia="Times New Roman" w:hAnsi="Times New Roman" w:cs="Times New Roman"/>
          <w:color w:val="000000"/>
          <w:spacing w:val="0"/>
          <w:w w:val="100"/>
          <w:position w:val="0"/>
        </w:rPr>
        <w:t>675.00</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日该项目剩余摊销金额</w:t>
      </w:r>
    </w:p>
    <w:p>
      <w:pPr>
        <w:pStyle w:val="Style4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4,502,307.89</w:t>
      </w:r>
      <w:r>
        <w:rPr>
          <w:rFonts w:ascii="SimSun" w:eastAsia="SimSun" w:hAnsi="SimSun" w:cs="SimSun"/>
          <w:color w:val="000000"/>
          <w:spacing w:val="0"/>
          <w:w w:val="100"/>
          <w:position w:val="0"/>
        </w:rPr>
        <w:t>元。</w:t>
      </w:r>
    </w:p>
    <w:p>
      <w:pPr>
        <w:pStyle w:val="Style28"/>
        <w:keepNext w:val="0"/>
        <w:keepLines w:val="0"/>
        <w:widowControl w:val="0"/>
        <w:shd w:val="clear" w:color="auto" w:fill="auto"/>
        <w:tabs>
          <w:tab w:pos="536" w:val="left"/>
        </w:tabs>
        <w:bidi w:val="0"/>
        <w:spacing w:before="0" w:after="0" w:line="312" w:lineRule="exact"/>
        <w:ind w:left="0" w:right="0" w:firstLine="0"/>
        <w:jc w:val="left"/>
      </w:pPr>
      <w:bookmarkStart w:id="1793" w:name="bookmark1793"/>
      <w:r>
        <w:rPr>
          <w:color w:val="000000"/>
          <w:spacing w:val="0"/>
          <w:w w:val="100"/>
          <w:position w:val="0"/>
        </w:rPr>
        <w:t>（</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w:t>
        <w:tab/>
        <w:t>本公司收到</w:t>
      </w:r>
      <w:r>
        <w:rPr>
          <w:rFonts w:ascii="Times New Roman" w:eastAsia="Times New Roman" w:hAnsi="Times New Roman" w:cs="Times New Roman"/>
          <w:color w:val="000000"/>
          <w:spacing w:val="0"/>
          <w:w w:val="100"/>
          <w:position w:val="0"/>
        </w:rPr>
        <w:t>PCP4.0</w:t>
      </w:r>
      <w:r>
        <w:rPr>
          <w:color w:val="000000"/>
          <w:spacing w:val="0"/>
          <w:w w:val="100"/>
          <w:position w:val="0"/>
        </w:rPr>
        <w:t>电子支付信息安全关键技术补贴款</w:t>
      </w:r>
      <w:r>
        <w:rPr>
          <w:rFonts w:ascii="Times New Roman" w:eastAsia="Times New Roman" w:hAnsi="Times New Roman" w:cs="Times New Roman"/>
          <w:color w:val="000000"/>
          <w:spacing w:val="0"/>
          <w:w w:val="100"/>
          <w:position w:val="0"/>
        </w:rPr>
        <w:t>400.00</w:t>
      </w:r>
      <w:r>
        <w:rPr>
          <w:color w:val="000000"/>
          <w:spacing w:val="0"/>
          <w:w w:val="100"/>
          <w:position w:val="0"/>
        </w:rPr>
        <w:t>万元，其中购买设备</w:t>
      </w:r>
      <w:r>
        <w:rPr>
          <w:rFonts w:ascii="Times New Roman" w:eastAsia="Times New Roman" w:hAnsi="Times New Roman" w:cs="Times New Roman"/>
          <w:color w:val="000000"/>
          <w:spacing w:val="0"/>
          <w:w w:val="100"/>
          <w:position w:val="0"/>
        </w:rPr>
        <w:t>300</w:t>
      </w:r>
      <w:r>
        <w:rPr>
          <w:color w:val="000000"/>
          <w:spacing w:val="0"/>
          <w:w w:val="100"/>
          <w:position w:val="0"/>
        </w:rPr>
        <w:t>万元，支付研发费用</w:t>
      </w:r>
      <w:r>
        <w:rPr>
          <w:rFonts w:ascii="Times New Roman" w:eastAsia="Times New Roman" w:hAnsi="Times New Roman" w:cs="Times New Roman"/>
          <w:color w:val="000000"/>
          <w:spacing w:val="0"/>
          <w:w w:val="100"/>
          <w:position w:val="0"/>
        </w:rPr>
        <w:t>100</w:t>
      </w:r>
      <w:r>
        <w:rPr>
          <w:color w:val="000000"/>
          <w:spacing w:val="0"/>
          <w:w w:val="100"/>
          <w:position w:val="0"/>
        </w:rPr>
        <w:t>万元，截 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日该项目剩余摊销金额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,700,000.00</w:t>
      </w:r>
      <w:r>
        <w:rPr>
          <w:color w:val="000000"/>
          <w:spacing w:val="0"/>
          <w:w w:val="100"/>
          <w:position w:val="0"/>
        </w:rPr>
        <w:t>元。</w:t>
      </w:r>
    </w:p>
    <w:p>
      <w:pPr>
        <w:pStyle w:val="Style28"/>
        <w:keepNext w:val="0"/>
        <w:keepLines w:val="0"/>
        <w:widowControl w:val="0"/>
        <w:shd w:val="clear" w:color="auto" w:fill="auto"/>
        <w:tabs>
          <w:tab w:pos="531" w:val="left"/>
        </w:tabs>
        <w:bidi w:val="0"/>
        <w:spacing w:before="0" w:after="0" w:line="312" w:lineRule="exact"/>
        <w:ind w:left="0" w:right="0" w:firstLine="0"/>
        <w:jc w:val="left"/>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w:t>
        <w:tab/>
        <w:t>本公司收到基于移动互联网的</w:t>
      </w:r>
      <w:r>
        <w:rPr>
          <w:rFonts w:ascii="Times New Roman" w:eastAsia="Times New Roman" w:hAnsi="Times New Roman" w:cs="Times New Roman"/>
          <w:color w:val="000000"/>
          <w:spacing w:val="0"/>
          <w:w w:val="100"/>
          <w:position w:val="0"/>
        </w:rPr>
        <w:t>G</w:t>
      </w:r>
      <w:r>
        <w:rPr>
          <w:color w:val="000000"/>
          <w:spacing w:val="0"/>
          <w:w w:val="100"/>
          <w:position w:val="0"/>
        </w:rPr>
        <w:t>系列支付终端产业化补贴款</w:t>
      </w:r>
      <w:r>
        <w:rPr>
          <w:rFonts w:ascii="Times New Roman" w:eastAsia="Times New Roman" w:hAnsi="Times New Roman" w:cs="Times New Roman"/>
          <w:color w:val="000000"/>
          <w:spacing w:val="0"/>
          <w:w w:val="100"/>
          <w:position w:val="0"/>
        </w:rPr>
        <w:t>270.00</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日该项目剩余摊销金额 </w:t>
      </w:r>
      <w:r>
        <w:rPr>
          <w:rFonts w:ascii="Times New Roman" w:eastAsia="Times New Roman" w:hAnsi="Times New Roman" w:cs="Times New Roman"/>
          <w:color w:val="000000"/>
          <w:spacing w:val="0"/>
          <w:w w:val="100"/>
          <w:position w:val="0"/>
        </w:rPr>
        <w:t>1,727,262.74</w:t>
      </w:r>
      <w:r>
        <w:rPr>
          <w:color w:val="000000"/>
          <w:spacing w:val="0"/>
          <w:w w:val="100"/>
          <w:position w:val="0"/>
        </w:rPr>
        <w:t>元。</w:t>
      </w:r>
    </w:p>
    <w:p>
      <w:pPr>
        <w:pStyle w:val="Style28"/>
        <w:keepNext w:val="0"/>
        <w:keepLines w:val="0"/>
        <w:widowControl w:val="0"/>
        <w:shd w:val="clear" w:color="auto" w:fill="auto"/>
        <w:tabs>
          <w:tab w:pos="541" w:val="left"/>
        </w:tabs>
        <w:bidi w:val="0"/>
        <w:spacing w:before="0" w:after="0" w:line="312" w:lineRule="exact"/>
        <w:ind w:left="0" w:right="0" w:firstLine="0"/>
        <w:jc w:val="left"/>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rPr>
        <w:t>4</w:t>
      </w:r>
      <w:r>
        <w:rPr>
          <w:color w:val="000000"/>
          <w:spacing w:val="0"/>
          <w:w w:val="100"/>
          <w:position w:val="0"/>
        </w:rPr>
        <w:t>）</w:t>
        <w:tab/>
        <w:t>本公司之子公司易联技术收到基于云计算应用的</w:t>
      </w:r>
      <w:r>
        <w:rPr>
          <w:rFonts w:ascii="Times New Roman" w:eastAsia="Times New Roman" w:hAnsi="Times New Roman" w:cs="Times New Roman"/>
          <w:color w:val="000000"/>
          <w:spacing w:val="0"/>
          <w:w w:val="100"/>
          <w:position w:val="0"/>
        </w:rPr>
        <w:t>S-POS</w:t>
      </w:r>
      <w:r>
        <w:rPr>
          <w:color w:val="000000"/>
          <w:spacing w:val="0"/>
          <w:w w:val="100"/>
          <w:position w:val="0"/>
        </w:rPr>
        <w:t>平台软件研发及产业化项目资金</w:t>
      </w:r>
      <w:r>
        <w:rPr>
          <w:rFonts w:ascii="Times New Roman" w:eastAsia="Times New Roman" w:hAnsi="Times New Roman" w:cs="Times New Roman"/>
          <w:color w:val="000000"/>
          <w:spacing w:val="0"/>
          <w:w w:val="100"/>
          <w:position w:val="0"/>
        </w:rPr>
        <w:t>1,500,000.00</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日该项目剩余摊销金额</w:t>
      </w:r>
      <w:r>
        <w:rPr>
          <w:rFonts w:ascii="Times New Roman" w:eastAsia="Times New Roman" w:hAnsi="Times New Roman" w:cs="Times New Roman"/>
          <w:color w:val="000000"/>
          <w:spacing w:val="0"/>
          <w:w w:val="100"/>
          <w:position w:val="0"/>
        </w:rPr>
        <w:t>825,000.00</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rPr>
        <w:t>5</w:t>
      </w:r>
      <w:r>
        <w:rPr>
          <w:color w:val="000000"/>
          <w:spacing w:val="0"/>
          <w:w w:val="100"/>
          <w:position w:val="0"/>
        </w:rPr>
        <w:t>）</w:t>
        <w:tab/>
        <w:t>本公司收到指纹与人脸识别安全支付技术专项补贴</w:t>
      </w:r>
      <w:r>
        <w:rPr>
          <w:rFonts w:ascii="Times New Roman" w:eastAsia="Times New Roman" w:hAnsi="Times New Roman" w:cs="Times New Roman"/>
          <w:color w:val="000000"/>
          <w:spacing w:val="0"/>
          <w:w w:val="100"/>
          <w:position w:val="0"/>
        </w:rPr>
        <w:t>500</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日该资金尚未使用。</w:t>
      </w:r>
    </w:p>
    <w:p>
      <w:pPr>
        <w:pStyle w:val="Style28"/>
        <w:keepNext w:val="0"/>
        <w:keepLines w:val="0"/>
        <w:widowControl w:val="0"/>
        <w:shd w:val="clear" w:color="auto" w:fill="auto"/>
        <w:tabs>
          <w:tab w:pos="541" w:val="left"/>
        </w:tabs>
        <w:bidi w:val="0"/>
        <w:spacing w:before="0" w:after="0" w:line="312" w:lineRule="exact"/>
        <w:ind w:left="0" w:right="0" w:firstLine="0"/>
        <w:jc w:val="left"/>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rPr>
        <w:t>6</w:t>
      </w:r>
      <w:r>
        <w:rPr>
          <w:color w:val="000000"/>
          <w:spacing w:val="0"/>
          <w:w w:val="100"/>
          <w:position w:val="0"/>
        </w:rPr>
        <w:t>）</w:t>
        <w:tab/>
        <w:t>本公司之子公司易联技术收到国际科技合作项目专项补贴</w:t>
      </w:r>
      <w:r>
        <w:rPr>
          <w:rFonts w:ascii="Times New Roman" w:eastAsia="Times New Roman" w:hAnsi="Times New Roman" w:cs="Times New Roman"/>
          <w:color w:val="000000"/>
          <w:spacing w:val="0"/>
          <w:w w:val="100"/>
          <w:position w:val="0"/>
        </w:rPr>
        <w:t>50</w:t>
      </w:r>
      <w:r>
        <w:rPr>
          <w:color w:val="000000"/>
          <w:spacing w:val="0"/>
          <w:w w:val="100"/>
          <w:position w:val="0"/>
        </w:rPr>
        <w:t>万元，其中</w:t>
      </w:r>
      <w:r>
        <w:rPr>
          <w:rFonts w:ascii="Times New Roman" w:eastAsia="Times New Roman" w:hAnsi="Times New Roman" w:cs="Times New Roman"/>
          <w:color w:val="000000"/>
          <w:spacing w:val="0"/>
          <w:w w:val="100"/>
          <w:position w:val="0"/>
        </w:rPr>
        <w:t>30</w:t>
      </w:r>
      <w:r>
        <w:rPr>
          <w:color w:val="000000"/>
          <w:spacing w:val="0"/>
          <w:w w:val="100"/>
          <w:position w:val="0"/>
        </w:rPr>
        <w:t>万元用于购买设备，</w:t>
      </w:r>
      <w:r>
        <w:rPr>
          <w:rFonts w:ascii="Times New Roman" w:eastAsia="Times New Roman" w:hAnsi="Times New Roman" w:cs="Times New Roman"/>
          <w:color w:val="000000"/>
          <w:spacing w:val="0"/>
          <w:w w:val="100"/>
          <w:position w:val="0"/>
        </w:rPr>
        <w:t>20</w:t>
      </w:r>
      <w:r>
        <w:rPr>
          <w:color w:val="000000"/>
          <w:spacing w:val="0"/>
          <w:w w:val="100"/>
          <w:position w:val="0"/>
        </w:rPr>
        <w:t>万元用于支付研发费 用，截止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日该资金尚未使用。</w:t>
      </w:r>
    </w:p>
    <w:p>
      <w:pPr>
        <w:pStyle w:val="Style28"/>
        <w:keepNext w:val="0"/>
        <w:keepLines w:val="0"/>
        <w:widowControl w:val="0"/>
        <w:shd w:val="clear" w:color="auto" w:fill="auto"/>
        <w:tabs>
          <w:tab w:pos="546" w:val="left"/>
        </w:tabs>
        <w:bidi w:val="0"/>
        <w:spacing w:before="0" w:after="0" w:line="312" w:lineRule="exact"/>
        <w:ind w:left="0" w:right="0" w:firstLine="0"/>
        <w:jc w:val="left"/>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rPr>
        <w:t>7</w:t>
      </w:r>
      <w:r>
        <w:rPr>
          <w:color w:val="000000"/>
          <w:spacing w:val="0"/>
          <w:w w:val="100"/>
          <w:position w:val="0"/>
        </w:rPr>
        <w:t>）</w:t>
        <w:tab/>
        <w:t>本公司之子公司易联技术收到了</w:t>
      </w:r>
      <w:r>
        <w:rPr>
          <w:rFonts w:ascii="Times New Roman" w:eastAsia="Times New Roman" w:hAnsi="Times New Roman" w:cs="Times New Roman"/>
          <w:color w:val="000000"/>
          <w:spacing w:val="0"/>
          <w:w w:val="100"/>
          <w:position w:val="0"/>
        </w:rPr>
        <w:t>“</w:t>
      </w:r>
      <w:r>
        <w:rPr>
          <w:color w:val="000000"/>
          <w:spacing w:val="0"/>
          <w:w w:val="100"/>
          <w:position w:val="0"/>
        </w:rPr>
        <w:t>爱用</w:t>
      </w:r>
      <w:r>
        <w:rPr>
          <w:rFonts w:ascii="Times New Roman" w:eastAsia="Times New Roman" w:hAnsi="Times New Roman" w:cs="Times New Roman"/>
          <w:color w:val="000000"/>
          <w:spacing w:val="0"/>
          <w:w w:val="100"/>
          <w:position w:val="0"/>
        </w:rPr>
        <w:t>'</w:t>
      </w:r>
      <w:r>
        <w:rPr>
          <w:color w:val="000000"/>
          <w:spacing w:val="0"/>
          <w:w w:val="100"/>
          <w:position w:val="0"/>
        </w:rPr>
        <w:t>网银宝</w:t>
      </w:r>
      <w:r>
        <w:rPr>
          <w:rFonts w:ascii="Times New Roman" w:eastAsia="Times New Roman" w:hAnsi="Times New Roman" w:cs="Times New Roman"/>
          <w:color w:val="000000"/>
          <w:spacing w:val="0"/>
          <w:w w:val="100"/>
          <w:position w:val="0"/>
        </w:rPr>
        <w:t>'</w:t>
      </w:r>
      <w:r>
        <w:rPr>
          <w:color w:val="000000"/>
          <w:spacing w:val="0"/>
          <w:w w:val="100"/>
          <w:position w:val="0"/>
        </w:rPr>
        <w:t>互联网支付系统研发项目</w:t>
      </w:r>
      <w:r>
        <w:rPr>
          <w:rFonts w:ascii="Times New Roman" w:eastAsia="Times New Roman" w:hAnsi="Times New Roman" w:cs="Times New Roman"/>
          <w:color w:val="000000"/>
          <w:spacing w:val="0"/>
          <w:w w:val="100"/>
          <w:position w:val="0"/>
        </w:rPr>
        <w:t>”</w:t>
      </w:r>
      <w:r>
        <w:rPr>
          <w:color w:val="000000"/>
          <w:spacing w:val="0"/>
          <w:w w:val="100"/>
          <w:position w:val="0"/>
        </w:rPr>
        <w:t>项目专项资金</w:t>
      </w:r>
      <w:r>
        <w:rPr>
          <w:rFonts w:ascii="Times New Roman" w:eastAsia="Times New Roman" w:hAnsi="Times New Roman" w:cs="Times New Roman"/>
          <w:color w:val="000000"/>
          <w:spacing w:val="0"/>
          <w:w w:val="100"/>
          <w:position w:val="0"/>
        </w:rPr>
        <w:t>100.00</w:t>
      </w:r>
      <w:r>
        <w:rPr>
          <w:color w:val="000000"/>
          <w:spacing w:val="0"/>
          <w:w w:val="100"/>
          <w:position w:val="0"/>
        </w:rPr>
        <w:t>万元，用于支付研发费用，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日该资金已经使用完毕。</w:t>
      </w:r>
    </w:p>
    <w:p>
      <w:pPr>
        <w:pStyle w:val="Style28"/>
        <w:keepNext w:val="0"/>
        <w:keepLines w:val="0"/>
        <w:widowControl w:val="0"/>
        <w:shd w:val="clear" w:color="auto" w:fill="auto"/>
        <w:tabs>
          <w:tab w:pos="445" w:val="left"/>
        </w:tabs>
        <w:bidi w:val="0"/>
        <w:spacing w:before="0" w:after="360" w:line="312" w:lineRule="exact"/>
        <w:ind w:left="0" w:right="0" w:firstLine="0"/>
        <w:jc w:val="left"/>
      </w:pPr>
      <w:bookmarkStart w:id="1799" w:name="bookmark1799"/>
      <w:r>
        <w:rPr>
          <w:color w:val="000000"/>
          <w:spacing w:val="0"/>
          <w:w w:val="100"/>
          <w:position w:val="0"/>
        </w:rPr>
        <w:t>（</w:t>
      </w:r>
      <w:bookmarkEnd w:id="1799"/>
      <w:r>
        <w:rPr>
          <w:rFonts w:ascii="Times New Roman" w:eastAsia="Times New Roman" w:hAnsi="Times New Roman" w:cs="Times New Roman"/>
          <w:color w:val="000000"/>
          <w:spacing w:val="0"/>
          <w:w w:val="100"/>
          <w:position w:val="0"/>
        </w:rPr>
        <w:t>8</w:t>
      </w:r>
      <w:r>
        <w:rPr>
          <w:color w:val="000000"/>
          <w:spacing w:val="0"/>
          <w:w w:val="100"/>
          <w:position w:val="0"/>
        </w:rPr>
        <w:t>）</w:t>
        <w:tab/>
        <w:t>本公司收到借款贴息补贴款</w:t>
      </w:r>
      <w:r>
        <w:rPr>
          <w:rFonts w:ascii="Times New Roman" w:eastAsia="Times New Roman" w:hAnsi="Times New Roman" w:cs="Times New Roman"/>
          <w:color w:val="000000"/>
          <w:spacing w:val="0"/>
          <w:w w:val="100"/>
          <w:position w:val="0"/>
        </w:rPr>
        <w:t>727</w:t>
      </w:r>
      <w:r>
        <w:rPr>
          <w:color w:val="000000"/>
          <w:spacing w:val="0"/>
          <w:w w:val="100"/>
          <w:position w:val="0"/>
        </w:rPr>
        <w:t>万元，用于</w:t>
      </w:r>
      <w:r>
        <w:rPr>
          <w:rFonts w:ascii="Times New Roman" w:eastAsia="Times New Roman" w:hAnsi="Times New Roman" w:cs="Times New Roman"/>
          <w:color w:val="000000"/>
          <w:spacing w:val="0"/>
          <w:w w:val="100"/>
          <w:position w:val="0"/>
        </w:rPr>
        <w:t>3</w:t>
      </w:r>
      <w:r>
        <w:rPr>
          <w:color w:val="000000"/>
          <w:spacing w:val="0"/>
          <w:w w:val="100"/>
          <w:position w:val="0"/>
        </w:rPr>
        <w:t>年利息的补贴，截止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日该资金剩余摊销金额</w:t>
      </w:r>
      <w:r>
        <w:rPr>
          <w:rFonts w:ascii="Times New Roman" w:eastAsia="Times New Roman" w:hAnsi="Times New Roman" w:cs="Times New Roman"/>
          <w:color w:val="000000"/>
          <w:spacing w:val="0"/>
          <w:w w:val="100"/>
          <w:position w:val="0"/>
        </w:rPr>
        <w:t>5,210,166.67</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7</w:t>
      </w:r>
      <w:bookmarkEnd w:id="180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800"/>
      <w:bookmarkEnd w:id="1801"/>
      <w:bookmarkEnd w:id="18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428,177.09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428,177.09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428,177.09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428,177.09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467,359.52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429,883.42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467,359.52</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295,688.64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31,534.85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927,071.46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731,328.22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927,071.46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7</w:t>
      </w:r>
      <w:bookmarkEnd w:id="180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804"/>
      <w:bookmarkEnd w:id="1805"/>
      <w:bookmarkEnd w:id="1807"/>
    </w:p>
    <w:p>
      <w:pPr>
        <w:pStyle w:val="Style37"/>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8"/>
      <w:bookmarkEnd w:id="1809"/>
      <w:bookmarkEnd w:id="181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11,205,001.54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6,341,782.08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-20,452,345.76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-5,473,535.88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-9,247,344.22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868,246.20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1"/>
      <w:bookmarkEnd w:id="1812"/>
      <w:bookmarkEnd w:id="18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135,060,630.92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20,259,094.64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-28,762,773.57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-2,364,360.77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9,744,118.38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2,372,071.41</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-10,495,494.30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-9,247,344.22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814"/>
      <w:bookmarkEnd w:id="1815"/>
      <w:bookmarkEnd w:id="181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818"/>
      <w:bookmarkEnd w:id="1819"/>
      <w:bookmarkEnd w:id="1821"/>
    </w:p>
    <w:p>
      <w:pPr>
        <w:pStyle w:val="Style37"/>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2"/>
      <w:bookmarkEnd w:id="1823"/>
      <w:bookmarkEnd w:id="182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7,232,412.15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5,880,479.95</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1,854,492.39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2,104,942.96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8,679,946.91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1,379,200.53</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7,590,936.51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17,766,851.45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16,955,559.95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5"/>
      <w:bookmarkEnd w:id="1826"/>
      <w:bookmarkEnd w:id="18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4,710,556.65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16,330,821.65</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101,425,297.53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106,773,681.16</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287,961.48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106,135,854.18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123,392,464.29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numPr>
          <w:ilvl w:val="0"/>
          <w:numId w:val="129"/>
        </w:numPr>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收到的其他与投资活动有关的现金</w:t>
      </w:r>
      <w:bookmarkEnd w:id="1828"/>
      <w:bookmarkEnd w:id="1829"/>
      <w:bookmarkEnd w:id="18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7,750,000.00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384,000,000.00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2,912,824.66</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111,875,089.05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394,662,824.66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numPr>
          <w:ilvl w:val="0"/>
          <w:numId w:val="129"/>
        </w:numPr>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支付的其他与投资活动有关的现金</w:t>
      </w:r>
      <w:bookmarkEnd w:id="1832"/>
      <w:bookmarkEnd w:id="1833"/>
      <w:bookmarkEnd w:id="183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440,000,000.00</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440,000,000.00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numPr>
          <w:ilvl w:val="0"/>
          <w:numId w:val="129"/>
        </w:numPr>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bookmarkEnd w:id="1838"/>
      <w:r>
        <w:rPr>
          <w:color w:val="000000"/>
          <w:spacing w:val="0"/>
          <w:w w:val="100"/>
          <w:position w:val="0"/>
        </w:rPr>
        <w:t>收到的其他与筹资活动有关的现金</w:t>
      </w:r>
      <w:bookmarkEnd w:id="1836"/>
      <w:bookmarkEnd w:id="1837"/>
      <w:bookmarkEnd w:id="183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与原股东的往来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1,694,603.00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33,242,551.73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1,366,668.30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3,271,926.73</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41,879,220.03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4,966,529.73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7"/>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40"/>
      <w:bookmarkEnd w:id="1841"/>
      <w:bookmarkEnd w:id="18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31,478,342.65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27,117,241.78</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债券融资支出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37,478,342.65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27,117,241.78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6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844"/>
      <w:bookmarkEnd w:id="1845"/>
      <w:bookmarkEnd w:id="1847"/>
    </w:p>
    <w:p>
      <w:pPr>
        <w:pStyle w:val="Style37"/>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8"/>
      <w:bookmarkEnd w:id="1849"/>
      <w:bookmarkEnd w:id="18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7"/>
        <w:gridCol w:w="319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144,307,975.14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86,407,269.32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36,904,268.73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9,876,348.57</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15,417,475.53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7,648,654.86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13,162,614.62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6,437,892.94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2,993,640.95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1,738,214.74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428,177.09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-21,431.76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-121,378.09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37,060,275.16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6,627,631.24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-46,272,338.41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-4,098,865.53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-18,543,872.76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-3,854,809.40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-1,908,473.00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-1,618,726.48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39,588,405.49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-35,623,453.94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129,259,449.67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-18,581,791.91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-128,339,546.78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175,668,492.81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32,132,488.47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33,916,800.00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256,311,917.99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264,400,847.37</w:t>
            </w:r>
          </w:p>
        </w:tc>
      </w:tr>
    </w:tbl>
    <w:p>
      <w:pPr>
        <w:widowControl w:val="0"/>
        <w:spacing w:line="1" w:lineRule="exact"/>
      </w:pPr>
      <w:r>
        <w:br w:type="page"/>
      </w:r>
    </w:p>
    <w:tbl>
      <w:tblPr>
        <w:tblOverlap w:val="never"/>
        <w:jc w:val="center"/>
        <w:tblLayout w:type="fixed"/>
      </w:tblPr>
      <w:tblGrid>
        <w:gridCol w:w="3331"/>
        <w:gridCol w:w="3062"/>
        <w:gridCol w:w="3192"/>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538,633,929.22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388,823,193.17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388,823,193.17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496,743,338.75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149,810,736.05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-107,920,145.58</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1"/>
      <w:bookmarkEnd w:id="1852"/>
      <w:bookmarkEnd w:id="18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34,405,951.68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34,405,951.68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25,200,000.00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25,200,000.00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90,794,048.32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4"/>
      <w:bookmarkEnd w:id="1855"/>
      <w:bookmarkEnd w:id="185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53,345,031.84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9,345,166.42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43,999,865.42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numPr>
          <w:ilvl w:val="0"/>
          <w:numId w:val="131"/>
        </w:numPr>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现金和现金等价物的构成</w:t>
      </w:r>
      <w:bookmarkEnd w:id="1858"/>
      <w:bookmarkEnd w:id="1859"/>
      <w:bookmarkEnd w:id="18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538,633,929.22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388,823,193.17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21,673.28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538,624,226.75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388,801,519.89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存放同业款项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拆放同业款项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538,633,929.22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388,823,193.17</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538,633,929.22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388,823,193.17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862"/>
      <w:bookmarkEnd w:id="1863"/>
      <w:bookmarkEnd w:id="18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866"/>
      <w:bookmarkEnd w:id="1867"/>
      <w:bookmarkEnd w:id="186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7"/>
        <w:gridCol w:w="319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37,566,032.80</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366,173,211.52</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18,509,345.16</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422,248,589.48</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4" w:right="1056" w:bottom="1440" w:left="1061"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380" w:after="3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70"/>
      <w:bookmarkEnd w:id="1871"/>
      <w:bookmarkEnd w:id="1873"/>
    </w:p>
    <w:p>
      <w:pPr>
        <w:pStyle w:val="Style37"/>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4"/>
      <w:bookmarkEnd w:id="1875"/>
      <w:bookmarkEnd w:id="18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3,966,836.34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571,846.35</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3,966,836.34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2,917,174.50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420,523.93</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2,917,174.50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808,121.44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116,494.37</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808,121.44</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1,179,084.73</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169,970.41</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1,179,084.73</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1,096,191.33</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158,020.95</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1,096,191.33</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331" w:lineRule="exact"/>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7"/>
      <w:bookmarkEnd w:id="1878"/>
      <w:bookmarkEnd w:id="1879"/>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60" w:line="331" w:lineRule="exact"/>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880"/>
      <w:bookmarkEnd w:id="1881"/>
      <w:bookmarkEnd w:id="1883"/>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74" w:val="left"/>
        </w:tabs>
        <w:bidi w:val="0"/>
        <w:spacing w:before="0" w:after="360" w:line="331" w:lineRule="exact"/>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884"/>
      <w:bookmarkEnd w:id="1885"/>
      <w:bookmarkEnd w:id="1887"/>
    </w:p>
    <w:p>
      <w:pPr>
        <w:pStyle w:val="Style25"/>
        <w:keepNext/>
        <w:keepLines/>
        <w:widowControl w:val="0"/>
        <w:shd w:val="clear" w:color="auto" w:fill="auto"/>
        <w:bidi w:val="0"/>
        <w:spacing w:before="0" w:after="28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sz w:val="24"/>
          <w:szCs w:val="24"/>
        </w:rPr>
        <w:t>八</w:t>
      </w:r>
      <w:bookmarkEnd w:id="1890"/>
      <w:r>
        <w:rPr>
          <w:color w:val="000000"/>
          <w:spacing w:val="0"/>
          <w:w w:val="100"/>
          <w:position w:val="0"/>
          <w:sz w:val="24"/>
          <w:szCs w:val="24"/>
        </w:rPr>
        <w:t>、合并范围的变更</w:t>
      </w:r>
      <w:bookmarkEnd w:id="1888"/>
      <w:bookmarkEnd w:id="1889"/>
      <w:bookmarkEnd w:id="1891"/>
    </w:p>
    <w:p>
      <w:pPr>
        <w:pStyle w:val="Style33"/>
        <w:keepNext/>
        <w:keepLines/>
        <w:widowControl w:val="0"/>
        <w:shd w:val="clear" w:color="auto" w:fill="auto"/>
        <w:bidi w:val="0"/>
        <w:spacing w:before="0" w:after="280" w:line="331" w:lineRule="exact"/>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bookmarkEnd w:id="1894"/>
      <w:r>
        <w:rPr>
          <w:color w:val="000000"/>
          <w:spacing w:val="0"/>
          <w:w w:val="100"/>
          <w:position w:val="0"/>
        </w:rPr>
        <w:t>、非同一控制下企业合并</w:t>
      </w:r>
      <w:bookmarkEnd w:id="1892"/>
      <w:bookmarkEnd w:id="1893"/>
      <w:bookmarkEnd w:id="1895"/>
    </w:p>
    <w:p>
      <w:pPr>
        <w:pStyle w:val="Style37"/>
        <w:keepNext/>
        <w:keepLines/>
        <w:widowControl w:val="0"/>
        <w:shd w:val="clear" w:color="auto" w:fill="auto"/>
        <w:bidi w:val="0"/>
        <w:spacing w:before="0" w:after="320" w:line="331" w:lineRule="exact"/>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6"/>
      <w:bookmarkEnd w:id="1897"/>
      <w:bookmarkEnd w:id="1898"/>
      <w:r>
        <w:br w:type="page"/>
      </w:r>
    </w:p>
    <w:tbl>
      <w:tblPr>
        <w:tblOverlap w:val="never"/>
        <w:jc w:val="center"/>
        <w:tblLayout w:type="fixed"/>
      </w:tblPr>
      <w:tblGrid>
        <w:gridCol w:w="1070"/>
        <w:gridCol w:w="1061"/>
        <w:gridCol w:w="1066"/>
        <w:gridCol w:w="1066"/>
        <w:gridCol w:w="1066"/>
        <w:gridCol w:w="1066"/>
        <w:gridCol w:w="1056"/>
        <w:gridCol w:w="1066"/>
        <w:gridCol w:w="1070"/>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6" w:lineRule="exact"/>
              <w:ind w:left="0" w:right="0" w:firstLine="0"/>
              <w:jc w:val="both"/>
            </w:pPr>
            <w:r>
              <w:rPr>
                <w:color w:val="000000"/>
                <w:spacing w:val="0"/>
                <w:w w:val="100"/>
                <w:position w:val="0"/>
              </w:rPr>
              <w:t>长沙公信诚 丰信息技术 服务有限公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董事会及管 理层已改组， 工商信息已 变更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26,438,271.2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13,160,782.2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9"/>
      <w:bookmarkEnd w:id="1900"/>
      <w:bookmarkEnd w:id="19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E2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66,841,001.51</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433,158,998.49</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7"/>
        <w:keepNext/>
        <w:keepLines/>
        <w:widowControl w:val="0"/>
        <w:numPr>
          <w:ilvl w:val="0"/>
          <w:numId w:val="133"/>
        </w:numPr>
        <w:shd w:val="clear" w:color="auto" w:fill="auto"/>
        <w:bidi w:val="0"/>
        <w:spacing w:before="0" w:after="38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被购买方于购买日可辨认资产、负债</w:t>
      </w:r>
      <w:bookmarkEnd w:id="1902"/>
      <w:bookmarkEnd w:id="1903"/>
      <w:bookmarkEnd w:id="19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75,686,799.67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58,001,470.76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8,845,798.16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6,192,998.82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66,841,001.51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51,808,471.94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66,841,001.51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51,808,471.94</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133"/>
        </w:numPr>
        <w:shd w:val="clear" w:color="auto" w:fill="auto"/>
        <w:bidi w:val="0"/>
        <w:spacing w:before="0" w:after="38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购买日之前持有的股权按照公允价值重新计量产生的利得或损失</w:t>
      </w:r>
      <w:bookmarkEnd w:id="1906"/>
      <w:bookmarkEnd w:id="1907"/>
      <w:bookmarkEnd w:id="190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numPr>
          <w:ilvl w:val="0"/>
          <w:numId w:val="133"/>
        </w:numPr>
        <w:shd w:val="clear" w:color="auto" w:fill="auto"/>
        <w:tabs>
          <w:tab w:pos="488"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购买日或合并当期期末无法合理确定合并对价或被购买方可辨认资产、负债公允价值的相关说明</w:t>
      </w:r>
      <w:bookmarkEnd w:id="1910"/>
      <w:bookmarkEnd w:id="1911"/>
      <w:bookmarkEnd w:id="1913"/>
    </w:p>
    <w:p>
      <w:pPr>
        <w:pStyle w:val="Style37"/>
        <w:keepNext/>
        <w:keepLines/>
        <w:widowControl w:val="0"/>
        <w:numPr>
          <w:ilvl w:val="0"/>
          <w:numId w:val="133"/>
        </w:numPr>
        <w:shd w:val="clear" w:color="auto" w:fill="auto"/>
        <w:tabs>
          <w:tab w:pos="488" w:val="left"/>
        </w:tabs>
        <w:bidi w:val="0"/>
        <w:spacing w:before="0" w:line="240" w:lineRule="auto"/>
        <w:ind w:left="0" w:right="0" w:firstLine="0"/>
        <w:jc w:val="left"/>
      </w:pPr>
      <w:bookmarkStart w:id="1910" w:name="bookmark1910"/>
      <w:bookmarkStart w:id="1911" w:name="bookmark1911"/>
      <w:bookmarkStart w:id="1914" w:name="bookmark1914"/>
      <w:bookmarkStart w:id="1915" w:name="bookmark1915"/>
      <w:bookmarkEnd w:id="1914"/>
      <w:r>
        <w:rPr>
          <w:color w:val="000000"/>
          <w:spacing w:val="0"/>
          <w:w w:val="100"/>
          <w:position w:val="0"/>
        </w:rPr>
        <w:t>其他说明</w:t>
      </w:r>
      <w:bookmarkEnd w:id="1910"/>
      <w:bookmarkEnd w:id="1911"/>
      <w:bookmarkEnd w:id="1915"/>
    </w:p>
    <w:p>
      <w:pPr>
        <w:pStyle w:val="Style33"/>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bookmarkEnd w:id="1918"/>
      <w:r>
        <w:rPr>
          <w:color w:val="000000"/>
          <w:spacing w:val="0"/>
          <w:w w:val="100"/>
          <w:position w:val="0"/>
        </w:rPr>
        <w:t>、同一控制下企业合并</w:t>
      </w:r>
      <w:bookmarkEnd w:id="1916"/>
      <w:bookmarkEnd w:id="1917"/>
      <w:bookmarkEnd w:id="1919"/>
    </w:p>
    <w:p>
      <w:pPr>
        <w:pStyle w:val="Style37"/>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20"/>
      <w:bookmarkEnd w:id="1921"/>
      <w:bookmarkEnd w:id="1922"/>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23"/>
      <w:bookmarkEnd w:id="1924"/>
      <w:bookmarkEnd w:id="1925"/>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76"/>
        <w:gridCol w:w="481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numPr>
          <w:ilvl w:val="0"/>
          <w:numId w:val="135"/>
        </w:numPr>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合并日被合并方资产、负债的账面价值</w:t>
      </w:r>
      <w:bookmarkEnd w:id="1926"/>
      <w:bookmarkEnd w:id="1927"/>
      <w:bookmarkEnd w:id="19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3</w:t>
      </w:r>
      <w:bookmarkEnd w:id="1932"/>
      <w:r>
        <w:rPr>
          <w:color w:val="000000"/>
          <w:spacing w:val="0"/>
          <w:w w:val="100"/>
          <w:position w:val="0"/>
        </w:rPr>
        <w:t>、</w:t>
        <w:tab/>
        <w:t>反向购买</w:t>
      </w:r>
      <w:bookmarkEnd w:id="1930"/>
      <w:bookmarkEnd w:id="1931"/>
      <w:bookmarkEnd w:id="1933"/>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4</w:t>
      </w:r>
      <w:bookmarkEnd w:id="1936"/>
      <w:r>
        <w:rPr>
          <w:color w:val="000000"/>
          <w:spacing w:val="0"/>
          <w:w w:val="100"/>
          <w:position w:val="0"/>
        </w:rPr>
        <w:t>、</w:t>
        <w:tab/>
        <w:t>处置子公司</w:t>
      </w:r>
      <w:bookmarkEnd w:id="1934"/>
      <w:bookmarkEnd w:id="1935"/>
      <w:bookmarkEnd w:id="19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款与处</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制权之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丧失控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制权之</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与原子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4"/>
        <w:gridCol w:w="739"/>
        <w:gridCol w:w="744"/>
        <w:gridCol w:w="715"/>
        <w:gridCol w:w="758"/>
      </w:tblGrid>
      <w:tr>
        <w:trPr>
          <w:trHeight w:val="317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点的确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置投资 对应的 合并财 务报表 层面享 有该子 公司净 资产份 额的差 额</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日剩余 股权的 比例</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账面价 值</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公允价 值</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重新计 量剩余 股权产 生的利 得或损 失</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日剩余 股权公 允价值 的确定 方法及 主要假 设</w:t>
            </w:r>
          </w:p>
        </w:tc>
        <w:tc>
          <w:tcPr>
            <w:tcBorders>
              <w:top w:val="single" w:sz="4"/>
              <w:left w:val="single" w:sz="4"/>
              <w:right w:val="single" w:sz="4"/>
            </w:tcBorders>
            <w:shd w:val="clear" w:color="auto" w:fill="D4D4D4"/>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权投资 相关的 其他综 合收益 转入投 资损益 的金额</w:t>
            </w:r>
          </w:p>
        </w:tc>
      </w:tr>
      <w:tr>
        <w:trPr>
          <w:trHeight w:val="1344"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 新国都 技术有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53,345,0</w:t>
            </w:r>
          </w:p>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完成工 商变更 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32,960,2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40" w:line="341" w:lineRule="exact"/>
        <w:ind w:left="0" w:right="0" w:firstLine="0"/>
        <w:jc w:val="both"/>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line="240" w:lineRule="auto"/>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5</w:t>
      </w:r>
      <w:bookmarkEnd w:id="1940"/>
      <w:r>
        <w:rPr>
          <w:color w:val="000000"/>
          <w:spacing w:val="0"/>
          <w:w w:val="100"/>
          <w:position w:val="0"/>
        </w:rPr>
        <w:t>、</w:t>
        <w:tab/>
        <w:t>其他原因的合并范围变动</w:t>
      </w:r>
      <w:bookmarkEnd w:id="1938"/>
      <w:bookmarkEnd w:id="1939"/>
      <w:bookmarkEnd w:id="1941"/>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tabs>
          <w:tab w:pos="378" w:val="left"/>
        </w:tabs>
        <w:bidi w:val="0"/>
        <w:spacing w:before="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6</w:t>
      </w:r>
      <w:bookmarkEnd w:id="1944"/>
      <w:r>
        <w:rPr>
          <w:color w:val="000000"/>
          <w:spacing w:val="0"/>
          <w:w w:val="100"/>
          <w:position w:val="0"/>
        </w:rPr>
        <w:t>、</w:t>
        <w:tab/>
        <w:t>其他</w:t>
      </w:r>
      <w:bookmarkEnd w:id="1942"/>
      <w:bookmarkEnd w:id="1943"/>
      <w:bookmarkEnd w:id="1945"/>
    </w:p>
    <w:p>
      <w:pPr>
        <w:pStyle w:val="Style25"/>
        <w:keepNext/>
        <w:keepLines/>
        <w:widowControl w:val="0"/>
        <w:shd w:val="clear" w:color="auto" w:fill="auto"/>
        <w:bidi w:val="0"/>
        <w:spacing w:before="0" w:line="240" w:lineRule="auto"/>
        <w:ind w:left="0" w:right="0" w:firstLine="0"/>
        <w:jc w:val="both"/>
      </w:pPr>
      <w:bookmarkStart w:id="1946" w:name="bookmark1946"/>
      <w:bookmarkStart w:id="1947" w:name="bookmark1947"/>
      <w:bookmarkStart w:id="1948" w:name="bookmark1948"/>
      <w:bookmarkStart w:id="1949" w:name="bookmark1949"/>
      <w:r>
        <w:rPr>
          <w:color w:val="000000"/>
          <w:spacing w:val="0"/>
          <w:w w:val="100"/>
          <w:position w:val="0"/>
          <w:sz w:val="24"/>
          <w:szCs w:val="24"/>
        </w:rPr>
        <w:t>九</w:t>
      </w:r>
      <w:bookmarkEnd w:id="1948"/>
      <w:r>
        <w:rPr>
          <w:color w:val="000000"/>
          <w:spacing w:val="0"/>
          <w:w w:val="100"/>
          <w:position w:val="0"/>
          <w:sz w:val="24"/>
          <w:szCs w:val="24"/>
        </w:rPr>
        <w:t>、在其他主体中的权益</w:t>
      </w:r>
      <w:bookmarkEnd w:id="1946"/>
      <w:bookmarkEnd w:id="1947"/>
      <w:bookmarkEnd w:id="1949"/>
    </w:p>
    <w:p>
      <w:pPr>
        <w:pStyle w:val="Style33"/>
        <w:keepNext/>
        <w:keepLines/>
        <w:widowControl w:val="0"/>
        <w:shd w:val="clear" w:color="auto" w:fill="auto"/>
        <w:bidi w:val="0"/>
        <w:spacing w:before="0" w:line="240" w:lineRule="auto"/>
        <w:ind w:left="0" w:right="0" w:firstLine="0"/>
        <w:jc w:val="both"/>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0"/>
      <w:bookmarkEnd w:id="1951"/>
      <w:bookmarkEnd w:id="1952"/>
    </w:p>
    <w:p>
      <w:pPr>
        <w:pStyle w:val="Style37"/>
        <w:keepNext/>
        <w:keepLines/>
        <w:widowControl w:val="0"/>
        <w:shd w:val="clear" w:color="auto" w:fill="auto"/>
        <w:bidi w:val="0"/>
        <w:spacing w:before="0" w:after="340" w:line="240" w:lineRule="auto"/>
        <w:ind w:left="0" w:right="0" w:firstLine="140"/>
        <w:jc w:val="both"/>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53"/>
      <w:bookmarkEnd w:id="1954"/>
      <w:bookmarkEnd w:id="1955"/>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深圳市易联技术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软件技术开发与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苏州新国都电子 技术有限公司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电子产品及计算 机产品的开发、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网络安全认证、 防伪、加密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994"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付技术有限公司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终端、固定 无线电话机、电 子支付设备、计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994"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算机软硬件、电 子产品的技术开 发、生产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深圳市信联征信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征信业务的开 发、运营、服务 及相关业务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终端、电子 支付设备的销售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服软件有限公司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软件的技术开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信息技术咨询服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务、软件开发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6"/>
      <w:bookmarkEnd w:id="1957"/>
      <w:bookmarkEnd w:id="19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137"/>
        </w:numPr>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重要非全资子公司的主要财务信息</w:t>
      </w:r>
      <w:bookmarkEnd w:id="1959"/>
      <w:bookmarkEnd w:id="1960"/>
      <w:bookmarkEnd w:id="196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p>
      <w:pPr>
        <w:widowControl w:val="0"/>
        <w:spacing w:after="79" w:line="1" w:lineRule="exact"/>
      </w:pP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40" w:right="1108" w:bottom="1595" w:left="1105" w:header="0" w:footer="3" w:gutter="0"/>
          <w:cols w:space="720"/>
          <w:noEndnote/>
          <w:titlePg/>
          <w:rtlGutter w:val="0"/>
          <w:docGrid w:linePitch="360"/>
        </w:sectPr>
      </w:pPr>
      <w:r>
        <w:rPr>
          <w:color w:val="000000"/>
          <w:spacing w:val="0"/>
          <w:w w:val="100"/>
          <w:position w:val="0"/>
        </w:rPr>
        <w:t>其他说明：</w:t>
      </w:r>
    </w:p>
    <w:p>
      <w:pPr>
        <w:pStyle w:val="Style37"/>
        <w:keepNext/>
        <w:keepLines/>
        <w:widowControl w:val="0"/>
        <w:shd w:val="clear" w:color="auto" w:fill="auto"/>
        <w:tabs>
          <w:tab w:pos="488" w:val="left"/>
        </w:tabs>
        <w:bidi w:val="0"/>
        <w:spacing w:before="0" w:after="34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63"/>
      <w:bookmarkEnd w:id="1964"/>
      <w:bookmarkEnd w:id="1966"/>
    </w:p>
    <w:p>
      <w:pPr>
        <w:pStyle w:val="Style37"/>
        <w:keepNext/>
        <w:keepLines/>
        <w:widowControl w:val="0"/>
        <w:shd w:val="clear" w:color="auto" w:fill="auto"/>
        <w:tabs>
          <w:tab w:pos="488" w:val="left"/>
        </w:tabs>
        <w:bidi w:val="0"/>
        <w:spacing w:before="0" w:after="34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67"/>
      <w:bookmarkEnd w:id="1968"/>
      <w:bookmarkEnd w:id="197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bookmarkEnd w:id="1973"/>
      <w:r>
        <w:rPr>
          <w:color w:val="000000"/>
          <w:spacing w:val="0"/>
          <w:w w:val="100"/>
          <w:position w:val="0"/>
        </w:rPr>
        <w:t>、在子公司的所有者权益份额发生变化且仍控制子公司的交易</w:t>
      </w:r>
      <w:bookmarkEnd w:id="1971"/>
      <w:bookmarkEnd w:id="1972"/>
      <w:bookmarkEnd w:id="1974"/>
    </w:p>
    <w:p>
      <w:pPr>
        <w:pStyle w:val="Style37"/>
        <w:keepNext/>
        <w:keepLines/>
        <w:widowControl w:val="0"/>
        <w:shd w:val="clear" w:color="auto" w:fill="auto"/>
        <w:tabs>
          <w:tab w:pos="488" w:val="left"/>
        </w:tabs>
        <w:bidi w:val="0"/>
        <w:spacing w:before="0" w:after="34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75"/>
      <w:bookmarkEnd w:id="1976"/>
      <w:bookmarkEnd w:id="1978"/>
    </w:p>
    <w:p>
      <w:pPr>
        <w:pStyle w:val="Style37"/>
        <w:keepNext/>
        <w:keepLines/>
        <w:widowControl w:val="0"/>
        <w:shd w:val="clear" w:color="auto" w:fill="auto"/>
        <w:tabs>
          <w:tab w:pos="488" w:val="left"/>
        </w:tabs>
        <w:bidi w:val="0"/>
        <w:spacing w:before="0" w:after="34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9"/>
      <w:bookmarkEnd w:id="1980"/>
      <w:bookmarkEnd w:id="19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3</w:t>
      </w:r>
      <w:bookmarkEnd w:id="1985"/>
      <w:r>
        <w:rPr>
          <w:color w:val="000000"/>
          <w:spacing w:val="0"/>
          <w:w w:val="100"/>
          <w:position w:val="0"/>
        </w:rPr>
        <w:t>、在合营安排或联营企业中的权益</w:t>
      </w:r>
      <w:bookmarkEnd w:id="1983"/>
      <w:bookmarkEnd w:id="1984"/>
      <w:bookmarkEnd w:id="1986"/>
    </w:p>
    <w:p>
      <w:pPr>
        <w:pStyle w:val="Style37"/>
        <w:keepNext/>
        <w:keepLines/>
        <w:widowControl w:val="0"/>
        <w:shd w:val="clear" w:color="auto" w:fill="auto"/>
        <w:bidi w:val="0"/>
        <w:spacing w:before="0" w:after="340" w:line="240" w:lineRule="auto"/>
        <w:ind w:left="0" w:right="0" w:firstLine="0"/>
        <w:jc w:val="left"/>
      </w:pPr>
      <w:bookmarkStart w:id="1987" w:name="bookmark1987"/>
      <w:bookmarkStart w:id="1988" w:name="bookmark1988"/>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7"/>
      <w:bookmarkEnd w:id="1988"/>
      <w:bookmarkEnd w:id="1989"/>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深圳市大拿科技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及通讯产品的技 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32"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深圳嘉石大岩资 本管理股份有限 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受托资产管理、 投资管理及投资 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7"/>
        <w:keepNext/>
        <w:keepLines/>
        <w:widowControl w:val="0"/>
        <w:shd w:val="clear" w:color="auto" w:fill="auto"/>
        <w:bidi w:val="0"/>
        <w:spacing w:before="0" w:after="340" w:line="240" w:lineRule="auto"/>
        <w:ind w:left="0" w:right="0" w:firstLine="140"/>
        <w:jc w:val="left"/>
      </w:pPr>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90"/>
      <w:bookmarkEnd w:id="1991"/>
      <w:bookmarkEnd w:id="199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93"/>
      <w:bookmarkEnd w:id="1994"/>
      <w:bookmarkEnd w:id="1996"/>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numPr>
          <w:ilvl w:val="0"/>
          <w:numId w:val="137"/>
        </w:numPr>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不重要的合营企业和联营企业的汇总财务信息</w:t>
      </w:r>
      <w:bookmarkEnd w:id="1997"/>
      <w:bookmarkEnd w:id="1998"/>
      <w:bookmarkEnd w:id="20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560,130,401.00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12,598,261.98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12,880,858.83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numPr>
          <w:ilvl w:val="0"/>
          <w:numId w:val="137"/>
        </w:numPr>
        <w:shd w:val="clear" w:color="auto" w:fill="auto"/>
        <w:tabs>
          <w:tab w:pos="628" w:val="left"/>
        </w:tabs>
        <w:bidi w:val="0"/>
        <w:spacing w:before="0" w:line="240" w:lineRule="auto"/>
        <w:ind w:left="0" w:right="0" w:firstLine="14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合营企业或联营企业向本公司转移资金的能力存在重大限制的说明</w:t>
      </w:r>
      <w:bookmarkEnd w:id="2001"/>
      <w:bookmarkEnd w:id="2002"/>
      <w:bookmarkEnd w:id="2004"/>
    </w:p>
    <w:p>
      <w:pPr>
        <w:pStyle w:val="Style37"/>
        <w:keepNext/>
        <w:keepLines/>
        <w:widowControl w:val="0"/>
        <w:numPr>
          <w:ilvl w:val="0"/>
          <w:numId w:val="137"/>
        </w:numPr>
        <w:shd w:val="clear" w:color="auto" w:fill="auto"/>
        <w:tabs>
          <w:tab w:pos="628" w:val="left"/>
        </w:tabs>
        <w:bidi w:val="0"/>
        <w:spacing w:before="0" w:line="240" w:lineRule="auto"/>
        <w:ind w:left="0" w:right="0" w:firstLine="14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合营企业或联营企业发生的超额亏损</w:t>
      </w:r>
      <w:bookmarkEnd w:id="2005"/>
      <w:bookmarkEnd w:id="2006"/>
      <w:bookmarkEnd w:id="20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numPr>
          <w:ilvl w:val="0"/>
          <w:numId w:val="137"/>
        </w:numPr>
        <w:shd w:val="clear" w:color="auto" w:fill="auto"/>
        <w:tabs>
          <w:tab w:pos="488"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与合营企业投资相关的未确认承诺</w:t>
      </w:r>
      <w:bookmarkEnd w:id="2009"/>
      <w:bookmarkEnd w:id="2010"/>
      <w:bookmarkEnd w:id="2012"/>
    </w:p>
    <w:p>
      <w:pPr>
        <w:pStyle w:val="Style37"/>
        <w:keepNext/>
        <w:keepLines/>
        <w:widowControl w:val="0"/>
        <w:numPr>
          <w:ilvl w:val="0"/>
          <w:numId w:val="137"/>
        </w:numPr>
        <w:shd w:val="clear" w:color="auto" w:fill="auto"/>
        <w:tabs>
          <w:tab w:pos="488" w:val="left"/>
        </w:tabs>
        <w:bidi w:val="0"/>
        <w:spacing w:before="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与合营企业或联营企业投资相关的或有负债</w:t>
      </w:r>
      <w:bookmarkEnd w:id="2013"/>
      <w:bookmarkEnd w:id="2014"/>
      <w:bookmarkEnd w:id="2016"/>
    </w:p>
    <w:p>
      <w:pPr>
        <w:pStyle w:val="Style33"/>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4</w:t>
      </w:r>
      <w:bookmarkEnd w:id="2019"/>
      <w:r>
        <w:rPr>
          <w:color w:val="000000"/>
          <w:spacing w:val="0"/>
          <w:w w:val="100"/>
          <w:position w:val="0"/>
        </w:rPr>
        <w:t>、重要的共同经营</w:t>
      </w:r>
      <w:bookmarkEnd w:id="2017"/>
      <w:bookmarkEnd w:id="2018"/>
      <w:bookmarkEnd w:id="2020"/>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w:t>
        <w:tab/>
        <w:t>在未纳入合并财务报表范围的结构化主体中的权益</w:t>
      </w:r>
      <w:bookmarkEnd w:id="2021"/>
      <w:bookmarkEnd w:id="2022"/>
      <w:bookmarkEnd w:id="202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6</w:t>
      </w:r>
      <w:bookmarkEnd w:id="2027"/>
      <w:r>
        <w:rPr>
          <w:color w:val="000000"/>
          <w:spacing w:val="0"/>
          <w:w w:val="100"/>
          <w:position w:val="0"/>
        </w:rPr>
        <w:t>、</w:t>
        <w:tab/>
        <w:t>其他</w:t>
      </w:r>
      <w:bookmarkEnd w:id="2025"/>
      <w:bookmarkEnd w:id="2026"/>
      <w:bookmarkEnd w:id="2028"/>
    </w:p>
    <w:p>
      <w:pPr>
        <w:pStyle w:val="Style25"/>
        <w:keepNext/>
        <w:keepLines/>
        <w:widowControl w:val="0"/>
        <w:shd w:val="clear" w:color="auto" w:fill="auto"/>
        <w:bidi w:val="0"/>
        <w:spacing w:before="0" w:line="240" w:lineRule="auto"/>
        <w:ind w:left="0" w:right="0" w:firstLine="0"/>
        <w:jc w:val="left"/>
      </w:pPr>
      <w:bookmarkStart w:id="2029" w:name="bookmark2029"/>
      <w:bookmarkStart w:id="2030" w:name="bookmark2030"/>
      <w:bookmarkStart w:id="2031" w:name="bookmark2031"/>
      <w:r>
        <w:rPr>
          <w:color w:val="000000"/>
          <w:spacing w:val="0"/>
          <w:w w:val="100"/>
          <w:position w:val="0"/>
          <w:sz w:val="24"/>
          <w:szCs w:val="24"/>
        </w:rPr>
        <w:t>十、与金融工具相关的风险</w:t>
      </w:r>
      <w:bookmarkEnd w:id="2029"/>
      <w:bookmarkEnd w:id="2030"/>
      <w:bookmarkEnd w:id="2031"/>
    </w:p>
    <w:p>
      <w:pPr>
        <w:pStyle w:val="Style25"/>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r>
        <w:rPr>
          <w:color w:val="000000"/>
          <w:spacing w:val="0"/>
          <w:w w:val="100"/>
          <w:position w:val="0"/>
          <w:sz w:val="24"/>
          <w:szCs w:val="24"/>
        </w:rPr>
        <w:t>十^一、公允价值的披露</w:t>
      </w:r>
      <w:bookmarkEnd w:id="2032"/>
      <w:bookmarkEnd w:id="2033"/>
      <w:bookmarkEnd w:id="2034"/>
    </w:p>
    <w:p>
      <w:pPr>
        <w:pStyle w:val="Style33"/>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35"/>
      <w:bookmarkEnd w:id="2036"/>
      <w:bookmarkEnd w:id="20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bookmarkEnd w:id="2040"/>
      <w:r>
        <w:rPr>
          <w:color w:val="000000"/>
          <w:spacing w:val="0"/>
          <w:w w:val="100"/>
          <w:position w:val="0"/>
        </w:rPr>
        <w:t>、</w:t>
        <w:tab/>
        <w:t>持续和非持续第一层次公允价值计量项目市价的确定依据</w:t>
      </w:r>
      <w:bookmarkEnd w:id="2038"/>
      <w:bookmarkEnd w:id="2039"/>
      <w:bookmarkEnd w:id="2041"/>
    </w:p>
    <w:p>
      <w:pPr>
        <w:pStyle w:val="Style33"/>
        <w:keepNext/>
        <w:keepLines/>
        <w:widowControl w:val="0"/>
        <w:shd w:val="clear" w:color="auto" w:fill="auto"/>
        <w:tabs>
          <w:tab w:pos="378"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3</w:t>
      </w:r>
      <w:bookmarkEnd w:id="2044"/>
      <w:r>
        <w:rPr>
          <w:color w:val="000000"/>
          <w:spacing w:val="0"/>
          <w:w w:val="100"/>
          <w:position w:val="0"/>
        </w:rPr>
        <w:t>、</w:t>
        <w:tab/>
        <w:t>持续和非持续第二层次公允价值计量项目，采用的估值技术和重要参数的定性及定量信息</w:t>
      </w:r>
      <w:bookmarkEnd w:id="2042"/>
      <w:bookmarkEnd w:id="2043"/>
      <w:bookmarkEnd w:id="2045"/>
    </w:p>
    <w:p>
      <w:pPr>
        <w:pStyle w:val="Style33"/>
        <w:keepNext/>
        <w:keepLines/>
        <w:widowControl w:val="0"/>
        <w:shd w:val="clear" w:color="auto" w:fill="auto"/>
        <w:tabs>
          <w:tab w:pos="378"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4</w:t>
      </w:r>
      <w:bookmarkEnd w:id="2048"/>
      <w:r>
        <w:rPr>
          <w:color w:val="000000"/>
          <w:spacing w:val="0"/>
          <w:w w:val="100"/>
          <w:position w:val="0"/>
        </w:rPr>
        <w:t>、</w:t>
        <w:tab/>
        <w:t>持续和非持续第三层次公允价值计量项目，采用的估值技术和重要参数的定性及定量信息</w:t>
      </w:r>
      <w:bookmarkEnd w:id="2046"/>
      <w:bookmarkEnd w:id="2047"/>
      <w:bookmarkEnd w:id="2049"/>
    </w:p>
    <w:p>
      <w:pPr>
        <w:pStyle w:val="Style33"/>
        <w:keepNext/>
        <w:keepLines/>
        <w:widowControl w:val="0"/>
        <w:shd w:val="clear" w:color="auto" w:fill="auto"/>
        <w:tabs>
          <w:tab w:pos="378"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5</w:t>
      </w:r>
      <w:bookmarkEnd w:id="2052"/>
      <w:r>
        <w:rPr>
          <w:color w:val="000000"/>
          <w:spacing w:val="0"/>
          <w:w w:val="100"/>
          <w:position w:val="0"/>
        </w:rPr>
        <w:t>、</w:t>
        <w:tab/>
        <w:t>持续的第三层次公允价值计量项目，期初与期末账面价值间的调节信息及不可观察参数敏感性分析</w:t>
      </w:r>
      <w:bookmarkEnd w:id="2050"/>
      <w:bookmarkEnd w:id="2051"/>
      <w:bookmarkEnd w:id="2053"/>
    </w:p>
    <w:p>
      <w:pPr>
        <w:pStyle w:val="Style33"/>
        <w:keepNext/>
        <w:keepLines/>
        <w:widowControl w:val="0"/>
        <w:shd w:val="clear" w:color="auto" w:fill="auto"/>
        <w:tabs>
          <w:tab w:pos="378" w:val="left"/>
        </w:tabs>
        <w:bidi w:val="0"/>
        <w:spacing w:before="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6</w:t>
      </w:r>
      <w:bookmarkEnd w:id="2056"/>
      <w:r>
        <w:rPr>
          <w:color w:val="000000"/>
          <w:spacing w:val="0"/>
          <w:w w:val="100"/>
          <w:position w:val="0"/>
        </w:rPr>
        <w:t>、</w:t>
        <w:tab/>
        <w:t>持续的公允价值计量项目，本期内发生各层级之间转换的，转换的原因及确定转换时点的政策</w:t>
      </w:r>
      <w:bookmarkEnd w:id="2054"/>
      <w:bookmarkEnd w:id="2055"/>
      <w:bookmarkEnd w:id="2057"/>
    </w:p>
    <w:p>
      <w:pPr>
        <w:pStyle w:val="Style33"/>
        <w:keepNext/>
        <w:keepLines/>
        <w:widowControl w:val="0"/>
        <w:shd w:val="clear" w:color="auto" w:fill="auto"/>
        <w:tabs>
          <w:tab w:pos="378" w:val="left"/>
        </w:tabs>
        <w:bidi w:val="0"/>
        <w:spacing w:before="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7</w:t>
      </w:r>
      <w:bookmarkEnd w:id="2060"/>
      <w:r>
        <w:rPr>
          <w:color w:val="000000"/>
          <w:spacing w:val="0"/>
          <w:w w:val="100"/>
          <w:position w:val="0"/>
        </w:rPr>
        <w:t>、</w:t>
        <w:tab/>
        <w:t>本期内发生的估值技术变更及变更原因</w:t>
      </w:r>
      <w:bookmarkEnd w:id="2058"/>
      <w:bookmarkEnd w:id="2059"/>
      <w:bookmarkEnd w:id="2061"/>
    </w:p>
    <w:p>
      <w:pPr>
        <w:pStyle w:val="Style33"/>
        <w:keepNext/>
        <w:keepLines/>
        <w:widowControl w:val="0"/>
        <w:shd w:val="clear" w:color="auto" w:fill="auto"/>
        <w:tabs>
          <w:tab w:pos="378" w:val="left"/>
        </w:tabs>
        <w:bidi w:val="0"/>
        <w:spacing w:before="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8</w:t>
      </w:r>
      <w:bookmarkEnd w:id="2064"/>
      <w:r>
        <w:rPr>
          <w:color w:val="000000"/>
          <w:spacing w:val="0"/>
          <w:w w:val="100"/>
          <w:position w:val="0"/>
        </w:rPr>
        <w:t>、</w:t>
        <w:tab/>
        <w:t>不以公允价值计量的金融资产和金融负债的公允价值情况</w:t>
      </w:r>
      <w:bookmarkEnd w:id="2062"/>
      <w:bookmarkEnd w:id="2063"/>
      <w:bookmarkEnd w:id="2065"/>
    </w:p>
    <w:p>
      <w:pPr>
        <w:pStyle w:val="Style33"/>
        <w:keepNext/>
        <w:keepLines/>
        <w:widowControl w:val="0"/>
        <w:shd w:val="clear" w:color="auto" w:fill="auto"/>
        <w:tabs>
          <w:tab w:pos="378"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9</w:t>
      </w:r>
      <w:bookmarkEnd w:id="2068"/>
      <w:r>
        <w:rPr>
          <w:color w:val="000000"/>
          <w:spacing w:val="0"/>
          <w:w w:val="100"/>
          <w:position w:val="0"/>
        </w:rPr>
        <w:t>、</w:t>
        <w:tab/>
        <w:t>其他</w:t>
      </w:r>
      <w:bookmarkEnd w:id="2066"/>
      <w:bookmarkEnd w:id="2067"/>
      <w:bookmarkEnd w:id="2069"/>
    </w:p>
    <w:p>
      <w:pPr>
        <w:pStyle w:val="Style25"/>
        <w:keepNext/>
        <w:keepLines/>
        <w:widowControl w:val="0"/>
        <w:shd w:val="clear" w:color="auto" w:fill="auto"/>
        <w:bidi w:val="0"/>
        <w:spacing w:before="0" w:line="240" w:lineRule="auto"/>
        <w:ind w:left="0" w:right="0" w:firstLine="0"/>
        <w:jc w:val="left"/>
      </w:pPr>
      <w:bookmarkStart w:id="2070" w:name="bookmark2070"/>
      <w:bookmarkStart w:id="2071" w:name="bookmark2071"/>
      <w:bookmarkStart w:id="2072" w:name="bookmark2072"/>
      <w:r>
        <w:rPr>
          <w:color w:val="000000"/>
          <w:spacing w:val="0"/>
          <w:w w:val="100"/>
          <w:position w:val="0"/>
          <w:sz w:val="24"/>
          <w:szCs w:val="24"/>
        </w:rPr>
        <w:t>十二、关联方及关联交易</w:t>
      </w:r>
      <w:bookmarkEnd w:id="2070"/>
      <w:bookmarkEnd w:id="2071"/>
      <w:bookmarkEnd w:id="2072"/>
    </w:p>
    <w:p>
      <w:pPr>
        <w:pStyle w:val="Style33"/>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73"/>
      <w:bookmarkEnd w:id="2074"/>
      <w:bookmarkEnd w:id="2075"/>
    </w:p>
    <w:tbl>
      <w:tblPr>
        <w:tblOverlap w:val="never"/>
        <w:jc w:val="center"/>
        <w:tblLayout w:type="fixed"/>
      </w:tblPr>
      <w:tblGrid>
        <w:gridCol w:w="1603"/>
        <w:gridCol w:w="1594"/>
        <w:gridCol w:w="1594"/>
        <w:gridCol w:w="1594"/>
        <w:gridCol w:w="1608"/>
        <w:gridCol w:w="1594"/>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2</w:t>
      </w:r>
      <w:bookmarkEnd w:id="2078"/>
      <w:r>
        <w:rPr>
          <w:color w:val="000000"/>
          <w:spacing w:val="0"/>
          <w:w w:val="100"/>
          <w:position w:val="0"/>
        </w:rPr>
        <w:t>、</w:t>
        <w:tab/>
        <w:t>本企业的子公司情况</w:t>
      </w:r>
      <w:bookmarkEnd w:id="2076"/>
      <w:bookmarkEnd w:id="2077"/>
      <w:bookmarkEnd w:id="207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3</w:t>
      </w:r>
      <w:bookmarkEnd w:id="2082"/>
      <w:r>
        <w:rPr>
          <w:color w:val="000000"/>
          <w:spacing w:val="0"/>
          <w:w w:val="100"/>
          <w:position w:val="0"/>
        </w:rPr>
        <w:t>、</w:t>
        <w:tab/>
        <w:t>本企业合营和联营企业情况</w:t>
      </w:r>
      <w:bookmarkEnd w:id="2080"/>
      <w:bookmarkEnd w:id="2081"/>
      <w:bookmarkEnd w:id="208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深圳市大拿科技有限公司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深圳嘉石大岩资本管理股份有限公司</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、其他关联方情况</w:t>
      </w:r>
      <w:bookmarkEnd w:id="2084"/>
      <w:bookmarkEnd w:id="2085"/>
      <w:bookmarkEnd w:id="208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本公司股东，实际控制人刘祥之兄弟</w:t>
            </w:r>
          </w:p>
        </w:tc>
      </w:tr>
      <w:tr>
        <w:trPr>
          <w:trHeight w:val="413"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信美人寿相互保险社</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5</w:t>
      </w:r>
      <w:bookmarkEnd w:id="2090"/>
      <w:r>
        <w:rPr>
          <w:color w:val="000000"/>
          <w:spacing w:val="0"/>
          <w:w w:val="100"/>
          <w:position w:val="0"/>
        </w:rPr>
        <w:t>、关联交易情况</w:t>
      </w:r>
      <w:bookmarkEnd w:id="2088"/>
      <w:bookmarkEnd w:id="2089"/>
      <w:bookmarkEnd w:id="2091"/>
    </w:p>
    <w:p>
      <w:pPr>
        <w:pStyle w:val="Style37"/>
        <w:keepNext/>
        <w:keepLines/>
        <w:widowControl w:val="0"/>
        <w:shd w:val="clear" w:color="auto" w:fill="auto"/>
        <w:bidi w:val="0"/>
        <w:spacing w:before="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2"/>
      <w:bookmarkEnd w:id="2093"/>
      <w:bookmarkEnd w:id="20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246"/>
        <w:gridCol w:w="2266"/>
        <w:gridCol w:w="265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29,957.26</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40" w:right="1108" w:bottom="1595" w:left="1105" w:header="0" w:footer="3" w:gutter="0"/>
          <w:cols w:space="720"/>
          <w:noEndnote/>
          <w:titlePg/>
          <w:rtlGutter w:val="0"/>
          <w:docGrid w:linePitch="360"/>
        </w:sectPr>
      </w:pPr>
      <w:r>
        <w:rPr>
          <w:color w:val="000000"/>
          <w:spacing w:val="0"/>
          <w:w w:val="100"/>
          <w:position w:val="0"/>
        </w:rPr>
        <w:t>购销商品、提供和接受劳务的关联交易说明</w:t>
      </w:r>
    </w:p>
    <w:p>
      <w:pPr>
        <w:pStyle w:val="Style37"/>
        <w:keepNext/>
        <w:keepLines/>
        <w:widowControl w:val="0"/>
        <w:shd w:val="clear" w:color="auto" w:fill="auto"/>
        <w:bidi w:val="0"/>
        <w:spacing w:before="0" w:line="240" w:lineRule="auto"/>
        <w:ind w:left="0" w:right="0" w:firstLine="0"/>
        <w:jc w:val="both"/>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95"/>
      <w:bookmarkEnd w:id="2096"/>
      <w:bookmarkEnd w:id="2097"/>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3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7"/>
        <w:keepNext/>
        <w:keepLines/>
        <w:widowControl w:val="0"/>
        <w:shd w:val="clear" w:color="auto" w:fill="auto"/>
        <w:bidi w:val="0"/>
        <w:spacing w:before="0" w:line="240" w:lineRule="auto"/>
        <w:ind w:left="0" w:right="0" w:firstLine="0"/>
        <w:jc w:val="both"/>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98"/>
      <w:bookmarkEnd w:id="2099"/>
      <w:bookmarkEnd w:id="2101"/>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1,050,621.00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1,050,621.00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7"/>
        <w:keepNext/>
        <w:keepLines/>
        <w:widowControl w:val="0"/>
        <w:shd w:val="clear" w:color="auto" w:fill="auto"/>
        <w:bidi w:val="0"/>
        <w:spacing w:before="0" w:line="240" w:lineRule="auto"/>
        <w:ind w:left="0" w:right="0" w:firstLine="0"/>
        <w:jc w:val="both"/>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02"/>
      <w:bookmarkEnd w:id="2103"/>
      <w:bookmarkEnd w:id="2105"/>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8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680" w:line="322" w:lineRule="exact"/>
        <w:ind w:left="0" w:right="0" w:firstLine="360"/>
        <w:jc w:val="both"/>
      </w:pPr>
      <w:r>
        <w:rPr>
          <w:color w:val="000000"/>
          <w:spacing w:val="0"/>
          <w:w w:val="100"/>
          <w:position w:val="0"/>
        </w:rPr>
        <w:t>公司全资子公司深圳市易联技术有限公司向兴业银行股份有限公司深圳后海支行借款人民币</w:t>
      </w:r>
      <w:r>
        <w:rPr>
          <w:color w:val="000000"/>
          <w:spacing w:val="0"/>
          <w:w w:val="100"/>
          <w:position w:val="0"/>
        </w:rPr>
        <w:t>1,600.00</w:t>
      </w:r>
      <w:r>
        <w:rPr>
          <w:color w:val="000000"/>
          <w:spacing w:val="0"/>
          <w:w w:val="100"/>
          <w:position w:val="0"/>
        </w:rPr>
        <w:t>万元，公司实际控 制人刘祥为该笔贷款提供担保。</w:t>
      </w:r>
    </w:p>
    <w:p>
      <w:pPr>
        <w:pStyle w:val="Style37"/>
        <w:keepNext/>
        <w:keepLines/>
        <w:widowControl w:val="0"/>
        <w:shd w:val="clear" w:color="auto" w:fill="auto"/>
        <w:bidi w:val="0"/>
        <w:spacing w:before="0" w:after="24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06"/>
      <w:bookmarkEnd w:id="2107"/>
      <w:bookmarkEnd w:id="2109"/>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10"/>
      <w:bookmarkEnd w:id="2111"/>
      <w:bookmarkEnd w:id="2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802"/>
        <w:gridCol w:w="1594"/>
        <w:gridCol w:w="1594"/>
        <w:gridCol w:w="802"/>
        <w:gridCol w:w="245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2114" w:name="bookmark211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11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4D4D4"/>
            <w:vAlign w:val="top"/>
          </w:tcPr>
          <w:p>
            <w:pPr>
              <w:widowControl w:val="0"/>
              <w:rPr>
                <w:sz w:val="10"/>
                <w:szCs w:val="10"/>
              </w:rPr>
            </w:pPr>
          </w:p>
        </w:tc>
        <w:tc>
          <w:tcPr>
            <w:gridSpan w:val="2"/>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115" w:name="bookmark2115"/>
      <w:bookmarkStart w:id="2116" w:name="bookmark2116"/>
      <w:bookmarkStart w:id="2117" w:name="bookmark2117"/>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5"/>
      <w:bookmarkEnd w:id="2116"/>
      <w:bookmarkEnd w:id="2117"/>
    </w:p>
    <w:p>
      <w:pPr>
        <w:pStyle w:val="Style33"/>
        <w:keepNext/>
        <w:keepLines/>
        <w:widowControl w:val="0"/>
        <w:shd w:val="clear" w:color="auto" w:fill="auto"/>
        <w:bidi w:val="0"/>
        <w:spacing w:before="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6</w:t>
      </w:r>
      <w:bookmarkEnd w:id="2120"/>
      <w:r>
        <w:rPr>
          <w:color w:val="000000"/>
          <w:spacing w:val="0"/>
          <w:w w:val="100"/>
          <w:position w:val="0"/>
        </w:rPr>
        <w:t>、关联方应收应付款项</w:t>
      </w:r>
      <w:bookmarkEnd w:id="2118"/>
      <w:bookmarkEnd w:id="2119"/>
      <w:bookmarkEnd w:id="2121"/>
    </w:p>
    <w:p>
      <w:pPr>
        <w:pStyle w:val="Style37"/>
        <w:keepNext/>
        <w:keepLines/>
        <w:widowControl w:val="0"/>
        <w:shd w:val="clear" w:color="auto" w:fill="auto"/>
        <w:bidi w:val="0"/>
        <w:spacing w:before="0" w:after="340" w:line="240" w:lineRule="auto"/>
        <w:ind w:left="0" w:right="0" w:firstLine="0"/>
        <w:jc w:val="left"/>
      </w:pPr>
      <w:bookmarkStart w:id="2122" w:name="bookmark2122"/>
      <w:bookmarkStart w:id="2123" w:name="bookmark2123"/>
      <w:bookmarkStart w:id="2124" w:name="bookmark2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2"/>
      <w:bookmarkEnd w:id="2123"/>
      <w:bookmarkEnd w:id="212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13"/>
        <w:gridCol w:w="1579"/>
        <w:gridCol w:w="1598"/>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深圳市瑞柏泰电子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w:t>
            </w:r>
          </w:p>
        </w:tc>
      </w:tr>
      <w:tr>
        <w:trPr>
          <w:trHeight w:val="725"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信美人寿相互保险 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5"/>
      <w:bookmarkEnd w:id="2126"/>
      <w:bookmarkEnd w:id="212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340" w:right="1108" w:bottom="1595" w:left="1105" w:header="0" w:footer="3" w:gutter="0"/>
          <w:cols w:space="720"/>
          <w:noEndnote/>
          <w:titlePg/>
          <w:rtlGutter w:val="0"/>
          <w:docGrid w:linePitch="360"/>
        </w:sectPr>
      </w:pPr>
    </w:p>
    <w:p>
      <w:pPr>
        <w:pStyle w:val="Style33"/>
        <w:keepNext/>
        <w:keepLines/>
        <w:widowControl w:val="0"/>
        <w:shd w:val="clear" w:color="auto" w:fill="auto"/>
        <w:tabs>
          <w:tab w:pos="373" w:val="left"/>
        </w:tabs>
        <w:bidi w:val="0"/>
        <w:spacing w:before="8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7</w:t>
      </w:r>
      <w:bookmarkEnd w:id="2130"/>
      <w:r>
        <w:rPr>
          <w:color w:val="000000"/>
          <w:spacing w:val="0"/>
          <w:w w:val="100"/>
          <w:position w:val="0"/>
        </w:rPr>
        <w:t>、</w:t>
        <w:tab/>
        <w:t>关联方承诺</w:t>
      </w:r>
      <w:bookmarkEnd w:id="2128"/>
      <w:bookmarkEnd w:id="2129"/>
      <w:bookmarkEnd w:id="2131"/>
    </w:p>
    <w:p>
      <w:pPr>
        <w:pStyle w:val="Style33"/>
        <w:keepNext/>
        <w:keepLines/>
        <w:widowControl w:val="0"/>
        <w:shd w:val="clear" w:color="auto" w:fill="auto"/>
        <w:tabs>
          <w:tab w:pos="378" w:val="left"/>
        </w:tabs>
        <w:bidi w:val="0"/>
        <w:spacing w:before="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8</w:t>
      </w:r>
      <w:bookmarkEnd w:id="2134"/>
      <w:r>
        <w:rPr>
          <w:color w:val="000000"/>
          <w:spacing w:val="0"/>
          <w:w w:val="100"/>
          <w:position w:val="0"/>
        </w:rPr>
        <w:t>、</w:t>
        <w:tab/>
        <w:t>其他</w:t>
      </w:r>
      <w:bookmarkEnd w:id="2132"/>
      <w:bookmarkEnd w:id="2133"/>
      <w:bookmarkEnd w:id="2135"/>
    </w:p>
    <w:p>
      <w:pPr>
        <w:pStyle w:val="Style25"/>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color w:val="000000"/>
          <w:spacing w:val="0"/>
          <w:w w:val="100"/>
          <w:position w:val="0"/>
          <w:sz w:val="24"/>
          <w:szCs w:val="24"/>
        </w:rPr>
        <w:t>十三、股份支付</w:t>
      </w:r>
      <w:bookmarkEnd w:id="2136"/>
      <w:bookmarkEnd w:id="2137"/>
      <w:bookmarkEnd w:id="2138"/>
    </w:p>
    <w:p>
      <w:pPr>
        <w:pStyle w:val="Style33"/>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9"/>
      <w:bookmarkEnd w:id="2140"/>
      <w:bookmarkEnd w:id="2141"/>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72,114,102.11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40" w:right="0" w:firstLine="0"/>
              <w:jc w:val="both"/>
            </w:pPr>
            <w:r>
              <w:rPr>
                <w:rFonts w:ascii="Times New Roman" w:eastAsia="Times New Roman" w:hAnsi="Times New Roman" w:cs="Times New Roman"/>
                <w:color w:val="000000"/>
                <w:spacing w:val="0"/>
                <w:w w:val="100"/>
                <w:position w:val="0"/>
              </w:rPr>
              <w:t>33,505,775.87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行权价格</w:t>
            </w:r>
            <w:r>
              <w:rPr>
                <w:rFonts w:ascii="Times New Roman" w:eastAsia="Times New Roman" w:hAnsi="Times New Roman" w:cs="Times New Roman"/>
                <w:color w:val="000000"/>
                <w:spacing w:val="0"/>
                <w:w w:val="100"/>
                <w:position w:val="0"/>
              </w:rPr>
              <w:t>7.535</w:t>
            </w:r>
            <w:r>
              <w:rPr>
                <w:color w:val="000000"/>
                <w:spacing w:val="0"/>
                <w:w w:val="100"/>
                <w:position w:val="0"/>
              </w:rPr>
              <w:t>元</w:t>
            </w:r>
            <w:r>
              <w:rPr>
                <w:color w:val="000000"/>
                <w:spacing w:val="0"/>
                <w:w w:val="100"/>
                <w:position w:val="0"/>
              </w:rPr>
              <w:t>，</w:t>
            </w:r>
            <w:r>
              <w:rPr>
                <w:color w:val="000000"/>
                <w:spacing w:val="0"/>
                <w:w w:val="100"/>
                <w:position w:val="0"/>
              </w:rPr>
              <w:t>期间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行权价格</w:t>
            </w:r>
            <w:r>
              <w:rPr>
                <w:rFonts w:ascii="Times New Roman" w:eastAsia="Times New Roman" w:hAnsi="Times New Roman" w:cs="Times New Roman"/>
                <w:color w:val="000000"/>
                <w:spacing w:val="0"/>
                <w:w w:val="100"/>
                <w:position w:val="0"/>
              </w:rPr>
              <w:t>31.73</w:t>
            </w:r>
            <w:r>
              <w:rPr>
                <w:color w:val="000000"/>
                <w:spacing w:val="0"/>
                <w:w w:val="100"/>
                <w:position w:val="0"/>
              </w:rPr>
              <w:t>元，期间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42"/>
      <w:bookmarkEnd w:id="2143"/>
      <w:bookmarkEnd w:id="2144"/>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按实际授予股票期权人数进行估计</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95,273,988.48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32,132,488.47</w:t>
            </w:r>
          </w:p>
        </w:tc>
      </w:tr>
    </w:tbl>
    <w:p>
      <w:pPr>
        <w:pStyle w:val="Style28"/>
        <w:keepNext w:val="0"/>
        <w:keepLines w:val="0"/>
        <w:widowControl w:val="0"/>
        <w:shd w:val="clear" w:color="auto" w:fill="auto"/>
        <w:bidi w:val="0"/>
        <w:spacing w:before="0" w:after="340" w:line="318" w:lineRule="exact"/>
        <w:ind w:left="0" w:right="0" w:firstLine="0"/>
        <w:jc w:val="both"/>
      </w:pPr>
      <w:r>
        <w:rPr>
          <w:color w:val="000000"/>
          <w:spacing w:val="0"/>
          <w:w w:val="100"/>
          <w:position w:val="0"/>
        </w:rPr>
        <w:t>其他说明</w:t>
      </w:r>
    </w:p>
    <w:p>
      <w:pPr>
        <w:pStyle w:val="Style33"/>
        <w:keepNext/>
        <w:keepLines/>
        <w:widowControl w:val="0"/>
        <w:shd w:val="clear" w:color="auto" w:fill="auto"/>
        <w:tabs>
          <w:tab w:pos="378" w:val="left"/>
        </w:tabs>
        <w:bidi w:val="0"/>
        <w:spacing w:before="0" w:after="280" w:line="240" w:lineRule="auto"/>
        <w:ind w:left="0" w:right="0" w:firstLine="0"/>
        <w:jc w:val="both"/>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w:t>
        <w:tab/>
        <w:t>以现金结算的股份支付情况</w:t>
      </w:r>
      <w:bookmarkEnd w:id="2145"/>
      <w:bookmarkEnd w:id="2146"/>
      <w:bookmarkEnd w:id="2148"/>
    </w:p>
    <w:p>
      <w:pPr>
        <w:pStyle w:val="Style28"/>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4</w:t>
      </w:r>
      <w:bookmarkEnd w:id="2151"/>
      <w:r>
        <w:rPr>
          <w:color w:val="000000"/>
          <w:spacing w:val="0"/>
          <w:w w:val="100"/>
          <w:position w:val="0"/>
        </w:rPr>
        <w:t>、</w:t>
        <w:tab/>
        <w:t>股份支付的修改、终止情况</w:t>
      </w:r>
      <w:bookmarkEnd w:id="2149"/>
      <w:bookmarkEnd w:id="2150"/>
      <w:bookmarkEnd w:id="2152"/>
    </w:p>
    <w:p>
      <w:pPr>
        <w:pStyle w:val="Style28"/>
        <w:keepNext w:val="0"/>
        <w:keepLines w:val="0"/>
        <w:widowControl w:val="0"/>
        <w:numPr>
          <w:ilvl w:val="0"/>
          <w:numId w:val="139"/>
        </w:numPr>
        <w:shd w:val="clear" w:color="auto" w:fill="auto"/>
        <w:bidi w:val="0"/>
        <w:spacing w:before="0" w:after="0" w:line="240" w:lineRule="auto"/>
        <w:ind w:left="0" w:right="0" w:firstLine="0"/>
        <w:jc w:val="both"/>
      </w:pPr>
      <w:bookmarkStart w:id="2153" w:name="bookmark2153"/>
      <w:bookmarkEnd w:id="2153"/>
      <w:r>
        <w:rPr>
          <w:color w:val="000000"/>
          <w:spacing w:val="0"/>
          <w:w w:val="100"/>
          <w:position w:val="0"/>
        </w:rPr>
        <w:t>第一轮股权激励</w:t>
      </w:r>
    </w:p>
    <w:p>
      <w:pPr>
        <w:pStyle w:val="Style2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本公司于2014年2月20日召开第二届董事会第十八次会议及第二届监事会第十六次会议审议通过了《关于〈深圳市新国都 技术股份有限公司2014年股票期权激励计划（草案）及摘要〉的议案》。</w:t>
      </w:r>
    </w:p>
    <w:p>
      <w:pPr>
        <w:pStyle w:val="Style28"/>
        <w:keepNext w:val="0"/>
        <w:keepLines w:val="0"/>
        <w:widowControl w:val="0"/>
        <w:shd w:val="clear" w:color="auto" w:fill="auto"/>
        <w:bidi w:val="0"/>
        <w:spacing w:before="0" w:after="340" w:line="318" w:lineRule="exact"/>
        <w:ind w:left="0" w:right="0" w:firstLine="380"/>
        <w:jc w:val="both"/>
      </w:pPr>
      <w:r>
        <w:rPr>
          <w:color w:val="000000"/>
          <w:spacing w:val="0"/>
          <w:w w:val="100"/>
          <w:position w:val="0"/>
        </w:rPr>
        <w:t>根据中国证监会的反馈意见，公司对股票期权激励计划（草案）及摘要进行了相应修订，并于2014年4月9日召开公司第 二届董事会第十九次会议及第二届监事会第十七次会议审议通过了《关于〈深圳市新国都技术股份有限公司2014年股票期权 激励计划（草案修订稿）及摘要 ＞的议案》，该激励计划经中国证监会备案无异议。</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本公司于2014年4月29日召开2014年第二次临时股东大会审议通过了《关于〈深圳市新国都技术股份有限公司2014年股票 期权激励计划（草案修订稿）及摘要＞的议案》、《关于〈深圳市新国都技术股份有限公司股票期权激励计划实施考核办法的 议案》、《关于〈深圳市新国都技术股份有限公司股票期权激励计划管理办法的议案》以及《关于提请股东大会授权董事会 办理公司股票期权激励计划相关事宜的议案》，董事会被授权确认激励对象参与股权激励计划的资格和条件，确定激励对象 名单及其授予数量，确定标的股权的授予价格；在激励对象符合条件时向激励对象授予股票并办理授予股票和解锁股票所必 需的全部事宜。</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本公司于2014年5月9日召开第三届董事会第二次会议审议通过了《关于调整股票期权激励计划激励对象名单及授予数量 的议案》和《关于向激励对象授予股票期权的议案》，并于当日召开第三届监事会第二次会议，审议通过了《关于核实公司 股票期权激励计划激励对象名单的议案》。</w:t>
      </w:r>
    </w:p>
    <w:p>
      <w:pPr>
        <w:pStyle w:val="Style28"/>
        <w:keepNext w:val="0"/>
        <w:keepLines w:val="0"/>
        <w:widowControl w:val="0"/>
        <w:shd w:val="clear" w:color="auto" w:fill="auto"/>
        <w:bidi w:val="0"/>
        <w:spacing w:before="0" w:after="0" w:line="331" w:lineRule="exact"/>
        <w:ind w:left="0" w:right="0" w:firstLine="380"/>
        <w:jc w:val="both"/>
      </w:pPr>
      <w:r>
        <w:rPr>
          <w:color w:val="000000"/>
          <w:spacing w:val="0"/>
          <w:w w:val="100"/>
          <w:position w:val="0"/>
        </w:rPr>
        <w:t>2014年7月3日，本公司公告了《关于股票期权激励计划首次授予完成登记的公告》。本公司于2015年1月26日召开第三 届董事会第七次会议及第三届监事会第七次会议审议通过了《关于注销部分已获授但尚未行权的股票期权的议案》。</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2015年2月2日，经中国证券登记结算有限责任公司深圳分公司审核确认，第三届董事会第七次会议审议通过的《关于注 销部分已获授但尚未行权的股票期权的议案》中五名离职人员的股票期权注销事宜已办理完毕。</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2015年6月19日，本公司召开第三届董事会第十三次（临时）会议审议通过《关于注销部分已获准行权但尚未行权的股 票期权的议案》：公司原激励对象马春海因个人原因辞职，已不符合激励条件，公司对马春海已获准行权但尚未行权的股票 期权24,000股进行注销。</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2015年12月29日，本公司召开第三届董事会第二十一次（临时）会议，审核通过《关于注销部分已获授股票期权的议案》： 本公司《2014年股票期权激励计划（草案修订稿）》原激励对象刘宁、斯淇、王景业、袁启明因个人原因辞职，已不符合激 励条件，对其已获授予的股票期权应由公司注销。本次调整后公司的股票期权数量为9,618,240股。</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2016年5月30日，公司召开第三届董事会第二十九次会议及第三届监事会第二十八次会议审议通过了《关于对2014年股 票期权激励计划已获授尚未行权股票期权行权价格进行调整的议案》，公司2015年度利润分配已于2016年5月20日实施完毕。 根据公司股东大会的授权及《2014年股票期权激励计划（草案修订稿）》的相关规定，公司将2014年股票期权激励计划已获 授尚未行权的股票期权行权价格由</w:t>
      </w:r>
      <w:r>
        <w:rPr>
          <w:color w:val="000000"/>
          <w:spacing w:val="0"/>
          <w:w w:val="100"/>
          <w:position w:val="0"/>
        </w:rPr>
        <w:t>7.585</w:t>
      </w:r>
      <w:r>
        <w:rPr>
          <w:color w:val="000000"/>
          <w:spacing w:val="0"/>
          <w:w w:val="100"/>
          <w:position w:val="0"/>
        </w:rPr>
        <w:t>元调整为</w:t>
      </w:r>
      <w:r>
        <w:rPr>
          <w:color w:val="000000"/>
          <w:spacing w:val="0"/>
          <w:w w:val="100"/>
          <w:position w:val="0"/>
        </w:rPr>
        <w:t>7.535</w:t>
      </w:r>
      <w:r>
        <w:rPr>
          <w:color w:val="000000"/>
          <w:spacing w:val="0"/>
          <w:w w:val="100"/>
          <w:position w:val="0"/>
        </w:rPr>
        <w:t>元。</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2016年12月28日，本公司召开第三届董事会第三十六次会议审议通过《关于注销部分已获授股票期权的议案》：本公司 《2014年股票期权激励计划（草案修订稿）》原激励对象李小泉、孙翀、雷平、付佳德、黄栩因个人原因辞职，已不符合激 励条件，对其已获授予的股票期权应由公司注销。本次调整后公司的股票期权数量为4,677,920股。</w:t>
      </w:r>
    </w:p>
    <w:p>
      <w:pPr>
        <w:pStyle w:val="Style28"/>
        <w:keepNext w:val="0"/>
        <w:keepLines w:val="0"/>
        <w:widowControl w:val="0"/>
        <w:numPr>
          <w:ilvl w:val="0"/>
          <w:numId w:val="139"/>
        </w:numPr>
        <w:shd w:val="clear" w:color="auto" w:fill="auto"/>
        <w:bidi w:val="0"/>
        <w:spacing w:before="0" w:after="0"/>
        <w:ind w:left="0" w:right="0" w:firstLine="0"/>
        <w:jc w:val="both"/>
      </w:pPr>
      <w:bookmarkStart w:id="2154" w:name="bookmark2154"/>
      <w:bookmarkEnd w:id="2154"/>
      <w:r>
        <w:rPr>
          <w:color w:val="000000"/>
          <w:spacing w:val="0"/>
          <w:w w:val="100"/>
          <w:position w:val="0"/>
        </w:rPr>
        <w:t>第二轮股权激励</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2015年12月1日，公司召开第三届董事会第二十次会议及第三届监事会第十九次会议审议通过了《审议〈关于深圳市新国 都技术股份有限公司2015年股票期权激励计划（草案）及摘要＞的议案》、《审议〈关于深圳市新国都技术股份有限公司2015 年股票期权激励计划管理办法〉的议案》、《审议〈关于深圳市新国都技术股份有限公司2015年股票期权激励计划实施考核办 法〉的议案》、《关于提请股东大会授权董事会办理公司2015年股票期权激励计划相关事宜的议案》。</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2015年12月17日，公司召开2015年第六次临时股东大会，审议通过了《审议〈关于深圳市新国都技术股份有限公司2015 年股票期权激励计划（草案）及摘要＞的议案》、《审议〈关于深圳市新国都技术股份有限公司2015年股票期权激励计划管理 办法〉的议案》、《审议〈关于深圳市新国都技术股份有限公司2015年股票期权激励计划实施考核办法 ＞的议案》、《关于提 请股东大会授权董事会办理公司2015年股票期权激励计划相关事宜的议案》，董事会被授权确认激励对象参与股权激励计划 的资格和条件，确定激励对象名单及其授予数量，确定标的股权的授予价格；在激励对象符合条件时向激励对象授予股票并 办理授予股票和解锁股票所必需的全部事宜。</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2016年5月30日，公司召开第三届董事会第二十九次会议及第三届监事会第二十八次会议审议通过了《关于对2015年股 票期权激励计划首次授予股票期权行权价格进行调整的议案》，公司2015年度利润分配已于2016年5月20日实施完毕。根据 公司股东大会的授权及《2015年股票期权激励计划（草案）》的相关规定，公司将2015年股票期权激励计划首次授予的股票 期权行权价格由</w:t>
      </w:r>
      <w:r>
        <w:rPr>
          <w:color w:val="000000"/>
          <w:spacing w:val="0"/>
          <w:w w:val="100"/>
          <w:position w:val="0"/>
        </w:rPr>
        <w:t xml:space="preserve">31. </w:t>
      </w:r>
      <w:r>
        <w:rPr>
          <w:color w:val="000000"/>
          <w:spacing w:val="0"/>
          <w:w w:val="100"/>
          <w:position w:val="0"/>
        </w:rPr>
        <w:t>78元调整为</w:t>
      </w:r>
      <w:r>
        <w:rPr>
          <w:color w:val="000000"/>
          <w:spacing w:val="0"/>
          <w:w w:val="100"/>
          <w:position w:val="0"/>
        </w:rPr>
        <w:t>31.73</w:t>
      </w:r>
      <w:r>
        <w:rPr>
          <w:color w:val="000000"/>
          <w:spacing w:val="0"/>
          <w:w w:val="100"/>
          <w:position w:val="0"/>
        </w:rPr>
        <w:t>元。</w:t>
      </w:r>
    </w:p>
    <w:p>
      <w:pPr>
        <w:pStyle w:val="Style28"/>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2016年12月28日，本公司召开第三届董事会第三十六次会议审议通过《关于注销部分已获授股票期权的议案》：公司《2015 年股票期权激励计划（草案）》原激励对象雷平、黄栩因个人原因辞职，已不符合激励条件，对其已获授予的股票期权应由 公司注销。本次调整后公司的股票期权数量为6,180,000股。</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2017年4月7日，本公司召开第三届董事会第四十次（临时）会议审议通过《关于注销2015年股票期权激励计划部分已获 授股票期权的议案》：公司《2015年股票期权激励计划（草案）》原激励对象许晖等28人因个人原因辞职，已不符合激励条 件，对其已获授予的股票期权应由公司注销。本次调整后公司的股票期权数量为4,420,000股。</w:t>
      </w:r>
    </w:p>
    <w:p>
      <w:pPr>
        <w:pStyle w:val="Style33"/>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5</w:t>
      </w:r>
      <w:bookmarkEnd w:id="2157"/>
      <w:r>
        <w:rPr>
          <w:color w:val="000000"/>
          <w:spacing w:val="0"/>
          <w:w w:val="100"/>
          <w:position w:val="0"/>
        </w:rPr>
        <w:t>、其他</w:t>
      </w:r>
      <w:bookmarkEnd w:id="2155"/>
      <w:bookmarkEnd w:id="2156"/>
      <w:bookmarkEnd w:id="2158"/>
    </w:p>
    <w:p>
      <w:pPr>
        <w:pStyle w:val="Style25"/>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color w:val="000000"/>
          <w:spacing w:val="0"/>
          <w:w w:val="100"/>
          <w:position w:val="0"/>
          <w:sz w:val="24"/>
          <w:szCs w:val="24"/>
        </w:rPr>
        <w:t>十四、承诺及或有事项</w:t>
      </w:r>
      <w:bookmarkEnd w:id="2159"/>
      <w:bookmarkEnd w:id="2160"/>
      <w:bookmarkEnd w:id="2161"/>
    </w:p>
    <w:p>
      <w:pPr>
        <w:pStyle w:val="Style33"/>
        <w:keepNext/>
        <w:keepLines/>
        <w:widowControl w:val="0"/>
        <w:shd w:val="clear" w:color="auto" w:fill="auto"/>
        <w:tabs>
          <w:tab w:pos="390" w:val="left"/>
        </w:tabs>
        <w:bidi w:val="0"/>
        <w:spacing w:before="0" w:after="2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1</w:t>
      </w:r>
      <w:bookmarkEnd w:id="2164"/>
      <w:r>
        <w:rPr>
          <w:color w:val="000000"/>
          <w:spacing w:val="0"/>
          <w:w w:val="100"/>
          <w:position w:val="0"/>
        </w:rPr>
        <w:t>、</w:t>
        <w:tab/>
        <w:t>重要承诺事项</w:t>
      </w:r>
      <w:bookmarkEnd w:id="2162"/>
      <w:bookmarkEnd w:id="2163"/>
      <w:bookmarkEnd w:id="2165"/>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本公司根据实际发展需要，向合格投资者公开发行人民币4亿元公司债券，募集资金用于偿还借款及补充流动资金。本 次债券由深圳市中小企业信用融资担保集团有限公司（以下简称“担保机构”）出具《关于为深圳市新国都技术股份有限公 司2015年公开发行公司债券（面向合格投资者）提供保证的担保函》，对债券存续年度内应支付的债券本金及利息、违约金、 损害赔偿金和实现债权的费用提供无条件不可撤销的连带责任保证担保。同时本公司及本公司控股子公司苏州新国都电子技 术有限公司（以下简称“苏州新国都”）向担保机构出具《承诺函》，以苏州新国都拥有合法处分权的土地以及其上建筑物 为公司向担保机构提供抵押反担保。</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除存在上述承诺事项外，截止2016年12月31日，本公司无其他应披露未披露的重要承诺事项。</w:t>
      </w:r>
    </w:p>
    <w:p>
      <w:pPr>
        <w:pStyle w:val="Style33"/>
        <w:keepNext/>
        <w:keepLines/>
        <w:widowControl w:val="0"/>
        <w:shd w:val="clear" w:color="auto" w:fill="auto"/>
        <w:tabs>
          <w:tab w:pos="390" w:val="left"/>
        </w:tabs>
        <w:bidi w:val="0"/>
        <w:spacing w:before="0" w:after="36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bookmarkEnd w:id="2168"/>
      <w:r>
        <w:rPr>
          <w:color w:val="000000"/>
          <w:spacing w:val="0"/>
          <w:w w:val="100"/>
          <w:position w:val="0"/>
        </w:rPr>
        <w:t>、</w:t>
        <w:tab/>
        <w:t>或有事项</w:t>
      </w:r>
      <w:bookmarkEnd w:id="2166"/>
      <w:bookmarkEnd w:id="2167"/>
      <w:bookmarkEnd w:id="2169"/>
    </w:p>
    <w:p>
      <w:pPr>
        <w:pStyle w:val="Style37"/>
        <w:keepNext/>
        <w:keepLines/>
        <w:widowControl w:val="0"/>
        <w:shd w:val="clear" w:color="auto" w:fill="auto"/>
        <w:tabs>
          <w:tab w:pos="488" w:val="left"/>
        </w:tabs>
        <w:bidi w:val="0"/>
        <w:spacing w:before="0" w:after="26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70"/>
      <w:bookmarkEnd w:id="2171"/>
      <w:bookmarkEnd w:id="2173"/>
    </w:p>
    <w:p>
      <w:pPr>
        <w:pStyle w:val="Style28"/>
        <w:keepNext w:val="0"/>
        <w:keepLines w:val="0"/>
        <w:widowControl w:val="0"/>
        <w:shd w:val="clear" w:color="auto" w:fill="auto"/>
        <w:tabs>
          <w:tab w:pos="704" w:val="left"/>
        </w:tabs>
        <w:bidi w:val="0"/>
        <w:spacing w:before="0" w:after="0" w:line="312" w:lineRule="exact"/>
        <w:ind w:left="0" w:right="0" w:firstLine="380"/>
        <w:jc w:val="both"/>
      </w:pPr>
      <w:bookmarkStart w:id="2174" w:name="bookmark2174"/>
      <w:r>
        <w:rPr>
          <w:color w:val="000000"/>
          <w:spacing w:val="0"/>
          <w:w w:val="100"/>
          <w:position w:val="0"/>
        </w:rPr>
        <w:t>1</w:t>
      </w:r>
      <w:bookmarkEnd w:id="2174"/>
      <w:r>
        <w:rPr>
          <w:color w:val="000000"/>
          <w:spacing w:val="0"/>
          <w:w w:val="100"/>
          <w:position w:val="0"/>
        </w:rPr>
        <w:t>、</w:t>
        <w:tab/>
        <w:t>本公司因合同纠纷起诉弘达上业（北京）科技有限公司，要求弘达上业（北京）科技有限公司支付货款</w:t>
      </w:r>
      <w:r>
        <w:rPr>
          <w:color w:val="000000"/>
          <w:spacing w:val="0"/>
          <w:w w:val="100"/>
          <w:position w:val="0"/>
        </w:rPr>
        <w:t xml:space="preserve">1,364,000.00 </w:t>
      </w:r>
      <w:r>
        <w:rPr>
          <w:color w:val="000000"/>
          <w:spacing w:val="0"/>
          <w:w w:val="100"/>
          <w:position w:val="0"/>
        </w:rPr>
        <w:t>元，北京市海淀区人民法院已受理此案。截止本报告日，该案件尚在一审过程中。</w:t>
      </w:r>
    </w:p>
    <w:p>
      <w:pPr>
        <w:pStyle w:val="Style28"/>
        <w:keepNext w:val="0"/>
        <w:keepLines w:val="0"/>
        <w:widowControl w:val="0"/>
        <w:shd w:val="clear" w:color="auto" w:fill="auto"/>
        <w:tabs>
          <w:tab w:pos="704" w:val="left"/>
        </w:tabs>
        <w:bidi w:val="0"/>
        <w:spacing w:before="0" w:after="0" w:line="322" w:lineRule="exact"/>
        <w:ind w:left="0" w:right="0" w:firstLine="380"/>
        <w:jc w:val="both"/>
      </w:pPr>
      <w:bookmarkStart w:id="2175" w:name="bookmark2175"/>
      <w:r>
        <w:rPr>
          <w:color w:val="000000"/>
          <w:spacing w:val="0"/>
          <w:w w:val="100"/>
          <w:position w:val="0"/>
        </w:rPr>
        <w:t>2</w:t>
      </w:r>
      <w:bookmarkEnd w:id="2175"/>
      <w:r>
        <w:rPr>
          <w:color w:val="000000"/>
          <w:spacing w:val="0"/>
          <w:w w:val="100"/>
          <w:position w:val="0"/>
        </w:rPr>
        <w:t>、</w:t>
        <w:tab/>
        <w:t>本公司因合同纠纷起诉青岛慧优众川信息技术有限公司，要求青岛慧优众川信息技术有限公司支付货款</w:t>
      </w:r>
      <w:r>
        <w:rPr>
          <w:color w:val="000000"/>
          <w:spacing w:val="0"/>
          <w:w w:val="100"/>
          <w:position w:val="0"/>
        </w:rPr>
        <w:t xml:space="preserve">1,666,630.00 </w:t>
      </w:r>
      <w:r>
        <w:rPr>
          <w:color w:val="000000"/>
          <w:spacing w:val="0"/>
          <w:w w:val="100"/>
          <w:position w:val="0"/>
        </w:rPr>
        <w:t>元及其逾期付款违约金，山东省青岛市人民法院已作出了民事判决，判决书文号为：（2016 ）鲁02民终513号。该判决尚在 执行过程中。</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除存在上述或有事项外，截止2016年12月31日，本公司无其他应披露未披露的重要或有事项。</w:t>
      </w:r>
    </w:p>
    <w:p>
      <w:pPr>
        <w:pStyle w:val="Style37"/>
        <w:keepNext/>
        <w:keepLines/>
        <w:widowControl w:val="0"/>
        <w:shd w:val="clear" w:color="auto" w:fill="auto"/>
        <w:tabs>
          <w:tab w:pos="488" w:val="left"/>
        </w:tabs>
        <w:bidi w:val="0"/>
        <w:spacing w:before="0" w:after="26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76"/>
      <w:bookmarkEnd w:id="2177"/>
      <w:bookmarkEnd w:id="2179"/>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90" w:val="left"/>
        </w:tabs>
        <w:bidi w:val="0"/>
        <w:spacing w:before="0" w:after="36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w:t>
        <w:tab/>
        <w:t>其他</w:t>
      </w:r>
      <w:bookmarkEnd w:id="2180"/>
      <w:bookmarkEnd w:id="2181"/>
      <w:bookmarkEnd w:id="2183"/>
    </w:p>
    <w:p>
      <w:pPr>
        <w:pStyle w:val="Style25"/>
        <w:keepNext/>
        <w:keepLines/>
        <w:widowControl w:val="0"/>
        <w:shd w:val="clear" w:color="auto" w:fill="auto"/>
        <w:bidi w:val="0"/>
        <w:spacing w:before="0" w:after="360" w:line="240" w:lineRule="auto"/>
        <w:ind w:left="0" w:right="0" w:firstLine="0"/>
        <w:jc w:val="left"/>
      </w:pPr>
      <w:bookmarkStart w:id="2184" w:name="bookmark2184"/>
      <w:bookmarkStart w:id="2185" w:name="bookmark2185"/>
      <w:bookmarkStart w:id="2186" w:name="bookmark2186"/>
      <w:r>
        <w:rPr>
          <w:color w:val="000000"/>
          <w:spacing w:val="0"/>
          <w:w w:val="100"/>
          <w:position w:val="0"/>
          <w:sz w:val="24"/>
          <w:szCs w:val="24"/>
        </w:rPr>
        <w:t>十五、资产负债表日后事项</w:t>
      </w:r>
      <w:bookmarkEnd w:id="2184"/>
      <w:bookmarkEnd w:id="2185"/>
      <w:bookmarkEnd w:id="2186"/>
    </w:p>
    <w:p>
      <w:pPr>
        <w:pStyle w:val="Style33"/>
        <w:keepNext/>
        <w:keepLines/>
        <w:widowControl w:val="0"/>
        <w:shd w:val="clear" w:color="auto" w:fill="auto"/>
        <w:bidi w:val="0"/>
        <w:spacing w:before="0" w:after="36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7"/>
      <w:bookmarkEnd w:id="2188"/>
      <w:bookmarkEnd w:id="21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6"/>
        <w:gridCol w:w="2294"/>
        <w:gridCol w:w="2390"/>
        <w:gridCol w:w="2386"/>
      </w:tblGrid>
      <w:tr>
        <w:trPr>
          <w:trHeight w:val="316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CCE8CF"/>
            <w:vAlign w:val="top"/>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公开发行股票申请获中国证 券监督管理委员会发行审核 委员会审核通过。本次非公 开发行股票数量合计不超过 </w:t>
            </w:r>
            <w:r>
              <w:rPr>
                <w:rFonts w:ascii="Times New Roman" w:eastAsia="Times New Roman" w:hAnsi="Times New Roman" w:cs="Times New Roman"/>
                <w:color w:val="000000"/>
                <w:spacing w:val="0"/>
                <w:w w:val="100"/>
                <w:position w:val="0"/>
              </w:rPr>
              <w:t>2,500</w:t>
            </w:r>
            <w:r>
              <w:rPr>
                <w:color w:val="000000"/>
                <w:spacing w:val="0"/>
                <w:w w:val="100"/>
                <w:position w:val="0"/>
              </w:rPr>
              <w:t>万股（含</w:t>
            </w:r>
            <w:r>
              <w:rPr>
                <w:rFonts w:ascii="Times New Roman" w:eastAsia="Times New Roman" w:hAnsi="Times New Roman" w:cs="Times New Roman"/>
                <w:color w:val="000000"/>
                <w:spacing w:val="0"/>
                <w:w w:val="100"/>
                <w:position w:val="0"/>
              </w:rPr>
              <w:t>2,500</w:t>
            </w:r>
            <w:r>
              <w:rPr>
                <w:color w:val="000000"/>
                <w:spacing w:val="0"/>
                <w:w w:val="100"/>
                <w:position w:val="0"/>
              </w:rPr>
              <w:t>万股）， 募集资金总额不超过</w:t>
            </w:r>
            <w:r>
              <w:rPr>
                <w:rFonts w:ascii="Times New Roman" w:eastAsia="Times New Roman" w:hAnsi="Times New Roman" w:cs="Times New Roman"/>
                <w:color w:val="000000"/>
                <w:spacing w:val="0"/>
                <w:w w:val="100"/>
                <w:position w:val="0"/>
              </w:rPr>
              <w:t xml:space="preserve">50,000 </w:t>
            </w:r>
            <w:r>
              <w:rPr>
                <w:color w:val="000000"/>
                <w:spacing w:val="0"/>
                <w:w w:val="100"/>
                <w:position w:val="0"/>
              </w:rPr>
              <w:t xml:space="preserve">万元，募集资金扣除发行费 用后将用于收购长沙公信诚 丰信息技术服务有限公司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5390"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利润分配</w:t>
            </w:r>
          </w:p>
        </w:tc>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 三届董事会第四十一次会 议，审议通过了《关于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年度利润分配的议案》：以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日经中国证 券登记结算有限责任公司登 记的总股本</w:t>
            </w:r>
            <w:r>
              <w:rPr>
                <w:rFonts w:ascii="Times New Roman" w:eastAsia="Times New Roman" w:hAnsi="Times New Roman" w:cs="Times New Roman"/>
                <w:color w:val="000000"/>
                <w:spacing w:val="0"/>
                <w:w w:val="100"/>
                <w:position w:val="0"/>
              </w:rPr>
              <w:t>235,481,280</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rPr>
              <w:t>0.6</w:t>
            </w:r>
            <w:r>
              <w:rPr>
                <w:color w:val="000000"/>
                <w:spacing w:val="0"/>
                <w:w w:val="100"/>
                <w:position w:val="0"/>
              </w:rPr>
              <w:t>元人民币（含 税），共分配</w:t>
            </w:r>
            <w:r>
              <w:rPr>
                <w:rFonts w:ascii="Times New Roman" w:eastAsia="Times New Roman" w:hAnsi="Times New Roman" w:cs="Times New Roman"/>
                <w:color w:val="000000"/>
                <w:spacing w:val="0"/>
                <w:w w:val="100"/>
                <w:position w:val="0"/>
              </w:rPr>
              <w:t>1,412.88768</w:t>
            </w:r>
            <w:r>
              <w:rPr>
                <w:color w:val="000000"/>
                <w:spacing w:val="0"/>
                <w:w w:val="100"/>
                <w:position w:val="0"/>
              </w:rPr>
              <w:t>万 元。分配方案公布后至实施 前，公司总股本由于可转债 转股、股份回购、股权激励 行权、再融资新增股份上市 等原因而发生变化的，分配 比例应当按照</w:t>
            </w:r>
            <w:r>
              <w:rPr>
                <w:rFonts w:ascii="Times New Roman" w:eastAsia="Times New Roman" w:hAnsi="Times New Roman" w:cs="Times New Roman"/>
                <w:color w:val="000000"/>
                <w:spacing w:val="0"/>
                <w:w w:val="100"/>
                <w:position w:val="0"/>
              </w:rPr>
              <w:t>“</w:t>
            </w:r>
            <w:r>
              <w:rPr>
                <w:color w:val="000000"/>
                <w:spacing w:val="0"/>
                <w:w w:val="100"/>
                <w:position w:val="0"/>
              </w:rPr>
              <w:t>分派总额不 变</w:t>
            </w:r>
            <w:r>
              <w:rPr>
                <w:rFonts w:ascii="Times New Roman" w:eastAsia="Times New Roman" w:hAnsi="Times New Roman" w:cs="Times New Roman"/>
                <w:color w:val="000000"/>
                <w:spacing w:val="0"/>
                <w:w w:val="100"/>
                <w:position w:val="0"/>
              </w:rPr>
              <w:t>”</w:t>
            </w:r>
            <w:r>
              <w:rPr>
                <w:color w:val="000000"/>
                <w:spacing w:val="0"/>
                <w:w w:val="100"/>
                <w:position w:val="0"/>
              </w:rPr>
              <w:t>的原则进行相应调整。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90"/>
      <w:bookmarkEnd w:id="2191"/>
      <w:bookmarkEnd w:id="21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14,128,876.80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14,128,876.80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3</w:t>
      </w:r>
      <w:bookmarkEnd w:id="2195"/>
      <w:r>
        <w:rPr>
          <w:color w:val="000000"/>
          <w:spacing w:val="0"/>
          <w:w w:val="100"/>
          <w:position w:val="0"/>
        </w:rPr>
        <w:t>、销售退回</w:t>
      </w:r>
      <w:bookmarkEnd w:id="2193"/>
      <w:bookmarkEnd w:id="2194"/>
      <w:bookmarkEnd w:id="2196"/>
    </w:p>
    <w:p>
      <w:pPr>
        <w:pStyle w:val="Style33"/>
        <w:keepNext/>
        <w:keepLines/>
        <w:widowControl w:val="0"/>
        <w:shd w:val="clear" w:color="auto" w:fill="auto"/>
        <w:bidi w:val="0"/>
        <w:spacing w:before="0" w:after="30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4</w:t>
      </w:r>
      <w:bookmarkEnd w:id="2199"/>
      <w:r>
        <w:rPr>
          <w:color w:val="000000"/>
          <w:spacing w:val="0"/>
          <w:w w:val="100"/>
          <w:position w:val="0"/>
        </w:rPr>
        <w:t>、其他资产负债表日后事项说明</w:t>
      </w:r>
      <w:bookmarkEnd w:id="2197"/>
      <w:bookmarkEnd w:id="2198"/>
      <w:bookmarkEnd w:id="2200"/>
    </w:p>
    <w:p>
      <w:pPr>
        <w:pStyle w:val="Style28"/>
        <w:keepNext w:val="0"/>
        <w:keepLines w:val="0"/>
        <w:widowControl w:val="0"/>
        <w:shd w:val="clear" w:color="auto" w:fill="auto"/>
        <w:tabs>
          <w:tab w:pos="704" w:val="left"/>
        </w:tabs>
        <w:bidi w:val="0"/>
        <w:spacing w:before="0" w:after="0" w:line="298" w:lineRule="exact"/>
        <w:ind w:left="0" w:right="0" w:firstLine="380"/>
        <w:jc w:val="both"/>
      </w:pPr>
      <w:bookmarkStart w:id="2201" w:name="bookmark2201"/>
      <w:r>
        <w:rPr>
          <w:color w:val="000000"/>
          <w:spacing w:val="0"/>
          <w:w w:val="100"/>
          <w:position w:val="0"/>
        </w:rPr>
        <w:t>1</w:t>
      </w:r>
      <w:bookmarkEnd w:id="2201"/>
      <w:r>
        <w:rPr>
          <w:color w:val="000000"/>
          <w:spacing w:val="0"/>
          <w:w w:val="100"/>
          <w:position w:val="0"/>
        </w:rPr>
        <w:t>、</w:t>
        <w:tab/>
        <w:t xml:space="preserve">公司参股子公司深圳嘉石大岩资本管理股份有限公司董事会决议，同意按股东持股比例以现金分配人民币 53,770, </w:t>
      </w:r>
      <w:r>
        <w:rPr>
          <w:color w:val="000000"/>
          <w:spacing w:val="0"/>
          <w:w w:val="100"/>
          <w:position w:val="0"/>
        </w:rPr>
        <w:t>000.0</w:t>
      </w:r>
      <w:r>
        <w:rPr>
          <w:color w:val="000000"/>
          <w:spacing w:val="0"/>
          <w:w w:val="100"/>
          <w:position w:val="0"/>
        </w:rPr>
        <w:t>0元，公司持有25%股权，可分配利润人民币</w:t>
      </w:r>
      <w:r>
        <w:rPr>
          <w:color w:val="000000"/>
          <w:spacing w:val="0"/>
          <w:w w:val="100"/>
          <w:position w:val="0"/>
        </w:rPr>
        <w:t>13,442,500.00</w:t>
      </w:r>
      <w:r>
        <w:rPr>
          <w:color w:val="000000"/>
          <w:spacing w:val="0"/>
          <w:w w:val="100"/>
          <w:position w:val="0"/>
        </w:rPr>
        <w:t>元。</w:t>
      </w:r>
    </w:p>
    <w:p>
      <w:pPr>
        <w:pStyle w:val="Style28"/>
        <w:keepNext w:val="0"/>
        <w:keepLines w:val="0"/>
        <w:widowControl w:val="0"/>
        <w:shd w:val="clear" w:color="auto" w:fill="auto"/>
        <w:tabs>
          <w:tab w:pos="704" w:val="left"/>
        </w:tabs>
        <w:bidi w:val="0"/>
        <w:spacing w:before="0" w:after="320" w:line="319" w:lineRule="exact"/>
        <w:ind w:left="0" w:right="0" w:firstLine="380"/>
        <w:jc w:val="both"/>
      </w:pPr>
      <w:bookmarkStart w:id="2202" w:name="bookmark2202"/>
      <w:r>
        <w:rPr>
          <w:color w:val="000000"/>
          <w:spacing w:val="0"/>
          <w:w w:val="100"/>
          <w:position w:val="0"/>
        </w:rPr>
        <w:t>2</w:t>
      </w:r>
      <w:bookmarkEnd w:id="2202"/>
      <w:r>
        <w:rPr>
          <w:color w:val="000000"/>
          <w:spacing w:val="0"/>
          <w:w w:val="100"/>
          <w:position w:val="0"/>
        </w:rPr>
        <w:t>、</w:t>
        <w:tab/>
        <w:t>公司全资子公司长沙公信诚丰信息技术服务有限公司及深圳市易联技术有限公司因业务需要于2017年3月17日共同出 资设立子公司长沙法度互联网科技有限公司，注册资本人民币</w:t>
      </w:r>
      <w:r>
        <w:rPr>
          <w:color w:val="000000"/>
          <w:spacing w:val="0"/>
          <w:w w:val="100"/>
          <w:position w:val="0"/>
        </w:rPr>
        <w:t>1,000.00</w:t>
      </w:r>
      <w:r>
        <w:rPr>
          <w:color w:val="000000"/>
          <w:spacing w:val="0"/>
          <w:w w:val="100"/>
          <w:position w:val="0"/>
        </w:rPr>
        <w:t>万元，经营范围：互联网信息技术咨询、信息技术咨 询；信息技术咨询服务；计算机技术咨询；计算机技术开发、技术服务；软件开发。</w:t>
      </w:r>
    </w:p>
    <w:p>
      <w:pPr>
        <w:pStyle w:val="Style25"/>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color w:val="000000"/>
          <w:spacing w:val="0"/>
          <w:w w:val="100"/>
          <w:position w:val="0"/>
          <w:sz w:val="24"/>
          <w:szCs w:val="24"/>
        </w:rPr>
        <w:t>十六、其他重要事项</w:t>
      </w:r>
      <w:bookmarkEnd w:id="2203"/>
      <w:bookmarkEnd w:id="2204"/>
      <w:bookmarkEnd w:id="2205"/>
    </w:p>
    <w:p>
      <w:pPr>
        <w:pStyle w:val="Style33"/>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06"/>
      <w:bookmarkEnd w:id="2207"/>
      <w:bookmarkEnd w:id="2208"/>
    </w:p>
    <w:p>
      <w:pPr>
        <w:pStyle w:val="Style37"/>
        <w:keepNext/>
        <w:keepLines/>
        <w:widowControl w:val="0"/>
        <w:shd w:val="clear" w:color="auto" w:fill="auto"/>
        <w:bidi w:val="0"/>
        <w:spacing w:before="0" w:after="380" w:line="240" w:lineRule="auto"/>
        <w:ind w:left="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09"/>
      <w:bookmarkEnd w:id="2210"/>
      <w:bookmarkEnd w:id="221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12"/>
      <w:bookmarkEnd w:id="2213"/>
      <w:bookmarkEnd w:id="2214"/>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2</w:t>
      </w:r>
      <w:bookmarkEnd w:id="2217"/>
      <w:r>
        <w:rPr>
          <w:color w:val="000000"/>
          <w:spacing w:val="0"/>
          <w:w w:val="100"/>
          <w:position w:val="0"/>
        </w:rPr>
        <w:t>、</w:t>
        <w:tab/>
        <w:t>债务重组</w:t>
      </w:r>
      <w:bookmarkEnd w:id="2215"/>
      <w:bookmarkEnd w:id="2216"/>
      <w:bookmarkEnd w:id="2218"/>
    </w:p>
    <w:p>
      <w:pPr>
        <w:pStyle w:val="Style33"/>
        <w:keepNext/>
        <w:keepLines/>
        <w:widowControl w:val="0"/>
        <w:shd w:val="clear" w:color="auto" w:fill="auto"/>
        <w:tabs>
          <w:tab w:pos="378" w:val="left"/>
        </w:tabs>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3</w:t>
      </w:r>
      <w:bookmarkEnd w:id="2221"/>
      <w:r>
        <w:rPr>
          <w:color w:val="000000"/>
          <w:spacing w:val="0"/>
          <w:w w:val="100"/>
          <w:position w:val="0"/>
        </w:rPr>
        <w:t>、</w:t>
        <w:tab/>
        <w:t>资产置换</w:t>
      </w:r>
      <w:bookmarkEnd w:id="2219"/>
      <w:bookmarkEnd w:id="2220"/>
      <w:bookmarkEnd w:id="2222"/>
    </w:p>
    <w:p>
      <w:pPr>
        <w:pStyle w:val="Style37"/>
        <w:keepNext/>
        <w:keepLines/>
        <w:widowControl w:val="0"/>
        <w:shd w:val="clear" w:color="auto" w:fill="auto"/>
        <w:tabs>
          <w:tab w:pos="488" w:val="left"/>
        </w:tabs>
        <w:bidi w:val="0"/>
        <w:spacing w:before="0" w:after="34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23"/>
      <w:bookmarkEnd w:id="2224"/>
      <w:bookmarkEnd w:id="2226"/>
    </w:p>
    <w:p>
      <w:pPr>
        <w:pStyle w:val="Style37"/>
        <w:keepNext/>
        <w:keepLines/>
        <w:widowControl w:val="0"/>
        <w:shd w:val="clear" w:color="auto" w:fill="auto"/>
        <w:tabs>
          <w:tab w:pos="488" w:val="left"/>
        </w:tabs>
        <w:bidi w:val="0"/>
        <w:spacing w:before="0" w:after="34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w:t>
      </w:r>
      <w:bookmarkEnd w:id="222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7"/>
      <w:bookmarkEnd w:id="2228"/>
      <w:bookmarkEnd w:id="2230"/>
    </w:p>
    <w:p>
      <w:pPr>
        <w:pStyle w:val="Style33"/>
        <w:keepNext/>
        <w:keepLines/>
        <w:widowControl w:val="0"/>
        <w:shd w:val="clear" w:color="auto" w:fill="auto"/>
        <w:tabs>
          <w:tab w:pos="378" w:val="left"/>
        </w:tabs>
        <w:bidi w:val="0"/>
        <w:spacing w:before="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4</w:t>
      </w:r>
      <w:bookmarkEnd w:id="2233"/>
      <w:r>
        <w:rPr>
          <w:color w:val="000000"/>
          <w:spacing w:val="0"/>
          <w:w w:val="100"/>
          <w:position w:val="0"/>
        </w:rPr>
        <w:t>、</w:t>
        <w:tab/>
        <w:t>年金计划</w:t>
      </w:r>
      <w:bookmarkEnd w:id="2231"/>
      <w:bookmarkEnd w:id="2232"/>
      <w:bookmarkEnd w:id="2234"/>
    </w:p>
    <w:p>
      <w:pPr>
        <w:pStyle w:val="Style33"/>
        <w:keepNext/>
        <w:keepLines/>
        <w:widowControl w:val="0"/>
        <w:shd w:val="clear" w:color="auto" w:fill="auto"/>
        <w:tabs>
          <w:tab w:pos="378" w:val="left"/>
        </w:tabs>
        <w:bidi w:val="0"/>
        <w:spacing w:before="0" w:after="38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5</w:t>
      </w:r>
      <w:bookmarkEnd w:id="2237"/>
      <w:r>
        <w:rPr>
          <w:color w:val="000000"/>
          <w:spacing w:val="0"/>
          <w:w w:val="100"/>
          <w:position w:val="0"/>
        </w:rPr>
        <w:t>、</w:t>
        <w:tab/>
        <w:t>终止经营</w:t>
      </w:r>
      <w:bookmarkEnd w:id="2235"/>
      <w:bookmarkEnd w:id="2236"/>
      <w:bookmarkEnd w:id="223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6</w:t>
      </w:r>
      <w:bookmarkEnd w:id="2241"/>
      <w:r>
        <w:rPr>
          <w:color w:val="000000"/>
          <w:spacing w:val="0"/>
          <w:w w:val="100"/>
          <w:position w:val="0"/>
        </w:rPr>
        <w:t>、分部信息</w:t>
      </w:r>
      <w:bookmarkEnd w:id="2239"/>
      <w:bookmarkEnd w:id="2240"/>
      <w:bookmarkEnd w:id="2242"/>
    </w:p>
    <w:p>
      <w:pPr>
        <w:pStyle w:val="Style37"/>
        <w:keepNext/>
        <w:keepLines/>
        <w:widowControl w:val="0"/>
        <w:shd w:val="clear" w:color="auto" w:fill="auto"/>
        <w:tabs>
          <w:tab w:pos="488" w:val="left"/>
        </w:tabs>
        <w:bidi w:val="0"/>
        <w:spacing w:before="0" w:after="34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43"/>
      <w:bookmarkEnd w:id="2244"/>
      <w:bookmarkEnd w:id="2246"/>
    </w:p>
    <w:p>
      <w:pPr>
        <w:pStyle w:val="Style37"/>
        <w:keepNext/>
        <w:keepLines/>
        <w:widowControl w:val="0"/>
        <w:shd w:val="clear" w:color="auto" w:fill="auto"/>
        <w:tabs>
          <w:tab w:pos="488" w:val="left"/>
        </w:tabs>
        <w:bidi w:val="0"/>
        <w:spacing w:before="0" w:after="380" w:line="240" w:lineRule="auto"/>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w:t>
      </w:r>
      <w:bookmarkEnd w:id="224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47"/>
      <w:bookmarkEnd w:id="2248"/>
      <w:bookmarkEnd w:id="225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86"/>
        <w:gridCol w:w="2419"/>
        <w:gridCol w:w="2381"/>
        <w:gridCol w:w="2400"/>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7"/>
        <w:keepNext/>
        <w:keepLines/>
        <w:widowControl w:val="0"/>
        <w:shd w:val="clear" w:color="auto" w:fill="auto"/>
        <w:tabs>
          <w:tab w:pos="488" w:val="left"/>
        </w:tabs>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51"/>
      <w:bookmarkEnd w:id="2252"/>
      <w:bookmarkEnd w:id="2254"/>
    </w:p>
    <w:p>
      <w:pPr>
        <w:pStyle w:val="Style37"/>
        <w:keepNext/>
        <w:keepLines/>
        <w:widowControl w:val="0"/>
        <w:shd w:val="clear" w:color="auto" w:fill="auto"/>
        <w:tabs>
          <w:tab w:pos="488" w:val="left"/>
        </w:tabs>
        <w:bidi w:val="0"/>
        <w:spacing w:before="0" w:after="34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55"/>
      <w:bookmarkEnd w:id="2256"/>
      <w:bookmarkEnd w:id="2258"/>
    </w:p>
    <w:p>
      <w:pPr>
        <w:pStyle w:val="Style33"/>
        <w:keepNext/>
        <w:keepLines/>
        <w:widowControl w:val="0"/>
        <w:shd w:val="clear" w:color="auto" w:fill="auto"/>
        <w:tabs>
          <w:tab w:pos="373" w:val="left"/>
        </w:tabs>
        <w:bidi w:val="0"/>
        <w:spacing w:before="0" w:after="24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7</w:t>
      </w:r>
      <w:bookmarkEnd w:id="2261"/>
      <w:r>
        <w:rPr>
          <w:color w:val="000000"/>
          <w:spacing w:val="0"/>
          <w:w w:val="100"/>
          <w:position w:val="0"/>
        </w:rPr>
        <w:t>、</w:t>
        <w:tab/>
        <w:t>其他对投资者决策有影响的重要交易和事项</w:t>
      </w:r>
      <w:bookmarkEnd w:id="2259"/>
      <w:bookmarkEnd w:id="2260"/>
      <w:bookmarkEnd w:id="2262"/>
    </w:p>
    <w:p>
      <w:pPr>
        <w:pStyle w:val="Style28"/>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2016年3月29日公司召开第三届董事会第二十五次（临时）会议，审议通过了《关于拟与关联方共同参与发起设立公开 募集证券投资基金管理有限公司暨关联交易的议案》：公司拟使用自有资金人民币</w:t>
      </w:r>
      <w:r>
        <w:rPr>
          <w:color w:val="000000"/>
          <w:spacing w:val="0"/>
          <w:w w:val="100"/>
          <w:position w:val="0"/>
        </w:rPr>
        <w:t>3,000.00</w:t>
      </w:r>
      <w:r>
        <w:rPr>
          <w:color w:val="000000"/>
          <w:spacing w:val="0"/>
          <w:w w:val="100"/>
          <w:position w:val="0"/>
        </w:rPr>
        <w:t>万元，与公司关联股东刘亚先生、 开源证券股份有限公司、陕西炼石有色资源股份有限公司、上海投杉投资管理合伙企业（有限合伙）、张政先生共同出资人 民币</w:t>
      </w:r>
      <w:r>
        <w:rPr>
          <w:color w:val="000000"/>
          <w:spacing w:val="0"/>
          <w:w w:val="100"/>
          <w:position w:val="0"/>
        </w:rPr>
        <w:t>15,000.0</w:t>
      </w:r>
      <w:r>
        <w:rPr>
          <w:color w:val="000000"/>
          <w:spacing w:val="0"/>
          <w:w w:val="100"/>
          <w:position w:val="0"/>
        </w:rPr>
        <w:t>0万元发起设立一家公开募集证券投资基金管理有限公司。其中：本公司出资人民币</w:t>
      </w:r>
      <w:r>
        <w:rPr>
          <w:color w:val="000000"/>
          <w:spacing w:val="0"/>
          <w:w w:val="100"/>
          <w:position w:val="0"/>
        </w:rPr>
        <w:t>3,000.00</w:t>
      </w:r>
      <w:r>
        <w:rPr>
          <w:color w:val="000000"/>
          <w:spacing w:val="0"/>
          <w:w w:val="100"/>
          <w:position w:val="0"/>
        </w:rPr>
        <w:t>万元，占该基金 管理公司注册资本总额的20.00%。；刘亚先生出资人民币</w:t>
      </w:r>
      <w:r>
        <w:rPr>
          <w:color w:val="000000"/>
          <w:spacing w:val="0"/>
          <w:w w:val="100"/>
          <w:position w:val="0"/>
        </w:rPr>
        <w:t>735.00</w:t>
      </w:r>
      <w:r>
        <w:rPr>
          <w:color w:val="000000"/>
          <w:spacing w:val="0"/>
          <w:w w:val="100"/>
          <w:position w:val="0"/>
        </w:rPr>
        <w:t>万元，占该基金管理公司注册资本总额的4.90%。该基金管 理公司经营范围为：基金募集、基金销售、资产管理、特定客户资产管理和中国证监会许可的其他业务（基金公司的经营范 围以中国证监会和公司登记机关最终核准的经营范围为准）。截止本报告日，该基金管理公司尚未设立。</w:t>
      </w:r>
    </w:p>
    <w:p>
      <w:pPr>
        <w:pStyle w:val="Style33"/>
        <w:keepNext/>
        <w:keepLines/>
        <w:widowControl w:val="0"/>
        <w:shd w:val="clear" w:color="auto" w:fill="auto"/>
        <w:tabs>
          <w:tab w:pos="378" w:val="left"/>
        </w:tabs>
        <w:bidi w:val="0"/>
        <w:spacing w:before="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8</w:t>
      </w:r>
      <w:bookmarkEnd w:id="2265"/>
      <w:r>
        <w:rPr>
          <w:color w:val="000000"/>
          <w:spacing w:val="0"/>
          <w:w w:val="100"/>
          <w:position w:val="0"/>
        </w:rPr>
        <w:t>、</w:t>
        <w:tab/>
        <w:t>其他</w:t>
      </w:r>
      <w:bookmarkEnd w:id="2263"/>
      <w:bookmarkEnd w:id="2264"/>
      <w:bookmarkEnd w:id="2266"/>
    </w:p>
    <w:p>
      <w:pPr>
        <w:pStyle w:val="Style25"/>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r>
        <w:rPr>
          <w:color w:val="000000"/>
          <w:spacing w:val="0"/>
          <w:w w:val="100"/>
          <w:position w:val="0"/>
          <w:sz w:val="24"/>
          <w:szCs w:val="24"/>
        </w:rPr>
        <w:t>十七、母公司财务报表主要项目注释</w:t>
      </w:r>
      <w:bookmarkEnd w:id="2267"/>
      <w:bookmarkEnd w:id="2268"/>
      <w:bookmarkEnd w:id="2269"/>
    </w:p>
    <w:p>
      <w:pPr>
        <w:pStyle w:val="Style33"/>
        <w:keepNext/>
        <w:keepLines/>
        <w:widowControl w:val="0"/>
        <w:shd w:val="clear" w:color="auto" w:fill="auto"/>
        <w:bidi w:val="0"/>
        <w:spacing w:before="0" w:line="240" w:lineRule="auto"/>
        <w:ind w:left="0" w:right="0" w:firstLine="0"/>
        <w:jc w:val="left"/>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70"/>
      <w:bookmarkEnd w:id="2271"/>
      <w:bookmarkEnd w:id="2272"/>
    </w:p>
    <w:p>
      <w:pPr>
        <w:pStyle w:val="Style37"/>
        <w:keepNext/>
        <w:keepLines/>
        <w:widowControl w:val="0"/>
        <w:shd w:val="clear" w:color="auto" w:fill="auto"/>
        <w:bidi w:val="0"/>
        <w:spacing w:before="0" w:after="340" w:line="240" w:lineRule="auto"/>
        <w:ind w:left="0" w:right="0" w:firstLine="0"/>
        <w:jc w:val="left"/>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73"/>
      <w:bookmarkEnd w:id="2274"/>
      <w:bookmarkEnd w:id="22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113,366,</w:t>
            </w:r>
          </w:p>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2,963,73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110,402,6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364,739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22,047,72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342,691,46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113,366,</w:t>
            </w:r>
          </w:p>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2,963,73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110,402,6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364,739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22,047,72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342,691,46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9"/>
        <w:gridCol w:w="2390"/>
        <w:gridCol w:w="2400"/>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59,274,622.99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2,963,731.15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w:t>
            </w:r>
          </w:p>
        </w:tc>
      </w:tr>
    </w:tbl>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59,274,622.99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2,963,731.15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7"/>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6"/>
      <w:bookmarkEnd w:id="2277"/>
      <w:bookmarkEnd w:id="227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3,347,361.79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22,431,355.82</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母公司将与</w:t>
      </w:r>
      <w:r>
        <w:rPr>
          <w:rFonts w:ascii="Times New Roman" w:eastAsia="Times New Roman" w:hAnsi="Times New Roman" w:cs="Times New Roman"/>
          <w:color w:val="000000"/>
          <w:spacing w:val="0"/>
          <w:w w:val="100"/>
          <w:position w:val="0"/>
        </w:rPr>
        <w:t>POS</w:t>
      </w:r>
      <w:r>
        <w:rPr>
          <w:color w:val="000000"/>
          <w:spacing w:val="0"/>
          <w:w w:val="100"/>
          <w:position w:val="0"/>
        </w:rPr>
        <w:t>业务相关的应收账款及坏账准备金额切换至支付子公司</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79"/>
      <w:bookmarkEnd w:id="2280"/>
      <w:bookmarkEnd w:id="228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60"/>
        <w:gridCol w:w="1608"/>
        <w:gridCol w:w="1622"/>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83"/>
      <w:bookmarkEnd w:id="2284"/>
      <w:bookmarkEnd w:id="2286"/>
    </w:p>
    <w:tbl>
      <w:tblPr>
        <w:tblOverlap w:val="never"/>
        <w:jc w:val="center"/>
        <w:tblLayout w:type="fixed"/>
      </w:tblPr>
      <w:tblGrid>
        <w:gridCol w:w="3014"/>
        <w:gridCol w:w="1834"/>
        <w:gridCol w:w="1498"/>
        <w:gridCol w:w="1032"/>
        <w:gridCol w:w="1565"/>
      </w:tblGrid>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 总额的比例</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深圳市新国都支付技术有限公司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43,044,829.12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37.97%</w:t>
            </w:r>
          </w:p>
        </w:tc>
      </w:tr>
      <w:tr>
        <w:trP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12,224,275.82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10.78%</w:t>
            </w:r>
          </w:p>
        </w:tc>
      </w:tr>
      <w:tr>
        <w:trPr>
          <w:trHeight w:val="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11,046,960.84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w:t>
            </w:r>
          </w:p>
        </w:tc>
      </w:tr>
      <w:tr>
        <w:trPr>
          <w:trHeight w:val="31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8,855,785.83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w:t>
            </w:r>
          </w:p>
        </w:tc>
      </w:tr>
      <w:tr>
        <w:trPr>
          <w:trHeight w:val="3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7,652,720.00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82,824,571.61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73.05%</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w:t>
      </w:r>
      <w:bookmarkEnd w:id="228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287"/>
      <w:bookmarkEnd w:id="2288"/>
      <w:bookmarkEnd w:id="2290"/>
    </w:p>
    <w:p>
      <w:pPr>
        <w:pStyle w:val="Style37"/>
        <w:keepNext/>
        <w:keepLines/>
        <w:widowControl w:val="0"/>
        <w:shd w:val="clear" w:color="auto" w:fill="auto"/>
        <w:bidi w:val="0"/>
        <w:spacing w:before="0" w:line="240" w:lineRule="auto"/>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w:t>
      </w:r>
      <w:bookmarkEnd w:id="2293"/>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291"/>
      <w:bookmarkEnd w:id="2292"/>
      <w:bookmarkEnd w:id="22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95"/>
      <w:bookmarkEnd w:id="2296"/>
      <w:bookmarkEnd w:id="2297"/>
    </w:p>
    <w:p>
      <w:pPr>
        <w:pStyle w:val="Style37"/>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98"/>
      <w:bookmarkEnd w:id="2299"/>
      <w:bookmarkEnd w:id="23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47,046,2</w:t>
            </w:r>
          </w:p>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4,384,38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42,661,90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6,331,9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2,386,086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3,945,894.8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47,046,2</w:t>
            </w:r>
          </w:p>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4,384,38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42,661,90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6,331,9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2,386,086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3,945,894.8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37,481,379.45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1,874,068.97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1,896,687.00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379,337.40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271,325.24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135,662.62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1,995,315.94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1,995,315.94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41,644,707.63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4,384,384.93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1"/>
      <w:bookmarkEnd w:id="2302"/>
      <w:bookmarkEnd w:id="230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1,998,298.40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w:t>
      </w:r>
      <w:bookmarkEnd w:id="230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304"/>
      <w:bookmarkEnd w:id="2305"/>
      <w:bookmarkEnd w:id="230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60"/>
        <w:gridCol w:w="1618"/>
        <w:gridCol w:w="1613"/>
      </w:tblGrid>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shd w:val="clear" w:color="auto" w:fill="auto"/>
        <w:bidi w:val="0"/>
        <w:spacing w:before="0" w:line="240" w:lineRule="auto"/>
        <w:ind w:left="0" w:right="0" w:firstLine="0"/>
        <w:jc w:val="left"/>
      </w:pPr>
      <w:bookmarkStart w:id="2308" w:name="bookmark2308"/>
      <w:bookmarkStart w:id="2309" w:name="bookmark2309"/>
      <w:bookmarkStart w:id="2310" w:name="bookmark2310"/>
      <w:bookmarkStart w:id="2311" w:name="bookmark2311"/>
      <w:r>
        <w:rPr>
          <w:color w:val="000000"/>
          <w:spacing w:val="0"/>
          <w:w w:val="100"/>
          <w:position w:val="0"/>
        </w:rPr>
        <w:t>（</w:t>
      </w:r>
      <w:bookmarkEnd w:id="231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308"/>
      <w:bookmarkEnd w:id="2309"/>
      <w:bookmarkEnd w:id="231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职员借款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739,443.17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1,451,252.27</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12,127,583.19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4,568,093.05</w:t>
            </w:r>
          </w:p>
        </w:tc>
      </w:tr>
      <w:tr>
        <w:trPr>
          <w:trHeight w:val="398"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177,681.27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312,636.01</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5,401,586.79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47,046,294.42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6,331,981.33</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312"/>
      <w:bookmarkEnd w:id="2313"/>
      <w:bookmarkEnd w:id="231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5"/>
        <w:gridCol w:w="1613"/>
        <w:gridCol w:w="1622"/>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深圳市柏士泰科技有 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28,600,000.00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1,430,000.00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信美人寿相互保险社</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深圳市新国都支付技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5,401,586.79</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北京市海淀区人民法 院</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1,464,000.00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292,800.00</w:t>
            </w:r>
          </w:p>
        </w:tc>
      </w:tr>
      <w:tr>
        <w:trPr>
          <w:trHeight w:val="403"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麦启光</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1,159,920.00</w:t>
            </w:r>
          </w:p>
        </w:tc>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1,159,920.00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44,125,506.79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3,257,720.00</w:t>
            </w:r>
          </w:p>
        </w:tc>
      </w:tr>
    </w:tbl>
    <w:p>
      <w:pPr>
        <w:spacing w:lineRule="exact" w:line="1"/>
        <w:rPr>
          <w:sz w:val="2"/>
          <w:szCs w:val="2"/>
        </w:rPr>
      </w:pPr>
      <w:r>
        <w:br w:type="page"/>
      </w:r>
    </w:p>
    <w:p>
      <w:pPr>
        <w:pStyle w:val="Style37"/>
        <w:keepNext/>
        <w:keepLines/>
        <w:widowControl w:val="0"/>
        <w:numPr>
          <w:ilvl w:val="0"/>
          <w:numId w:val="141"/>
        </w:numPr>
        <w:shd w:val="clear" w:color="auto" w:fill="auto"/>
        <w:bidi w:val="0"/>
        <w:spacing w:before="0" w:after="380" w:line="240" w:lineRule="auto"/>
        <w:ind w:left="0" w:right="0" w:firstLine="140"/>
        <w:jc w:val="left"/>
      </w:pPr>
      <w:bookmarkStart w:id="2316" w:name="bookmark2316"/>
      <w:bookmarkStart w:id="2317" w:name="bookmark2317"/>
      <w:bookmarkStart w:id="2318" w:name="bookmark2318"/>
      <w:bookmarkStart w:id="2319" w:name="bookmark2319"/>
      <w:bookmarkEnd w:id="2318"/>
      <w:r>
        <w:rPr>
          <w:color w:val="000000"/>
          <w:spacing w:val="0"/>
          <w:w w:val="100"/>
          <w:position w:val="0"/>
        </w:rPr>
        <w:t>涉及政府补助的应收款项</w:t>
      </w:r>
      <w:bookmarkEnd w:id="2316"/>
      <w:bookmarkEnd w:id="2317"/>
      <w:bookmarkEnd w:id="23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7"/>
        <w:keepNext/>
        <w:keepLines/>
        <w:widowControl w:val="0"/>
        <w:numPr>
          <w:ilvl w:val="0"/>
          <w:numId w:val="141"/>
        </w:numPr>
        <w:shd w:val="clear" w:color="auto" w:fill="auto"/>
        <w:tabs>
          <w:tab w:pos="488" w:val="left"/>
        </w:tabs>
        <w:bidi w:val="0"/>
        <w:spacing w:before="0" w:after="340" w:line="240" w:lineRule="auto"/>
        <w:ind w:left="0" w:right="0" w:firstLine="0"/>
        <w:jc w:val="both"/>
      </w:pPr>
      <w:bookmarkStart w:id="2320" w:name="bookmark2320"/>
      <w:bookmarkStart w:id="2321" w:name="bookmark2321"/>
      <w:bookmarkStart w:id="2322" w:name="bookmark2322"/>
      <w:bookmarkStart w:id="2323" w:name="bookmark2323"/>
      <w:bookmarkEnd w:id="2322"/>
      <w:r>
        <w:rPr>
          <w:color w:val="000000"/>
          <w:spacing w:val="0"/>
          <w:w w:val="100"/>
          <w:position w:val="0"/>
        </w:rPr>
        <w:t>因金融资产转移而终止确认的其他应收款</w:t>
      </w:r>
      <w:bookmarkEnd w:id="2320"/>
      <w:bookmarkEnd w:id="2321"/>
      <w:bookmarkEnd w:id="2323"/>
    </w:p>
    <w:p>
      <w:pPr>
        <w:pStyle w:val="Style37"/>
        <w:keepNext/>
        <w:keepLines/>
        <w:widowControl w:val="0"/>
        <w:numPr>
          <w:ilvl w:val="0"/>
          <w:numId w:val="141"/>
        </w:numPr>
        <w:shd w:val="clear" w:color="auto" w:fill="auto"/>
        <w:tabs>
          <w:tab w:pos="488" w:val="left"/>
        </w:tabs>
        <w:bidi w:val="0"/>
        <w:spacing w:before="0" w:after="380" w:line="240" w:lineRule="auto"/>
        <w:ind w:left="0" w:right="0" w:firstLine="0"/>
        <w:jc w:val="both"/>
      </w:pPr>
      <w:bookmarkStart w:id="2324" w:name="bookmark2324"/>
      <w:bookmarkStart w:id="2325" w:name="bookmark2325"/>
      <w:bookmarkStart w:id="2326" w:name="bookmark2326"/>
      <w:bookmarkStart w:id="2327" w:name="bookmark2327"/>
      <w:bookmarkEnd w:id="2326"/>
      <w:r>
        <w:rPr>
          <w:color w:val="000000"/>
          <w:spacing w:val="0"/>
          <w:w w:val="100"/>
          <w:position w:val="0"/>
        </w:rPr>
        <w:t>转移其他应收款且继续涉入形成的资产、负债金额</w:t>
      </w:r>
      <w:bookmarkEnd w:id="2324"/>
      <w:bookmarkEnd w:id="2325"/>
      <w:bookmarkEnd w:id="2327"/>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3</w:t>
      </w:r>
      <w:bookmarkEnd w:id="2330"/>
      <w:r>
        <w:rPr>
          <w:color w:val="000000"/>
          <w:spacing w:val="0"/>
          <w:w w:val="100"/>
          <w:position w:val="0"/>
        </w:rPr>
        <w:t>、长期股权投资</w:t>
      </w:r>
      <w:bookmarkEnd w:id="2328"/>
      <w:bookmarkEnd w:id="2329"/>
      <w:bookmarkEnd w:id="233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1,839,815,306.06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1,839,815,306.06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871,571,865.25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871,571,865.25</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560,130,401.00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34,198,564.91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525,931,836.09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75,710,833.32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75,710,833.32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2,399,945,707.06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34,198,564.91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2,365,747,142.15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947,282,698.57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947,282,698.57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both"/>
      </w:pPr>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2"/>
      <w:bookmarkEnd w:id="2333"/>
      <w:bookmarkEnd w:id="233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深圳市易联技术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8,124,954.41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118,124,954.41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南京市新国都技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苏州新国都电子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393,060,000.00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643,645.45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393,703,645.45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969,850.48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252,969,850.48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470,772,524.71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480,772,524.71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深圳市信联征信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732,465.76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60,732,465.76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CE8C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33,511,865.25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33,511,865.25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0"/>
        <w:gridCol w:w="1334"/>
        <w:gridCol w:w="1339"/>
        <w:gridCol w:w="1387"/>
        <w:gridCol w:w="1402"/>
      </w:tblGrid>
      <w:tr>
        <w:trPr>
          <w:trHeight w:val="1032"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871,571,865.25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981,243,440.81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1,839,815,306.06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35"/>
      <w:bookmarkEnd w:id="2336"/>
      <w:bookmarkEnd w:id="23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深圳市瑞 柏泰电子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28,461,29</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28,461,29</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深圳市大 拿科技有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42,083,28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494" w:hRule="exact"/>
        </w:trPr>
        <w:tc>
          <w:tcPr>
            <w:vMerge/>
            <w:tcBorders>
              <w:left w:val="single" w:sz="4"/>
            </w:tcBorders>
            <w:shd w:val="clear" w:color="auto" w:fill="CCE8C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682" w:hRule="exact"/>
        </w:trPr>
        <w:tc>
          <w:tcPr>
            <w:tcBorders>
              <w:top w:val="single" w:sz="4"/>
              <w:left w:val="single" w:sz="4"/>
            </w:tcBorders>
            <w:shd w:val="clear" w:color="auto" w:fill="CCE8CF"/>
            <w:vAlign w:val="bottom"/>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深圳嘉石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大岩资本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17,764,51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518,047,1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CCE8C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管理股份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28,461,29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12,598,26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560,130,4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370"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28,461,29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12,598,26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560,130,4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34,198,56</w:t>
            </w:r>
          </w:p>
        </w:tc>
      </w:tr>
      <w:tr>
        <w:trPr>
          <w:trHeight w:val="350"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01.00</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bl>
    <w:p>
      <w:pPr>
        <w:widowControl w:val="0"/>
        <w:spacing w:after="299" w:line="1" w:lineRule="exact"/>
      </w:pPr>
    </w:p>
    <w:p>
      <w:pPr>
        <w:pStyle w:val="Style37"/>
        <w:keepNext/>
        <w:keepLines/>
        <w:widowControl w:val="0"/>
        <w:numPr>
          <w:ilvl w:val="0"/>
          <w:numId w:val="143"/>
        </w:numPr>
        <w:shd w:val="clear" w:color="auto" w:fill="auto"/>
        <w:bidi w:val="0"/>
        <w:spacing w:before="0" w:line="240" w:lineRule="auto"/>
        <w:ind w:left="0" w:right="0" w:firstLine="0"/>
        <w:jc w:val="left"/>
      </w:pPr>
      <w:bookmarkStart w:id="2338" w:name="bookmark2338"/>
      <w:bookmarkStart w:id="2339" w:name="bookmark2339"/>
      <w:bookmarkStart w:id="2340" w:name="bookmark2340"/>
      <w:bookmarkStart w:id="2341" w:name="bookmark2341"/>
      <w:bookmarkEnd w:id="2340"/>
      <w:r>
        <w:rPr>
          <w:color w:val="000000"/>
          <w:spacing w:val="0"/>
          <w:w w:val="100"/>
          <w:position w:val="0"/>
        </w:rPr>
        <w:t>其他说明</w:t>
      </w:r>
      <w:bookmarkEnd w:id="2338"/>
      <w:bookmarkEnd w:id="2339"/>
      <w:bookmarkEnd w:id="2341"/>
    </w:p>
    <w:p>
      <w:pPr>
        <w:pStyle w:val="Style33"/>
        <w:keepNext/>
        <w:keepLines/>
        <w:widowControl w:val="0"/>
        <w:shd w:val="clear" w:color="auto" w:fill="auto"/>
        <w:bidi w:val="0"/>
        <w:spacing w:before="0" w:after="36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4</w:t>
      </w:r>
      <w:bookmarkEnd w:id="2344"/>
      <w:r>
        <w:rPr>
          <w:color w:val="000000"/>
          <w:spacing w:val="0"/>
          <w:w w:val="100"/>
          <w:position w:val="0"/>
        </w:rPr>
        <w:t>、营业收入和营业成本</w:t>
      </w:r>
      <w:bookmarkEnd w:id="2342"/>
      <w:bookmarkEnd w:id="2343"/>
      <w:bookmarkEnd w:id="23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407,372,289.38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296,434,912.61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901,382,944.77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714,757,768.83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1,541,827.29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1,048,016.38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408,914,116.67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297,482,928.99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901,382,944.77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714,757,768.83</w:t>
            </w:r>
          </w:p>
        </w:tc>
      </w:tr>
    </w:tbl>
    <w:p>
      <w:pPr>
        <w:spacing w:lineRule="exact" w:line="1"/>
        <w:rPr>
          <w:sz w:val="2"/>
          <w:szCs w:val="2"/>
        </w:rPr>
      </w:pPr>
      <w:r>
        <w:br w:type="page"/>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5</w:t>
      </w:r>
      <w:bookmarkEnd w:id="2348"/>
      <w:r>
        <w:rPr>
          <w:color w:val="000000"/>
          <w:spacing w:val="0"/>
          <w:w w:val="100"/>
          <w:position w:val="0"/>
        </w:rPr>
        <w:t>、投资收益</w:t>
      </w:r>
      <w:bookmarkEnd w:id="2346"/>
      <w:bookmarkEnd w:id="2347"/>
      <w:bookmarkEnd w:id="23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7"/>
        <w:gridCol w:w="319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15,762,405.16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1,184,232.02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37,319,597.51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-2,500,400.00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1,768,495.88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53,116,906.78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60,452,327.90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both"/>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6</w:t>
      </w:r>
      <w:bookmarkEnd w:id="2352"/>
      <w:r>
        <w:rPr>
          <w:color w:val="000000"/>
          <w:spacing w:val="0"/>
          <w:w w:val="100"/>
          <w:position w:val="0"/>
        </w:rPr>
        <w:t>、其他</w:t>
      </w:r>
      <w:bookmarkEnd w:id="2350"/>
      <w:bookmarkEnd w:id="2351"/>
      <w:bookmarkEnd w:id="2353"/>
    </w:p>
    <w:p>
      <w:pPr>
        <w:pStyle w:val="Style25"/>
        <w:keepNext/>
        <w:keepLines/>
        <w:widowControl w:val="0"/>
        <w:shd w:val="clear" w:color="auto" w:fill="auto"/>
        <w:bidi w:val="0"/>
        <w:spacing w:before="0" w:line="240" w:lineRule="auto"/>
        <w:ind w:left="0" w:right="0" w:firstLine="0"/>
        <w:jc w:val="both"/>
      </w:pPr>
      <w:bookmarkStart w:id="2354" w:name="bookmark2354"/>
      <w:bookmarkStart w:id="2355" w:name="bookmark2355"/>
      <w:bookmarkStart w:id="2356" w:name="bookmark2356"/>
      <w:r>
        <w:rPr>
          <w:color w:val="000000"/>
          <w:spacing w:val="0"/>
          <w:w w:val="100"/>
          <w:position w:val="0"/>
          <w:sz w:val="24"/>
          <w:szCs w:val="24"/>
        </w:rPr>
        <w:t>十八、补充资料</w:t>
      </w:r>
      <w:bookmarkEnd w:id="2354"/>
      <w:bookmarkEnd w:id="2355"/>
      <w:bookmarkEnd w:id="2356"/>
    </w:p>
    <w:p>
      <w:pPr>
        <w:pStyle w:val="Style33"/>
        <w:keepNext/>
        <w:keepLines/>
        <w:widowControl w:val="0"/>
        <w:shd w:val="clear" w:color="auto" w:fill="auto"/>
        <w:bidi w:val="0"/>
        <w:spacing w:before="0" w:line="240" w:lineRule="auto"/>
        <w:ind w:left="0" w:right="0" w:firstLine="0"/>
        <w:jc w:val="both"/>
      </w:pPr>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57"/>
      <w:bookmarkEnd w:id="2358"/>
      <w:bookmarkEnd w:id="2359"/>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2"/>
        <w:gridCol w:w="3072"/>
        <w:gridCol w:w="319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29,506,667.11</w:t>
            </w:r>
          </w:p>
        </w:tc>
        <w:tc>
          <w:tcPr>
            <w:tcBorders>
              <w:top w:val="single" w:sz="4"/>
              <w:left w:val="single" w:sz="4"/>
              <w:right w:val="single" w:sz="4"/>
            </w:tcBorders>
            <w:shd w:val="clear" w:color="auto" w:fill="CCE8C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13,941,042.94</w:t>
            </w:r>
          </w:p>
        </w:tc>
        <w:tc>
          <w:tcPr>
            <w:tcBorders>
              <w:top w:val="single" w:sz="4"/>
              <w:left w:val="single" w:sz="4"/>
              <w:right w:val="single" w:sz="4"/>
            </w:tcBorders>
            <w:shd w:val="clear" w:color="auto" w:fill="CCE8C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453,710.96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537,511.92</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138,401.71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16,628.19</w:t>
            </w: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44,283,903.03</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3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2360" w:name="bookmark236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60"/>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bl>
    <w:p>
      <w:pPr>
        <w:widowControl w:val="0"/>
        <w:spacing w:after="279" w:line="1" w:lineRule="exact"/>
      </w:pPr>
    </w:p>
    <w:p>
      <w:pPr>
        <w:pStyle w:val="Style33"/>
        <w:keepNext/>
        <w:keepLines/>
        <w:widowControl w:val="0"/>
        <w:shd w:val="clear" w:color="auto" w:fill="auto"/>
        <w:tabs>
          <w:tab w:pos="404" w:val="left"/>
        </w:tabs>
        <w:bidi w:val="0"/>
        <w:spacing w:before="0" w:after="280" w:line="331" w:lineRule="exact"/>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3</w:t>
      </w:r>
      <w:bookmarkEnd w:id="2363"/>
      <w:r>
        <w:rPr>
          <w:color w:val="000000"/>
          <w:spacing w:val="0"/>
          <w:w w:val="100"/>
          <w:position w:val="0"/>
        </w:rPr>
        <w:t>、</w:t>
        <w:tab/>
        <w:t>境内外会计准则下会计数据差异</w:t>
      </w:r>
      <w:bookmarkEnd w:id="2361"/>
      <w:bookmarkEnd w:id="2362"/>
      <w:bookmarkEnd w:id="2364"/>
    </w:p>
    <w:p>
      <w:pPr>
        <w:pStyle w:val="Style37"/>
        <w:keepNext/>
        <w:keepLines/>
        <w:widowControl w:val="0"/>
        <w:shd w:val="clear" w:color="auto" w:fill="auto"/>
        <w:tabs>
          <w:tab w:pos="488" w:val="left"/>
        </w:tabs>
        <w:bidi w:val="0"/>
        <w:spacing w:before="0" w:line="331" w:lineRule="exact"/>
        <w:ind w:left="0" w:right="0" w:firstLine="0"/>
        <w:jc w:val="left"/>
      </w:pPr>
      <w:bookmarkStart w:id="2365" w:name="bookmark2365"/>
      <w:bookmarkStart w:id="2366" w:name="bookmark2366"/>
      <w:bookmarkStart w:id="2367" w:name="bookmark2367"/>
      <w:bookmarkStart w:id="2368" w:name="bookmark2368"/>
      <w:r>
        <w:rPr>
          <w:color w:val="000000"/>
          <w:spacing w:val="0"/>
          <w:w w:val="100"/>
          <w:position w:val="0"/>
        </w:rPr>
        <w:t>（</w:t>
      </w:r>
      <w:bookmarkEnd w:id="236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65"/>
      <w:bookmarkEnd w:id="2366"/>
      <w:bookmarkEnd w:id="2368"/>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8" w:val="left"/>
        </w:tabs>
        <w:bidi w:val="0"/>
        <w:spacing w:before="0" w:line="331" w:lineRule="exact"/>
        <w:ind w:left="0" w:right="0" w:firstLine="0"/>
        <w:jc w:val="left"/>
      </w:pPr>
      <w:bookmarkStart w:id="2369" w:name="bookmark2369"/>
      <w:bookmarkStart w:id="2370" w:name="bookmark2370"/>
      <w:bookmarkStart w:id="2371" w:name="bookmark2371"/>
      <w:bookmarkStart w:id="2372" w:name="bookmark2372"/>
      <w:r>
        <w:rPr>
          <w:color w:val="000000"/>
          <w:spacing w:val="0"/>
          <w:w w:val="100"/>
          <w:position w:val="0"/>
        </w:rPr>
        <w:t>（</w:t>
      </w:r>
      <w:bookmarkEnd w:id="237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69"/>
      <w:bookmarkEnd w:id="2370"/>
      <w:bookmarkEnd w:id="237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589" w:val="left"/>
        </w:tabs>
        <w:bidi w:val="0"/>
        <w:spacing w:before="0" w:after="280" w:line="331" w:lineRule="exact"/>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w:t>
      </w:r>
      <w:bookmarkEnd w:id="2375"/>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73"/>
      <w:bookmarkEnd w:id="2374"/>
      <w:bookmarkEnd w:id="2376"/>
    </w:p>
    <w:p>
      <w:pPr>
        <w:pStyle w:val="Style33"/>
        <w:keepNext/>
        <w:keepLines/>
        <w:widowControl w:val="0"/>
        <w:shd w:val="clear" w:color="auto" w:fill="auto"/>
        <w:tabs>
          <w:tab w:pos="404" w:val="left"/>
        </w:tabs>
        <w:bidi w:val="0"/>
        <w:spacing w:before="0" w:after="280" w:line="331" w:lineRule="exact"/>
        <w:ind w:left="0" w:right="0" w:firstLine="0"/>
        <w:jc w:val="both"/>
        <w:sectPr>
          <w:footnotePr>
            <w:pos w:val="pageBottom"/>
            <w:numFmt w:val="decimal"/>
            <w:numRestart w:val="continuous"/>
          </w:footnotePr>
          <w:pgSz w:w="11900" w:h="16840"/>
          <w:pgMar w:top="1374" w:right="1047" w:bottom="1547" w:left="1070" w:header="0" w:footer="3" w:gutter="0"/>
          <w:cols w:space="720"/>
          <w:noEndnote/>
          <w:rtlGutter w:val="0"/>
          <w:docGrid w:linePitch="360"/>
        </w:sectPr>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4</w:t>
      </w:r>
      <w:bookmarkEnd w:id="2379"/>
      <w:r>
        <w:rPr>
          <w:color w:val="000000"/>
          <w:spacing w:val="0"/>
          <w:w w:val="100"/>
          <w:position w:val="0"/>
        </w:rPr>
        <w:t>、</w:t>
        <w:tab/>
        <w:t>其他</w:t>
      </w:r>
      <w:bookmarkEnd w:id="2377"/>
      <w:bookmarkEnd w:id="2378"/>
      <w:bookmarkEnd w:id="2380"/>
    </w:p>
    <w:p>
      <w:pPr>
        <w:pStyle w:val="Style12"/>
        <w:keepNext/>
        <w:keepLines/>
        <w:widowControl w:val="0"/>
        <w:shd w:val="clear" w:color="auto" w:fill="auto"/>
        <w:bidi w:val="0"/>
        <w:spacing w:before="0" w:after="620" w:line="240" w:lineRule="auto"/>
        <w:ind w:left="0" w:right="0" w:firstLine="0"/>
        <w:jc w:val="center"/>
      </w:pPr>
      <w:bookmarkStart w:id="2381" w:name="bookmark2381"/>
      <w:bookmarkStart w:id="2382" w:name="bookmark2382"/>
      <w:bookmarkStart w:id="2383" w:name="bookmark2383"/>
      <w:r>
        <w:rPr>
          <w:color w:val="000000"/>
          <w:spacing w:val="0"/>
          <w:w w:val="100"/>
          <w:position w:val="0"/>
        </w:rPr>
        <w:t>第十二节 备查文件目录</w:t>
      </w:r>
      <w:bookmarkEnd w:id="2381"/>
      <w:bookmarkEnd w:id="2382"/>
      <w:bookmarkEnd w:id="2383"/>
    </w:p>
    <w:p>
      <w:pPr>
        <w:pStyle w:val="Style60"/>
        <w:keepNext w:val="0"/>
        <w:keepLines w:val="0"/>
        <w:widowControl w:val="0"/>
        <w:numPr>
          <w:ilvl w:val="0"/>
          <w:numId w:val="145"/>
        </w:numPr>
        <w:shd w:val="clear" w:color="auto" w:fill="auto"/>
        <w:tabs>
          <w:tab w:pos="310" w:val="left"/>
        </w:tabs>
        <w:bidi w:val="0"/>
        <w:spacing w:before="0" w:after="200" w:line="240" w:lineRule="auto"/>
        <w:ind w:left="0" w:right="0" w:firstLine="0"/>
        <w:jc w:val="left"/>
      </w:pPr>
      <w:bookmarkStart w:id="2384" w:name="bookmark2384"/>
      <w:bookmarkStart w:id="2385" w:name="bookmark2385"/>
      <w:bookmarkEnd w:id="2385"/>
      <w:r>
        <w:rPr>
          <w:color w:val="000000"/>
          <w:spacing w:val="0"/>
          <w:w w:val="100"/>
          <w:position w:val="0"/>
        </w:rPr>
        <w:t>载有公司负责人、主管会计工作负责人、会计机构负责人签名并盖章的财务报表。</w:t>
      </w:r>
      <w:bookmarkEnd w:id="2384"/>
    </w:p>
    <w:p>
      <w:pPr>
        <w:pStyle w:val="Style60"/>
        <w:keepNext w:val="0"/>
        <w:keepLines w:val="0"/>
        <w:widowControl w:val="0"/>
        <w:numPr>
          <w:ilvl w:val="0"/>
          <w:numId w:val="145"/>
        </w:numPr>
        <w:shd w:val="clear" w:color="auto" w:fill="auto"/>
        <w:tabs>
          <w:tab w:pos="330" w:val="left"/>
        </w:tabs>
        <w:bidi w:val="0"/>
        <w:spacing w:before="0" w:after="200" w:line="240" w:lineRule="auto"/>
        <w:ind w:left="0" w:right="0" w:firstLine="0"/>
        <w:jc w:val="left"/>
      </w:pPr>
      <w:bookmarkStart w:id="2386" w:name="bookmark2386"/>
      <w:bookmarkEnd w:id="2386"/>
      <w:r>
        <w:rPr>
          <w:color w:val="000000"/>
          <w:spacing w:val="0"/>
          <w:w w:val="100"/>
          <w:position w:val="0"/>
        </w:rPr>
        <w:t>载有会计师事务所盖章、注册会计师签名并盖章的审计报告原件。</w:t>
      </w:r>
    </w:p>
    <w:p>
      <w:pPr>
        <w:pStyle w:val="Style60"/>
        <w:keepNext w:val="0"/>
        <w:keepLines w:val="0"/>
        <w:widowControl w:val="0"/>
        <w:numPr>
          <w:ilvl w:val="0"/>
          <w:numId w:val="145"/>
        </w:numPr>
        <w:shd w:val="clear" w:color="auto" w:fill="auto"/>
        <w:tabs>
          <w:tab w:pos="330" w:val="left"/>
        </w:tabs>
        <w:bidi w:val="0"/>
        <w:spacing w:before="0" w:after="1460" w:line="240" w:lineRule="auto"/>
        <w:ind w:left="0" w:right="0" w:firstLine="0"/>
        <w:jc w:val="left"/>
      </w:pPr>
      <w:bookmarkStart w:id="2387" w:name="bookmark2387"/>
      <w:bookmarkEnd w:id="2387"/>
      <w:r>
        <w:rPr>
          <w:color w:val="000000"/>
          <w:spacing w:val="0"/>
          <w:w w:val="100"/>
          <w:position w:val="0"/>
        </w:rPr>
        <w:t>报告期内在中国证监会指定网站上公开披露过的所有公司文件的正本及公告的原稿。</w:t>
      </w:r>
    </w:p>
    <w:p>
      <w:pPr>
        <w:pStyle w:val="Style17"/>
        <w:keepNext w:val="0"/>
        <w:keepLines w:val="0"/>
        <w:widowControl w:val="0"/>
        <w:shd w:val="clear" w:color="auto" w:fill="auto"/>
        <w:bidi w:val="0"/>
        <w:spacing w:before="0" w:after="200" w:line="240" w:lineRule="auto"/>
        <w:ind w:left="0" w:right="780" w:firstLine="0"/>
        <w:jc w:val="right"/>
        <w:rPr>
          <w:sz w:val="22"/>
          <w:szCs w:val="22"/>
        </w:rPr>
      </w:pPr>
      <w:r>
        <w:rPr>
          <w:color w:val="000000"/>
          <w:spacing w:val="0"/>
          <w:w w:val="100"/>
          <w:position w:val="0"/>
          <w:sz w:val="22"/>
          <w:szCs w:val="22"/>
        </w:rPr>
        <w:t>深圳市新国都技术股份有限公司</w:t>
      </w:r>
    </w:p>
    <w:p>
      <w:pPr>
        <w:pStyle w:val="Style17"/>
        <w:keepNext w:val="0"/>
        <w:keepLines w:val="0"/>
        <w:widowControl w:val="0"/>
        <w:shd w:val="clear" w:color="auto" w:fill="auto"/>
        <w:bidi w:val="0"/>
        <w:spacing w:before="0" w:after="200" w:line="240" w:lineRule="auto"/>
        <w:ind w:left="0" w:right="780" w:firstLine="0"/>
        <w:jc w:val="right"/>
        <w:rPr>
          <w:sz w:val="22"/>
          <w:szCs w:val="22"/>
        </w:rPr>
      </w:pPr>
      <w:r>
        <w:rPr>
          <w:color w:val="000000"/>
          <w:spacing w:val="0"/>
          <w:w w:val="100"/>
          <w:position w:val="0"/>
          <w:sz w:val="22"/>
          <w:szCs w:val="22"/>
        </w:rPr>
        <w:t>董事会</w:t>
      </w:r>
    </w:p>
    <w:p>
      <w:pPr>
        <w:pStyle w:val="Style17"/>
        <w:keepNext w:val="0"/>
        <w:keepLines w:val="0"/>
        <w:widowControl w:val="0"/>
        <w:shd w:val="clear" w:color="auto" w:fill="auto"/>
        <w:bidi w:val="0"/>
        <w:spacing w:before="0" w:after="200" w:line="240" w:lineRule="auto"/>
        <w:ind w:left="0" w:right="780" w:firstLine="0"/>
        <w:jc w:val="right"/>
        <w:rPr>
          <w:sz w:val="22"/>
          <w:szCs w:val="22"/>
        </w:rPr>
      </w:pPr>
      <w:r>
        <w:rPr>
          <w:color w:val="000000"/>
          <w:spacing w:val="0"/>
          <w:w w:val="100"/>
          <w:position w:val="0"/>
          <w:sz w:val="22"/>
          <w:szCs w:val="22"/>
        </w:rPr>
        <w:t>2017</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18</w:t>
      </w:r>
      <w:r>
        <w:rPr>
          <w:color w:val="000000"/>
          <w:spacing w:val="0"/>
          <w:w w:val="100"/>
          <w:position w:val="0"/>
          <w:sz w:val="22"/>
          <w:szCs w:val="22"/>
        </w:rPr>
        <w:t>日</w:t>
      </w:r>
    </w:p>
    <w:sectPr>
      <w:footnotePr>
        <w:pos w:val="pageBottom"/>
        <w:numFmt w:val="decimal"/>
        <w:numRestart w:val="continuous"/>
      </w:footnotePr>
      <w:pgSz w:w="11900" w:h="16840"/>
      <w:pgMar w:top="1666" w:right="1115" w:bottom="1666" w:left="128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6727825</wp:posOffset>
              </wp:positionH>
              <wp:positionV relativeFrom="page">
                <wp:posOffset>9958070</wp:posOffset>
              </wp:positionV>
              <wp:extent cx="100330" cy="79375"/>
              <wp:wrapNone/>
              <wp:docPr id="5" name="Shape 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75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6329680</wp:posOffset>
              </wp:positionH>
              <wp:positionV relativeFrom="page">
                <wp:posOffset>9759950</wp:posOffset>
              </wp:positionV>
              <wp:extent cx="502920" cy="106680"/>
              <wp:wrapNone/>
              <wp:docPr id="68" name="Shape 6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4" type="#_x0000_t202" style="position:absolute;margin-left:498.40000000000003pt;margin-top:768.5pt;width:39.60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6674485</wp:posOffset>
              </wp:positionH>
              <wp:positionV relativeFrom="page">
                <wp:posOffset>10134600</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525.54999999999995pt;margin-top:798.pt;width:12.25pt;height:6.25pt;z-index:-1887440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6727825</wp:posOffset>
              </wp:positionH>
              <wp:positionV relativeFrom="page">
                <wp:posOffset>9958070</wp:posOffset>
              </wp:positionV>
              <wp:extent cx="100330" cy="79375"/>
              <wp:wrapNone/>
              <wp:docPr id="15" name="Shape 1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75pt;margin-top:784.1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720090</wp:posOffset>
              </wp:positionH>
              <wp:positionV relativeFrom="page">
                <wp:posOffset>9732645</wp:posOffset>
              </wp:positionV>
              <wp:extent cx="853440" cy="115570"/>
              <wp:wrapNone/>
              <wp:docPr id="20" name="Shape 20"/>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 xml:space="preserve">适用 </w:t>
                          </w:r>
                          <w:r>
                            <w:rPr>
                              <w:color w:val="000000"/>
                              <w:spacing w:val="0"/>
                              <w:w w:val="100"/>
                              <w:position w:val="0"/>
                              <w:sz w:val="18"/>
                              <w:szCs w:val="18"/>
                            </w:rPr>
                            <w:t xml:space="preserve">V </w:t>
                          </w:r>
                          <w:r>
                            <w:rPr>
                              <w:rFonts w:ascii="SimSun" w:eastAsia="SimSun" w:hAnsi="SimSun" w:cs="SimSun"/>
                              <w:color w:val="000000"/>
                              <w:spacing w:val="0"/>
                              <w:w w:val="100"/>
                              <w:position w:val="0"/>
                              <w:sz w:val="18"/>
                              <w:szCs w:val="18"/>
                            </w:rPr>
                            <w:t>不适用</w:t>
                          </w:r>
                        </w:p>
                      </w:txbxContent>
                    </wps:txbx>
                    <wps:bodyPr wrap="none" lIns="0" tIns="0" rIns="0" bIns="0">
                      <a:spAutoFit/>
                    </wps:bodyPr>
                  </wps:wsp>
                </a:graphicData>
              </a:graphic>
            </wp:anchor>
          </w:drawing>
        </mc:Choice>
        <mc:Fallback>
          <w:pict>
            <v:shape id="_x0000_s1046" type="#_x0000_t202" style="position:absolute;margin-left:56.700000000000003pt;margin-top:766.35000000000002pt;width:67.200000000000003pt;height:9.0999999999999996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 xml:space="preserve">适用 </w:t>
                    </w:r>
                    <w:r>
                      <w:rPr>
                        <w:color w:val="000000"/>
                        <w:spacing w:val="0"/>
                        <w:w w:val="100"/>
                        <w:position w:val="0"/>
                        <w:sz w:val="18"/>
                        <w:szCs w:val="18"/>
                      </w:rPr>
                      <w:t xml:space="preserve">V </w:t>
                    </w:r>
                    <w:r>
                      <w:rPr>
                        <w:rFonts w:ascii="SimSun" w:eastAsia="SimSun" w:hAnsi="SimSun" w:cs="SimSun"/>
                        <w:color w:val="000000"/>
                        <w:spacing w:val="0"/>
                        <w:w w:val="100"/>
                        <w:position w:val="0"/>
                        <w:sz w:val="18"/>
                        <w:szCs w:val="18"/>
                      </w:rPr>
                      <w:t>不适用</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6733540</wp:posOffset>
              </wp:positionH>
              <wp:positionV relativeFrom="page">
                <wp:posOffset>10079990</wp:posOffset>
              </wp:positionV>
              <wp:extent cx="85090" cy="79375"/>
              <wp:wrapNone/>
              <wp:docPr id="22" name="Shape 2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30.20000000000005pt;margin-top:793.70000000000005pt;width:6.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6727825</wp:posOffset>
              </wp:positionH>
              <wp:positionV relativeFrom="page">
                <wp:posOffset>9958070</wp:posOffset>
              </wp:positionV>
              <wp:extent cx="100330" cy="79375"/>
              <wp:wrapNone/>
              <wp:docPr id="39" name="Shape 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9.75pt;margin-top:784.10000000000002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6329680</wp:posOffset>
              </wp:positionH>
              <wp:positionV relativeFrom="page">
                <wp:posOffset>9759950</wp:posOffset>
              </wp:positionV>
              <wp:extent cx="502920" cy="106680"/>
              <wp:wrapNone/>
              <wp:docPr id="44" name="Shape 4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0" type="#_x0000_t202" style="position:absolute;margin-left:498.40000000000003pt;margin-top:768.5pt;width:39.60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6674485</wp:posOffset>
              </wp:positionH>
              <wp:positionV relativeFrom="page">
                <wp:posOffset>10134600</wp:posOffset>
              </wp:positionV>
              <wp:extent cx="155575" cy="79375"/>
              <wp:wrapNone/>
              <wp:docPr id="46" name="Shape 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2" type="#_x0000_t202" style="position:absolute;margin-left:525.54999999999995pt;margin-top:798.pt;width:12.25pt;height:6.25pt;z-index:-1887440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6727825</wp:posOffset>
              </wp:positionH>
              <wp:positionV relativeFrom="page">
                <wp:posOffset>9958070</wp:posOffset>
              </wp:positionV>
              <wp:extent cx="100330" cy="79375"/>
              <wp:wrapNone/>
              <wp:docPr id="51" name="Shape 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75pt;margin-top:784.10000000000002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6329680</wp:posOffset>
              </wp:positionH>
              <wp:positionV relativeFrom="page">
                <wp:posOffset>9759950</wp:posOffset>
              </wp:positionV>
              <wp:extent cx="502920" cy="106680"/>
              <wp:wrapNone/>
              <wp:docPr id="56" name="Shape 56"/>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2" type="#_x0000_t202" style="position:absolute;margin-left:498.40000000000003pt;margin-top:768.5pt;width:39.60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6674485</wp:posOffset>
              </wp:positionH>
              <wp:positionV relativeFrom="page">
                <wp:posOffset>10134600</wp:posOffset>
              </wp:positionV>
              <wp:extent cx="155575" cy="79375"/>
              <wp:wrapNone/>
              <wp:docPr id="58" name="Shape 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525.54999999999995pt;margin-top:798.pt;width:12.25pt;height:6.25pt;z-index:-1887440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6727825</wp:posOffset>
              </wp:positionH>
              <wp:positionV relativeFrom="page">
                <wp:posOffset>9958070</wp:posOffset>
              </wp:positionV>
              <wp:extent cx="100330" cy="79375"/>
              <wp:wrapNone/>
              <wp:docPr id="63" name="Shape 6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9.75pt;margin-top:784.10000000000002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500380</wp:posOffset>
              </wp:positionV>
              <wp:extent cx="2679065" cy="106680"/>
              <wp:wrapNone/>
              <wp:docPr id="2" name="Shape 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15000000000003pt;margin-top:39.399999999999999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4153535</wp:posOffset>
              </wp:positionH>
              <wp:positionV relativeFrom="page">
                <wp:posOffset>702945</wp:posOffset>
              </wp:positionV>
              <wp:extent cx="2679065" cy="106680"/>
              <wp:wrapNone/>
              <wp:docPr id="65" name="Shape 6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27.05000000000001pt;margin-top:55.350000000000001pt;width:210.95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847725</wp:posOffset>
              </wp:positionV>
              <wp:extent cx="6160135" cy="0"/>
              <wp:wrapNone/>
              <wp:docPr id="67" name="Shape 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49999999999999pt;margin-top:66.75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4154805</wp:posOffset>
              </wp:positionH>
              <wp:positionV relativeFrom="page">
                <wp:posOffset>478790</wp:posOffset>
              </wp:positionV>
              <wp:extent cx="2679065" cy="106680"/>
              <wp:wrapNone/>
              <wp:docPr id="7" name="Shape 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7.15000000000003pt;margin-top:37.700000000000003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4154805</wp:posOffset>
              </wp:positionH>
              <wp:positionV relativeFrom="page">
                <wp:posOffset>500380</wp:posOffset>
              </wp:positionV>
              <wp:extent cx="2679065" cy="106680"/>
              <wp:wrapNone/>
              <wp:docPr id="12" name="Shape 1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8" type="#_x0000_t202" style="position:absolute;margin-left:327.15000000000003pt;margin-top:39.399999999999999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4149090</wp:posOffset>
              </wp:positionH>
              <wp:positionV relativeFrom="page">
                <wp:posOffset>685800</wp:posOffset>
              </wp:positionV>
              <wp:extent cx="2679065" cy="106680"/>
              <wp:wrapNone/>
              <wp:docPr id="17" name="Shape 1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326.69999999999999pt;margin-top:54.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830580</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300000000000004pt;margin-top:65.400000000000006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4154805</wp:posOffset>
              </wp:positionH>
              <wp:positionV relativeFrom="page">
                <wp:posOffset>500380</wp:posOffset>
              </wp:positionV>
              <wp:extent cx="2679065" cy="106680"/>
              <wp:wrapNone/>
              <wp:docPr id="36" name="Shape 3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2" type="#_x0000_t202" style="position:absolute;margin-left:327.15000000000003pt;margin-top:39.399999999999999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38" name="Shape 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4153535</wp:posOffset>
              </wp:positionH>
              <wp:positionV relativeFrom="page">
                <wp:posOffset>702945</wp:posOffset>
              </wp:positionV>
              <wp:extent cx="2679065" cy="106680"/>
              <wp:wrapNone/>
              <wp:docPr id="41" name="Shape 4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27.05000000000001pt;margin-top:55.350000000000001pt;width:210.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847725</wp:posOffset>
              </wp:positionV>
              <wp:extent cx="6160135" cy="0"/>
              <wp:wrapNone/>
              <wp:docPr id="43" name="Shape 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49999999999999pt;margin-top:66.75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4154805</wp:posOffset>
              </wp:positionH>
              <wp:positionV relativeFrom="page">
                <wp:posOffset>500380</wp:posOffset>
              </wp:positionV>
              <wp:extent cx="2679065" cy="106680"/>
              <wp:wrapNone/>
              <wp:docPr id="48" name="Shape 4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4" type="#_x0000_t202" style="position:absolute;margin-left:327.15000000000003pt;margin-top:39.399999999999999pt;width:210.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50" name="Shape 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4153535</wp:posOffset>
              </wp:positionH>
              <wp:positionV relativeFrom="page">
                <wp:posOffset>702945</wp:posOffset>
              </wp:positionV>
              <wp:extent cx="2679065" cy="106680"/>
              <wp:wrapNone/>
              <wp:docPr id="53" name="Shape 5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327.05000000000001pt;margin-top:55.350000000000001pt;width:210.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847725</wp:posOffset>
              </wp:positionV>
              <wp:extent cx="6160135" cy="0"/>
              <wp:wrapNone/>
              <wp:docPr id="55" name="Shape 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49999999999999pt;margin-top:66.75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4154805</wp:posOffset>
              </wp:positionH>
              <wp:positionV relativeFrom="page">
                <wp:posOffset>500380</wp:posOffset>
              </wp:positionV>
              <wp:extent cx="2679065" cy="106680"/>
              <wp:wrapNone/>
              <wp:docPr id="60" name="Shape 6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6" type="#_x0000_t202" style="position:absolute;margin-left:327.15000000000003pt;margin-top:39.399999999999999pt;width:210.95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62" name="Shape 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 (2)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6)_"/>
    <w:basedOn w:val="DefaultParagraphFont"/>
    <w:link w:val="Style4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61">
    <w:name w:val="正文文本 (7)_"/>
    <w:basedOn w:val="DefaultParagraphFont"/>
    <w:link w:val="Style6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2">
    <w:name w:val="标题 #1"/>
    <w:basedOn w:val="Normal"/>
    <w:link w:val="CharStyle13"/>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2)"/>
    <w:basedOn w:val="Normal"/>
    <w:link w:val="CharStyle18"/>
    <w:pPr>
      <w:widowControl w:val="0"/>
      <w:shd w:val="clear" w:color="auto" w:fill="auto"/>
      <w:spacing w:line="469"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6)"/>
    <w:basedOn w:val="Normal"/>
    <w:link w:val="CharStyle49"/>
    <w:pPr>
      <w:widowControl w:val="0"/>
      <w:shd w:val="clear" w:color="auto" w:fill="auto"/>
      <w:spacing w:after="25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页眉或页脚"/>
    <w:basedOn w:val="Normal"/>
    <w:link w:val="CharStyle5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0">
    <w:name w:val="正文文本 (7)"/>
    <w:basedOn w:val="Normal"/>
    <w:link w:val="CharStyle61"/>
    <w:pPr>
      <w:widowControl w:val="0"/>
      <w:shd w:val="clear" w:color="auto" w:fill="auto"/>
      <w:spacing w:after="83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深圳市新国都技术股份有限公司2016年年度报告全文</dc:title>
  <dc:subject/>
  <dc:creator>深圳市新国都技术股份有限公司</dc:creator>
  <cp:keywords/>
</cp:coreProperties>
</file>