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2505" w:lineRule="exact"/>
        <w:ind w:left="484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9"/>
          <w:sz w:val="20"/>
          <w:szCs w:val="20"/>
        </w:rPr>
        <w:drawing>
          <wp:inline distT="0" distB="0" distL="0" distR="0">
            <wp:extent cx="1409772" cy="15906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72" cy="1590675"/>
                    </a:xfrm>
                    <a:prstGeom prst="rect">
                      <a:avLst/>
                    </a:prstGeom>
                  </pic:spPr>
                </pic:pic>
              </a:graphicData>
            </a:graphic>
          </wp:inline>
        </w:drawing>
      </w:r>
      <w:r>
        <w:rPr>
          <w:rFonts w:ascii="Times New Roman" w:hAnsi="Times New Roman" w:cs="Times New Roman" w:eastAsia="Times New Roman" w:hint="default"/>
          <w:position w:val="-49"/>
          <w:sz w:val="20"/>
          <w:szCs w:val="20"/>
        </w:rPr>
      </w:r>
    </w:p>
    <w:p>
      <w:pPr>
        <w:spacing w:line="240" w:lineRule="auto" w:before="4"/>
        <w:rPr>
          <w:rFonts w:ascii="Times New Roman" w:hAnsi="Times New Roman" w:cs="Times New Roman" w:eastAsia="Times New Roman" w:hint="default"/>
          <w:sz w:val="13"/>
          <w:szCs w:val="13"/>
        </w:rPr>
      </w:pPr>
    </w:p>
    <w:p>
      <w:pPr>
        <w:spacing w:line="460" w:lineRule="exact" w:before="0"/>
        <w:ind w:left="1475" w:right="1475" w:firstLine="0"/>
        <w:jc w:val="center"/>
        <w:rPr>
          <w:rFonts w:ascii="宋体" w:hAnsi="宋体" w:cs="宋体" w:eastAsia="宋体" w:hint="default"/>
          <w:sz w:val="36"/>
          <w:szCs w:val="36"/>
        </w:rPr>
      </w:pPr>
      <w:r>
        <w:rPr>
          <w:rFonts w:ascii="宋体" w:hAnsi="宋体" w:cs="宋体" w:eastAsia="宋体" w:hint="default"/>
          <w:b/>
          <w:bCs/>
          <w:sz w:val="36"/>
          <w:szCs w:val="36"/>
        </w:rPr>
        <w:t>深圳市新国都技术股份有限公司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1475" w:right="14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4"/>
        <w:rPr>
          <w:rFonts w:ascii="宋体" w:hAnsi="宋体" w:cs="宋体" w:eastAsia="宋体" w:hint="default"/>
          <w:b/>
          <w:bCs/>
          <w:sz w:val="32"/>
          <w:szCs w:val="32"/>
        </w:rPr>
      </w:pPr>
    </w:p>
    <w:p>
      <w:pPr>
        <w:spacing w:before="0"/>
        <w:ind w:left="1475" w:right="1473" w:firstLine="0"/>
        <w:jc w:val="center"/>
        <w:rPr>
          <w:rFonts w:ascii="Times New Roman" w:hAnsi="Times New Roman" w:cs="Times New Roman" w:eastAsia="Times New Roman" w:hint="default"/>
          <w:sz w:val="32"/>
          <w:szCs w:val="32"/>
        </w:rPr>
      </w:pPr>
      <w:r>
        <w:rPr>
          <w:rFonts w:ascii="Times New Roman"/>
          <w:b/>
          <w:sz w:val="32"/>
        </w:rPr>
        <w:t>2018-041</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4"/>
        <w:rPr>
          <w:rFonts w:ascii="Times New Roman" w:hAnsi="Times New Roman" w:cs="Times New Roman" w:eastAsia="Times New Roman" w:hint="default"/>
          <w:b/>
          <w:bCs/>
          <w:sz w:val="37"/>
          <w:szCs w:val="37"/>
        </w:rPr>
      </w:pPr>
    </w:p>
    <w:p>
      <w:pPr>
        <w:spacing w:before="0"/>
        <w:ind w:left="1475" w:right="147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994"/>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1141" w:firstLine="562"/>
        <w:jc w:val="both"/>
        <w:rPr>
          <w:b w:val="0"/>
          <w:bCs w:val="0"/>
        </w:rPr>
      </w:pPr>
      <w:r>
        <w:rPr>
          <w:spacing w:val="3"/>
          <w:w w:val="95"/>
        </w:rPr>
        <w:t>公司董事会、监事会及董事、监事、高级管理人员保证年度报告内容的真</w:t>
      </w:r>
      <w:r>
        <w:rPr>
          <w:w w:val="99"/>
        </w:rPr>
        <w:t> </w:t>
      </w:r>
      <w:r>
        <w:rPr>
          <w:spacing w:val="3"/>
          <w:w w:val="95"/>
        </w:rPr>
        <w:t>实、准确、完整，不存在虚假记载、误导性陈述或重大遗漏，并承担个别和连</w:t>
      </w:r>
      <w:r>
        <w:rPr>
          <w:spacing w:val="23"/>
          <w:w w:val="95"/>
        </w:rPr>
        <w:t> </w:t>
      </w:r>
      <w:r>
        <w:rPr>
          <w:spacing w:val="23"/>
          <w:w w:val="95"/>
        </w:rPr>
      </w:r>
      <w:r>
        <w:rPr/>
        <w:t>带的法律责任。</w:t>
      </w:r>
      <w:r>
        <w:rPr>
          <w:b w:val="0"/>
          <w:bCs w:val="0"/>
        </w:rPr>
      </w:r>
    </w:p>
    <w:p>
      <w:pPr>
        <w:pStyle w:val="Heading2"/>
        <w:spacing w:line="386" w:lineRule="auto" w:before="161"/>
        <w:ind w:right="1134" w:firstLine="562"/>
        <w:jc w:val="both"/>
        <w:rPr>
          <w:b w:val="0"/>
          <w:bCs w:val="0"/>
        </w:rPr>
      </w:pPr>
      <w:r>
        <w:rPr>
          <w:w w:val="95"/>
        </w:rPr>
        <w:t>公司负责人刘祥、主管会计工作负责人赵辉及会计机构负责人</w:t>
      </w:r>
      <w:r>
        <w:rPr>
          <w:rFonts w:ascii="Times New Roman" w:hAnsi="Times New Roman" w:cs="Times New Roman" w:eastAsia="Times New Roman" w:hint="default"/>
          <w:w w:val="95"/>
        </w:rPr>
        <w:t>(</w:t>
      </w:r>
      <w:r>
        <w:rPr>
          <w:w w:val="95"/>
        </w:rPr>
        <w:t>会计主管人</w:t>
      </w:r>
      <w:r>
        <w:rPr>
          <w:w w:val="99"/>
        </w:rPr>
        <w:t> </w:t>
      </w:r>
      <w:r>
        <w:rPr/>
        <w:t>员</w:t>
      </w:r>
      <w:r>
        <w:rPr>
          <w:rFonts w:ascii="Times New Roman" w:hAnsi="Times New Roman" w:cs="Times New Roman" w:eastAsia="Times New Roman" w:hint="default"/>
        </w:rPr>
        <w:t>)</w:t>
      </w:r>
      <w:r>
        <w:rPr/>
        <w:t>赵辉声明：保证年度报告中财务报告的真实、准确、完整。</w:t>
      </w:r>
      <w:r>
        <w:rPr>
          <w:b w:val="0"/>
          <w:bCs w:val="0"/>
        </w:rPr>
      </w:r>
    </w:p>
    <w:p>
      <w:pPr>
        <w:pStyle w:val="Heading2"/>
        <w:spacing w:line="240" w:lineRule="auto" w:before="147"/>
        <w:ind w:left="1695" w:right="994"/>
        <w:jc w:val="left"/>
        <w:rPr>
          <w:b w:val="0"/>
          <w:bCs w:val="0"/>
        </w:rPr>
      </w:pPr>
      <w:r>
        <w:rPr/>
        <w:t>所有董事均已出席了审议本报告的董事会会议。</w:t>
      </w:r>
      <w:r>
        <w:rPr>
          <w:b w:val="0"/>
          <w:bCs w:val="0"/>
        </w:rPr>
      </w:r>
    </w:p>
    <w:p>
      <w:pPr>
        <w:spacing w:after="0" w:line="240" w:lineRule="auto"/>
        <w:jc w:val="left"/>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pStyle w:val="Heading2"/>
        <w:spacing w:line="240" w:lineRule="auto"/>
        <w:ind w:left="1695" w:right="994"/>
        <w:jc w:val="left"/>
        <w:rPr>
          <w:b w:val="0"/>
          <w:bCs w:val="0"/>
        </w:rPr>
      </w:pPr>
      <w:r>
        <w:rPr/>
        <w:t>本公司请投资者认真阅读本年度报告全文，并特别注意下列风险因素：</w:t>
      </w:r>
      <w:r>
        <w:rPr>
          <w:b w:val="0"/>
          <w:bCs w:val="0"/>
        </w:rPr>
      </w:r>
    </w:p>
    <w:p>
      <w:pPr>
        <w:spacing w:line="240" w:lineRule="auto" w:before="12"/>
        <w:rPr>
          <w:rFonts w:ascii="宋体" w:hAnsi="宋体" w:cs="宋体" w:eastAsia="宋体" w:hint="default"/>
          <w:b/>
          <w:bCs/>
          <w:sz w:val="23"/>
          <w:szCs w:val="23"/>
        </w:rPr>
      </w:pPr>
    </w:p>
    <w:p>
      <w:pPr>
        <w:spacing w:line="434" w:lineRule="auto" w:before="0"/>
        <w:ind w:left="1613" w:right="994"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1</w:t>
      </w:r>
      <w:r>
        <w:rPr>
          <w:rFonts w:ascii="宋体" w:hAnsi="宋体" w:cs="宋体" w:eastAsia="宋体" w:hint="default"/>
          <w:sz w:val="24"/>
          <w:szCs w:val="24"/>
        </w:rPr>
        <w:t>）政策法规及行业风险 随着信息技术在支付领域得到广泛的应用，支付基础设施建设取得了重大发展，非现金</w:t>
      </w:r>
    </w:p>
    <w:p>
      <w:pPr>
        <w:spacing w:line="274" w:lineRule="exact" w:before="0"/>
        <w:ind w:left="1133" w:right="0" w:firstLine="0"/>
        <w:jc w:val="both"/>
        <w:rPr>
          <w:rFonts w:ascii="宋体" w:hAnsi="宋体" w:cs="宋体" w:eastAsia="宋体" w:hint="default"/>
          <w:sz w:val="24"/>
          <w:szCs w:val="24"/>
        </w:rPr>
      </w:pPr>
      <w:r>
        <w:rPr>
          <w:rFonts w:ascii="宋体" w:hAnsi="宋体" w:cs="宋体" w:eastAsia="宋体" w:hint="default"/>
          <w:sz w:val="24"/>
          <w:szCs w:val="24"/>
        </w:rPr>
        <w:t>支付工具日益普及且创新不断，支付服务环境大幅改善，有效支持了实体经济的发展。由于</w:t>
      </w:r>
    </w:p>
    <w:p>
      <w:pPr>
        <w:spacing w:line="357" w:lineRule="auto" w:before="154"/>
        <w:ind w:left="1133" w:right="1131" w:firstLine="0"/>
        <w:jc w:val="both"/>
        <w:rPr>
          <w:rFonts w:ascii="宋体" w:hAnsi="宋体" w:cs="宋体" w:eastAsia="宋体" w:hint="default"/>
          <w:sz w:val="24"/>
          <w:szCs w:val="24"/>
        </w:rPr>
      </w:pPr>
      <w:r>
        <w:rPr>
          <w:rFonts w:ascii="宋体" w:hAnsi="宋体" w:cs="宋体" w:eastAsia="宋体" w:hint="default"/>
          <w:sz w:val="24"/>
          <w:szCs w:val="24"/>
        </w:rPr>
        <w:t>电子支付业务的类金融属性，其合法合规合理开展，对我国金融体系的安全有着重要影响， 因此，电子支付服务业务主体、业务全流程一直以来都是金融监管机构重点监控的范围。回 顾</w:t>
      </w:r>
      <w:r>
        <w:rPr>
          <w:rFonts w:ascii="宋体" w:hAnsi="宋体" w:cs="宋体" w:eastAsia="宋体" w:hint="default"/>
          <w:spacing w:val="-48"/>
          <w:sz w:val="24"/>
          <w:szCs w:val="24"/>
        </w:rPr>
        <w:t> </w:t>
      </w:r>
      <w:r>
        <w:rPr>
          <w:rFonts w:ascii="宋体" w:hAnsi="宋体" w:cs="宋体" w:eastAsia="宋体" w:hint="default"/>
          <w:sz w:val="24"/>
          <w:szCs w:val="24"/>
        </w:rPr>
        <w:t>2017</w:t>
      </w:r>
      <w:r>
        <w:rPr>
          <w:rFonts w:ascii="宋体" w:hAnsi="宋体" w:cs="宋体" w:eastAsia="宋体" w:hint="default"/>
          <w:spacing w:val="-48"/>
          <w:sz w:val="24"/>
          <w:szCs w:val="24"/>
        </w:rPr>
        <w:t> </w:t>
      </w:r>
      <w:r>
        <w:rPr>
          <w:rFonts w:ascii="宋体" w:hAnsi="宋体" w:cs="宋体" w:eastAsia="宋体" w:hint="default"/>
          <w:spacing w:val="-3"/>
          <w:sz w:val="24"/>
          <w:szCs w:val="24"/>
        </w:rPr>
        <w:t>年支付行业，严监管成为市场的主旋律，对电子支付行业从参与主体、业务流程、交</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易权限等方面进行了全方位的规定，对行业产生了深远影响。</w:t>
      </w:r>
    </w:p>
    <w:p>
      <w:pPr>
        <w:spacing w:line="432" w:lineRule="auto" w:before="136"/>
        <w:ind w:left="1614" w:right="994"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）兼并收购带来的财务风险、商誉减值风险 公司因为战略发展需要，通过兼并收购等方式，获得新业务和新市场的同时，也会增大</w:t>
      </w:r>
    </w:p>
    <w:p>
      <w:pPr>
        <w:spacing w:line="276" w:lineRule="exact" w:before="0"/>
        <w:ind w:left="1134" w:right="0" w:firstLine="0"/>
        <w:jc w:val="both"/>
        <w:rPr>
          <w:rFonts w:ascii="宋体" w:hAnsi="宋体" w:cs="宋体" w:eastAsia="宋体" w:hint="default"/>
          <w:sz w:val="24"/>
          <w:szCs w:val="24"/>
        </w:rPr>
      </w:pPr>
      <w:r>
        <w:rPr>
          <w:rFonts w:ascii="宋体" w:hAnsi="宋体" w:cs="宋体" w:eastAsia="宋体" w:hint="default"/>
          <w:sz w:val="24"/>
          <w:szCs w:val="24"/>
        </w:rPr>
        <w:t>财务压力和增加财务风险，这对公司财务管理和风险控制提出了更高的要求。兼并收购的财</w:t>
      </w:r>
    </w:p>
    <w:p>
      <w:pPr>
        <w:spacing w:line="357" w:lineRule="auto" w:before="154"/>
        <w:ind w:left="1134" w:right="994" w:firstLine="0"/>
        <w:jc w:val="left"/>
        <w:rPr>
          <w:rFonts w:ascii="宋体" w:hAnsi="宋体" w:cs="宋体" w:eastAsia="宋体" w:hint="default"/>
          <w:sz w:val="24"/>
          <w:szCs w:val="24"/>
        </w:rPr>
      </w:pPr>
      <w:r>
        <w:rPr>
          <w:rFonts w:ascii="宋体" w:hAnsi="宋体" w:cs="宋体" w:eastAsia="宋体" w:hint="default"/>
          <w:spacing w:val="-2"/>
          <w:sz w:val="24"/>
          <w:szCs w:val="24"/>
        </w:rPr>
        <w:t>务风险主要有：对被并购企业价值评估不当的定价风险，能否足额筹集并购资金的融资风险，</w:t>
      </w:r>
      <w:r>
        <w:rPr>
          <w:rFonts w:ascii="宋体" w:hAnsi="宋体" w:cs="宋体" w:eastAsia="宋体" w:hint="default"/>
          <w:sz w:val="24"/>
          <w:szCs w:val="24"/>
        </w:rPr>
        <w:t> </w:t>
      </w:r>
      <w:r>
        <w:rPr>
          <w:rFonts w:ascii="宋体" w:hAnsi="宋体" w:cs="宋体" w:eastAsia="宋体" w:hint="default"/>
          <w:spacing w:val="6"/>
          <w:sz w:val="24"/>
          <w:szCs w:val="24"/>
        </w:rPr>
        <w:t>在现金支付方式的收购中会尤其突出的偿债风险和交易完成后对被并购企业的业务整合风</w:t>
      </w:r>
      <w:r>
        <w:rPr>
          <w:rFonts w:ascii="宋体" w:hAnsi="宋体" w:cs="宋体" w:eastAsia="宋体" w:hint="default"/>
          <w:spacing w:val="-86"/>
          <w:sz w:val="24"/>
          <w:szCs w:val="24"/>
        </w:rPr>
        <w:t> </w:t>
      </w:r>
      <w:r>
        <w:rPr>
          <w:rFonts w:ascii="宋体" w:hAnsi="宋体" w:cs="宋体" w:eastAsia="宋体" w:hint="default"/>
          <w:spacing w:val="-86"/>
          <w:sz w:val="24"/>
          <w:szCs w:val="24"/>
        </w:rPr>
      </w:r>
      <w:r>
        <w:rPr>
          <w:rFonts w:ascii="宋体" w:hAnsi="宋体" w:cs="宋体" w:eastAsia="宋体" w:hint="default"/>
          <w:sz w:val="24"/>
          <w:szCs w:val="24"/>
        </w:rPr>
        <w:t>险。而在整体经济相对疲弱的大环境下，被并购企业经营及盈利状况不达预期风险也相应增</w:t>
      </w:r>
      <w:r>
        <w:rPr>
          <w:rFonts w:ascii="宋体" w:hAnsi="宋体" w:cs="宋体" w:eastAsia="宋体" w:hint="default"/>
          <w:sz w:val="24"/>
          <w:szCs w:val="24"/>
        </w:rPr>
        <w:t> 大，这会对上市公司盈利增速造成拖累，兼并收购中产生的商誉也将面临计提减值的压力。</w:t>
      </w:r>
    </w:p>
    <w:p>
      <w:pPr>
        <w:spacing w:line="432" w:lineRule="auto" w:before="137"/>
        <w:ind w:left="1613" w:right="994"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3</w:t>
      </w:r>
      <w:r>
        <w:rPr>
          <w:rFonts w:ascii="宋体" w:hAnsi="宋体" w:cs="宋体" w:eastAsia="宋体" w:hint="default"/>
          <w:sz w:val="24"/>
          <w:szCs w:val="24"/>
        </w:rPr>
        <w:t>）产品、技术和服务等不能满足市场需求的风险 公司已经积极开展基于移动互联网的产品、技术和服务的创新探索，但由于电子支付行</w:t>
      </w:r>
    </w:p>
    <w:p>
      <w:pPr>
        <w:spacing w:line="276" w:lineRule="exact" w:before="0"/>
        <w:ind w:left="1133" w:right="0" w:firstLine="0"/>
        <w:jc w:val="both"/>
        <w:rPr>
          <w:rFonts w:ascii="宋体" w:hAnsi="宋体" w:cs="宋体" w:eastAsia="宋体" w:hint="default"/>
          <w:sz w:val="24"/>
          <w:szCs w:val="24"/>
        </w:rPr>
      </w:pPr>
      <w:r>
        <w:rPr>
          <w:rFonts w:ascii="宋体" w:hAnsi="宋体" w:cs="宋体" w:eastAsia="宋体" w:hint="default"/>
          <w:sz w:val="24"/>
          <w:szCs w:val="24"/>
        </w:rPr>
        <w:t>业、征信服务等业务本身具备的复杂程度，以及行业发展带来的行业变化加速，业务需求及</w:t>
      </w:r>
    </w:p>
    <w:p>
      <w:pPr>
        <w:spacing w:line="357" w:lineRule="auto" w:before="154"/>
        <w:ind w:left="1133" w:right="1139" w:firstLine="0"/>
        <w:jc w:val="both"/>
        <w:rPr>
          <w:rFonts w:ascii="宋体" w:hAnsi="宋体" w:cs="宋体" w:eastAsia="宋体" w:hint="default"/>
          <w:sz w:val="24"/>
          <w:szCs w:val="24"/>
        </w:rPr>
      </w:pPr>
      <w:r>
        <w:rPr>
          <w:rFonts w:ascii="宋体" w:hAnsi="宋体" w:cs="宋体" w:eastAsia="宋体" w:hint="default"/>
          <w:sz w:val="24"/>
          <w:szCs w:val="24"/>
        </w:rPr>
        <w:t>发展的试错成本越来越高，且这些业务目前都面临着商业模式上的创新，需要公司进行不断 的探讨和研究，这导致公司现有产品、技术和服务的创新速度可能跟不上市场的变化，不能 满足市场需求，导致公司的盈利能力低于预期。</w:t>
      </w:r>
    </w:p>
    <w:p>
      <w:pPr>
        <w:spacing w:line="434" w:lineRule="auto" w:before="136"/>
        <w:ind w:left="1614" w:right="1113"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4</w:t>
      </w:r>
      <w:r>
        <w:rPr>
          <w:rFonts w:ascii="宋体" w:hAnsi="宋体" w:cs="宋体" w:eastAsia="宋体" w:hint="default"/>
          <w:sz w:val="24"/>
          <w:szCs w:val="24"/>
        </w:rPr>
        <w:t>）战略转型进度低于预期甚至失败的风险 公司原有业务以电子支付终端制造业务为主，</w:t>
      </w:r>
      <w:r>
        <w:rPr>
          <w:rFonts w:ascii="宋体" w:hAnsi="宋体" w:cs="宋体" w:eastAsia="宋体" w:hint="default"/>
          <w:sz w:val="24"/>
          <w:szCs w:val="24"/>
        </w:rPr>
        <w:t>2017</w:t>
      </w:r>
      <w:r>
        <w:rPr>
          <w:rFonts w:ascii="宋体" w:hAnsi="宋体" w:cs="宋体" w:eastAsia="宋体" w:hint="default"/>
          <w:spacing w:val="-81"/>
          <w:sz w:val="24"/>
          <w:szCs w:val="24"/>
        </w:rPr>
        <w:t> </w:t>
      </w:r>
      <w:r>
        <w:rPr>
          <w:rFonts w:ascii="宋体" w:hAnsi="宋体" w:cs="宋体" w:eastAsia="宋体" w:hint="default"/>
          <w:sz w:val="24"/>
          <w:szCs w:val="24"/>
        </w:rPr>
        <w:t>年结合实际情况公司进一步将战略框</w:t>
      </w:r>
    </w:p>
    <w:p>
      <w:pPr>
        <w:spacing w:line="274" w:lineRule="exact" w:before="0"/>
        <w:ind w:left="1134" w:right="0" w:firstLine="0"/>
        <w:jc w:val="both"/>
        <w:rPr>
          <w:rFonts w:ascii="宋体" w:hAnsi="宋体" w:cs="宋体" w:eastAsia="宋体" w:hint="default"/>
          <w:sz w:val="24"/>
          <w:szCs w:val="24"/>
        </w:rPr>
      </w:pPr>
      <w:r>
        <w:rPr>
          <w:rFonts w:ascii="宋体" w:hAnsi="宋体" w:cs="宋体" w:eastAsia="宋体" w:hint="default"/>
          <w:sz w:val="24"/>
          <w:szCs w:val="24"/>
        </w:rPr>
        <w:t>架深化为：“整合电子支付产业链，抓住行业变革潮流，开拓创新盈利模式”。在各种因素</w:t>
      </w:r>
    </w:p>
    <w:p>
      <w:pPr>
        <w:spacing w:line="357" w:lineRule="auto" w:before="154"/>
        <w:ind w:left="1134" w:right="1139" w:firstLine="0"/>
        <w:jc w:val="both"/>
        <w:rPr>
          <w:rFonts w:ascii="宋体" w:hAnsi="宋体" w:cs="宋体" w:eastAsia="宋体" w:hint="default"/>
          <w:sz w:val="24"/>
          <w:szCs w:val="24"/>
        </w:rPr>
      </w:pPr>
      <w:r>
        <w:rPr>
          <w:rFonts w:ascii="宋体" w:hAnsi="宋体" w:cs="宋体" w:eastAsia="宋体" w:hint="default"/>
          <w:sz w:val="24"/>
          <w:szCs w:val="24"/>
        </w:rPr>
        <w:t>影响下，公司存在战略落地速度、效率和质量可能低于预期，甚至战略转型失败的风险。对 于传统企业而言，开拓创新盈利模式是一条切实可行但并不好走的转型路径。而开创新盈利 模式需要充分利用公司已积累的行业经验和资源，围绕产业链相关环节与领域延伸布局。在</w:t>
      </w:r>
    </w:p>
    <w:p>
      <w:pPr>
        <w:spacing w:after="0" w:line="357" w:lineRule="auto"/>
        <w:jc w:val="both"/>
        <w:rPr>
          <w:rFonts w:ascii="宋体" w:hAnsi="宋体" w:cs="宋体" w:eastAsia="宋体" w:hint="default"/>
          <w:sz w:val="24"/>
          <w:szCs w:val="24"/>
        </w:rPr>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spacing w:line="357" w:lineRule="auto" w:before="26"/>
        <w:ind w:left="1133" w:right="1136" w:firstLine="0"/>
        <w:jc w:val="both"/>
        <w:rPr>
          <w:rFonts w:ascii="宋体" w:hAnsi="宋体" w:cs="宋体" w:eastAsia="宋体" w:hint="default"/>
          <w:sz w:val="24"/>
          <w:szCs w:val="24"/>
        </w:rPr>
      </w:pPr>
      <w:r>
        <w:rPr>
          <w:rFonts w:ascii="宋体" w:hAnsi="宋体" w:cs="宋体" w:eastAsia="宋体" w:hint="default"/>
          <w:sz w:val="24"/>
          <w:szCs w:val="24"/>
        </w:rPr>
        <w:t>产业发展革新的大环境中，只有通过积极研发且有效应用新兴技术，公司才能抓住行业变革</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所带来的机会，提升商业模式，降低企业管理成本。对企业原有的生产、研发和工作流程进 行系统化的改造，这不仅需要时间来沉淀，也需要企业的管理层具备过人的胆识和智慧，才 能顺利完成企业的提升。</w:t>
      </w:r>
    </w:p>
    <w:p>
      <w:pPr>
        <w:spacing w:line="434" w:lineRule="auto" w:before="136"/>
        <w:ind w:left="1613" w:right="994"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5</w:t>
      </w:r>
      <w:r>
        <w:rPr>
          <w:rFonts w:ascii="宋体" w:hAnsi="宋体" w:cs="宋体" w:eastAsia="宋体" w:hint="default"/>
          <w:sz w:val="24"/>
          <w:szCs w:val="24"/>
        </w:rPr>
        <w:t>）管理团队不能适应公司发展需求的风险公司 未来的战略规划和业务发展将主要围绕新业务、新服务和新技术开展，但公司现有中高</w:t>
      </w:r>
    </w:p>
    <w:p>
      <w:pPr>
        <w:spacing w:line="274" w:lineRule="exact" w:before="0"/>
        <w:ind w:left="1133" w:right="0" w:firstLine="0"/>
        <w:jc w:val="both"/>
        <w:rPr>
          <w:rFonts w:ascii="宋体" w:hAnsi="宋体" w:cs="宋体" w:eastAsia="宋体" w:hint="default"/>
          <w:sz w:val="24"/>
          <w:szCs w:val="24"/>
        </w:rPr>
      </w:pPr>
      <w:r>
        <w:rPr>
          <w:rFonts w:ascii="宋体" w:hAnsi="宋体" w:cs="宋体" w:eastAsia="宋体" w:hint="default"/>
          <w:sz w:val="24"/>
          <w:szCs w:val="24"/>
        </w:rPr>
        <w:t>层管理人员、员工团队在这方面的储备和经验尚有不足。人才是公司未来战略实施的核心要</w:t>
      </w:r>
    </w:p>
    <w:p>
      <w:pPr>
        <w:spacing w:line="357" w:lineRule="auto" w:before="154"/>
        <w:ind w:left="1133" w:right="1129" w:firstLine="0"/>
        <w:jc w:val="both"/>
        <w:rPr>
          <w:rFonts w:ascii="宋体" w:hAnsi="宋体" w:cs="宋体" w:eastAsia="宋体" w:hint="default"/>
          <w:sz w:val="24"/>
          <w:szCs w:val="24"/>
        </w:rPr>
      </w:pPr>
      <w:r>
        <w:rPr>
          <w:rFonts w:ascii="宋体" w:hAnsi="宋体" w:cs="宋体" w:eastAsia="宋体" w:hint="default"/>
          <w:sz w:val="24"/>
          <w:szCs w:val="24"/>
        </w:rPr>
        <w:t>素，因此，公司如果不能迅速培养或成功引入更多优秀的管理人才，则有可能导致公司业务</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发展无法突破现有瓶颈。针对该风险，公司已经开始根据业务需求，有意识的进行人才结构</w:t>
      </w:r>
      <w:r>
        <w:rPr>
          <w:rFonts w:ascii="宋体" w:hAnsi="宋体" w:cs="宋体" w:eastAsia="宋体" w:hint="default"/>
          <w:sz w:val="24"/>
          <w:szCs w:val="24"/>
        </w:rPr>
        <w:t> 优化工作，调整岗位，裁汰冗员，并通过主动收购，吸收优秀的业务团队加入，逐步为公司 的管理团队引入适当的人才队伍。</w:t>
      </w:r>
    </w:p>
    <w:p>
      <w:pPr>
        <w:spacing w:before="136"/>
        <w:ind w:left="1613" w:right="994"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6</w:t>
      </w:r>
      <w:r>
        <w:rPr>
          <w:rFonts w:ascii="宋体" w:hAnsi="宋体" w:cs="宋体" w:eastAsia="宋体" w:hint="default"/>
          <w:sz w:val="24"/>
          <w:szCs w:val="24"/>
        </w:rPr>
        <w:t>）关于发起设立保险公司的运营风险</w:t>
      </w:r>
    </w:p>
    <w:p>
      <w:pPr>
        <w:spacing w:line="240" w:lineRule="auto" w:before="4"/>
        <w:rPr>
          <w:rFonts w:ascii="宋体" w:hAnsi="宋体" w:cs="宋体" w:eastAsia="宋体" w:hint="default"/>
          <w:sz w:val="19"/>
          <w:szCs w:val="19"/>
        </w:rPr>
      </w:pPr>
    </w:p>
    <w:p>
      <w:pPr>
        <w:spacing w:line="357" w:lineRule="auto" w:before="0"/>
        <w:ind w:left="1133" w:right="1130" w:firstLine="480"/>
        <w:jc w:val="both"/>
        <w:rPr>
          <w:rFonts w:ascii="宋体" w:hAnsi="宋体" w:cs="宋体" w:eastAsia="宋体" w:hint="default"/>
          <w:sz w:val="24"/>
          <w:szCs w:val="24"/>
        </w:rPr>
      </w:pPr>
      <w:r>
        <w:rPr>
          <w:rFonts w:ascii="宋体" w:hAnsi="宋体" w:cs="宋体" w:eastAsia="宋体" w:hint="default"/>
          <w:sz w:val="24"/>
          <w:szCs w:val="24"/>
        </w:rPr>
        <w:t>2015</w:t>
      </w:r>
      <w:r>
        <w:rPr>
          <w:rFonts w:ascii="宋体" w:hAnsi="宋体" w:cs="宋体" w:eastAsia="宋体" w:hint="default"/>
          <w:spacing w:val="-41"/>
          <w:sz w:val="24"/>
          <w:szCs w:val="24"/>
        </w:rPr>
        <w:t> </w:t>
      </w:r>
      <w:r>
        <w:rPr>
          <w:rFonts w:ascii="宋体" w:hAnsi="宋体" w:cs="宋体" w:eastAsia="宋体" w:hint="default"/>
          <w:sz w:val="24"/>
          <w:szCs w:val="24"/>
        </w:rPr>
        <w:t>年</w:t>
      </w:r>
      <w:r>
        <w:rPr>
          <w:rFonts w:ascii="宋体" w:hAnsi="宋体" w:cs="宋体" w:eastAsia="宋体" w:hint="default"/>
          <w:spacing w:val="-41"/>
          <w:sz w:val="24"/>
          <w:szCs w:val="24"/>
        </w:rPr>
        <w:t> </w:t>
      </w:r>
      <w:r>
        <w:rPr>
          <w:rFonts w:ascii="宋体" w:hAnsi="宋体" w:cs="宋体" w:eastAsia="宋体" w:hint="default"/>
          <w:sz w:val="24"/>
          <w:szCs w:val="24"/>
        </w:rPr>
        <w:t>6</w:t>
      </w:r>
      <w:r>
        <w:rPr>
          <w:rFonts w:ascii="宋体" w:hAnsi="宋体" w:cs="宋体" w:eastAsia="宋体" w:hint="default"/>
          <w:spacing w:val="-40"/>
          <w:sz w:val="24"/>
          <w:szCs w:val="24"/>
        </w:rPr>
        <w:t> </w:t>
      </w:r>
      <w:r>
        <w:rPr>
          <w:rFonts w:ascii="宋体" w:hAnsi="宋体" w:cs="宋体" w:eastAsia="宋体" w:hint="default"/>
          <w:sz w:val="24"/>
          <w:szCs w:val="24"/>
        </w:rPr>
        <w:t>月</w:t>
      </w:r>
      <w:r>
        <w:rPr>
          <w:rFonts w:ascii="宋体" w:hAnsi="宋体" w:cs="宋体" w:eastAsia="宋体" w:hint="default"/>
          <w:spacing w:val="-41"/>
          <w:sz w:val="24"/>
          <w:szCs w:val="24"/>
        </w:rPr>
        <w:t> </w:t>
      </w:r>
      <w:r>
        <w:rPr>
          <w:rFonts w:ascii="宋体" w:hAnsi="宋体" w:cs="宋体" w:eastAsia="宋体" w:hint="default"/>
          <w:sz w:val="24"/>
          <w:szCs w:val="24"/>
        </w:rPr>
        <w:t>10</w:t>
      </w:r>
      <w:r>
        <w:rPr>
          <w:rFonts w:ascii="宋体" w:hAnsi="宋体" w:cs="宋体" w:eastAsia="宋体" w:hint="default"/>
          <w:spacing w:val="-41"/>
          <w:sz w:val="24"/>
          <w:szCs w:val="24"/>
        </w:rPr>
        <w:t> </w:t>
      </w:r>
      <w:r>
        <w:rPr>
          <w:rFonts w:ascii="宋体" w:hAnsi="宋体" w:cs="宋体" w:eastAsia="宋体" w:hint="default"/>
          <w:sz w:val="24"/>
          <w:szCs w:val="24"/>
        </w:rPr>
        <w:t>日，公司召开第三届董事会第十二次（临时）会议及第三届监事会第十 </w:t>
      </w:r>
      <w:r>
        <w:rPr>
          <w:rFonts w:ascii="宋体" w:hAnsi="宋体" w:cs="宋体" w:eastAsia="宋体" w:hint="default"/>
          <w:spacing w:val="-5"/>
          <w:sz w:val="24"/>
          <w:szCs w:val="24"/>
        </w:rPr>
        <w:t>二次会议审议通过《审议参与发起设立相互人寿保险公司（或组织）的议案》，公司出借自有</w:t>
      </w:r>
      <w:r>
        <w:rPr>
          <w:rFonts w:ascii="宋体" w:hAnsi="宋体" w:cs="宋体" w:eastAsia="宋体" w:hint="default"/>
          <w:sz w:val="24"/>
          <w:szCs w:val="24"/>
        </w:rPr>
        <w:t> 资金</w:t>
      </w:r>
      <w:r>
        <w:rPr>
          <w:rFonts w:ascii="宋体" w:hAnsi="宋体" w:cs="宋体" w:eastAsia="宋体" w:hint="default"/>
          <w:spacing w:val="-55"/>
          <w:sz w:val="24"/>
          <w:szCs w:val="24"/>
        </w:rPr>
        <w:t> </w:t>
      </w:r>
      <w:r>
        <w:rPr>
          <w:rFonts w:ascii="宋体" w:hAnsi="宋体" w:cs="宋体" w:eastAsia="宋体" w:hint="default"/>
          <w:sz w:val="24"/>
          <w:szCs w:val="24"/>
        </w:rPr>
        <w:t>5,000</w:t>
      </w:r>
      <w:r>
        <w:rPr>
          <w:rFonts w:ascii="宋体" w:hAnsi="宋体" w:cs="宋体" w:eastAsia="宋体" w:hint="default"/>
          <w:spacing w:val="-55"/>
          <w:sz w:val="24"/>
          <w:szCs w:val="24"/>
        </w:rPr>
        <w:t> </w:t>
      </w:r>
      <w:r>
        <w:rPr>
          <w:rFonts w:ascii="宋体" w:hAnsi="宋体" w:cs="宋体" w:eastAsia="宋体" w:hint="default"/>
          <w:spacing w:val="-6"/>
          <w:sz w:val="24"/>
          <w:szCs w:val="24"/>
        </w:rPr>
        <w:t>万元，参与发起设立相互人寿保险公司（或组织），出借资金后公司拟占相互人寿</w:t>
      </w:r>
      <w:r>
        <w:rPr>
          <w:rFonts w:ascii="宋体" w:hAnsi="宋体" w:cs="宋体" w:eastAsia="宋体" w:hint="default"/>
          <w:sz w:val="24"/>
          <w:szCs w:val="24"/>
        </w:rPr>
        <w:t> </w:t>
      </w:r>
      <w:r>
        <w:rPr>
          <w:rFonts w:ascii="宋体" w:hAnsi="宋体" w:cs="宋体" w:eastAsia="宋体" w:hint="default"/>
          <w:spacing w:val="-7"/>
          <w:sz w:val="24"/>
          <w:szCs w:val="24"/>
        </w:rPr>
        <w:t>保险公司（或组织）初始运营资金的</w:t>
      </w:r>
      <w:r>
        <w:rPr>
          <w:rFonts w:ascii="宋体" w:hAnsi="宋体" w:cs="宋体" w:eastAsia="宋体" w:hint="default"/>
          <w:spacing w:val="-56"/>
          <w:sz w:val="24"/>
          <w:szCs w:val="24"/>
        </w:rPr>
        <w:t> </w:t>
      </w:r>
      <w:r>
        <w:rPr>
          <w:rFonts w:ascii="宋体" w:hAnsi="宋体" w:cs="宋体" w:eastAsia="宋体" w:hint="default"/>
          <w:spacing w:val="-8"/>
          <w:sz w:val="24"/>
          <w:szCs w:val="24"/>
        </w:rPr>
        <w:t>5%</w:t>
      </w:r>
      <w:r>
        <w:rPr>
          <w:rFonts w:ascii="宋体" w:hAnsi="宋体" w:cs="宋体" w:eastAsia="宋体" w:hint="default"/>
          <w:spacing w:val="-8"/>
          <w:sz w:val="24"/>
          <w:szCs w:val="24"/>
        </w:rPr>
        <w:t>。</w:t>
      </w:r>
      <w:r>
        <w:rPr>
          <w:rFonts w:ascii="宋体" w:hAnsi="宋体" w:cs="宋体" w:eastAsia="宋体" w:hint="default"/>
          <w:spacing w:val="-8"/>
          <w:sz w:val="24"/>
          <w:szCs w:val="24"/>
        </w:rPr>
        <w:t>2016</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6</w:t>
      </w:r>
      <w:r>
        <w:rPr>
          <w:rFonts w:ascii="宋体" w:hAnsi="宋体" w:cs="宋体" w:eastAsia="宋体" w:hint="default"/>
          <w:spacing w:val="-56"/>
          <w:sz w:val="24"/>
          <w:szCs w:val="24"/>
        </w:rPr>
        <w:t> </w:t>
      </w:r>
      <w:r>
        <w:rPr>
          <w:rFonts w:ascii="宋体" w:hAnsi="宋体" w:cs="宋体" w:eastAsia="宋体" w:hint="default"/>
          <w:sz w:val="24"/>
          <w:szCs w:val="24"/>
        </w:rPr>
        <w:t>月</w:t>
      </w:r>
      <w:r>
        <w:rPr>
          <w:rFonts w:ascii="宋体" w:hAnsi="宋体" w:cs="宋体" w:eastAsia="宋体" w:hint="default"/>
          <w:spacing w:val="-56"/>
          <w:sz w:val="24"/>
          <w:szCs w:val="24"/>
        </w:rPr>
        <w:t> </w:t>
      </w:r>
      <w:r>
        <w:rPr>
          <w:rFonts w:ascii="宋体" w:hAnsi="宋体" w:cs="宋体" w:eastAsia="宋体" w:hint="default"/>
          <w:sz w:val="24"/>
          <w:szCs w:val="24"/>
        </w:rPr>
        <w:t>22</w:t>
      </w:r>
      <w:r>
        <w:rPr>
          <w:rFonts w:ascii="宋体" w:hAnsi="宋体" w:cs="宋体" w:eastAsia="宋体" w:hint="default"/>
          <w:spacing w:val="-56"/>
          <w:sz w:val="24"/>
          <w:szCs w:val="24"/>
        </w:rPr>
        <w:t> </w:t>
      </w:r>
      <w:r>
        <w:rPr>
          <w:rFonts w:ascii="宋体" w:hAnsi="宋体" w:cs="宋体" w:eastAsia="宋体" w:hint="default"/>
          <w:spacing w:val="-4"/>
          <w:sz w:val="24"/>
          <w:szCs w:val="24"/>
        </w:rPr>
        <w:t>日收到中国保险监督管理委员会《关</w:t>
      </w:r>
      <w:r>
        <w:rPr>
          <w:rFonts w:ascii="宋体" w:hAnsi="宋体" w:cs="宋体" w:eastAsia="宋体" w:hint="default"/>
          <w:sz w:val="24"/>
          <w:szCs w:val="24"/>
        </w:rPr>
        <w:t> </w:t>
      </w:r>
      <w:r>
        <w:rPr>
          <w:rFonts w:ascii="宋体" w:hAnsi="宋体" w:cs="宋体" w:eastAsia="宋体" w:hint="default"/>
          <w:spacing w:val="-5"/>
          <w:sz w:val="24"/>
          <w:szCs w:val="24"/>
        </w:rPr>
        <w:t>于筹建信美人寿相互保险社的批复》（保监许可</w:t>
      </w:r>
      <w:r>
        <w:rPr>
          <w:rFonts w:ascii="宋体" w:hAnsi="宋体" w:cs="宋体" w:eastAsia="宋体" w:hint="default"/>
          <w:spacing w:val="-5"/>
          <w:sz w:val="24"/>
          <w:szCs w:val="24"/>
        </w:rPr>
        <w:t>[2016]551</w:t>
      </w:r>
      <w:r>
        <w:rPr>
          <w:rFonts w:ascii="宋体" w:hAnsi="宋体" w:cs="宋体" w:eastAsia="宋体" w:hint="default"/>
          <w:spacing w:val="-56"/>
          <w:sz w:val="24"/>
          <w:szCs w:val="24"/>
        </w:rPr>
        <w:t> </w:t>
      </w:r>
      <w:r>
        <w:rPr>
          <w:rFonts w:ascii="宋体" w:hAnsi="宋体" w:cs="宋体" w:eastAsia="宋体" w:hint="default"/>
          <w:spacing w:val="-15"/>
          <w:sz w:val="24"/>
          <w:szCs w:val="24"/>
        </w:rPr>
        <w:t>号），该保险公司于</w:t>
      </w:r>
      <w:r>
        <w:rPr>
          <w:rFonts w:ascii="宋体" w:hAnsi="宋体" w:cs="宋体" w:eastAsia="宋体" w:hint="default"/>
          <w:spacing w:val="-56"/>
          <w:sz w:val="24"/>
          <w:szCs w:val="24"/>
        </w:rPr>
        <w:t> </w:t>
      </w:r>
      <w:r>
        <w:rPr>
          <w:rFonts w:ascii="宋体" w:hAnsi="宋体" w:cs="宋体" w:eastAsia="宋体" w:hint="default"/>
          <w:sz w:val="24"/>
          <w:szCs w:val="24"/>
        </w:rPr>
        <w:t>2017</w:t>
      </w:r>
      <w:r>
        <w:rPr>
          <w:rFonts w:ascii="宋体" w:hAnsi="宋体" w:cs="宋体" w:eastAsia="宋体" w:hint="default"/>
          <w:spacing w:val="-56"/>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宋体" w:hAnsi="宋体" w:cs="宋体" w:eastAsia="宋体" w:hint="default"/>
          <w:sz w:val="24"/>
          <w:szCs w:val="24"/>
        </w:rPr>
        <w:t>5</w:t>
      </w:r>
      <w:r>
        <w:rPr>
          <w:rFonts w:ascii="宋体" w:hAnsi="宋体" w:cs="宋体" w:eastAsia="宋体" w:hint="default"/>
          <w:spacing w:val="-56"/>
          <w:sz w:val="24"/>
          <w:szCs w:val="24"/>
        </w:rPr>
        <w:t> </w:t>
      </w:r>
      <w:r>
        <w:rPr>
          <w:rFonts w:ascii="宋体" w:hAnsi="宋体" w:cs="宋体" w:eastAsia="宋体" w:hint="default"/>
          <w:sz w:val="24"/>
          <w:szCs w:val="24"/>
        </w:rPr>
        <w:t>月完 成工商注册登记手续并取得营业执照。由于在金融强监管背景下相关法律或监管规定发生变 化，可能影响保险公司的正常运营，或消弱其投资收益的风险。</w:t>
      </w:r>
    </w:p>
    <w:p>
      <w:pPr>
        <w:spacing w:line="432" w:lineRule="auto" w:before="137"/>
        <w:ind w:left="1614" w:right="994"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7</w:t>
      </w:r>
      <w:r>
        <w:rPr>
          <w:rFonts w:ascii="宋体" w:hAnsi="宋体" w:cs="宋体" w:eastAsia="宋体" w:hint="default"/>
          <w:sz w:val="24"/>
          <w:szCs w:val="24"/>
        </w:rPr>
        <w:t>）收购长沙公信诚丰</w:t>
      </w:r>
      <w:r>
        <w:rPr>
          <w:rFonts w:ascii="宋体" w:hAnsi="宋体" w:cs="宋体" w:eastAsia="宋体" w:hint="default"/>
          <w:spacing w:val="-60"/>
          <w:sz w:val="24"/>
          <w:szCs w:val="24"/>
        </w:rPr>
        <w:t> </w:t>
      </w:r>
      <w:r>
        <w:rPr>
          <w:rFonts w:ascii="宋体" w:hAnsi="宋体" w:cs="宋体" w:eastAsia="宋体" w:hint="default"/>
          <w:sz w:val="24"/>
          <w:szCs w:val="24"/>
        </w:rPr>
        <w:t>100%</w:t>
      </w:r>
      <w:r>
        <w:rPr>
          <w:rFonts w:ascii="宋体" w:hAnsi="宋体" w:cs="宋体" w:eastAsia="宋体" w:hint="default"/>
          <w:sz w:val="24"/>
          <w:szCs w:val="24"/>
        </w:rPr>
        <w:t>股权的风险 公信诚丰专注于提供基于大数据技术的社会征信数据服务，行业政策的变化、新客户的</w:t>
      </w:r>
    </w:p>
    <w:p>
      <w:pPr>
        <w:spacing w:line="276" w:lineRule="exact" w:before="0"/>
        <w:ind w:left="1133" w:right="0" w:firstLine="0"/>
        <w:jc w:val="both"/>
        <w:rPr>
          <w:rFonts w:ascii="宋体" w:hAnsi="宋体" w:cs="宋体" w:eastAsia="宋体" w:hint="default"/>
          <w:sz w:val="24"/>
          <w:szCs w:val="24"/>
        </w:rPr>
      </w:pPr>
      <w:r>
        <w:rPr>
          <w:rFonts w:ascii="宋体" w:hAnsi="宋体" w:cs="宋体" w:eastAsia="宋体" w:hint="default"/>
          <w:sz w:val="24"/>
          <w:szCs w:val="24"/>
        </w:rPr>
        <w:t>拓展及其经营税务均存在风险，公信诚丰于</w:t>
      </w:r>
      <w:r>
        <w:rPr>
          <w:rFonts w:ascii="宋体" w:hAnsi="宋体" w:cs="宋体" w:eastAsia="宋体" w:hint="default"/>
          <w:spacing w:val="-68"/>
          <w:sz w:val="24"/>
          <w:szCs w:val="24"/>
        </w:rPr>
        <w:t> </w:t>
      </w:r>
      <w:r>
        <w:rPr>
          <w:rFonts w:ascii="宋体" w:hAnsi="宋体" w:cs="宋体" w:eastAsia="宋体" w:hint="default"/>
          <w:sz w:val="24"/>
          <w:szCs w:val="24"/>
        </w:rPr>
        <w:t>2015</w:t>
      </w:r>
      <w:r>
        <w:rPr>
          <w:rFonts w:ascii="宋体" w:hAnsi="宋体" w:cs="宋体" w:eastAsia="宋体" w:hint="default"/>
          <w:spacing w:val="-68"/>
          <w:sz w:val="24"/>
          <w:szCs w:val="24"/>
        </w:rPr>
        <w:t> </w:t>
      </w:r>
      <w:r>
        <w:rPr>
          <w:rFonts w:ascii="宋体" w:hAnsi="宋体" w:cs="宋体" w:eastAsia="宋体" w:hint="default"/>
          <w:sz w:val="24"/>
          <w:szCs w:val="24"/>
        </w:rPr>
        <w:t>年取得国家级高新技术企业证书，按</w:t>
      </w:r>
      <w:r>
        <w:rPr>
          <w:rFonts w:ascii="宋体" w:hAnsi="宋体" w:cs="宋体" w:eastAsia="宋体" w:hint="default"/>
          <w:spacing w:val="-68"/>
          <w:sz w:val="24"/>
          <w:szCs w:val="24"/>
        </w:rPr>
        <w:t> </w:t>
      </w:r>
      <w:r>
        <w:rPr>
          <w:rFonts w:ascii="宋体" w:hAnsi="宋体" w:cs="宋体" w:eastAsia="宋体" w:hint="default"/>
          <w:sz w:val="24"/>
          <w:szCs w:val="24"/>
        </w:rPr>
        <w:t>15%</w:t>
      </w:r>
      <w:r>
        <w:rPr>
          <w:rFonts w:ascii="宋体" w:hAnsi="宋体" w:cs="宋体" w:eastAsia="宋体" w:hint="default"/>
          <w:sz w:val="24"/>
          <w:szCs w:val="24"/>
        </w:rPr>
        <w:t>的</w:t>
      </w:r>
    </w:p>
    <w:p>
      <w:pPr>
        <w:spacing w:line="357" w:lineRule="auto" w:before="154"/>
        <w:ind w:left="1133" w:right="1137" w:firstLine="0"/>
        <w:jc w:val="both"/>
        <w:rPr>
          <w:rFonts w:ascii="宋体" w:hAnsi="宋体" w:cs="宋体" w:eastAsia="宋体" w:hint="default"/>
          <w:sz w:val="24"/>
          <w:szCs w:val="24"/>
        </w:rPr>
      </w:pPr>
      <w:r>
        <w:rPr>
          <w:rFonts w:ascii="宋体" w:hAnsi="宋体" w:cs="宋体" w:eastAsia="宋体" w:hint="default"/>
          <w:sz w:val="24"/>
          <w:szCs w:val="24"/>
        </w:rPr>
        <w:t>税率缴纳企业所得税，如果公信诚丰享受的所得税优惠政策发生变化、不能通过高新技术企 业复审或发生其他与税收相关的不利事件，将对其经营业绩产生不利影响。公信诚丰存在客 户集中度高、核心技术人员依赖性高、交易标的增值率较高的风险，同时存在股权收购交易 形成的商誉减值、公信诚丰业绩未达预期及业绩补偿实施的违约风险、整合风险。</w:t>
      </w:r>
    </w:p>
    <w:p>
      <w:pPr>
        <w:spacing w:before="136"/>
        <w:ind w:left="1613" w:right="994"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8</w:t>
      </w:r>
      <w:r>
        <w:rPr>
          <w:rFonts w:ascii="宋体" w:hAnsi="宋体" w:cs="宋体" w:eastAsia="宋体" w:hint="default"/>
          <w:sz w:val="24"/>
          <w:szCs w:val="24"/>
        </w:rPr>
        <w:t>）收购嘉联支付</w:t>
      </w:r>
      <w:r>
        <w:rPr>
          <w:rFonts w:ascii="宋体" w:hAnsi="宋体" w:cs="宋体" w:eastAsia="宋体" w:hint="default"/>
          <w:spacing w:val="-60"/>
          <w:sz w:val="24"/>
          <w:szCs w:val="24"/>
        </w:rPr>
        <w:t> </w:t>
      </w:r>
      <w:r>
        <w:rPr>
          <w:rFonts w:ascii="宋体" w:hAnsi="宋体" w:cs="宋体" w:eastAsia="宋体" w:hint="default"/>
          <w:sz w:val="24"/>
          <w:szCs w:val="24"/>
        </w:rPr>
        <w:t>100%</w:t>
      </w:r>
      <w:r>
        <w:rPr>
          <w:rFonts w:ascii="宋体" w:hAnsi="宋体" w:cs="宋体" w:eastAsia="宋体" w:hint="default"/>
          <w:sz w:val="24"/>
          <w:szCs w:val="24"/>
        </w:rPr>
        <w:t>股权的风险</w:t>
      </w:r>
    </w:p>
    <w:p>
      <w:pPr>
        <w:spacing w:line="240" w:lineRule="auto" w:before="5"/>
        <w:rPr>
          <w:rFonts w:ascii="宋体" w:hAnsi="宋体" w:cs="宋体" w:eastAsia="宋体" w:hint="default"/>
          <w:sz w:val="19"/>
          <w:szCs w:val="19"/>
        </w:rPr>
      </w:pPr>
    </w:p>
    <w:p>
      <w:pPr>
        <w:spacing w:before="0"/>
        <w:ind w:left="1614" w:right="994" w:firstLine="0"/>
        <w:jc w:val="left"/>
        <w:rPr>
          <w:rFonts w:ascii="宋体" w:hAnsi="宋体" w:cs="宋体" w:eastAsia="宋体" w:hint="default"/>
          <w:sz w:val="24"/>
          <w:szCs w:val="24"/>
        </w:rPr>
      </w:pPr>
      <w:r>
        <w:rPr>
          <w:rFonts w:ascii="宋体" w:hAnsi="宋体" w:cs="宋体" w:eastAsia="宋体" w:hint="default"/>
          <w:sz w:val="24"/>
          <w:szCs w:val="24"/>
        </w:rPr>
        <w:t>收购嘉联支付</w:t>
      </w:r>
      <w:r>
        <w:rPr>
          <w:rFonts w:ascii="宋体" w:hAnsi="宋体" w:cs="宋体" w:eastAsia="宋体" w:hint="default"/>
          <w:spacing w:val="2"/>
          <w:sz w:val="24"/>
          <w:szCs w:val="24"/>
        </w:rPr>
        <w:t> </w:t>
      </w:r>
      <w:r>
        <w:rPr>
          <w:rFonts w:ascii="宋体" w:hAnsi="宋体" w:cs="宋体" w:eastAsia="宋体" w:hint="default"/>
          <w:sz w:val="24"/>
          <w:szCs w:val="24"/>
        </w:rPr>
        <w:t>100</w:t>
      </w:r>
      <w:r>
        <w:rPr>
          <w:rFonts w:ascii="宋体" w:hAnsi="宋体" w:cs="宋体" w:eastAsia="宋体" w:hint="default"/>
          <w:spacing w:val="1"/>
          <w:sz w:val="24"/>
          <w:szCs w:val="24"/>
        </w:rPr>
        <w:t>%</w:t>
      </w:r>
      <w:r>
        <w:rPr>
          <w:rFonts w:ascii="宋体" w:hAnsi="宋体" w:cs="宋体" w:eastAsia="宋体" w:hint="default"/>
          <w:sz w:val="24"/>
          <w:szCs w:val="24"/>
        </w:rPr>
        <w:t>股权存在审批风险</w:t>
      </w:r>
      <w:r>
        <w:rPr>
          <w:rFonts w:ascii="宋体" w:hAnsi="宋体" w:cs="宋体" w:eastAsia="宋体" w:hint="default"/>
          <w:spacing w:val="-119"/>
          <w:sz w:val="24"/>
          <w:szCs w:val="24"/>
        </w:rPr>
        <w:t>、</w:t>
      </w:r>
      <w:r>
        <w:rPr>
          <w:rFonts w:ascii="宋体" w:hAnsi="宋体" w:cs="宋体" w:eastAsia="宋体" w:hint="default"/>
          <w:sz w:val="24"/>
          <w:szCs w:val="24"/>
        </w:rPr>
        <w:t>《支付业务许可证》不能续期的风险、市场</w:t>
      </w:r>
      <w:r>
        <w:rPr>
          <w:rFonts w:ascii="宋体" w:hAnsi="宋体" w:cs="宋体" w:eastAsia="宋体" w:hint="default"/>
          <w:spacing w:val="2"/>
          <w:sz w:val="24"/>
          <w:szCs w:val="24"/>
        </w:rPr>
        <w:t>竞</w:t>
      </w:r>
      <w:r>
        <w:rPr>
          <w:rFonts w:ascii="宋体" w:hAnsi="宋体" w:cs="宋体" w:eastAsia="宋体" w:hint="default"/>
          <w:sz w:val="24"/>
          <w:szCs w:val="24"/>
        </w:rPr>
        <w:t>争</w:t>
      </w:r>
    </w:p>
    <w:p>
      <w:pPr>
        <w:spacing w:after="0"/>
        <w:jc w:val="left"/>
        <w:rPr>
          <w:rFonts w:ascii="宋体" w:hAnsi="宋体" w:cs="宋体" w:eastAsia="宋体" w:hint="default"/>
          <w:sz w:val="24"/>
          <w:szCs w:val="24"/>
        </w:rPr>
        <w:sectPr>
          <w:pgSz w:w="11910" w:h="16840"/>
          <w:pgMar w:header="747" w:footer="979" w:top="1060" w:bottom="1160" w:left="0" w:right="0"/>
        </w:sectPr>
      </w:pPr>
    </w:p>
    <w:p>
      <w:pPr>
        <w:spacing w:line="240" w:lineRule="auto" w:before="7"/>
        <w:rPr>
          <w:rFonts w:ascii="宋体" w:hAnsi="宋体" w:cs="宋体" w:eastAsia="宋体" w:hint="default"/>
          <w:sz w:val="29"/>
          <w:szCs w:val="29"/>
        </w:rPr>
      </w:pPr>
    </w:p>
    <w:p>
      <w:pPr>
        <w:spacing w:line="357" w:lineRule="auto" w:before="26"/>
        <w:ind w:left="1133" w:right="1137" w:firstLine="0"/>
        <w:jc w:val="both"/>
        <w:rPr>
          <w:rFonts w:ascii="宋体" w:hAnsi="宋体" w:cs="宋体" w:eastAsia="宋体" w:hint="default"/>
          <w:sz w:val="24"/>
          <w:szCs w:val="24"/>
        </w:rPr>
      </w:pPr>
      <w:r>
        <w:rPr>
          <w:rFonts w:ascii="宋体" w:hAnsi="宋体" w:cs="宋体" w:eastAsia="宋体" w:hint="default"/>
          <w:sz w:val="24"/>
          <w:szCs w:val="24"/>
        </w:rPr>
        <w:t>风险、业务风险、公司估值过高对现有支付终端业务产生负面影响风险及商誉减值风险、后 期整合未到预期效果风险、人才流失风险、政策监管风险和对现有支付终端业务产生负面影 响等风险。对于并购嘉联支付的相关风险，公司会加强投后整合管理工作，为嘉联支付管理 层及核心骨干提供有效激励方案，并且把合规运营放在首位，及时认真学习及积极落实监管 政策；在业务上加强双方主体在产业链上协同效应从而真正突显出产业链整合的红利、增强 公司的盈利能力和抗风险能力。</w:t>
      </w:r>
    </w:p>
    <w:p>
      <w:pPr>
        <w:spacing w:line="357" w:lineRule="auto" w:before="134"/>
        <w:ind w:left="1133" w:right="1131" w:firstLine="480"/>
        <w:jc w:val="both"/>
        <w:rPr>
          <w:rFonts w:ascii="宋体" w:hAnsi="宋体" w:cs="宋体" w:eastAsia="宋体" w:hint="default"/>
          <w:sz w:val="24"/>
          <w:szCs w:val="24"/>
        </w:rPr>
      </w:pPr>
      <w:r>
        <w:rPr>
          <w:rFonts w:ascii="宋体" w:hAnsi="宋体" w:cs="宋体" w:eastAsia="宋体" w:hint="default"/>
          <w:spacing w:val="-3"/>
          <w:sz w:val="24"/>
          <w:szCs w:val="24"/>
        </w:rPr>
        <w:t>（</w:t>
      </w:r>
      <w:r>
        <w:rPr>
          <w:rFonts w:ascii="宋体" w:hAnsi="宋体" w:cs="宋体" w:eastAsia="宋体" w:hint="default"/>
          <w:spacing w:val="-3"/>
          <w:sz w:val="24"/>
          <w:szCs w:val="24"/>
        </w:rPr>
        <w:t>9</w:t>
      </w:r>
      <w:r>
        <w:rPr>
          <w:rFonts w:ascii="宋体" w:hAnsi="宋体" w:cs="宋体" w:eastAsia="宋体" w:hint="default"/>
          <w:spacing w:val="-3"/>
          <w:sz w:val="24"/>
          <w:szCs w:val="24"/>
        </w:rPr>
        <w:t>）税收优惠政策对公司业绩影响的风险报告期内，公司及部分子公司依法享受了国家</w:t>
      </w:r>
      <w:r>
        <w:rPr>
          <w:rFonts w:ascii="宋体" w:hAnsi="宋体" w:cs="宋体" w:eastAsia="宋体" w:hint="default"/>
          <w:sz w:val="24"/>
          <w:szCs w:val="24"/>
        </w:rPr>
        <w:t> 高新技术企业和软件企业的所得税优惠、软件企业的增值税优惠政策，如果国家调整相关税 收支持政策，或公司由于无法继续保持国家高新技术企业身份等原因无法继续享受相关优惠</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政策，则有可能提高公司的税负，从而给公司业绩带来不利影响。</w:t>
      </w:r>
    </w:p>
    <w:p>
      <w:pPr>
        <w:spacing w:before="136"/>
        <w:ind w:left="1613" w:right="994" w:firstLine="0"/>
        <w:jc w:val="left"/>
        <w:rPr>
          <w:rFonts w:ascii="宋体" w:hAnsi="宋体" w:cs="宋体" w:eastAsia="宋体" w:hint="default"/>
          <w:sz w:val="24"/>
          <w:szCs w:val="24"/>
        </w:rPr>
      </w:pPr>
      <w:r>
        <w:rPr>
          <w:rFonts w:ascii="宋体" w:hAnsi="宋体" w:cs="宋体" w:eastAsia="宋体" w:hint="default"/>
          <w:spacing w:val="-4"/>
          <w:sz w:val="24"/>
          <w:szCs w:val="24"/>
        </w:rPr>
        <w:t>公司经本次董事会审议通过的利润分配预案为：以</w:t>
      </w:r>
      <w:r>
        <w:rPr>
          <w:rFonts w:ascii="宋体" w:hAnsi="宋体" w:cs="宋体" w:eastAsia="宋体" w:hint="default"/>
          <w:spacing w:val="-59"/>
          <w:sz w:val="24"/>
          <w:szCs w:val="24"/>
        </w:rPr>
        <w:t> </w:t>
      </w:r>
      <w:r>
        <w:rPr>
          <w:rFonts w:ascii="宋体" w:hAnsi="宋体" w:cs="宋体" w:eastAsia="宋体" w:hint="default"/>
          <w:sz w:val="24"/>
          <w:szCs w:val="24"/>
        </w:rPr>
        <w:t>2017</w:t>
      </w:r>
      <w:r>
        <w:rPr>
          <w:rFonts w:ascii="宋体" w:hAnsi="宋体" w:cs="宋体" w:eastAsia="宋体" w:hint="default"/>
          <w:spacing w:val="-5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宋体" w:hAnsi="宋体" w:cs="宋体" w:eastAsia="宋体" w:hint="default"/>
          <w:sz w:val="24"/>
          <w:szCs w:val="24"/>
        </w:rPr>
        <w:t>12</w:t>
      </w:r>
      <w:r>
        <w:rPr>
          <w:rFonts w:ascii="宋体" w:hAnsi="宋体" w:cs="宋体" w:eastAsia="宋体" w:hint="default"/>
          <w:spacing w:val="-5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宋体" w:hAnsi="宋体" w:cs="宋体" w:eastAsia="宋体" w:hint="default"/>
          <w:sz w:val="24"/>
          <w:szCs w:val="24"/>
        </w:rPr>
        <w:t>31</w:t>
      </w:r>
      <w:r>
        <w:rPr>
          <w:rFonts w:ascii="宋体" w:hAnsi="宋体" w:cs="宋体" w:eastAsia="宋体" w:hint="default"/>
          <w:spacing w:val="-59"/>
          <w:sz w:val="24"/>
          <w:szCs w:val="24"/>
        </w:rPr>
        <w:t> </w:t>
      </w:r>
      <w:r>
        <w:rPr>
          <w:rFonts w:ascii="宋体" w:hAnsi="宋体" w:cs="宋体" w:eastAsia="宋体" w:hint="default"/>
          <w:sz w:val="24"/>
          <w:szCs w:val="24"/>
        </w:rPr>
        <w:t>日经中国证券登记结</w:t>
      </w:r>
    </w:p>
    <w:p>
      <w:pPr>
        <w:spacing w:before="154"/>
        <w:ind w:left="1133" w:right="0" w:firstLine="0"/>
        <w:jc w:val="both"/>
        <w:rPr>
          <w:rFonts w:ascii="宋体" w:hAnsi="宋体" w:cs="宋体" w:eastAsia="宋体" w:hint="default"/>
          <w:sz w:val="24"/>
          <w:szCs w:val="24"/>
        </w:rPr>
      </w:pPr>
      <w:r>
        <w:rPr>
          <w:rFonts w:ascii="宋体" w:hAnsi="宋体" w:cs="宋体" w:eastAsia="宋体" w:hint="default"/>
          <w:sz w:val="24"/>
          <w:szCs w:val="24"/>
        </w:rPr>
        <w:t>算有限责任公司深圳分公司登记的公司总股本</w:t>
      </w:r>
      <w:r>
        <w:rPr>
          <w:rFonts w:ascii="宋体" w:hAnsi="宋体" w:cs="宋体" w:eastAsia="宋体" w:hint="default"/>
          <w:spacing w:val="-59"/>
          <w:sz w:val="24"/>
          <w:szCs w:val="24"/>
        </w:rPr>
        <w:t> </w:t>
      </w:r>
      <w:r>
        <w:rPr>
          <w:rFonts w:ascii="宋体" w:hAnsi="宋体" w:cs="宋体" w:eastAsia="宋体" w:hint="default"/>
          <w:sz w:val="24"/>
          <w:szCs w:val="24"/>
        </w:rPr>
        <w:t>265,486,700</w:t>
      </w:r>
      <w:r>
        <w:rPr>
          <w:rFonts w:ascii="宋体" w:hAnsi="宋体" w:cs="宋体" w:eastAsia="宋体" w:hint="default"/>
          <w:spacing w:val="-59"/>
          <w:sz w:val="24"/>
          <w:szCs w:val="24"/>
        </w:rPr>
        <w:t> </w:t>
      </w:r>
      <w:r>
        <w:rPr>
          <w:rFonts w:ascii="宋体" w:hAnsi="宋体" w:cs="宋体" w:eastAsia="宋体" w:hint="default"/>
          <w:spacing w:val="-8"/>
          <w:sz w:val="24"/>
          <w:szCs w:val="24"/>
        </w:rPr>
        <w:t>股为基数，向全体股东每</w:t>
      </w:r>
      <w:r>
        <w:rPr>
          <w:rFonts w:ascii="宋体" w:hAnsi="宋体" w:cs="宋体" w:eastAsia="宋体" w:hint="default"/>
          <w:spacing w:val="-59"/>
          <w:sz w:val="24"/>
          <w:szCs w:val="24"/>
        </w:rPr>
        <w:t> </w:t>
      </w:r>
      <w:r>
        <w:rPr>
          <w:rFonts w:ascii="宋体" w:hAnsi="宋体" w:cs="宋体" w:eastAsia="宋体" w:hint="default"/>
          <w:sz w:val="24"/>
          <w:szCs w:val="24"/>
        </w:rPr>
        <w:t>10</w:t>
      </w:r>
      <w:r>
        <w:rPr>
          <w:rFonts w:ascii="宋体" w:hAnsi="宋体" w:cs="宋体" w:eastAsia="宋体" w:hint="default"/>
          <w:spacing w:val="-59"/>
          <w:sz w:val="24"/>
          <w:szCs w:val="24"/>
        </w:rPr>
        <w:t> </w:t>
      </w:r>
      <w:r>
        <w:rPr>
          <w:rFonts w:ascii="宋体" w:hAnsi="宋体" w:cs="宋体" w:eastAsia="宋体" w:hint="default"/>
          <w:sz w:val="24"/>
          <w:szCs w:val="24"/>
        </w:rPr>
        <w:t>股派</w:t>
      </w:r>
    </w:p>
    <w:p>
      <w:pPr>
        <w:spacing w:line="357" w:lineRule="auto" w:before="154"/>
        <w:ind w:left="1133" w:right="1132" w:firstLine="0"/>
        <w:jc w:val="both"/>
        <w:rPr>
          <w:rFonts w:ascii="宋体" w:hAnsi="宋体" w:cs="宋体" w:eastAsia="宋体" w:hint="default"/>
          <w:sz w:val="24"/>
          <w:szCs w:val="24"/>
        </w:rPr>
      </w:pPr>
      <w:r>
        <w:rPr>
          <w:rFonts w:ascii="宋体" w:hAnsi="宋体" w:cs="宋体" w:eastAsia="宋体" w:hint="default"/>
          <w:sz w:val="24"/>
          <w:szCs w:val="24"/>
        </w:rPr>
        <w:t>发现金红利</w:t>
      </w:r>
      <w:r>
        <w:rPr>
          <w:rFonts w:ascii="宋体" w:hAnsi="宋体" w:cs="宋体" w:eastAsia="宋体" w:hint="default"/>
          <w:spacing w:val="-45"/>
          <w:sz w:val="24"/>
          <w:szCs w:val="24"/>
        </w:rPr>
        <w:t> </w:t>
      </w:r>
      <w:r>
        <w:rPr>
          <w:rFonts w:ascii="宋体" w:hAnsi="宋体" w:cs="宋体" w:eastAsia="宋体" w:hint="default"/>
          <w:sz w:val="24"/>
          <w:szCs w:val="24"/>
        </w:rPr>
        <w:t>1.50</w:t>
      </w:r>
      <w:r>
        <w:rPr>
          <w:rFonts w:ascii="宋体" w:hAnsi="宋体" w:cs="宋体" w:eastAsia="宋体" w:hint="default"/>
          <w:spacing w:val="-45"/>
          <w:sz w:val="24"/>
          <w:szCs w:val="24"/>
        </w:rPr>
        <w:t> </w:t>
      </w:r>
      <w:r>
        <w:rPr>
          <w:rFonts w:ascii="宋体" w:hAnsi="宋体" w:cs="宋体" w:eastAsia="宋体" w:hint="default"/>
          <w:spacing w:val="-14"/>
          <w:sz w:val="24"/>
          <w:szCs w:val="24"/>
        </w:rPr>
        <w:t>元（含税），送红股</w:t>
      </w:r>
      <w:r>
        <w:rPr>
          <w:rFonts w:ascii="宋体" w:hAnsi="宋体" w:cs="宋体" w:eastAsia="宋体" w:hint="default"/>
          <w:spacing w:val="-45"/>
          <w:sz w:val="24"/>
          <w:szCs w:val="24"/>
        </w:rPr>
        <w:t> </w:t>
      </w:r>
      <w:r>
        <w:rPr>
          <w:rFonts w:ascii="宋体" w:hAnsi="宋体" w:cs="宋体" w:eastAsia="宋体" w:hint="default"/>
          <w:sz w:val="24"/>
          <w:szCs w:val="24"/>
        </w:rPr>
        <w:t>0</w:t>
      </w:r>
      <w:r>
        <w:rPr>
          <w:rFonts w:ascii="宋体" w:hAnsi="宋体" w:cs="宋体" w:eastAsia="宋体" w:hint="default"/>
          <w:spacing w:val="-45"/>
          <w:sz w:val="24"/>
          <w:szCs w:val="24"/>
        </w:rPr>
        <w:t> </w:t>
      </w:r>
      <w:r>
        <w:rPr>
          <w:rFonts w:ascii="宋体" w:hAnsi="宋体" w:cs="宋体" w:eastAsia="宋体" w:hint="default"/>
          <w:spacing w:val="-7"/>
          <w:sz w:val="24"/>
          <w:szCs w:val="24"/>
        </w:rPr>
        <w:t>股（含税），以资本公积金向全体股东每</w:t>
      </w:r>
      <w:r>
        <w:rPr>
          <w:rFonts w:ascii="宋体" w:hAnsi="宋体" w:cs="宋体" w:eastAsia="宋体" w:hint="default"/>
          <w:spacing w:val="-45"/>
          <w:sz w:val="24"/>
          <w:szCs w:val="24"/>
        </w:rPr>
        <w:t> </w:t>
      </w:r>
      <w:r>
        <w:rPr>
          <w:rFonts w:ascii="宋体" w:hAnsi="宋体" w:cs="宋体" w:eastAsia="宋体" w:hint="default"/>
          <w:sz w:val="24"/>
          <w:szCs w:val="24"/>
        </w:rPr>
        <w:t>10</w:t>
      </w:r>
      <w:r>
        <w:rPr>
          <w:rFonts w:ascii="宋体" w:hAnsi="宋体" w:cs="宋体" w:eastAsia="宋体" w:hint="default"/>
          <w:spacing w:val="-45"/>
          <w:sz w:val="24"/>
          <w:szCs w:val="24"/>
        </w:rPr>
        <w:t> </w:t>
      </w:r>
      <w:r>
        <w:rPr>
          <w:rFonts w:ascii="宋体" w:hAnsi="宋体" w:cs="宋体" w:eastAsia="宋体" w:hint="default"/>
          <w:spacing w:val="-1"/>
          <w:sz w:val="24"/>
          <w:szCs w:val="24"/>
        </w:rPr>
        <w:t>股转增</w:t>
      </w:r>
      <w:r>
        <w:rPr>
          <w:rFonts w:ascii="宋体" w:hAnsi="宋体" w:cs="宋体" w:eastAsia="宋体" w:hint="default"/>
          <w:spacing w:val="-45"/>
          <w:sz w:val="24"/>
          <w:szCs w:val="24"/>
        </w:rPr>
        <w:t> </w:t>
      </w:r>
      <w:r>
        <w:rPr>
          <w:rFonts w:ascii="宋体" w:hAnsi="宋体" w:cs="宋体" w:eastAsia="宋体" w:hint="default"/>
          <w:sz w:val="24"/>
          <w:szCs w:val="24"/>
        </w:rPr>
        <w:t>8 </w:t>
      </w:r>
      <w:r>
        <w:rPr>
          <w:rFonts w:ascii="宋体" w:hAnsi="宋体" w:cs="宋体" w:eastAsia="宋体" w:hint="default"/>
          <w:sz w:val="24"/>
          <w:szCs w:val="24"/>
        </w:rPr>
        <w:t>股。</w:t>
      </w:r>
    </w:p>
    <w:p>
      <w:pPr>
        <w:spacing w:after="0" w:line="357" w:lineRule="auto"/>
        <w:jc w:val="both"/>
        <w:rPr>
          <w:rFonts w:ascii="宋体" w:hAnsi="宋体" w:cs="宋体" w:eastAsia="宋体" w:hint="default"/>
          <w:sz w:val="24"/>
          <w:szCs w:val="24"/>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23"/>
        <w:ind w:left="1475" w:right="147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72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95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100</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225</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before="946"/>
        <w:ind w:left="1475" w:right="147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9"/>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161" w:hRule="exact"/>
        </w:trPr>
        <w:tc>
          <w:tcPr>
            <w:tcW w:w="3536" w:type="dxa"/>
            <w:vMerge w:val="restart"/>
            <w:tcBorders>
              <w:top w:val="single" w:sz="4" w:space="0" w:color="000000"/>
              <w:left w:val="single" w:sz="4" w:space="0" w:color="000000"/>
              <w:right w:val="single" w:sz="9" w:space="0" w:color="D2D2D2"/>
            </w:tcBorders>
            <w:shd w:val="clear" w:color="auto" w:fill="CCE8CF"/>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本公司、公司、母公司、新国都、新国都技 术</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w:t>
            </w:r>
          </w:p>
        </w:tc>
      </w:tr>
      <w:tr>
        <w:trPr>
          <w:trHeight w:val="392" w:hRule="exact"/>
        </w:trPr>
        <w:tc>
          <w:tcPr>
            <w:tcW w:w="3536" w:type="dxa"/>
            <w:vMerge/>
            <w:tcBorders>
              <w:left w:val="single" w:sz="4" w:space="0" w:color="000000"/>
              <w:right w:val="single" w:sz="9" w:space="0" w:color="D2D2D2"/>
            </w:tcBorders>
            <w:shd w:val="clear" w:color="auto" w:fill="CCE8CF"/>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shd w:val="clear" w:color="auto" w:fill="CCE8CF"/>
          </w:tcPr>
          <w:p>
            <w:pPr/>
          </w:p>
        </w:tc>
      </w:tr>
      <w:tr>
        <w:trPr>
          <w:trHeight w:val="161" w:hRule="exact"/>
        </w:trPr>
        <w:tc>
          <w:tcPr>
            <w:tcW w:w="3536" w:type="dxa"/>
            <w:vMerge/>
            <w:tcBorders>
              <w:left w:val="single" w:sz="4" w:space="0" w:color="000000"/>
              <w:bottom w:val="single" w:sz="4" w:space="0" w:color="000000"/>
              <w:right w:val="single" w:sz="9" w:space="0" w:color="D2D2D2"/>
            </w:tcBorders>
            <w:shd w:val="clear" w:color="auto" w:fill="CCE8CF"/>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shd w:val="clear" w:color="auto" w:fill="CCE8CF"/>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公司总部</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深圳市福田区深南路车公庙工业区泰然劲松大厦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17A</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易联技术</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公信诚丰、长沙公信、长沙公信诚丰</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长沙公信诚丰信息技术服务有限公司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南京新国都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南京市新国都技术有限公司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信美、相互保险公司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信美人寿相互保险社</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苏州新国都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新国都支付、支付公司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深圳市新国都支付技术有限公司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Exadigm</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Exadigm,Inc</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瑞柏泰</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深圳市瑞柏泰电子有限公司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泰德信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深圳市泰德信实业有限公司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主承销商、保荐机构、中信证券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审计机构、会计师、大华会计师</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律师、律师事务所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北京市中伦（深圳）律师事务所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浙江中正、中正、中正智能</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浙江中正智能科技有限公司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大拿科技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深圳市大拿科技有限公司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信联征信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深圳市信联征信有限公司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大岩资本</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深圳嘉石大岩资本管理有限公司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非公开发行股票、非公开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股股票</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保监会、中国保监会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中国保险监督管理委员会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新国都末微</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深圳市新国都末微技术服务有限公司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长沙法度</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长沙法度互联网科技有限公司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524"/>
        <w:gridCol w:w="621"/>
        <w:gridCol w:w="5413"/>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杭州中宗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杭州中宗电子有限公司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深圳中小担</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深圳市中小企业信用融资担保集团有限公司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鹏元资信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鹏元资信评估有限公司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嘉联支付</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嘉联支付有限公司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624" w:right="994"/>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994"/>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新国都</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300130</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w:t>
            </w:r>
          </w:p>
        </w:tc>
      </w:tr>
      <w:tr>
        <w:trPr>
          <w:trHeight w:val="402" w:hRule="exact"/>
        </w:trPr>
        <w:tc>
          <w:tcPr>
            <w:tcW w:w="227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新国都</w:t>
            </w:r>
          </w:p>
        </w:tc>
      </w:tr>
      <w:tr>
        <w:trPr>
          <w:trHeight w:val="402" w:hRule="exact"/>
        </w:trPr>
        <w:tc>
          <w:tcPr>
            <w:tcW w:w="227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Nexgo</w:t>
            </w:r>
            <w:r>
              <w:rPr>
                <w:rFonts w:ascii="Times New Roman"/>
                <w:spacing w:val="-2"/>
                <w:sz w:val="18"/>
              </w:rPr>
              <w:t> </w:t>
            </w:r>
            <w:r>
              <w:rPr>
                <w:rFonts w:ascii="Times New Roman"/>
                <w:sz w:val="18"/>
              </w:rPr>
              <w:t>Inc.</w:t>
            </w:r>
          </w:p>
        </w:tc>
      </w:tr>
      <w:tr>
        <w:trPr>
          <w:trHeight w:val="401" w:hRule="exact"/>
        </w:trPr>
        <w:tc>
          <w:tcPr>
            <w:tcW w:w="227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Nexgo</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刘祥</w:t>
            </w:r>
          </w:p>
        </w:tc>
      </w:tr>
      <w:tr>
        <w:trPr>
          <w:trHeight w:val="402" w:hRule="exact"/>
        </w:trPr>
        <w:tc>
          <w:tcPr>
            <w:tcW w:w="227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深圳市福田区深南路车公庙工业区泰然劲松大厦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17A</w:t>
            </w:r>
          </w:p>
        </w:tc>
      </w:tr>
      <w:tr>
        <w:trPr>
          <w:trHeight w:val="402" w:hRule="exact"/>
        </w:trPr>
        <w:tc>
          <w:tcPr>
            <w:tcW w:w="227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518040</w:t>
            </w:r>
          </w:p>
        </w:tc>
      </w:tr>
      <w:tr>
        <w:trPr>
          <w:trHeight w:val="402" w:hRule="exact"/>
        </w:trPr>
        <w:tc>
          <w:tcPr>
            <w:tcW w:w="227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深圳市福田区深南路车公庙工业区泰然劲松大厦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17A</w:t>
            </w:r>
          </w:p>
        </w:tc>
      </w:tr>
      <w:tr>
        <w:trPr>
          <w:trHeight w:val="402" w:hRule="exact"/>
        </w:trPr>
        <w:tc>
          <w:tcPr>
            <w:tcW w:w="227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518040</w:t>
            </w:r>
          </w:p>
        </w:tc>
      </w:tr>
      <w:tr>
        <w:trPr>
          <w:trHeight w:val="402" w:hRule="exact"/>
        </w:trPr>
        <w:tc>
          <w:tcPr>
            <w:tcW w:w="227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www.nexgo.com.cn</w:t>
              </w:r>
            </w:hyperlink>
          </w:p>
        </w:tc>
      </w:tr>
      <w:tr>
        <w:trPr>
          <w:trHeight w:val="402" w:hRule="exact"/>
        </w:trPr>
        <w:tc>
          <w:tcPr>
            <w:tcW w:w="227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xgd-zqb@nexgo.com.cn</w:t>
              </w:r>
            </w:hyperlink>
          </w:p>
        </w:tc>
      </w:tr>
    </w:tbl>
    <w:p>
      <w:pPr>
        <w:spacing w:line="240" w:lineRule="auto" w:before="3"/>
        <w:rPr>
          <w:rFonts w:ascii="宋体" w:hAnsi="宋体" w:cs="宋体" w:eastAsia="宋体" w:hint="default"/>
          <w:b/>
          <w:bCs/>
          <w:sz w:val="18"/>
          <w:szCs w:val="18"/>
        </w:rPr>
      </w:pPr>
    </w:p>
    <w:p>
      <w:pPr>
        <w:pStyle w:val="Heading4"/>
        <w:spacing w:line="240" w:lineRule="auto" w:before="26"/>
        <w:ind w:left="1134" w:right="994"/>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201"/>
        <w:gridCol w:w="3179"/>
        <w:gridCol w:w="3179"/>
      </w:tblGrid>
      <w:tr>
        <w:trPr>
          <w:trHeight w:val="402" w:hRule="exact"/>
        </w:trPr>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201"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79"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宋菁</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方媛</w:t>
            </w:r>
          </w:p>
        </w:tc>
      </w:tr>
      <w:tr>
        <w:trPr>
          <w:trHeight w:val="161" w:hRule="exact"/>
        </w:trPr>
        <w:tc>
          <w:tcPr>
            <w:tcW w:w="3201" w:type="dxa"/>
            <w:tcBorders>
              <w:top w:val="single" w:sz="4" w:space="0" w:color="000000"/>
              <w:left w:val="single" w:sz="4" w:space="0" w:color="000000"/>
              <w:bottom w:val="nil" w:sz="6" w:space="0" w:color="auto"/>
              <w:right w:val="single" w:sz="13" w:space="0" w:color="CCE8CF"/>
            </w:tcBorders>
            <w:shd w:val="clear" w:color="auto" w:fill="D2D2D2"/>
          </w:tcPr>
          <w:p>
            <w:pPr/>
          </w:p>
        </w:tc>
        <w:tc>
          <w:tcPr>
            <w:tcW w:w="3179" w:type="dxa"/>
            <w:vMerge w:val="restart"/>
            <w:tcBorders>
              <w:top w:val="single" w:sz="4" w:space="0" w:color="000000"/>
              <w:left w:val="single" w:sz="9" w:space="0" w:color="D2D2D2"/>
              <w:right w:val="single" w:sz="4" w:space="0" w:color="000000"/>
            </w:tcBorders>
            <w:shd w:val="clear" w:color="auto" w:fill="CCE8CF"/>
          </w:tcPr>
          <w:p>
            <w:pPr>
              <w:pStyle w:val="TableParagraph"/>
              <w:spacing w:line="316" w:lineRule="auto" w:before="51"/>
              <w:ind w:left="4"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深圳市福田区深南路车公庙工业区泰然 劲松大厦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17A</w:t>
            </w:r>
          </w:p>
        </w:tc>
        <w:tc>
          <w:tcPr>
            <w:tcW w:w="3179"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22" w:right="84"/>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深圳市福田区深南路车公庙工业区泰然 劲松大厦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17A</w:t>
            </w:r>
          </w:p>
        </w:tc>
      </w:tr>
      <w:tr>
        <w:trPr>
          <w:trHeight w:val="392" w:hRule="exact"/>
        </w:trPr>
        <w:tc>
          <w:tcPr>
            <w:tcW w:w="3201" w:type="dxa"/>
            <w:tcBorders>
              <w:top w:val="nil" w:sz="6" w:space="0" w:color="auto"/>
              <w:left w:val="single" w:sz="4" w:space="0" w:color="000000"/>
              <w:bottom w:val="nil" w:sz="6" w:space="0" w:color="auto"/>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79" w:type="dxa"/>
            <w:vMerge/>
            <w:tcBorders>
              <w:left w:val="single" w:sz="9" w:space="0" w:color="D2D2D2"/>
              <w:right w:val="single" w:sz="4" w:space="0" w:color="000000"/>
            </w:tcBorders>
            <w:shd w:val="clear" w:color="auto" w:fill="CCE8CF"/>
          </w:tcPr>
          <w:p>
            <w:pPr/>
          </w:p>
        </w:tc>
        <w:tc>
          <w:tcPr>
            <w:tcW w:w="3179" w:type="dxa"/>
            <w:vMerge/>
            <w:tcBorders>
              <w:left w:val="single" w:sz="4" w:space="0" w:color="000000"/>
              <w:right w:val="single" w:sz="4" w:space="0" w:color="000000"/>
            </w:tcBorders>
            <w:shd w:val="clear" w:color="auto" w:fill="CCE8CF"/>
          </w:tcPr>
          <w:p>
            <w:pPr/>
          </w:p>
        </w:tc>
      </w:tr>
      <w:tr>
        <w:trPr>
          <w:trHeight w:val="161" w:hRule="exact"/>
        </w:trPr>
        <w:tc>
          <w:tcPr>
            <w:tcW w:w="3201" w:type="dxa"/>
            <w:tcBorders>
              <w:top w:val="nil" w:sz="6" w:space="0" w:color="auto"/>
              <w:left w:val="single" w:sz="4" w:space="0" w:color="000000"/>
              <w:bottom w:val="single" w:sz="4" w:space="0" w:color="000000"/>
              <w:right w:val="single" w:sz="13" w:space="0" w:color="CCE8CF"/>
            </w:tcBorders>
            <w:shd w:val="clear" w:color="auto" w:fill="D2D2D2"/>
          </w:tcPr>
          <w:p>
            <w:pPr/>
          </w:p>
        </w:tc>
        <w:tc>
          <w:tcPr>
            <w:tcW w:w="3179" w:type="dxa"/>
            <w:vMerge/>
            <w:tcBorders>
              <w:left w:val="single" w:sz="9" w:space="0" w:color="D2D2D2"/>
              <w:bottom w:val="single" w:sz="4" w:space="0" w:color="000000"/>
              <w:right w:val="single" w:sz="4" w:space="0" w:color="000000"/>
            </w:tcBorders>
            <w:shd w:val="clear" w:color="auto" w:fill="CCE8CF"/>
          </w:tcPr>
          <w:p>
            <w:pPr/>
          </w:p>
        </w:tc>
        <w:tc>
          <w:tcPr>
            <w:tcW w:w="3179" w:type="dxa"/>
            <w:vMerge/>
            <w:tcBorders>
              <w:left w:val="single" w:sz="4" w:space="0" w:color="000000"/>
              <w:bottom w:val="single" w:sz="4" w:space="0" w:color="000000"/>
              <w:right w:val="single" w:sz="4" w:space="0" w:color="000000"/>
            </w:tcBorders>
            <w:shd w:val="clear" w:color="auto" w:fill="CCE8CF"/>
          </w:tcPr>
          <w:p>
            <w:pPr/>
          </w:p>
        </w:tc>
      </w:tr>
      <w:tr>
        <w:trPr>
          <w:trHeight w:val="402" w:hRule="exact"/>
        </w:trPr>
        <w:tc>
          <w:tcPr>
            <w:tcW w:w="3201"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79"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91"/>
              <w:ind w:left="-1" w:right="0"/>
              <w:jc w:val="left"/>
              <w:rPr>
                <w:rFonts w:ascii="Times New Roman" w:hAnsi="Times New Roman" w:cs="Times New Roman" w:eastAsia="Times New Roman" w:hint="default"/>
                <w:sz w:val="18"/>
                <w:szCs w:val="18"/>
              </w:rPr>
            </w:pPr>
            <w:r>
              <w:rPr>
                <w:rFonts w:ascii="Times New Roman"/>
                <w:sz w:val="18"/>
              </w:rPr>
              <w:t>0755-83481391</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0755-83481391</w:t>
            </w:r>
          </w:p>
        </w:tc>
      </w:tr>
      <w:tr>
        <w:trPr>
          <w:trHeight w:val="402" w:hRule="exact"/>
        </w:trPr>
        <w:tc>
          <w:tcPr>
            <w:tcW w:w="3201"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79"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91"/>
              <w:ind w:left="-1" w:right="0"/>
              <w:jc w:val="left"/>
              <w:rPr>
                <w:rFonts w:ascii="Times New Roman" w:hAnsi="Times New Roman" w:cs="Times New Roman" w:eastAsia="Times New Roman" w:hint="default"/>
                <w:sz w:val="18"/>
                <w:szCs w:val="18"/>
              </w:rPr>
            </w:pPr>
            <w:r>
              <w:rPr>
                <w:rFonts w:ascii="Times New Roman"/>
                <w:sz w:val="18"/>
              </w:rPr>
              <w:t>0755-83480344</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0755-83480344</w:t>
            </w:r>
          </w:p>
        </w:tc>
      </w:tr>
      <w:tr>
        <w:trPr>
          <w:trHeight w:val="402" w:hRule="exact"/>
        </w:trPr>
        <w:tc>
          <w:tcPr>
            <w:tcW w:w="3201"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79"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91"/>
              <w:ind w:left="-1" w:right="0"/>
              <w:jc w:val="left"/>
              <w:rPr>
                <w:rFonts w:ascii="Times New Roman" w:hAnsi="Times New Roman" w:cs="Times New Roman" w:eastAsia="Times New Roman" w:hint="default"/>
                <w:sz w:val="18"/>
                <w:szCs w:val="18"/>
              </w:rPr>
            </w:pPr>
            <w:hyperlink r:id="rId11">
              <w:r>
                <w:rPr>
                  <w:rFonts w:ascii="Times New Roman"/>
                  <w:sz w:val="18"/>
                </w:rPr>
                <w:t>songjing@nexgo.com.cn</w:t>
              </w:r>
            </w:hyperlink>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fangyuan@nexgo.com.cn</w:t>
              </w:r>
            </w:hyperlink>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994"/>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中国证券报、证券时报、上海证券报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994"/>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94"/>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74"/>
        <w:gridCol w:w="6895"/>
      </w:tblGrid>
      <w:tr>
        <w:trPr>
          <w:trHeight w:val="402" w:hRule="exact"/>
        </w:trPr>
        <w:tc>
          <w:tcPr>
            <w:tcW w:w="2674"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8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2674"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8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深圳市福田区滨河大道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5022 </w:t>
            </w:r>
            <w:r>
              <w:rPr>
                <w:rFonts w:ascii="宋体" w:hAnsi="宋体" w:cs="宋体" w:eastAsia="宋体" w:hint="default"/>
                <w:sz w:val="18"/>
                <w:szCs w:val="18"/>
              </w:rPr>
              <w:t>号联合广场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74"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8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刘高科、周灵芝</w:t>
            </w:r>
          </w:p>
        </w:tc>
      </w:tr>
    </w:tbl>
    <w:p>
      <w:pPr>
        <w:pStyle w:val="BodyText"/>
        <w:spacing w:line="240" w:lineRule="auto" w:before="51"/>
        <w:ind w:left="1134" w:right="994"/>
        <w:jc w:val="left"/>
      </w:pPr>
      <w:r>
        <w:rPr/>
        <w:t>公司聘请的报告期内履行持续督导职责的保荐机构</w:t>
      </w:r>
    </w:p>
    <w:p>
      <w:pPr>
        <w:pStyle w:val="BodyText"/>
        <w:spacing w:line="240" w:lineRule="auto" w:before="117"/>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49"/>
              <w:jc w:val="righ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2"/>
              <w:ind w:left="23" w:right="17"/>
              <w:jc w:val="left"/>
              <w:rPr>
                <w:rFonts w:ascii="宋体" w:hAnsi="宋体" w:cs="宋体" w:eastAsia="宋体" w:hint="default"/>
                <w:sz w:val="18"/>
                <w:szCs w:val="18"/>
              </w:rPr>
            </w:pPr>
            <w:r>
              <w:rPr>
                <w:rFonts w:ascii="宋体" w:hAnsi="宋体" w:cs="宋体" w:eastAsia="宋体" w:hint="default"/>
                <w:sz w:val="18"/>
                <w:szCs w:val="18"/>
              </w:rPr>
              <w:t>广东省深圳市福田区中心三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号卓越时代广场（二期） 北座</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王栋、金田</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48"/>
              <w:jc w:val="righ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2"/>
        <w:ind w:left="1134" w:right="994"/>
        <w:jc w:val="left"/>
      </w:pPr>
      <w:r>
        <w:rPr/>
        <w:t>公司聘请的报告期内履行持续督导职责的财务顾问</w:t>
      </w:r>
    </w:p>
    <w:p>
      <w:pPr>
        <w:pStyle w:val="BodyText"/>
        <w:spacing w:line="240" w:lineRule="auto" w:before="116"/>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994"/>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94"/>
        <w:jc w:val="left"/>
      </w:pPr>
      <w:r>
        <w:rPr/>
        <w:t>公司是否需追溯调整或重述以前年度会计数据</w:t>
      </w:r>
    </w:p>
    <w:p>
      <w:pPr>
        <w:pStyle w:val="BodyText"/>
        <w:spacing w:line="240" w:lineRule="auto" w:before="117"/>
        <w:ind w:right="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1,236,913,539.17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1,126,545,907.37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977,566,389.51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8"/>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71,933,856.89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139,021,692.71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85,495,853.97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49,238,633.78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94,737,789.68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76,015,210.50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47,093,881.75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256,311,917.99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264,400,847.37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0.370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3,894,304,556.05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2,796,758,012.45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39.24%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1,822,478,469.09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1,998,699,578.56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1,455,175,355.33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37.35%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1,262,354,409.92</w:t>
            </w:r>
          </w:p>
        </w:tc>
      </w:tr>
    </w:tbl>
    <w:p>
      <w:pPr>
        <w:pStyle w:val="BodyText"/>
        <w:spacing w:line="319" w:lineRule="auto" w:before="51"/>
        <w:ind w:left="1134" w:right="994"/>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338" w:lineRule="auto" w:before="56"/>
        <w:ind w:right="78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截止披露前一交易日的公司总股本：</w:t>
      </w:r>
    </w:p>
    <w:p>
      <w:pPr>
        <w:spacing w:line="240" w:lineRule="auto" w:before="6"/>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524"/>
        <w:gridCol w:w="5045"/>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265,501,200</w:t>
            </w:r>
          </w:p>
        </w:tc>
      </w:tr>
    </w:tbl>
    <w:p>
      <w:pPr>
        <w:pStyle w:val="BodyText"/>
        <w:spacing w:line="316" w:lineRule="auto" w:before="51"/>
        <w:ind w:left="1134" w:right="994"/>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spacing w:after="0" w:line="316"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4524"/>
        <w:gridCol w:w="5045"/>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0.2709</w:t>
            </w:r>
          </w:p>
        </w:tc>
      </w:tr>
    </w:tbl>
    <w:p>
      <w:pPr>
        <w:pStyle w:val="BodyText"/>
        <w:spacing w:line="240" w:lineRule="auto" w:before="51"/>
        <w:ind w:left="1134" w:right="994"/>
        <w:jc w:val="left"/>
      </w:pPr>
      <w:r>
        <w:rPr/>
        <w:t>是否存在公司债</w:t>
      </w:r>
    </w:p>
    <w:p>
      <w:pPr>
        <w:pStyle w:val="BodyText"/>
        <w:spacing w:line="340"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公司是否存在最近两年连续亏损的情形</w:t>
      </w:r>
    </w:p>
    <w:p>
      <w:pPr>
        <w:pStyle w:val="BodyText"/>
        <w:spacing w:line="240" w:lineRule="auto" w:before="40"/>
        <w:ind w:right="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4"/>
        <w:spacing w:line="240" w:lineRule="auto"/>
        <w:ind w:left="1134" w:right="994"/>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194,976,650.30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310,271,149.48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243,784,402.02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487,881,337.37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5,561,755.68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25,546,941.54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16,127,134.20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24,698,025.47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885,384.35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27,340,962.29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4,656,651.93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16,355,635.21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-77,204,412.27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3,606,019.25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-16,278,570.24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136,970,845.01</w:t>
            </w:r>
          </w:p>
        </w:tc>
      </w:tr>
    </w:tbl>
    <w:p>
      <w:pPr>
        <w:pStyle w:val="BodyText"/>
        <w:spacing w:line="240" w:lineRule="auto" w:before="51"/>
        <w:ind w:left="1134" w:right="994"/>
        <w:jc w:val="left"/>
      </w:pPr>
      <w:r>
        <w:rPr/>
        <w:t>上述财务指标或其加总数是否与公司已披露季度报告、半年度报告相关财务指标存在重大差异</w:t>
      </w:r>
    </w:p>
    <w:p>
      <w:pPr>
        <w:pStyle w:val="BodyText"/>
        <w:spacing w:line="240" w:lineRule="auto" w:before="116"/>
        <w:ind w:right="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
        <w:rPr>
          <w:rFonts w:ascii="宋体" w:hAnsi="宋体" w:cs="宋体" w:eastAsia="宋体" w:hint="default"/>
          <w:sz w:val="24"/>
          <w:szCs w:val="24"/>
        </w:rPr>
      </w:pPr>
    </w:p>
    <w:p>
      <w:pPr>
        <w:pStyle w:val="Heading4"/>
        <w:spacing w:line="240" w:lineRule="auto"/>
        <w:ind w:right="994"/>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5"/>
        <w:spacing w:line="240" w:lineRule="auto"/>
        <w:ind w:right="994"/>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4"/>
        <w:spacing w:line="240" w:lineRule="auto"/>
        <w:ind w:right="994"/>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846,302.01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29,506,667.11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21,431.76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收回高尔夫球会退回 的会员费</w:t>
            </w:r>
          </w:p>
        </w:tc>
      </w:tr>
      <w:tr>
        <w:trPr>
          <w:trHeight w:val="67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24,419,855.79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13,941,042.94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7,293,367.20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收到相关政府补助</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802,801.37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r>
      <w:tr>
        <w:trPr>
          <w:trHeight w:val="1650"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-146,373.42</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453,710.96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3,034,202.75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-1,113,121.29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537,511.92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-244,476.12</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2,108,143.71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138,401.71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544,614.51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6,097.64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16,628.19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79,267.61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22,695,223.11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44,283,903.03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9,480,643.47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94"/>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20"/>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5"/>
        <w:jc w:val="center"/>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994"/>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3"/>
        <w:jc w:val="left"/>
      </w:pPr>
      <w:r>
        <w:rPr/>
        <w:t>公司是否需要遵守特殊行业的披露要求 否</w:t>
      </w:r>
    </w:p>
    <w:p>
      <w:pPr>
        <w:pStyle w:val="BodyText"/>
        <w:spacing w:line="307" w:lineRule="auto" w:before="25"/>
        <w:ind w:right="1132" w:firstLine="360"/>
        <w:jc w:val="both"/>
      </w:pPr>
      <w:r>
        <w:rPr>
          <w:rFonts w:ascii="Times New Roman" w:hAnsi="Times New Roman" w:cs="Times New Roman" w:eastAsia="Times New Roman" w:hint="default"/>
          <w:spacing w:val="-2"/>
        </w:rPr>
        <w:t>2017</w:t>
      </w:r>
      <w:r>
        <w:rPr>
          <w:spacing w:val="-2"/>
        </w:rPr>
        <w:t>年，公司继续专注于电子支付技术领域，从事以金融</w:t>
      </w:r>
      <w:r>
        <w:rPr>
          <w:rFonts w:ascii="Times New Roman" w:hAnsi="Times New Roman" w:cs="Times New Roman" w:eastAsia="Times New Roman" w:hint="default"/>
          <w:spacing w:val="-2"/>
        </w:rPr>
        <w:t>POS</w:t>
      </w:r>
      <w:r>
        <w:rPr>
          <w:spacing w:val="-2"/>
        </w:rPr>
        <w:t>机为主的电子支付受理终端设备软硬件的生产、研发、销</w:t>
      </w:r>
      <w:r>
        <w:rPr/>
        <w:t> </w:t>
      </w:r>
      <w:r>
        <w:rPr>
          <w:spacing w:val="-2"/>
        </w:rPr>
        <w:t>售和租赁，以此为载体，为客户提供电子支付技术综合解决方案。伴随移动支付、电子支付的快速发展，公司以支付技术为</w:t>
      </w:r>
      <w:r>
        <w:rPr>
          <w:spacing w:val="-66"/>
        </w:rPr>
        <w:t> </w:t>
      </w:r>
      <w:r>
        <w:rPr>
          <w:spacing w:val="-66"/>
        </w:rPr>
      </w:r>
      <w:r>
        <w:rPr>
          <w:spacing w:val="-2"/>
        </w:rPr>
        <w:t>基础，金融</w:t>
      </w:r>
      <w:r>
        <w:rPr>
          <w:rFonts w:ascii="Times New Roman" w:hAnsi="Times New Roman" w:cs="Times New Roman" w:eastAsia="Times New Roman" w:hint="default"/>
          <w:spacing w:val="-2"/>
        </w:rPr>
        <w:t>POS</w:t>
      </w:r>
      <w:r>
        <w:rPr>
          <w:spacing w:val="-2"/>
        </w:rPr>
        <w:t>终端软硬件的设计和研发为核心，叠加运营模式、技术领域的创新，继续巩固和提升在电子支付技术受理终</w:t>
      </w:r>
      <w:r>
        <w:rPr>
          <w:spacing w:val="-38"/>
        </w:rPr>
        <w:t> </w:t>
      </w:r>
      <w:r>
        <w:rPr>
          <w:spacing w:val="-38"/>
        </w:rPr>
      </w:r>
      <w:r>
        <w:rPr/>
        <w:t>端设备的市场领先地位。</w:t>
      </w:r>
    </w:p>
    <w:p>
      <w:pPr>
        <w:pStyle w:val="BodyText"/>
        <w:spacing w:line="307" w:lineRule="auto" w:before="64"/>
        <w:ind w:right="1130" w:firstLine="360"/>
        <w:jc w:val="both"/>
      </w:pPr>
      <w:r>
        <w:rPr>
          <w:spacing w:val="-2"/>
        </w:rPr>
        <w:t>公司电子支付设备主要产品包括</w:t>
      </w:r>
      <w:r>
        <w:rPr>
          <w:rFonts w:ascii="Times New Roman" w:hAnsi="Times New Roman" w:cs="Times New Roman" w:eastAsia="Times New Roman" w:hint="default"/>
          <w:spacing w:val="-2"/>
        </w:rPr>
        <w:t>POS</w:t>
      </w:r>
      <w:r>
        <w:rPr>
          <w:spacing w:val="-2"/>
        </w:rPr>
        <w:t>机（台式</w:t>
      </w:r>
      <w:r>
        <w:rPr>
          <w:rFonts w:ascii="Times New Roman" w:hAnsi="Times New Roman" w:cs="Times New Roman" w:eastAsia="Times New Roman" w:hint="default"/>
          <w:spacing w:val="-2"/>
        </w:rPr>
        <w:t>POS</w:t>
      </w:r>
      <w:r>
        <w:rPr>
          <w:spacing w:val="-2"/>
        </w:rPr>
        <w:t>、移动</w:t>
      </w:r>
      <w:r>
        <w:rPr>
          <w:rFonts w:ascii="Times New Roman" w:hAnsi="Times New Roman" w:cs="Times New Roman" w:eastAsia="Times New Roman" w:hint="default"/>
          <w:spacing w:val="-2"/>
        </w:rPr>
        <w:t>POS</w:t>
      </w:r>
      <w:r>
        <w:rPr>
          <w:spacing w:val="-2"/>
        </w:rPr>
        <w:t>、电话</w:t>
      </w:r>
      <w:r>
        <w:rPr>
          <w:rFonts w:ascii="Times New Roman" w:hAnsi="Times New Roman" w:cs="Times New Roman" w:eastAsia="Times New Roman" w:hint="default"/>
          <w:spacing w:val="-2"/>
        </w:rPr>
        <w:t>POS</w:t>
      </w:r>
      <w:r>
        <w:rPr>
          <w:spacing w:val="-2"/>
        </w:rPr>
        <w:t>、智能</w:t>
      </w:r>
      <w:r>
        <w:rPr>
          <w:rFonts w:ascii="Times New Roman" w:hAnsi="Times New Roman" w:cs="Times New Roman" w:eastAsia="Times New Roman" w:hint="default"/>
          <w:spacing w:val="-2"/>
        </w:rPr>
        <w:t>POS</w:t>
      </w:r>
      <w:r>
        <w:rPr>
          <w:spacing w:val="-2"/>
        </w:rPr>
        <w:t>、</w:t>
      </w:r>
      <w:r>
        <w:rPr>
          <w:rFonts w:ascii="Times New Roman" w:hAnsi="Times New Roman" w:cs="Times New Roman" w:eastAsia="Times New Roman" w:hint="default"/>
          <w:spacing w:val="-2"/>
        </w:rPr>
        <w:t>MPOS</w:t>
      </w:r>
      <w:r>
        <w:rPr>
          <w:spacing w:val="-2"/>
        </w:rPr>
        <w:t>及新型支付终端）、密码键</w:t>
      </w:r>
      <w:r>
        <w:rPr/>
        <w:t> </w:t>
      </w:r>
      <w:r>
        <w:rPr>
          <w:spacing w:val="-2"/>
        </w:rPr>
        <w:t>盘及外接设备，生物特征识别及身份认证产品包括指纹和人脸识别算法、二代身份证模块、人证核验终端、智能金融自助设</w:t>
      </w:r>
      <w:r>
        <w:rPr>
          <w:spacing w:val="-66"/>
        </w:rPr>
        <w:t> </w:t>
      </w:r>
      <w:r>
        <w:rPr>
          <w:spacing w:val="-66"/>
        </w:rPr>
      </w:r>
      <w:r>
        <w:rPr>
          <w:spacing w:val="-2"/>
        </w:rPr>
        <w:t>备等。公司把握行业发展对电子支付终端和技术需求持续旺盛的机会，特别是生物识别、大数据分析处理及人工智能技术对</w:t>
      </w:r>
      <w:r>
        <w:rPr>
          <w:spacing w:val="-65"/>
        </w:rPr>
        <w:t> </w:t>
      </w:r>
      <w:r>
        <w:rPr>
          <w:spacing w:val="-65"/>
        </w:rPr>
      </w:r>
      <w:r>
        <w:rPr>
          <w:spacing w:val="-1"/>
        </w:rPr>
        <w:t>于支付领域的促进和革新，大力发展市场。</w:t>
      </w:r>
      <w:r>
        <w:rPr>
          <w:rFonts w:ascii="Times New Roman" w:hAnsi="Times New Roman" w:cs="Times New Roman" w:eastAsia="Times New Roman" w:hint="default"/>
          <w:spacing w:val="-1"/>
        </w:rPr>
        <w:t>2017</w:t>
      </w:r>
      <w:r>
        <w:rPr>
          <w:spacing w:val="-1"/>
        </w:rPr>
        <w:t>年，公司实现营业收入</w:t>
      </w:r>
      <w:r>
        <w:rPr>
          <w:rFonts w:ascii="Times New Roman" w:hAnsi="Times New Roman" w:cs="Times New Roman" w:eastAsia="Times New Roman" w:hint="default"/>
          <w:spacing w:val="-1"/>
        </w:rPr>
        <w:t>123,691.35</w:t>
      </w:r>
      <w:r>
        <w:rPr>
          <w:spacing w:val="-1"/>
        </w:rPr>
        <w:t>万元，同比增长</w:t>
      </w:r>
      <w:r>
        <w:rPr>
          <w:rFonts w:ascii="Times New Roman" w:hAnsi="Times New Roman" w:cs="Times New Roman" w:eastAsia="Times New Roman" w:hint="default"/>
          <w:spacing w:val="-1"/>
        </w:rPr>
        <w:t>9.80%</w:t>
      </w:r>
      <w:r>
        <w:rPr>
          <w:spacing w:val="-1"/>
        </w:rPr>
        <w:t>，营业利润</w:t>
      </w:r>
      <w:r>
        <w:rPr>
          <w:rFonts w:ascii="Times New Roman" w:hAnsi="Times New Roman" w:cs="Times New Roman" w:eastAsia="Times New Roman" w:hint="default"/>
          <w:spacing w:val="-1"/>
        </w:rPr>
        <w:t>9,497.68</w:t>
      </w:r>
      <w:r>
        <w:rPr>
          <w:rFonts w:ascii="Times New Roman" w:hAnsi="Times New Roman" w:cs="Times New Roman" w:eastAsia="Times New Roman" w:hint="default"/>
          <w:spacing w:val="11"/>
        </w:rPr>
        <w:t> </w:t>
      </w:r>
      <w:r>
        <w:rPr/>
        <w:t>万元，同比增长</w:t>
      </w:r>
      <w:r>
        <w:rPr>
          <w:rFonts w:ascii="Times New Roman" w:hAnsi="Times New Roman" w:cs="Times New Roman" w:eastAsia="Times New Roman" w:hint="default"/>
        </w:rPr>
        <w:t>60.90%</w:t>
      </w:r>
      <w:r>
        <w:rPr/>
        <w:t>；利润总额</w:t>
      </w:r>
      <w:r>
        <w:rPr>
          <w:rFonts w:ascii="Times New Roman" w:hAnsi="Times New Roman" w:cs="Times New Roman" w:eastAsia="Times New Roman" w:hint="default"/>
        </w:rPr>
        <w:t>9,345.49</w:t>
      </w:r>
      <w:r>
        <w:rPr/>
        <w:t>万元，同比下降</w:t>
      </w:r>
      <w:r>
        <w:rPr>
          <w:rFonts w:ascii="Times New Roman" w:hAnsi="Times New Roman" w:cs="Times New Roman" w:eastAsia="Times New Roman" w:hint="default"/>
        </w:rPr>
        <w:t>30.81%</w:t>
      </w:r>
      <w:r>
        <w:rPr/>
        <w:t>；归属于上市公司股东的净利润</w:t>
      </w:r>
      <w:r>
        <w:rPr>
          <w:rFonts w:ascii="Times New Roman" w:hAnsi="Times New Roman" w:cs="Times New Roman" w:eastAsia="Times New Roman" w:hint="default"/>
        </w:rPr>
        <w:t>7,193.39</w:t>
      </w:r>
      <w:r>
        <w:rPr/>
        <w:t>万元，同比下降</w:t>
      </w:r>
      <w:r>
        <w:rPr>
          <w:spacing w:val="-34"/>
        </w:rPr>
        <w:t> </w:t>
      </w:r>
      <w:r>
        <w:rPr>
          <w:spacing w:val="-34"/>
        </w:rPr>
      </w:r>
      <w:r>
        <w:rPr>
          <w:rFonts w:ascii="Times New Roman" w:hAnsi="Times New Roman" w:cs="Times New Roman" w:eastAsia="Times New Roman" w:hint="default"/>
        </w:rPr>
        <w:t>48.26%</w:t>
      </w:r>
      <w:r>
        <w:rPr/>
        <w:t>。</w:t>
      </w:r>
    </w:p>
    <w:p>
      <w:pPr>
        <w:pStyle w:val="BodyText"/>
        <w:spacing w:line="300" w:lineRule="auto" w:before="46"/>
        <w:ind w:right="1131" w:firstLine="360"/>
        <w:jc w:val="both"/>
      </w:pPr>
      <w:r>
        <w:rPr>
          <w:rFonts w:ascii="Times New Roman" w:hAnsi="Times New Roman" w:cs="Times New Roman" w:eastAsia="Times New Roman" w:hint="default"/>
          <w:spacing w:val="-1"/>
        </w:rPr>
        <w:t>2017</w:t>
      </w:r>
      <w:r>
        <w:rPr>
          <w:spacing w:val="-1"/>
        </w:rPr>
        <w:t>年，公司经营计划及生产经营稳定发展，营业收入规模保持稳定略有增长，但受市场竞争影响及</w:t>
      </w:r>
      <w:r>
        <w:rPr>
          <w:rFonts w:ascii="Times New Roman" w:hAnsi="Times New Roman" w:cs="Times New Roman" w:eastAsia="Times New Roman" w:hint="default"/>
          <w:spacing w:val="-1"/>
        </w:rPr>
        <w:t>POS</w:t>
      </w:r>
      <w:r>
        <w:rPr>
          <w:spacing w:val="-1"/>
        </w:rPr>
        <w:t>机型销售结构</w:t>
      </w:r>
      <w:r>
        <w:rPr/>
        <w:t> </w:t>
      </w:r>
      <w:r>
        <w:rPr>
          <w:spacing w:val="-2"/>
        </w:rPr>
        <w:t>变化，</w:t>
      </w:r>
      <w:r>
        <w:rPr>
          <w:rFonts w:ascii="Times New Roman" w:hAnsi="Times New Roman" w:cs="Times New Roman" w:eastAsia="Times New Roman" w:hint="default"/>
          <w:spacing w:val="-2"/>
        </w:rPr>
        <w:t>2017</w:t>
      </w:r>
      <w:r>
        <w:rPr>
          <w:spacing w:val="-2"/>
        </w:rPr>
        <w:t>年公司综合毛利率下滑，导致归属于上市公司股东的净利润及每股收益较大幅度下降。另外，上年同期净利润包</w:t>
      </w:r>
      <w:r>
        <w:rPr>
          <w:spacing w:val="-61"/>
        </w:rPr>
        <w:t> </w:t>
      </w:r>
      <w:r>
        <w:rPr>
          <w:spacing w:val="-61"/>
        </w:rPr>
      </w:r>
      <w:r>
        <w:rPr/>
        <w:t>含确认转让南京新国都</w:t>
      </w:r>
      <w:r>
        <w:rPr>
          <w:rFonts w:ascii="Times New Roman" w:hAnsi="Times New Roman" w:cs="Times New Roman" w:eastAsia="Times New Roman" w:hint="default"/>
        </w:rPr>
        <w:t>100%</w:t>
      </w:r>
      <w:r>
        <w:rPr/>
        <w:t>股权产生收益</w:t>
      </w:r>
      <w:r>
        <w:rPr>
          <w:rFonts w:ascii="Times New Roman" w:hAnsi="Times New Roman" w:cs="Times New Roman" w:eastAsia="Times New Roman" w:hint="default"/>
        </w:rPr>
        <w:t>3,296</w:t>
      </w:r>
      <w:r>
        <w:rPr/>
        <w:t>万元。</w:t>
      </w:r>
    </w:p>
    <w:p>
      <w:pPr>
        <w:pStyle w:val="BodyText"/>
        <w:spacing w:line="300" w:lineRule="auto" w:before="51"/>
        <w:ind w:right="1130" w:firstLine="360"/>
        <w:jc w:val="both"/>
      </w:pPr>
      <w:r>
        <w:rPr>
          <w:spacing w:val="-1"/>
        </w:rPr>
        <w:t>报告期末，公司资产总额共计</w:t>
      </w:r>
      <w:r>
        <w:rPr>
          <w:rFonts w:ascii="Times New Roman" w:hAnsi="Times New Roman" w:cs="Times New Roman" w:eastAsia="Times New Roman" w:hint="default"/>
          <w:spacing w:val="-1"/>
        </w:rPr>
        <w:t>389,430.46</w:t>
      </w:r>
      <w:r>
        <w:rPr>
          <w:spacing w:val="-1"/>
        </w:rPr>
        <w:t>万元，较期初增长</w:t>
      </w:r>
      <w:r>
        <w:rPr>
          <w:rFonts w:ascii="Times New Roman" w:hAnsi="Times New Roman" w:cs="Times New Roman" w:eastAsia="Times New Roman" w:hint="default"/>
          <w:spacing w:val="-1"/>
        </w:rPr>
        <w:t>39.24%</w:t>
      </w:r>
      <w:r>
        <w:rPr>
          <w:spacing w:val="-1"/>
        </w:rPr>
        <w:t>，主要为报告期内非公开发行股票、股权激励行权的</w:t>
      </w:r>
      <w:r>
        <w:rPr/>
        <w:t> </w:t>
      </w:r>
      <w:r>
        <w:rPr>
          <w:spacing w:val="-1"/>
        </w:rPr>
        <w:t>募集资金及银行借款增加所致；归属于母公司所有者权益总额</w:t>
      </w:r>
      <w:r>
        <w:rPr>
          <w:rFonts w:ascii="Times New Roman" w:hAnsi="Times New Roman" w:cs="Times New Roman" w:eastAsia="Times New Roman" w:hint="default"/>
          <w:spacing w:val="-1"/>
        </w:rPr>
        <w:t>199,869.96</w:t>
      </w:r>
      <w:r>
        <w:rPr>
          <w:spacing w:val="-1"/>
        </w:rPr>
        <w:t>万元，较期初增长</w:t>
      </w:r>
      <w:r>
        <w:rPr>
          <w:rFonts w:ascii="Times New Roman" w:hAnsi="Times New Roman" w:cs="Times New Roman" w:eastAsia="Times New Roman" w:hint="default"/>
          <w:spacing w:val="-1"/>
        </w:rPr>
        <w:t>37.35%</w:t>
      </w:r>
      <w:r>
        <w:rPr>
          <w:spacing w:val="-1"/>
        </w:rPr>
        <w:t>，主要为报告期内非公开</w:t>
      </w:r>
      <w:r>
        <w:rPr>
          <w:spacing w:val="-39"/>
        </w:rPr>
        <w:t> </w:t>
      </w:r>
      <w:r>
        <w:rPr>
          <w:spacing w:val="-39"/>
        </w:rPr>
      </w:r>
      <w:r>
        <w:rPr/>
        <w:t>发行股票及股权激励行权的募集资金增加所致。</w:t>
      </w:r>
    </w:p>
    <w:p>
      <w:pPr>
        <w:spacing w:line="240" w:lineRule="auto" w:before="7"/>
        <w:rPr>
          <w:rFonts w:ascii="宋体" w:hAnsi="宋体" w:cs="宋体" w:eastAsia="宋体" w:hint="default"/>
          <w:sz w:val="21"/>
          <w:szCs w:val="21"/>
        </w:rPr>
      </w:pPr>
    </w:p>
    <w:p>
      <w:pPr>
        <w:pStyle w:val="Heading4"/>
        <w:spacing w:line="240" w:lineRule="auto"/>
        <w:ind w:right="994"/>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94"/>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052"/>
        <w:gridCol w:w="6494"/>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4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52" w:type="dxa"/>
            <w:tcBorders>
              <w:top w:val="single" w:sz="4" w:space="0" w:color="000000"/>
              <w:left w:val="single" w:sz="4" w:space="0" w:color="000000"/>
              <w:bottom w:val="nil" w:sz="6" w:space="0" w:color="auto"/>
              <w:right w:val="single" w:sz="9" w:space="0" w:color="CCE8CF"/>
            </w:tcBorders>
            <w:shd w:val="clear" w:color="auto" w:fill="D2D2D2"/>
          </w:tcPr>
          <w:p>
            <w:pPr/>
          </w:p>
        </w:tc>
        <w:tc>
          <w:tcPr>
            <w:tcW w:w="6494" w:type="dxa"/>
            <w:vMerge w:val="restart"/>
            <w:tcBorders>
              <w:top w:val="single" w:sz="4" w:space="0" w:color="000000"/>
              <w:left w:val="single" w:sz="9" w:space="0" w:color="D2D2D2"/>
              <w:right w:val="single" w:sz="4" w:space="0" w:color="000000"/>
            </w:tcBorders>
            <w:shd w:val="clear" w:color="auto" w:fill="CCE8CF"/>
          </w:tcPr>
          <w:p>
            <w:pPr>
              <w:pStyle w:val="TableParagraph"/>
              <w:spacing w:line="300" w:lineRule="auto" w:before="51"/>
              <w:ind w:left="4" w:right="189"/>
              <w:jc w:val="left"/>
              <w:rPr>
                <w:rFonts w:ascii="宋体" w:hAnsi="宋体" w:cs="宋体" w:eastAsia="宋体" w:hint="default"/>
                <w:sz w:val="18"/>
                <w:szCs w:val="18"/>
              </w:rPr>
            </w:pPr>
            <w:r>
              <w:rPr>
                <w:rFonts w:ascii="宋体" w:hAnsi="宋体" w:cs="宋体" w:eastAsia="宋体" w:hint="default"/>
                <w:sz w:val="18"/>
                <w:szCs w:val="18"/>
              </w:rPr>
              <w:t>长期股权投资减少主要系将大岩资本股权投资款转入</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持有待售资产</w:t>
            </w:r>
            <w:r>
              <w:rPr>
                <w:rFonts w:ascii="Times New Roman" w:hAnsi="Times New Roman" w:cs="Times New Roman" w:eastAsia="Times New Roman" w:hint="default"/>
                <w:sz w:val="18"/>
                <w:szCs w:val="18"/>
              </w:rPr>
              <w:t>”</w:t>
            </w:r>
            <w:r>
              <w:rPr>
                <w:rFonts w:ascii="宋体" w:hAnsi="宋体" w:cs="宋体" w:eastAsia="宋体" w:hint="default"/>
                <w:sz w:val="18"/>
                <w:szCs w:val="18"/>
              </w:rPr>
              <w:t>科目核算所 致。</w:t>
            </w:r>
          </w:p>
        </w:tc>
      </w:tr>
      <w:tr>
        <w:trPr>
          <w:trHeight w:val="392" w:hRule="exact"/>
        </w:trPr>
        <w:tc>
          <w:tcPr>
            <w:tcW w:w="3052" w:type="dxa"/>
            <w:tcBorders>
              <w:top w:val="nil" w:sz="6" w:space="0" w:color="auto"/>
              <w:left w:val="single" w:sz="4" w:space="0" w:color="000000"/>
              <w:bottom w:val="nil" w:sz="6" w:space="0" w:color="auto"/>
              <w:right w:val="single" w:sz="9" w:space="0" w:color="CCE8C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494" w:type="dxa"/>
            <w:vMerge/>
            <w:tcBorders>
              <w:left w:val="single" w:sz="9" w:space="0" w:color="D2D2D2"/>
              <w:right w:val="single" w:sz="4" w:space="0" w:color="000000"/>
            </w:tcBorders>
            <w:shd w:val="clear" w:color="auto" w:fill="CCE8CF"/>
          </w:tcPr>
          <w:p>
            <w:pPr/>
          </w:p>
        </w:tc>
      </w:tr>
      <w:tr>
        <w:trPr>
          <w:trHeight w:val="161" w:hRule="exact"/>
        </w:trPr>
        <w:tc>
          <w:tcPr>
            <w:tcW w:w="3052" w:type="dxa"/>
            <w:tcBorders>
              <w:top w:val="nil" w:sz="6" w:space="0" w:color="auto"/>
              <w:left w:val="single" w:sz="4" w:space="0" w:color="000000"/>
              <w:bottom w:val="single" w:sz="4" w:space="0" w:color="000000"/>
              <w:right w:val="single" w:sz="9" w:space="0" w:color="CCE8CF"/>
            </w:tcBorders>
            <w:shd w:val="clear" w:color="auto" w:fill="D2D2D2"/>
          </w:tcPr>
          <w:p>
            <w:pPr/>
          </w:p>
        </w:tc>
        <w:tc>
          <w:tcPr>
            <w:tcW w:w="6494" w:type="dxa"/>
            <w:vMerge/>
            <w:tcBorders>
              <w:left w:val="single" w:sz="9" w:space="0" w:color="D2D2D2"/>
              <w:bottom w:val="single" w:sz="4" w:space="0" w:color="000000"/>
              <w:right w:val="single" w:sz="4" w:space="0" w:color="000000"/>
            </w:tcBorders>
            <w:shd w:val="clear" w:color="auto" w:fill="CCE8CF"/>
          </w:tcPr>
          <w:p>
            <w:pPr/>
          </w:p>
        </w:tc>
      </w:tr>
      <w:tr>
        <w:trPr>
          <w:trHeight w:val="402" w:hRule="exact"/>
        </w:trPr>
        <w:tc>
          <w:tcPr>
            <w:tcW w:w="3052"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49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固定资产较年初下降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3.04%</w:t>
            </w:r>
            <w:r>
              <w:rPr>
                <w:rFonts w:ascii="宋体" w:hAnsi="宋体" w:cs="宋体" w:eastAsia="宋体" w:hint="default"/>
                <w:sz w:val="18"/>
                <w:szCs w:val="18"/>
              </w:rPr>
              <w:t>，主要系固定资产未发生重大变动。</w:t>
            </w:r>
          </w:p>
        </w:tc>
      </w:tr>
      <w:tr>
        <w:trPr>
          <w:trHeight w:val="402" w:hRule="exact"/>
        </w:trPr>
        <w:tc>
          <w:tcPr>
            <w:tcW w:w="3052"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49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 w:right="0"/>
              <w:jc w:val="left"/>
              <w:rPr>
                <w:rFonts w:ascii="宋体" w:hAnsi="宋体" w:cs="宋体" w:eastAsia="宋体" w:hint="default"/>
                <w:sz w:val="18"/>
                <w:szCs w:val="18"/>
              </w:rPr>
            </w:pPr>
            <w:r>
              <w:rPr>
                <w:rFonts w:ascii="宋体" w:hAnsi="宋体" w:cs="宋体" w:eastAsia="宋体" w:hint="default"/>
                <w:sz w:val="18"/>
                <w:szCs w:val="18"/>
              </w:rPr>
              <w:t>无形资产较年初下降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19.44%</w:t>
            </w:r>
            <w:r>
              <w:rPr>
                <w:rFonts w:ascii="宋体" w:hAnsi="宋体" w:cs="宋体" w:eastAsia="宋体" w:hint="default"/>
                <w:sz w:val="18"/>
                <w:szCs w:val="18"/>
              </w:rPr>
              <w:t>，主要系报告期内无形资产投入减少。</w:t>
            </w:r>
          </w:p>
        </w:tc>
      </w:tr>
      <w:tr>
        <w:trPr>
          <w:trHeight w:val="402" w:hRule="exact"/>
        </w:trPr>
        <w:tc>
          <w:tcPr>
            <w:tcW w:w="3052"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494"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年度在建工程未发生变动。</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4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94.42%</w:t>
            </w:r>
            <w:r>
              <w:rPr>
                <w:rFonts w:ascii="宋体" w:hAnsi="宋体" w:cs="宋体" w:eastAsia="宋体" w:hint="default"/>
                <w:sz w:val="18"/>
                <w:szCs w:val="18"/>
              </w:rPr>
              <w:t>，主要系银行借款增加流动资金所致。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4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应收票据较年初增长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340.30%,</w:t>
            </w:r>
            <w:r>
              <w:rPr>
                <w:rFonts w:ascii="宋体" w:hAnsi="宋体" w:cs="宋体" w:eastAsia="宋体" w:hint="default"/>
                <w:sz w:val="18"/>
                <w:szCs w:val="18"/>
              </w:rPr>
              <w:t>主要系业务增长以票据结算方式增加所致。</w:t>
            </w: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CCE8CF"/>
          </w:tcPr>
          <w:p>
            <w:pPr/>
          </w:p>
        </w:tc>
        <w:tc>
          <w:tcPr>
            <w:tcW w:w="6494" w:type="dxa"/>
            <w:vMerge w:val="restart"/>
            <w:tcBorders>
              <w:top w:val="single" w:sz="4" w:space="0" w:color="000000"/>
              <w:left w:val="single" w:sz="4" w:space="0" w:color="000000"/>
              <w:right w:val="single" w:sz="4" w:space="0" w:color="000000"/>
            </w:tcBorders>
            <w:shd w:val="clear" w:color="auto" w:fill="CCE8CF"/>
          </w:tcPr>
          <w:p>
            <w:pPr>
              <w:pStyle w:val="TableParagraph"/>
              <w:spacing w:line="300" w:lineRule="auto" w:before="51"/>
              <w:ind w:left="11" w:right="110"/>
              <w:jc w:val="left"/>
              <w:rPr>
                <w:rFonts w:ascii="宋体" w:hAnsi="宋体" w:cs="宋体" w:eastAsia="宋体" w:hint="default"/>
                <w:sz w:val="18"/>
                <w:szCs w:val="18"/>
              </w:rPr>
            </w:pPr>
            <w:r>
              <w:rPr>
                <w:rFonts w:ascii="宋体" w:hAnsi="宋体" w:cs="宋体" w:eastAsia="宋体" w:hint="default"/>
                <w:sz w:val="18"/>
                <w:szCs w:val="18"/>
              </w:rPr>
              <w:t>应收账款较年初增长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53.53%</w:t>
            </w:r>
            <w:r>
              <w:rPr>
                <w:rFonts w:ascii="宋体" w:hAnsi="宋体" w:cs="宋体" w:eastAsia="宋体" w:hint="default"/>
                <w:sz w:val="18"/>
                <w:szCs w:val="18"/>
              </w:rPr>
              <w:t>，主要系四季度业务增长且减少无追溯权保理业务所 致。</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494" w:type="dxa"/>
            <w:vMerge/>
            <w:tcBorders>
              <w:left w:val="single" w:sz="4" w:space="0" w:color="000000"/>
              <w:right w:val="single" w:sz="4" w:space="0" w:color="000000"/>
            </w:tcBorders>
            <w:shd w:val="clear" w:color="auto" w:fill="CCE8CF"/>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CCE8CF"/>
          </w:tcPr>
          <w:p>
            <w:pPr/>
          </w:p>
        </w:tc>
        <w:tc>
          <w:tcPr>
            <w:tcW w:w="6494" w:type="dxa"/>
            <w:vMerge/>
            <w:tcBorders>
              <w:left w:val="single" w:sz="4" w:space="0" w:color="000000"/>
              <w:bottom w:val="single" w:sz="4" w:space="0" w:color="000000"/>
              <w:right w:val="single" w:sz="4" w:space="0" w:color="000000"/>
            </w:tcBorders>
            <w:shd w:val="clear" w:color="auto" w:fill="CCE8CF"/>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4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134.54%</w:t>
            </w:r>
            <w:r>
              <w:rPr>
                <w:rFonts w:ascii="宋体" w:hAnsi="宋体" w:cs="宋体" w:eastAsia="宋体" w:hint="default"/>
                <w:sz w:val="18"/>
                <w:szCs w:val="18"/>
              </w:rPr>
              <w:t>，主要系应收协定存款利息增加所致。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052"/>
        <w:gridCol w:w="6517"/>
      </w:tblGrid>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65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应收股利较年初增长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，主要系应收大岩资本分红款增加所致。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其他应收款较年初下降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63.74%</w:t>
            </w:r>
            <w:r>
              <w:rPr>
                <w:rFonts w:ascii="宋体" w:hAnsi="宋体" w:cs="宋体" w:eastAsia="宋体" w:hint="default"/>
                <w:sz w:val="18"/>
                <w:szCs w:val="18"/>
              </w:rPr>
              <w:t>，主要系收回处置参股公司应收股权转让款所致。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57.48%</w:t>
            </w:r>
            <w:r>
              <w:rPr>
                <w:rFonts w:ascii="宋体" w:hAnsi="宋体" w:cs="宋体" w:eastAsia="宋体" w:hint="default"/>
                <w:sz w:val="18"/>
                <w:szCs w:val="18"/>
              </w:rPr>
              <w:t>，主要系生产备货存货增加所致。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65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持有待售资产较年初增长</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pacing w:val="-90"/>
                <w:sz w:val="18"/>
                <w:szCs w:val="18"/>
              </w:rPr>
              <w:t>，</w:t>
            </w:r>
            <w:r>
              <w:rPr>
                <w:rFonts w:ascii="宋体" w:hAnsi="宋体" w:cs="宋体" w:eastAsia="宋体" w:hint="default"/>
                <w:sz w:val="18"/>
                <w:szCs w:val="18"/>
              </w:rPr>
              <w:t>主要系将大岩资本股权投资款转入</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持</w:t>
            </w:r>
            <w:r>
              <w:rPr>
                <w:rFonts w:ascii="宋体" w:hAnsi="宋体" w:cs="宋体" w:eastAsia="宋体" w:hint="default"/>
                <w:spacing w:val="1"/>
                <w:sz w:val="18"/>
                <w:szCs w:val="18"/>
              </w:rPr>
              <w:t>有</w:t>
            </w:r>
            <w:r>
              <w:rPr>
                <w:rFonts w:ascii="宋体" w:hAnsi="宋体" w:cs="宋体" w:eastAsia="宋体" w:hint="default"/>
                <w:sz w:val="18"/>
                <w:szCs w:val="18"/>
              </w:rPr>
              <w:t>待售资产</w:t>
            </w:r>
            <w:r>
              <w:rPr>
                <w:rFonts w:ascii="Times New Roman" w:hAnsi="Times New Roman" w:cs="Times New Roman" w:eastAsia="Times New Roman" w:hint="default"/>
                <w:w w:val="100"/>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科目核算所致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42.03%</w:t>
            </w:r>
            <w:r>
              <w:rPr>
                <w:rFonts w:ascii="宋体" w:hAnsi="宋体" w:cs="宋体" w:eastAsia="宋体" w:hint="default"/>
                <w:sz w:val="18"/>
                <w:szCs w:val="18"/>
              </w:rPr>
              <w:t>，主要系理财产品增加所致。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递延所得税资产较年初下降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33.79%</w:t>
            </w:r>
            <w:r>
              <w:rPr>
                <w:rFonts w:ascii="宋体" w:hAnsi="宋体" w:cs="宋体" w:eastAsia="宋体" w:hint="default"/>
                <w:sz w:val="18"/>
                <w:szCs w:val="18"/>
              </w:rPr>
              <w:t>，主要系可抵扣暂时性差异减少所致。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其他非流动资产较年初增长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42,577.72%</w:t>
            </w:r>
            <w:r>
              <w:rPr>
                <w:rFonts w:ascii="宋体" w:hAnsi="宋体" w:cs="宋体" w:eastAsia="宋体" w:hint="default"/>
                <w:sz w:val="18"/>
                <w:szCs w:val="18"/>
              </w:rPr>
              <w:t>，主要系预付嘉联股权收购款增加所致。</w:t>
            </w:r>
          </w:p>
        </w:tc>
      </w:tr>
    </w:tbl>
    <w:p>
      <w:pPr>
        <w:spacing w:line="240" w:lineRule="auto" w:before="2"/>
        <w:rPr>
          <w:rFonts w:ascii="宋体" w:hAnsi="宋体" w:cs="宋体" w:eastAsia="宋体" w:hint="default"/>
          <w:b/>
          <w:bCs/>
          <w:sz w:val="19"/>
          <w:szCs w:val="19"/>
        </w:rPr>
      </w:pPr>
    </w:p>
    <w:p>
      <w:pPr>
        <w:pStyle w:val="Heading5"/>
        <w:spacing w:line="240" w:lineRule="auto" w:before="35"/>
        <w:ind w:left="1134" w:right="994"/>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994"/>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3"/>
        <w:jc w:val="left"/>
      </w:pPr>
      <w:r>
        <w:rPr/>
        <w:t>公司是否需要遵守特殊行业的披露要求 否</w:t>
      </w:r>
    </w:p>
    <w:p>
      <w:pPr>
        <w:pStyle w:val="BodyText"/>
        <w:spacing w:line="316" w:lineRule="auto" w:before="25"/>
        <w:ind w:left="1494" w:right="994"/>
        <w:jc w:val="left"/>
      </w:pPr>
      <w:r>
        <w:rPr>
          <w:rFonts w:ascii="宋体" w:hAnsi="宋体" w:cs="宋体" w:eastAsia="宋体" w:hint="default"/>
        </w:rPr>
        <w:t>1</w:t>
      </w:r>
      <w:r>
        <w:rPr/>
        <w:t>）核心业务布局优势 公司自</w:t>
      </w:r>
      <w:r>
        <w:rPr>
          <w:rFonts w:ascii="Times New Roman" w:hAnsi="Times New Roman" w:cs="Times New Roman" w:eastAsia="Times New Roman" w:hint="default"/>
        </w:rPr>
        <w:t>2001</w:t>
      </w:r>
      <w:r>
        <w:rPr/>
        <w:t>年成立起即专注于电子支付领域，拥有专业的电子支付技术综合解决方案提供能力。新国都传统优势领域</w:t>
      </w:r>
    </w:p>
    <w:p>
      <w:pPr>
        <w:pStyle w:val="BodyText"/>
        <w:spacing w:line="304" w:lineRule="auto" w:before="0"/>
        <w:ind w:right="1033"/>
        <w:jc w:val="left"/>
      </w:pPr>
      <w:r>
        <w:rPr>
          <w:rFonts w:ascii="Times New Roman" w:hAnsi="Times New Roman" w:cs="Times New Roman" w:eastAsia="Times New Roman" w:hint="default"/>
          <w:spacing w:val="-2"/>
        </w:rPr>
        <w:t>——</w:t>
      </w:r>
      <w:r>
        <w:rPr>
          <w:spacing w:val="-2"/>
        </w:rPr>
        <w:t>电子支付作为移动互联网和智能化时代下，经济活动中的核心环节，在经济活动和商业生态圈里开始扮演越来越重要的</w:t>
      </w:r>
      <w:r>
        <w:rPr>
          <w:spacing w:val="-63"/>
        </w:rPr>
        <w:t> </w:t>
      </w:r>
      <w:r>
        <w:rPr>
          <w:spacing w:val="-63"/>
        </w:rPr>
      </w:r>
      <w:r>
        <w:rPr/>
        <w:t>角色，它将成为线上线下结合的商业模式中核心的一环，电子支付受理终端设备日益成为抢占新商业机会的重要运营端口。 新国都专注于电子支付领域十几年，积累了非常丰富的行业经验和商业资源，新国都将借助自身多年积累的行业经验和</w:t>
      </w:r>
      <w:r>
        <w:rPr>
          <w:rFonts w:ascii="Times New Roman" w:hAnsi="Times New Roman" w:cs="Times New Roman" w:eastAsia="Times New Roman" w:hint="default"/>
        </w:rPr>
        <w:t>IT</w:t>
      </w:r>
      <w:r>
        <w:rPr>
          <w:rFonts w:ascii="Times New Roman" w:hAnsi="Times New Roman" w:cs="Times New Roman" w:eastAsia="Times New Roman" w:hint="default"/>
          <w:spacing w:val="11"/>
        </w:rPr>
        <w:t> </w:t>
      </w:r>
      <w:r>
        <w:rPr>
          <w:spacing w:val="-3"/>
        </w:rPr>
        <w:t>软硬件综合能力，基于金融</w:t>
      </w:r>
      <w:r>
        <w:rPr>
          <w:rFonts w:ascii="Times New Roman" w:hAnsi="Times New Roman" w:cs="Times New Roman" w:eastAsia="Times New Roman" w:hint="default"/>
          <w:spacing w:val="-3"/>
        </w:rPr>
        <w:t>POS</w:t>
      </w:r>
      <w:r>
        <w:rPr>
          <w:spacing w:val="-3"/>
        </w:rPr>
        <w:t>机的线上线下支付入口优势，增强数据分析处理能力和应用服务，整合产业上下游核心资源，</w:t>
      </w:r>
      <w:r>
        <w:rPr>
          <w:spacing w:val="-70"/>
        </w:rPr>
        <w:t> </w:t>
      </w:r>
      <w:r>
        <w:rPr>
          <w:spacing w:val="-70"/>
        </w:rPr>
      </w:r>
      <w:r>
        <w:rPr/>
        <w:t>使公司获得持续、稳健的盈利能力。</w:t>
      </w:r>
    </w:p>
    <w:p>
      <w:pPr>
        <w:pStyle w:val="BodyText"/>
        <w:spacing w:line="316" w:lineRule="auto" w:before="28"/>
        <w:ind w:left="1494" w:right="994"/>
        <w:jc w:val="left"/>
      </w:pPr>
      <w:r>
        <w:rPr>
          <w:rFonts w:ascii="宋体" w:hAnsi="宋体" w:cs="宋体" w:eastAsia="宋体" w:hint="default"/>
        </w:rPr>
        <w:t>2</w:t>
      </w:r>
      <w:r>
        <w:rPr/>
        <w:t>）供应链管理体系和产业资源优势 </w:t>
      </w:r>
      <w:r>
        <w:rPr>
          <w:spacing w:val="-2"/>
        </w:rPr>
        <w:t>公司拥有完善的产品研发体系、市场营销体系、生产制造体系、质量管控体系、人力资源体系，有利于整合各个业务链</w:t>
      </w:r>
    </w:p>
    <w:p>
      <w:pPr>
        <w:pStyle w:val="BodyText"/>
        <w:spacing w:line="316" w:lineRule="auto" w:before="19"/>
        <w:ind w:left="1493" w:right="3193" w:hanging="360"/>
        <w:jc w:val="left"/>
      </w:pPr>
      <w:r>
        <w:rPr/>
        <w:t>之资源，实现核心资源的优化配置，控制生产成本和产品质量的同时进行产品和商业模式创新。 </w:t>
      </w:r>
      <w:r>
        <w:rPr>
          <w:rFonts w:ascii="宋体" w:hAnsi="宋体" w:cs="宋体" w:eastAsia="宋体" w:hint="default"/>
        </w:rPr>
        <w:t>3</w:t>
      </w:r>
      <w:r>
        <w:rPr/>
        <w:t>）产品和服务的质量优势</w:t>
      </w:r>
    </w:p>
    <w:p>
      <w:pPr>
        <w:pStyle w:val="BodyText"/>
        <w:spacing w:line="316" w:lineRule="auto" w:before="19"/>
        <w:ind w:left="1134" w:right="994" w:firstLine="360"/>
        <w:jc w:val="left"/>
      </w:pPr>
      <w:r>
        <w:rPr>
          <w:spacing w:val="-2"/>
        </w:rPr>
        <w:t>自公司成立以来，对产品质量精益求精，以打造低成本、高质量、快速响应的供应链管理体系为核心价值，公司一方面</w:t>
      </w:r>
      <w:r>
        <w:rPr/>
        <w:t> </w:t>
      </w:r>
      <w:r>
        <w:rPr>
          <w:spacing w:val="-4"/>
        </w:rPr>
        <w:t>通过生产效率提升、生产直通率提升、工艺优化等活动与项目，在保障产品高效安全的前提下，进一步提升整体工效与品质；</w:t>
      </w:r>
      <w:r>
        <w:rPr>
          <w:spacing w:val="-46"/>
        </w:rPr>
        <w:t> </w:t>
      </w:r>
      <w:r>
        <w:rPr>
          <w:spacing w:val="-46"/>
        </w:rPr>
      </w:r>
      <w:r>
        <w:rPr/>
        <w:t>另一方面，通过不断推动研发创新，持续优化产品成本，确保产品开发能够如期高质量的实现交付。</w:t>
      </w:r>
    </w:p>
    <w:p>
      <w:pPr>
        <w:pStyle w:val="BodyText"/>
        <w:spacing w:line="316" w:lineRule="auto" w:before="19"/>
        <w:ind w:left="1493" w:right="994"/>
        <w:jc w:val="left"/>
      </w:pPr>
      <w:r>
        <w:rPr>
          <w:rFonts w:ascii="宋体" w:hAnsi="宋体" w:cs="宋体" w:eastAsia="宋体" w:hint="default"/>
        </w:rPr>
        <w:t>4</w:t>
      </w:r>
      <w:r>
        <w:rPr/>
        <w:t>）管理优势 </w:t>
      </w:r>
      <w:r>
        <w:rPr>
          <w:spacing w:val="-4"/>
        </w:rPr>
        <w:t>公司在自身管理能力建设方面取得了长足的进展，主要体现在战略梳理、业绩与考核、预算管理、经营计划拆解与落实、</w:t>
      </w:r>
    </w:p>
    <w:p>
      <w:pPr>
        <w:pStyle w:val="BodyText"/>
        <w:spacing w:line="316" w:lineRule="auto" w:before="19"/>
        <w:ind w:right="994"/>
        <w:jc w:val="left"/>
      </w:pPr>
      <w:r>
        <w:rPr>
          <w:spacing w:val="-2"/>
        </w:rPr>
        <w:t>流程化管理、信息化管理、精细化管理等方面，公司已经初步具备了对外输出管理的能力。管理能力的提升和公司制度的优</w:t>
      </w:r>
      <w:r>
        <w:rPr>
          <w:spacing w:val="-66"/>
        </w:rPr>
        <w:t> </w:t>
      </w:r>
      <w:r>
        <w:rPr>
          <w:spacing w:val="-66"/>
        </w:rPr>
      </w:r>
      <w:r>
        <w:rPr/>
        <w:t>化也保障了公司主营业务的稳健增长，以及外延式扩张的稳步推进。</w:t>
      </w:r>
    </w:p>
    <w:p>
      <w:pPr>
        <w:pStyle w:val="BodyText"/>
        <w:spacing w:line="316" w:lineRule="auto" w:before="19"/>
        <w:ind w:left="1494" w:right="994"/>
        <w:jc w:val="left"/>
      </w:pPr>
      <w:r>
        <w:rPr>
          <w:rFonts w:ascii="宋体" w:hAnsi="宋体" w:cs="宋体" w:eastAsia="宋体" w:hint="default"/>
        </w:rPr>
        <w:t>5</w:t>
      </w:r>
      <w:r>
        <w:rPr/>
        <w:t>）资本市场优势 </w:t>
      </w:r>
      <w:r>
        <w:rPr>
          <w:spacing w:val="-2"/>
        </w:rPr>
        <w:t>公司在创业板成功上市后，目前仍是国内电子支付行业少数拥有资本市场支持的公司之一。国内资本市场的改革，尤其</w:t>
      </w:r>
    </w:p>
    <w:p>
      <w:pPr>
        <w:pStyle w:val="BodyText"/>
        <w:spacing w:line="319" w:lineRule="auto" w:before="19"/>
        <w:ind w:left="1134" w:right="1130"/>
        <w:jc w:val="both"/>
      </w:pPr>
      <w:r>
        <w:rPr/>
        <w:t>是</w:t>
      </w:r>
      <w:r>
        <w:rPr>
          <w:rFonts w:ascii="宋体" w:hAnsi="宋体" w:cs="宋体" w:eastAsia="宋体" w:hint="default"/>
        </w:rPr>
        <w:t>A</w:t>
      </w:r>
      <w:r>
        <w:rPr/>
        <w:t>股上市公司融资制度的不断完善，融资方式的持续创新，为公司未来的业务发展和战略实施提供了保障。公司将围绕未</w:t>
      </w:r>
      <w:r>
        <w:rPr>
          <w:spacing w:val="-83"/>
        </w:rPr>
        <w:t> </w:t>
      </w:r>
      <w:r>
        <w:rPr>
          <w:spacing w:val="-83"/>
        </w:rPr>
      </w:r>
      <w:r>
        <w:rPr>
          <w:spacing w:val="-2"/>
        </w:rPr>
        <w:t>来战略发展规划，充分发挥公司资本市场优势，以市值促进产业发展，以产业发展夯实市值基础的方式，将公司推入一个产</w:t>
      </w:r>
      <w:r>
        <w:rPr>
          <w:spacing w:val="-66"/>
        </w:rPr>
        <w:t> </w:t>
      </w:r>
      <w:r>
        <w:rPr>
          <w:spacing w:val="-66"/>
        </w:rPr>
      </w:r>
      <w:r>
        <w:rPr/>
        <w:t>融结合、快速扩张的良性发展通道。</w:t>
      </w:r>
    </w:p>
    <w:p>
      <w:pPr>
        <w:pStyle w:val="BodyText"/>
        <w:spacing w:line="316" w:lineRule="auto" w:before="17"/>
        <w:ind w:left="1494" w:right="1032"/>
        <w:jc w:val="left"/>
      </w:pPr>
      <w:r>
        <w:rPr>
          <w:rFonts w:ascii="宋体" w:hAnsi="宋体" w:cs="宋体" w:eastAsia="宋体" w:hint="default"/>
        </w:rPr>
        <w:t>6</w:t>
      </w:r>
      <w:r>
        <w:rPr/>
        <w:t>）知识产权及技术优势 公司始终坚持自主研发道路，在产品和技术研发方面持续加大投入，报告期内，公司研发费用投入占营业收入</w:t>
      </w:r>
      <w:r>
        <w:rPr>
          <w:rFonts w:ascii="宋体" w:hAnsi="宋体" w:cs="宋体" w:eastAsia="宋体" w:hint="default"/>
        </w:rPr>
        <w:t>12.52%</w:t>
      </w:r>
      <w:r>
        <w:rPr/>
        <w:t>。</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1033"/>
        <w:jc w:val="left"/>
      </w:pPr>
      <w:r>
        <w:rPr/>
        <w:t>截止报告期末，公司取得专利、计算机软件著作权及软件产品等研发成果如下：</w:t>
      </w:r>
      <w:r>
        <w:rPr>
          <w:rFonts w:ascii="宋体" w:hAnsi="宋体" w:cs="宋体" w:eastAsia="宋体" w:hint="default"/>
        </w:rPr>
        <w:t>262</w:t>
      </w:r>
      <w:r>
        <w:rPr/>
        <w:t>项国家专利，其中发明专利</w:t>
      </w:r>
      <w:r>
        <w:rPr>
          <w:rFonts w:ascii="宋体" w:hAnsi="宋体" w:cs="宋体" w:eastAsia="宋体" w:hint="default"/>
        </w:rPr>
        <w:t>65</w:t>
      </w:r>
      <w:r>
        <w:rPr/>
        <w:t>项，国际</w:t>
      </w:r>
      <w:r>
        <w:rPr>
          <w:spacing w:val="-82"/>
        </w:rPr>
        <w:t> </w:t>
      </w:r>
      <w:r>
        <w:rPr>
          <w:spacing w:val="-3"/>
        </w:rPr>
        <w:t>专利</w:t>
      </w:r>
      <w:r>
        <w:rPr>
          <w:rFonts w:ascii="宋体" w:hAnsi="宋体" w:cs="宋体" w:eastAsia="宋体" w:hint="default"/>
          <w:spacing w:val="-3"/>
        </w:rPr>
        <w:t>2</w:t>
      </w:r>
      <w:r>
        <w:rPr>
          <w:spacing w:val="-3"/>
        </w:rPr>
        <w:t>项；获得软件著作权证书</w:t>
      </w:r>
      <w:r>
        <w:rPr>
          <w:rFonts w:ascii="宋体" w:hAnsi="宋体" w:cs="宋体" w:eastAsia="宋体" w:hint="default"/>
          <w:spacing w:val="-3"/>
        </w:rPr>
        <w:t>229</w:t>
      </w:r>
      <w:r>
        <w:rPr>
          <w:spacing w:val="-3"/>
        </w:rPr>
        <w:t>项，完成软件产品登记</w:t>
      </w:r>
      <w:r>
        <w:rPr>
          <w:rFonts w:ascii="宋体" w:hAnsi="宋体" w:cs="宋体" w:eastAsia="宋体" w:hint="default"/>
          <w:spacing w:val="-3"/>
        </w:rPr>
        <w:t>106</w:t>
      </w:r>
      <w:r>
        <w:rPr>
          <w:spacing w:val="-3"/>
        </w:rPr>
        <w:t>项，拥有商标</w:t>
      </w:r>
      <w:r>
        <w:rPr>
          <w:rFonts w:ascii="宋体" w:hAnsi="宋体" w:cs="宋体" w:eastAsia="宋体" w:hint="default"/>
          <w:spacing w:val="-3"/>
        </w:rPr>
        <w:t>103</w:t>
      </w:r>
      <w:r>
        <w:rPr>
          <w:spacing w:val="-3"/>
        </w:rPr>
        <w:t>项。上述科研成果为公司的持续发展保驾护航，</w:t>
      </w:r>
      <w:r>
        <w:rPr>
          <w:spacing w:val="-86"/>
        </w:rPr>
        <w:t> </w:t>
      </w:r>
      <w:r>
        <w:rPr>
          <w:spacing w:val="-86"/>
        </w:rPr>
      </w:r>
      <w:r>
        <w:rPr/>
        <w:t>成为公司的核心竞争力之一。</w:t>
      </w:r>
    </w:p>
    <w:p>
      <w:pPr>
        <w:pStyle w:val="BodyText"/>
        <w:spacing w:line="319" w:lineRule="auto" w:before="19"/>
        <w:ind w:left="1494" w:right="994"/>
        <w:jc w:val="left"/>
      </w:pPr>
      <w:r>
        <w:rPr>
          <w:rFonts w:ascii="宋体" w:hAnsi="宋体" w:cs="宋体" w:eastAsia="宋体" w:hint="default"/>
        </w:rPr>
        <w:t>7</w:t>
      </w:r>
      <w:r>
        <w:rPr/>
        <w:t>）收购嘉联支付完善支付产业链布局优势 </w:t>
      </w:r>
      <w:r>
        <w:rPr>
          <w:spacing w:val="-2"/>
        </w:rPr>
        <w:t>新国都和嘉联支付同在支付产业链上，具有天然的协同性，鉴于双方具有长期的合作基础，收购完成后能较好的进行快</w:t>
      </w:r>
    </w:p>
    <w:p>
      <w:pPr>
        <w:pStyle w:val="BodyText"/>
        <w:spacing w:line="316" w:lineRule="auto" w:before="17"/>
        <w:ind w:left="1134" w:right="994"/>
        <w:jc w:val="left"/>
      </w:pPr>
      <w:r>
        <w:rPr>
          <w:spacing w:val="-2"/>
        </w:rPr>
        <w:t>速整合；其次，公司可以利用多年在电子支付行业积累的经验，以电子支付为抓手，向电子支付产业链下游拓展，加强支付</w:t>
      </w:r>
      <w:r>
        <w:rPr>
          <w:spacing w:val="-66"/>
        </w:rPr>
        <w:t> </w:t>
      </w:r>
      <w:r>
        <w:rPr>
          <w:spacing w:val="-66"/>
        </w:rPr>
      </w:r>
      <w:r>
        <w:rPr/>
        <w:t>产业链的资源整合，从而突显出一加一大于二的协同效应，充分享受第三方支付行业带来的发展红利。</w:t>
      </w:r>
    </w:p>
    <w:p>
      <w:pPr>
        <w:spacing w:after="0" w:line="316"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994"/>
        <w:jc w:val="left"/>
        <w:rPr>
          <w:b w:val="0"/>
          <w:bCs w:val="0"/>
        </w:rPr>
      </w:pPr>
      <w:bookmarkStart w:name="第四节 经营情况讨论与分析" w:id="21"/>
      <w:bookmarkEnd w:id="21"/>
      <w:r>
        <w:rPr>
          <w:b w:val="0"/>
          <w:bCs w:val="0"/>
        </w:rPr>
      </w:r>
      <w:bookmarkStart w:name="_bookmark2" w:id="22"/>
      <w:bookmarkEnd w:id="22"/>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994"/>
        <w:jc w:val="left"/>
        <w:rPr>
          <w:b w:val="0"/>
          <w:bCs w:val="0"/>
        </w:rPr>
      </w:pPr>
      <w:bookmarkStart w:name="一、概述" w:id="23"/>
      <w:bookmarkEnd w:id="23"/>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7" w:lineRule="auto" w:before="0"/>
        <w:ind w:right="1131" w:firstLine="360"/>
        <w:jc w:val="both"/>
      </w:pPr>
      <w:r>
        <w:rPr>
          <w:rFonts w:ascii="Times New Roman" w:hAnsi="Times New Roman" w:cs="Times New Roman" w:eastAsia="Times New Roman" w:hint="default"/>
          <w:spacing w:val="-2"/>
        </w:rPr>
        <w:t>2017</w:t>
      </w:r>
      <w:r>
        <w:rPr>
          <w:spacing w:val="-2"/>
        </w:rPr>
        <w:t>年，公司继续专注于电子支付技术领域，从事以金融</w:t>
      </w:r>
      <w:r>
        <w:rPr>
          <w:rFonts w:ascii="Times New Roman" w:hAnsi="Times New Roman" w:cs="Times New Roman" w:eastAsia="Times New Roman" w:hint="default"/>
          <w:spacing w:val="-2"/>
        </w:rPr>
        <w:t>POS</w:t>
      </w:r>
      <w:r>
        <w:rPr>
          <w:spacing w:val="-2"/>
        </w:rPr>
        <w:t>机为主的电子支付受理终端设备软硬件的生产、研发、销</w:t>
      </w:r>
      <w:r>
        <w:rPr/>
        <w:t> </w:t>
      </w:r>
      <w:r>
        <w:rPr>
          <w:spacing w:val="-2"/>
        </w:rPr>
        <w:t>售和租赁，以此为载体，加之以生物识别、征信及大数据分析处理，为客户提供基于电子支付的综合性解决方案。伴随移动</w:t>
      </w:r>
      <w:r>
        <w:rPr>
          <w:spacing w:val="-66"/>
        </w:rPr>
        <w:t> </w:t>
      </w:r>
      <w:r>
        <w:rPr>
          <w:spacing w:val="-66"/>
        </w:rPr>
      </w:r>
      <w:r>
        <w:rPr>
          <w:spacing w:val="-2"/>
        </w:rPr>
        <w:t>支付、电子支付、生物识别、大数据分析处理及人工智能技术的快速发展，公司以支付技术及金融</w:t>
      </w:r>
      <w:r>
        <w:rPr>
          <w:rFonts w:ascii="Times New Roman" w:hAnsi="Times New Roman" w:cs="Times New Roman" w:eastAsia="Times New Roman" w:hint="default"/>
          <w:spacing w:val="-2"/>
        </w:rPr>
        <w:t>POS</w:t>
      </w:r>
      <w:r>
        <w:rPr>
          <w:spacing w:val="-2"/>
        </w:rPr>
        <w:t>终端软硬件的设计研</w:t>
      </w:r>
      <w:r>
        <w:rPr>
          <w:spacing w:val="-38"/>
        </w:rPr>
        <w:t> </w:t>
      </w:r>
      <w:r>
        <w:rPr>
          <w:spacing w:val="-38"/>
        </w:rPr>
      </w:r>
      <w:r>
        <w:rPr/>
        <w:t>发为基础，叠加运营模式、技术领域的创新，继续巩固和提升在电子支付技术受理终端设备的市场领先地位。</w:t>
      </w:r>
    </w:p>
    <w:p>
      <w:pPr>
        <w:pStyle w:val="BodyText"/>
        <w:spacing w:line="312" w:lineRule="auto" w:before="26"/>
        <w:ind w:right="1131" w:firstLine="360"/>
        <w:jc w:val="both"/>
      </w:pPr>
      <w:r>
        <w:rPr>
          <w:spacing w:val="-2"/>
        </w:rPr>
        <w:t>公司电子支付设备主要产品包括</w:t>
      </w:r>
      <w:r>
        <w:rPr>
          <w:rFonts w:ascii="Times New Roman" w:hAnsi="Times New Roman" w:cs="Times New Roman" w:eastAsia="Times New Roman" w:hint="default"/>
          <w:spacing w:val="-2"/>
        </w:rPr>
        <w:t>POS</w:t>
      </w:r>
      <w:r>
        <w:rPr>
          <w:spacing w:val="-2"/>
        </w:rPr>
        <w:t>机（台式</w:t>
      </w:r>
      <w:r>
        <w:rPr>
          <w:rFonts w:ascii="Times New Roman" w:hAnsi="Times New Roman" w:cs="Times New Roman" w:eastAsia="Times New Roman" w:hint="default"/>
          <w:spacing w:val="-2"/>
        </w:rPr>
        <w:t>POS</w:t>
      </w:r>
      <w:r>
        <w:rPr>
          <w:spacing w:val="-2"/>
        </w:rPr>
        <w:t>、移动</w:t>
      </w:r>
      <w:r>
        <w:rPr>
          <w:rFonts w:ascii="Times New Roman" w:hAnsi="Times New Roman" w:cs="Times New Roman" w:eastAsia="Times New Roman" w:hint="default"/>
          <w:spacing w:val="-2"/>
        </w:rPr>
        <w:t>POS</w:t>
      </w:r>
      <w:r>
        <w:rPr>
          <w:spacing w:val="-2"/>
        </w:rPr>
        <w:t>、电话</w:t>
      </w:r>
      <w:r>
        <w:rPr>
          <w:rFonts w:ascii="Times New Roman" w:hAnsi="Times New Roman" w:cs="Times New Roman" w:eastAsia="Times New Roman" w:hint="default"/>
          <w:spacing w:val="-2"/>
        </w:rPr>
        <w:t>POS</w:t>
      </w:r>
      <w:r>
        <w:rPr>
          <w:spacing w:val="-2"/>
        </w:rPr>
        <w:t>、智能</w:t>
      </w:r>
      <w:r>
        <w:rPr>
          <w:rFonts w:ascii="Times New Roman" w:hAnsi="Times New Roman" w:cs="Times New Roman" w:eastAsia="Times New Roman" w:hint="default"/>
          <w:spacing w:val="-2"/>
        </w:rPr>
        <w:t>POS</w:t>
      </w:r>
      <w:r>
        <w:rPr>
          <w:spacing w:val="-2"/>
        </w:rPr>
        <w:t>、</w:t>
      </w:r>
      <w:r>
        <w:rPr>
          <w:rFonts w:ascii="Times New Roman" w:hAnsi="Times New Roman" w:cs="Times New Roman" w:eastAsia="Times New Roman" w:hint="default"/>
          <w:spacing w:val="-2"/>
        </w:rPr>
        <w:t>MPOS</w:t>
      </w:r>
      <w:r>
        <w:rPr>
          <w:spacing w:val="-2"/>
        </w:rPr>
        <w:t>及新型支付终端）、密码键</w:t>
      </w:r>
      <w:r>
        <w:rPr/>
        <w:t> </w:t>
      </w:r>
      <w:r>
        <w:rPr>
          <w:spacing w:val="-2"/>
        </w:rPr>
        <w:t>盘及外接设备，生物特征识别及身份认证产品包括指纹和人脸识别算法、二代身份证模块、人证核验终端、智能金融自助设</w:t>
      </w:r>
      <w:r>
        <w:rPr>
          <w:spacing w:val="-66"/>
        </w:rPr>
        <w:t> </w:t>
      </w:r>
      <w:r>
        <w:rPr>
          <w:spacing w:val="-66"/>
        </w:rPr>
      </w:r>
      <w:r>
        <w:rPr>
          <w:spacing w:val="-2"/>
        </w:rPr>
        <w:t>备等。公司把握行业发展对电子支付终端和技术需求持续旺盛的机会，特别是生物识别、大数据分析处理及人工智能技术对</w:t>
      </w:r>
      <w:r>
        <w:rPr>
          <w:spacing w:val="-66"/>
        </w:rPr>
        <w:t> </w:t>
      </w:r>
      <w:r>
        <w:rPr>
          <w:spacing w:val="-66"/>
        </w:rPr>
      </w:r>
      <w:r>
        <w:rPr/>
        <w:t>于支付领域的促进和革新，大力发展市场。</w:t>
      </w:r>
    </w:p>
    <w:p>
      <w:pPr>
        <w:pStyle w:val="BodyText"/>
        <w:spacing w:line="300" w:lineRule="auto" w:before="22"/>
        <w:ind w:right="1132" w:firstLine="360"/>
        <w:jc w:val="both"/>
      </w:pPr>
      <w:r>
        <w:rPr/>
        <w:t>综上，</w:t>
      </w:r>
      <w:r>
        <w:rPr>
          <w:rFonts w:ascii="Times New Roman" w:hAnsi="Times New Roman" w:cs="Times New Roman" w:eastAsia="Times New Roman" w:hint="default"/>
        </w:rPr>
        <w:t>2017</w:t>
      </w:r>
      <w:r>
        <w:rPr/>
        <w:t>年公司实现营业收入</w:t>
      </w:r>
      <w:r>
        <w:rPr>
          <w:rFonts w:ascii="Times New Roman" w:hAnsi="Times New Roman" w:cs="Times New Roman" w:eastAsia="Times New Roman" w:hint="default"/>
        </w:rPr>
        <w:t>123,691.35</w:t>
      </w:r>
      <w:r>
        <w:rPr/>
        <w:t>万元，同比增长</w:t>
      </w:r>
      <w:r>
        <w:rPr>
          <w:rFonts w:ascii="Times New Roman" w:hAnsi="Times New Roman" w:cs="Times New Roman" w:eastAsia="Times New Roman" w:hint="default"/>
        </w:rPr>
        <w:t>9.80%</w:t>
      </w:r>
      <w:r>
        <w:rPr/>
        <w:t>。报告期内预算管控优化结构节约费用，管理费用较 去年同期下降</w:t>
      </w:r>
      <w:r>
        <w:rPr>
          <w:rFonts w:ascii="Times New Roman" w:hAnsi="Times New Roman" w:cs="Times New Roman" w:eastAsia="Times New Roman" w:hint="default"/>
        </w:rPr>
        <w:t>1.97%</w:t>
      </w:r>
      <w:r>
        <w:rPr/>
        <w:t>，销售费用较去年同期下降</w:t>
      </w:r>
      <w:r>
        <w:rPr>
          <w:rFonts w:ascii="Times New Roman" w:hAnsi="Times New Roman" w:cs="Times New Roman" w:eastAsia="Times New Roman" w:hint="default"/>
        </w:rPr>
        <w:t>9.31%</w:t>
      </w:r>
      <w:r>
        <w:rPr/>
        <w:t>，财务费用较去年同期下降</w:t>
      </w:r>
      <w:r>
        <w:rPr>
          <w:rFonts w:ascii="Times New Roman" w:hAnsi="Times New Roman" w:cs="Times New Roman" w:eastAsia="Times New Roman" w:hint="default"/>
        </w:rPr>
        <w:t>19.09%</w:t>
      </w:r>
      <w:r>
        <w:rPr/>
        <w:t>，报告期获得投资收益</w:t>
      </w:r>
      <w:r>
        <w:rPr>
          <w:rFonts w:ascii="Times New Roman" w:hAnsi="Times New Roman" w:cs="Times New Roman" w:eastAsia="Times New Roman" w:hint="default"/>
        </w:rPr>
        <w:t>44.82</w:t>
      </w:r>
      <w:r>
        <w:rPr/>
        <w:t>万元，</w:t>
      </w:r>
      <w:r>
        <w:rPr>
          <w:spacing w:val="-86"/>
        </w:rPr>
        <w:t> </w:t>
      </w:r>
      <w:r>
        <w:rPr/>
        <w:t>实现利润总额</w:t>
      </w:r>
      <w:r>
        <w:rPr>
          <w:rFonts w:ascii="Times New Roman" w:hAnsi="Times New Roman" w:cs="Times New Roman" w:eastAsia="Times New Roman" w:hint="default"/>
        </w:rPr>
        <w:t>9,345.49</w:t>
      </w:r>
      <w:r>
        <w:rPr/>
        <w:t>万元，同比下降</w:t>
      </w:r>
      <w:r>
        <w:rPr>
          <w:rFonts w:ascii="Times New Roman" w:hAnsi="Times New Roman" w:cs="Times New Roman" w:eastAsia="Times New Roman" w:hint="default"/>
        </w:rPr>
        <w:t>30.81%</w:t>
      </w:r>
      <w:r>
        <w:rPr/>
        <w:t>；实现净利润</w:t>
      </w:r>
      <w:r>
        <w:rPr>
          <w:rFonts w:ascii="Times New Roman" w:hAnsi="Times New Roman" w:cs="Times New Roman" w:eastAsia="Times New Roman" w:hint="default"/>
        </w:rPr>
        <w:t>7,193.17</w:t>
      </w:r>
      <w:r>
        <w:rPr/>
        <w:t>万元，同比下降</w:t>
      </w:r>
      <w:r>
        <w:rPr>
          <w:rFonts w:ascii="Times New Roman" w:hAnsi="Times New Roman" w:cs="Times New Roman" w:eastAsia="Times New Roman" w:hint="default"/>
        </w:rPr>
        <w:t>50.15%</w:t>
      </w:r>
      <w:r>
        <w:rPr/>
        <w:t>。</w:t>
      </w:r>
    </w:p>
    <w:p>
      <w:pPr>
        <w:pStyle w:val="BodyText"/>
        <w:spacing w:line="240" w:lineRule="auto" w:before="13"/>
        <w:ind w:left="1493" w:right="994"/>
        <w:jc w:val="left"/>
      </w:pPr>
      <w:r>
        <w:rPr/>
        <w:t>报告期开展的主要经营及管理工作情况如下：</w:t>
      </w:r>
    </w:p>
    <w:p>
      <w:pPr>
        <w:pStyle w:val="BodyText"/>
        <w:spacing w:line="240" w:lineRule="auto" w:before="76"/>
        <w:ind w:left="1493" w:right="994"/>
        <w:jc w:val="left"/>
      </w:pPr>
      <w:r>
        <w:rPr/>
        <w:t>（一）</w:t>
      </w:r>
      <w:r>
        <w:rPr>
          <w:spacing w:val="-19"/>
        </w:rPr>
        <w:t> </w:t>
      </w:r>
      <w:r>
        <w:rPr/>
        <w:t>公司经营情况</w:t>
      </w:r>
    </w:p>
    <w:p>
      <w:pPr>
        <w:pStyle w:val="BodyText"/>
        <w:spacing w:line="240" w:lineRule="auto" w:before="76"/>
        <w:ind w:left="1493" w:right="994"/>
        <w:jc w:val="left"/>
      </w:pPr>
      <w:r>
        <w:rPr/>
        <w:t>（</w:t>
      </w:r>
      <w:r>
        <w:rPr>
          <w:rFonts w:ascii="Times New Roman" w:hAnsi="Times New Roman" w:cs="Times New Roman" w:eastAsia="Times New Roman" w:hint="default"/>
        </w:rPr>
        <w:t>1</w:t>
      </w:r>
      <w:r>
        <w:rPr/>
        <w:t>）</w:t>
      </w:r>
      <w:r>
        <w:rPr>
          <w:spacing w:val="-19"/>
        </w:rPr>
        <w:t> </w:t>
      </w:r>
      <w:r>
        <w:rPr/>
        <w:t>支付业务</w:t>
      </w:r>
    </w:p>
    <w:p>
      <w:pPr>
        <w:pStyle w:val="BodyText"/>
        <w:spacing w:line="312" w:lineRule="auto" w:before="63"/>
        <w:ind w:right="1131" w:firstLine="360"/>
        <w:jc w:val="both"/>
      </w:pPr>
      <w:r>
        <w:rPr>
          <w:rFonts w:ascii="Times New Roman" w:hAnsi="Times New Roman" w:cs="Times New Roman" w:eastAsia="Times New Roman" w:hint="default"/>
          <w:spacing w:val="-1"/>
        </w:rPr>
        <w:t>2017</w:t>
      </w:r>
      <w:r>
        <w:rPr>
          <w:spacing w:val="-1"/>
        </w:rPr>
        <w:t>年，支付业务市场方面，支付子公司组建传统</w:t>
      </w:r>
      <w:r>
        <w:rPr>
          <w:rFonts w:ascii="Times New Roman" w:hAnsi="Times New Roman" w:cs="Times New Roman" w:eastAsia="Times New Roman" w:hint="default"/>
          <w:spacing w:val="-1"/>
        </w:rPr>
        <w:t>POS</w:t>
      </w:r>
      <w:r>
        <w:rPr>
          <w:spacing w:val="-1"/>
        </w:rPr>
        <w:t>事业部及智能</w:t>
      </w:r>
      <w:r>
        <w:rPr>
          <w:rFonts w:ascii="Times New Roman" w:hAnsi="Times New Roman" w:cs="Times New Roman" w:eastAsia="Times New Roman" w:hint="default"/>
          <w:spacing w:val="-1"/>
        </w:rPr>
        <w:t>POS</w:t>
      </w:r>
      <w:r>
        <w:rPr>
          <w:spacing w:val="-1"/>
        </w:rPr>
        <w:t>事业部，通过双轮连接驱动前后端，在一定程</w:t>
      </w:r>
      <w:r>
        <w:rPr/>
        <w:t> </w:t>
      </w:r>
      <w:r>
        <w:rPr>
          <w:spacing w:val="-2"/>
        </w:rPr>
        <w:t>度上推动市场需求、业务问题的有效解决。进一步完善梯队式的市场队伍建设，进一步推动产品经理负责制方案的构建，通</w:t>
      </w:r>
      <w:r>
        <w:rPr>
          <w:spacing w:val="-66"/>
        </w:rPr>
        <w:t> </w:t>
      </w:r>
      <w:r>
        <w:rPr>
          <w:spacing w:val="-66"/>
        </w:rPr>
      </w:r>
      <w:r>
        <w:rPr>
          <w:spacing w:val="-2"/>
        </w:rPr>
        <w:t>过产品负责人统一协调中后端资源，实时与前端人员沟通确保研发人员快速灵活响应市场需求，很大程度的提高内部流程效</w:t>
      </w:r>
      <w:r>
        <w:rPr>
          <w:spacing w:val="-64"/>
        </w:rPr>
        <w:t> </w:t>
      </w:r>
      <w:r>
        <w:rPr>
          <w:spacing w:val="-64"/>
        </w:rPr>
      </w:r>
      <w:r>
        <w:rPr/>
        <w:t>率。</w:t>
      </w:r>
    </w:p>
    <w:p>
      <w:pPr>
        <w:pStyle w:val="BodyText"/>
        <w:spacing w:line="300" w:lineRule="auto" w:before="22"/>
        <w:ind w:left="1134" w:right="1042" w:firstLine="360"/>
        <w:jc w:val="both"/>
      </w:pPr>
      <w:r>
        <w:rPr>
          <w:spacing w:val="-4"/>
        </w:rPr>
        <w:t>国内市场方面，</w:t>
      </w:r>
      <w:r>
        <w:rPr>
          <w:rFonts w:ascii="Times New Roman" w:hAnsi="Times New Roman" w:cs="Times New Roman" w:eastAsia="Times New Roman" w:hint="default"/>
          <w:spacing w:val="-4"/>
        </w:rPr>
        <w:t>2017</w:t>
      </w:r>
      <w:r>
        <w:rPr>
          <w:spacing w:val="-4"/>
        </w:rPr>
        <w:t>年市场价格竞争更加激烈，公司市场部门通过利用现有资源挖掘更多市场空间，大力发展行业客户，</w:t>
      </w:r>
      <w:r>
        <w:rPr/>
        <w:t> 调整产品销售组合方案；针对第三方市场推出低成本手持移动</w:t>
      </w:r>
      <w:r>
        <w:rPr>
          <w:rFonts w:ascii="Times New Roman" w:hAnsi="Times New Roman" w:cs="Times New Roman" w:eastAsia="Times New Roman" w:hint="default"/>
        </w:rPr>
        <w:t>POS</w:t>
      </w:r>
      <w:r>
        <w:rPr/>
        <w:t>，把握市场机遇，进一步抢占市场；</w:t>
      </w:r>
    </w:p>
    <w:p>
      <w:pPr>
        <w:pStyle w:val="BodyText"/>
        <w:spacing w:line="309" w:lineRule="auto" w:before="13"/>
        <w:ind w:right="1130" w:firstLine="360"/>
        <w:jc w:val="both"/>
      </w:pPr>
      <w:r>
        <w:rPr>
          <w:spacing w:val="-2"/>
        </w:rPr>
        <w:t>海外市场方面，公司优化了对国际市场的区域运营管理，对重点市场的支持进行补充和调整，继续寻找和建立全球区域</w:t>
      </w:r>
      <w:r>
        <w:rPr/>
        <w:t> 的重点战略伙伴合作。截止至</w:t>
      </w:r>
      <w:r>
        <w:rPr>
          <w:rFonts w:ascii="Times New Roman" w:hAnsi="Times New Roman" w:cs="Times New Roman" w:eastAsia="Times New Roman" w:hint="default"/>
        </w:rPr>
        <w:t>2017</w:t>
      </w:r>
      <w:r>
        <w:rPr/>
        <w:t>年末，公司国际业务已实现销售国家</w:t>
      </w:r>
      <w:r>
        <w:rPr>
          <w:rFonts w:ascii="Times New Roman" w:hAnsi="Times New Roman" w:cs="Times New Roman" w:eastAsia="Times New Roman" w:hint="default"/>
        </w:rPr>
        <w:t>26</w:t>
      </w:r>
      <w:r>
        <w:rPr/>
        <w:t>个。支付业务国际市场全年实现销售收入</w:t>
      </w:r>
      <w:r>
        <w:rPr>
          <w:rFonts w:ascii="Times New Roman" w:hAnsi="Times New Roman" w:cs="Times New Roman" w:eastAsia="Times New Roman" w:hint="default"/>
        </w:rPr>
        <w:t>7,300</w:t>
      </w:r>
      <w:r>
        <w:rPr/>
        <w:t>万</w:t>
      </w:r>
      <w:r>
        <w:rPr>
          <w:spacing w:val="-43"/>
        </w:rPr>
        <w:t> </w:t>
      </w:r>
      <w:r>
        <w:rPr/>
        <w:t>元，与去年同期略有下降，占支付业务营业收入的</w:t>
      </w:r>
      <w:r>
        <w:rPr>
          <w:rFonts w:ascii="Times New Roman" w:hAnsi="Times New Roman" w:cs="Times New Roman" w:eastAsia="Times New Roman" w:hint="default"/>
        </w:rPr>
        <w:t>5.87%</w:t>
      </w:r>
      <w:r>
        <w:rPr/>
        <w:t>，海外业务仍然保持了较好的毛利率水平。</w:t>
      </w:r>
    </w:p>
    <w:p>
      <w:pPr>
        <w:pStyle w:val="BodyText"/>
        <w:spacing w:line="309" w:lineRule="auto" w:before="5"/>
        <w:ind w:right="994" w:firstLine="360"/>
        <w:jc w:val="left"/>
      </w:pPr>
      <w:r>
        <w:rPr/>
        <w:t>产品和技术研发方面，报告期间，支付子公司投入研发费用</w:t>
      </w:r>
      <w:r>
        <w:rPr>
          <w:rFonts w:ascii="Times New Roman" w:hAnsi="Times New Roman" w:cs="Times New Roman" w:eastAsia="Times New Roman" w:hint="default"/>
        </w:rPr>
        <w:t>7,300</w:t>
      </w:r>
      <w:r>
        <w:rPr/>
        <w:t>万元，占支付业务营业收入的</w:t>
      </w:r>
      <w:r>
        <w:rPr>
          <w:rFonts w:ascii="Times New Roman" w:hAnsi="Times New Roman" w:cs="Times New Roman" w:eastAsia="Times New Roman" w:hint="default"/>
        </w:rPr>
        <w:t>7.60%</w:t>
      </w:r>
      <w:r>
        <w:rPr/>
        <w:t>。多年来，公司持 </w:t>
      </w:r>
      <w:r>
        <w:rPr>
          <w:spacing w:val="-4"/>
        </w:rPr>
        <w:t>续投入大量研发资金加强研发管理能力，提升开发效率和质量安全、系统接口和协议规范化，提高产品设计可靠性和稳定性，</w:t>
      </w:r>
      <w:r>
        <w:rPr>
          <w:spacing w:val="-44"/>
        </w:rPr>
        <w:t> </w:t>
      </w:r>
      <w:r>
        <w:rPr>
          <w:spacing w:val="-44"/>
        </w:rPr>
      </w:r>
      <w:r>
        <w:rPr>
          <w:spacing w:val="-2"/>
        </w:rPr>
        <w:t>从而满足市场严格的安全保护需求。部分机具实现降本技术方案突破，并成功通过实验室认证。以产品为驱动，强化对外部</w:t>
      </w:r>
      <w:r>
        <w:rPr>
          <w:spacing w:val="-66"/>
        </w:rPr>
        <w:t> </w:t>
      </w:r>
      <w:r>
        <w:rPr>
          <w:spacing w:val="-66"/>
        </w:rPr>
      </w:r>
      <w:r>
        <w:rPr/>
        <w:t>需求响应，实现新项目过程控制，达成立项目标。关注量产</w:t>
      </w:r>
      <w:r>
        <w:rPr>
          <w:rFonts w:ascii="Times New Roman" w:hAnsi="Times New Roman" w:cs="Times New Roman" w:eastAsia="Times New Roman" w:hint="default"/>
        </w:rPr>
        <w:t>POS</w:t>
      </w:r>
      <w:r>
        <w:rPr/>
        <w:t>机用户体验，严控产品质量控制各项指标。提高技术平台开 发能力，进一步提升智能</w:t>
      </w:r>
      <w:r>
        <w:rPr>
          <w:rFonts w:ascii="Times New Roman" w:hAnsi="Times New Roman" w:cs="Times New Roman" w:eastAsia="Times New Roman" w:hint="default"/>
        </w:rPr>
        <w:t>POS</w:t>
      </w:r>
      <w:r>
        <w:rPr/>
        <w:t>竞争力。</w:t>
      </w:r>
    </w:p>
    <w:p>
      <w:pPr>
        <w:pStyle w:val="BodyText"/>
        <w:spacing w:line="240" w:lineRule="auto" w:before="5"/>
        <w:ind w:left="1493" w:right="994"/>
        <w:jc w:val="left"/>
      </w:pPr>
      <w:r>
        <w:rPr/>
        <w:t>（</w:t>
      </w:r>
      <w:r>
        <w:rPr>
          <w:rFonts w:ascii="Times New Roman" w:hAnsi="Times New Roman" w:cs="Times New Roman" w:eastAsia="Times New Roman" w:hint="default"/>
        </w:rPr>
        <w:t>2</w:t>
      </w:r>
      <w:r>
        <w:rPr/>
        <w:t>）</w:t>
      </w:r>
      <w:r>
        <w:rPr>
          <w:spacing w:val="-19"/>
        </w:rPr>
        <w:t> </w:t>
      </w:r>
      <w:r>
        <w:rPr/>
        <w:t>征信业务</w:t>
      </w:r>
    </w:p>
    <w:p>
      <w:pPr>
        <w:pStyle w:val="BodyText"/>
        <w:spacing w:line="307" w:lineRule="auto" w:before="63"/>
        <w:ind w:right="1036" w:firstLine="360"/>
        <w:jc w:val="left"/>
      </w:pPr>
      <w:r>
        <w:rPr>
          <w:rFonts w:ascii="Times New Roman" w:hAnsi="Times New Roman" w:cs="Times New Roman" w:eastAsia="Times New Roman" w:hint="default"/>
          <w:spacing w:val="-2"/>
        </w:rPr>
        <w:t>2017</w:t>
      </w:r>
      <w:r>
        <w:rPr>
          <w:spacing w:val="-2"/>
        </w:rPr>
        <w:t>年，信联征信已与多家知名权威机构达成合作，包括公安、工商、运营商、银联、知名高校等，并逐步切入大型银</w:t>
      </w:r>
      <w:r>
        <w:rPr/>
        <w:t> </w:t>
      </w:r>
      <w:r>
        <w:rPr>
          <w:spacing w:val="-4"/>
        </w:rPr>
        <w:t>行客户群，成功为多家大型银行客户提供优质稳定大数据风控服务。产品方面，已推出全面的反欺诈产品线，涵盖信息核验、</w:t>
      </w:r>
      <w:r>
        <w:rPr>
          <w:spacing w:val="-46"/>
        </w:rPr>
        <w:t> </w:t>
      </w:r>
      <w:r>
        <w:rPr>
          <w:spacing w:val="-46"/>
        </w:rPr>
      </w:r>
      <w:r>
        <w:rPr/>
        <w:t>人脸识别、实名反欺诈、设备反欺诈、反欺诈模型、反欺诈规则引擎等；推出先进的</w:t>
      </w:r>
      <w:r>
        <w:rPr>
          <w:rFonts w:ascii="Times New Roman" w:hAnsi="Times New Roman" w:cs="Times New Roman" w:eastAsia="Times New Roman" w:hint="default"/>
        </w:rPr>
        <w:t>KYC</w:t>
      </w:r>
      <w:r>
        <w:rPr/>
        <w:t>（</w:t>
      </w:r>
      <w:r>
        <w:rPr>
          <w:rFonts w:ascii="Times New Roman" w:hAnsi="Times New Roman" w:cs="Times New Roman" w:eastAsia="Times New Roman" w:hint="default"/>
        </w:rPr>
        <w:t>Know Your</w:t>
      </w:r>
      <w:r>
        <w:rPr>
          <w:rFonts w:ascii="Times New Roman" w:hAnsi="Times New Roman" w:cs="Times New Roman" w:eastAsia="Times New Roman" w:hint="default"/>
          <w:spacing w:val="-3"/>
        </w:rPr>
        <w:t> </w:t>
      </w:r>
      <w:r>
        <w:rPr>
          <w:rFonts w:ascii="Times New Roman" w:hAnsi="Times New Roman" w:cs="Times New Roman" w:eastAsia="Times New Roman" w:hint="default"/>
        </w:rPr>
        <w:t>Customer</w:t>
      </w:r>
      <w:r>
        <w:rPr/>
        <w:t>）产品线， 融合身份、社交、行为、信用、消费多类数据，打造</w:t>
      </w:r>
      <w:r>
        <w:rPr>
          <w:rFonts w:ascii="Times New Roman" w:hAnsi="Times New Roman" w:cs="Times New Roman" w:eastAsia="Times New Roman" w:hint="default"/>
        </w:rPr>
        <w:t>360</w:t>
      </w:r>
      <w:r>
        <w:rPr/>
        <w:t>度客户视图；推出权威的企业征信产品线，依托人行授予资质，在</w:t>
      </w:r>
      <w:r>
        <w:rPr>
          <w:spacing w:val="-82"/>
        </w:rPr>
        <w:t> </w:t>
      </w:r>
      <w:r>
        <w:rPr>
          <w:spacing w:val="-82"/>
        </w:rPr>
      </w:r>
      <w:r>
        <w:rPr>
          <w:spacing w:val="-2"/>
        </w:rPr>
        <w:t>招投标、支付收单等行业形成解决方案。建立本地化业务、技术支持团队，快速响应客户需求。在深圳、北京和上海均设有</w:t>
      </w:r>
      <w:r>
        <w:rPr>
          <w:spacing w:val="-68"/>
        </w:rPr>
        <w:t> </w:t>
      </w:r>
      <w:r>
        <w:rPr>
          <w:spacing w:val="-68"/>
        </w:rPr>
      </w:r>
      <w:r>
        <w:rPr/>
        <w:t>专业的业务、产品方案和技术团队。</w:t>
      </w:r>
    </w:p>
    <w:p>
      <w:pPr>
        <w:pStyle w:val="BodyText"/>
        <w:spacing w:line="300" w:lineRule="auto" w:before="26"/>
        <w:ind w:right="1130" w:firstLine="360"/>
        <w:jc w:val="both"/>
      </w:pPr>
      <w:r>
        <w:rPr>
          <w:rFonts w:ascii="Times New Roman" w:hAnsi="Times New Roman" w:cs="Times New Roman" w:eastAsia="Times New Roman" w:hint="default"/>
          <w:spacing w:val="-2"/>
        </w:rPr>
        <w:t>2017</w:t>
      </w:r>
      <w:r>
        <w:rPr>
          <w:spacing w:val="-2"/>
        </w:rPr>
        <w:t>年，公信诚丰新成立技术中心，分设二级项目部门，按照项目进行管理，合理分配资源，提升了管理效率。公信诚</w:t>
      </w:r>
      <w:r>
        <w:rPr/>
        <w:t> 丰增加安全通道生物识别闸机、公共场所机器智能视觉管理，进一步提升其安全和管理效率。</w:t>
      </w:r>
      <w:r>
        <w:rPr>
          <w:rFonts w:ascii="Times New Roman" w:hAnsi="Times New Roman" w:cs="Times New Roman" w:eastAsia="Times New Roman" w:hint="default"/>
        </w:rPr>
        <w:t>2017</w:t>
      </w:r>
      <w:r>
        <w:rPr/>
        <w:t>年，公信诚丰实现收入</w:t>
      </w:r>
      <w:r>
        <w:rPr>
          <w:spacing w:val="1"/>
        </w:rPr>
        <w:t> </w:t>
      </w:r>
      <w:r>
        <w:rPr>
          <w:spacing w:val="1"/>
        </w:rPr>
      </w:r>
      <w:r>
        <w:rPr>
          <w:rFonts w:ascii="Times New Roman" w:hAnsi="Times New Roman" w:cs="Times New Roman" w:eastAsia="Times New Roman" w:hint="default"/>
        </w:rPr>
        <w:t>9,253.51</w:t>
      </w:r>
      <w:r>
        <w:rPr/>
        <w:t>万元，同比增长</w:t>
      </w:r>
      <w:r>
        <w:rPr>
          <w:rFonts w:ascii="Times New Roman" w:hAnsi="Times New Roman" w:cs="Times New Roman" w:eastAsia="Times New Roman" w:hint="default"/>
        </w:rPr>
        <w:t>3.22%</w:t>
      </w:r>
      <w:r>
        <w:rPr/>
        <w:t>；实现净利润</w:t>
      </w:r>
      <w:r>
        <w:rPr>
          <w:rFonts w:ascii="Times New Roman" w:hAnsi="Times New Roman" w:cs="Times New Roman" w:eastAsia="Times New Roman" w:hint="default"/>
        </w:rPr>
        <w:t>4,643.39</w:t>
      </w:r>
      <w:r>
        <w:rPr/>
        <w:t>万元，同比增长</w:t>
      </w:r>
      <w:r>
        <w:rPr>
          <w:rFonts w:ascii="Times New Roman" w:hAnsi="Times New Roman" w:cs="Times New Roman" w:eastAsia="Times New Roman" w:hint="default"/>
        </w:rPr>
        <w:t>4.58%</w:t>
      </w:r>
      <w:r>
        <w:rPr/>
        <w:t>；毛利率保持稳定。</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ind w:left="1493" w:right="994"/>
        <w:jc w:val="left"/>
      </w:pPr>
      <w:r>
        <w:rPr/>
        <w:t>（</w:t>
      </w:r>
      <w:r>
        <w:rPr>
          <w:rFonts w:ascii="Times New Roman" w:hAnsi="Times New Roman" w:cs="Times New Roman" w:eastAsia="Times New Roman" w:hint="default"/>
        </w:rPr>
        <w:t>3</w:t>
      </w:r>
      <w:r>
        <w:rPr/>
        <w:t>）</w:t>
      </w:r>
      <w:r>
        <w:rPr>
          <w:spacing w:val="-19"/>
        </w:rPr>
        <w:t> </w:t>
      </w:r>
      <w:r>
        <w:rPr/>
        <w:t>智能硬件、生物识别</w:t>
      </w:r>
    </w:p>
    <w:p>
      <w:pPr>
        <w:pStyle w:val="BodyText"/>
        <w:spacing w:line="312" w:lineRule="auto" w:before="63"/>
        <w:ind w:right="1131" w:firstLine="360"/>
        <w:jc w:val="both"/>
      </w:pPr>
      <w:r>
        <w:rPr>
          <w:rFonts w:ascii="Times New Roman" w:hAnsi="Times New Roman" w:cs="Times New Roman" w:eastAsia="Times New Roman" w:hint="default"/>
          <w:spacing w:val="-2"/>
        </w:rPr>
        <w:t>2017</w:t>
      </w:r>
      <w:r>
        <w:rPr>
          <w:spacing w:val="-2"/>
        </w:rPr>
        <w:t>年，智能硬件业务集中资源开发核心产品，快速完善产品线，借助其它厂商市场拓展能力，与市场及运营能力强的</w:t>
      </w:r>
      <w:r>
        <w:rPr/>
        <w:t> </w:t>
      </w:r>
      <w:r>
        <w:rPr>
          <w:spacing w:val="-2"/>
        </w:rPr>
        <w:t>下游厂商深度合作、定制方案，尝试快速拓展市场，进一步与智能家居等合作厂商进行了家庭安防套件方案的深度合作；与</w:t>
      </w:r>
      <w:r>
        <w:rPr>
          <w:spacing w:val="-66"/>
        </w:rPr>
        <w:t> </w:t>
      </w:r>
      <w:r>
        <w:rPr>
          <w:spacing w:val="-66"/>
        </w:rPr>
      </w:r>
      <w:r>
        <w:rPr>
          <w:spacing w:val="-2"/>
        </w:rPr>
        <w:t>潜在行业大客户深度合作，贴身定制；与其它厂商合作开发新产品，互通有无取长补短，降低风险。目前与精密机械类厂商</w:t>
      </w:r>
      <w:r>
        <w:rPr>
          <w:spacing w:val="-66"/>
        </w:rPr>
        <w:t> </w:t>
      </w:r>
      <w:r>
        <w:rPr>
          <w:spacing w:val="-66"/>
        </w:rPr>
      </w:r>
      <w:r>
        <w:rPr/>
        <w:t>合作开发智能家居安防类产品。</w:t>
      </w:r>
    </w:p>
    <w:p>
      <w:pPr>
        <w:pStyle w:val="BodyText"/>
        <w:spacing w:line="304" w:lineRule="auto" w:before="22"/>
        <w:ind w:right="1131" w:firstLine="360"/>
        <w:jc w:val="both"/>
      </w:pPr>
      <w:r>
        <w:rPr>
          <w:rFonts w:ascii="Times New Roman" w:hAnsi="Times New Roman" w:cs="Times New Roman" w:eastAsia="Times New Roman" w:hint="default"/>
          <w:spacing w:val="-2"/>
        </w:rPr>
        <w:t>2017</w:t>
      </w:r>
      <w:r>
        <w:rPr>
          <w:spacing w:val="-2"/>
        </w:rPr>
        <w:t>年，中正智能作为全国七家公安部指纹应用算法提供商之一及首批公安部认证通过的二代证指纹核验设备厂商，重</w:t>
      </w:r>
      <w:r>
        <w:rPr/>
        <w:t> </w:t>
      </w:r>
      <w:r>
        <w:rPr>
          <w:spacing w:val="-2"/>
        </w:rPr>
        <w:t>兵部署争取最大市场份额，但受</w:t>
      </w:r>
      <w:r>
        <w:rPr>
          <w:rFonts w:ascii="Times New Roman" w:hAnsi="Times New Roman" w:cs="Times New Roman" w:eastAsia="Times New Roman" w:hint="default"/>
          <w:spacing w:val="-2"/>
        </w:rPr>
        <w:t>2018</w:t>
      </w:r>
      <w:r>
        <w:rPr>
          <w:spacing w:val="-2"/>
        </w:rPr>
        <w:t>年二代身份证机具均需要加入指纹的政策影响，中正智能等生物识别机具厂商均在做新</w:t>
      </w:r>
      <w:r>
        <w:rPr>
          <w:spacing w:val="-60"/>
        </w:rPr>
        <w:t> </w:t>
      </w:r>
      <w:r>
        <w:rPr>
          <w:spacing w:val="-60"/>
        </w:rPr>
      </w:r>
      <w:r>
        <w:rPr>
          <w:spacing w:val="-2"/>
        </w:rPr>
        <w:t>产品检测，对设备采购量和销售节奏产生了一定的影响。部分商业银行招标推迟，预期销售没有在当期实现；</w:t>
      </w:r>
      <w:r>
        <w:rPr>
          <w:rFonts w:ascii="Times New Roman" w:hAnsi="Times New Roman" w:cs="Times New Roman" w:eastAsia="Times New Roman" w:hint="default"/>
          <w:spacing w:val="-2"/>
        </w:rPr>
        <w:t>2017</w:t>
      </w:r>
      <w:r>
        <w:rPr>
          <w:spacing w:val="-2"/>
        </w:rPr>
        <w:t>年，中正</w:t>
      </w:r>
      <w:r>
        <w:rPr>
          <w:spacing w:val="-62"/>
        </w:rPr>
        <w:t> </w:t>
      </w:r>
      <w:r>
        <w:rPr>
          <w:spacing w:val="-62"/>
        </w:rPr>
      </w:r>
      <w:r>
        <w:rPr>
          <w:spacing w:val="-2"/>
        </w:rPr>
        <w:t>智能成功导入企业知识产权管理体系，促进技术创新、增强知识产权保护意识，提高产品市场竞争能力。中正智能鼓励技术</w:t>
      </w:r>
      <w:r>
        <w:rPr>
          <w:spacing w:val="-66"/>
        </w:rPr>
        <w:t> </w:t>
      </w:r>
      <w:r>
        <w:rPr>
          <w:spacing w:val="-66"/>
        </w:rPr>
      </w:r>
      <w:r>
        <w:rPr>
          <w:spacing w:val="-2"/>
        </w:rPr>
        <w:t>创新，鼓励多申请发明和实用新型专利，被评为国家知识产权优势企业。</w:t>
      </w:r>
      <w:r>
        <w:rPr>
          <w:rFonts w:ascii="Times New Roman" w:hAnsi="Times New Roman" w:cs="Times New Roman" w:eastAsia="Times New Roman" w:hint="default"/>
          <w:spacing w:val="-2"/>
        </w:rPr>
        <w:t>2017</w:t>
      </w:r>
      <w:r>
        <w:rPr>
          <w:spacing w:val="-2"/>
        </w:rPr>
        <w:t>年，中正智能年度收入实现</w:t>
      </w:r>
      <w:r>
        <w:rPr>
          <w:rFonts w:ascii="Times New Roman" w:hAnsi="Times New Roman" w:cs="Times New Roman" w:eastAsia="Times New Roman" w:hint="default"/>
          <w:spacing w:val="-2"/>
        </w:rPr>
        <w:t>11,407.86</w:t>
      </w:r>
      <w:r>
        <w:rPr>
          <w:spacing w:val="-2"/>
        </w:rPr>
        <w:t>万元，同</w:t>
      </w:r>
      <w:r>
        <w:rPr>
          <w:spacing w:val="-54"/>
        </w:rPr>
        <w:t> </w:t>
      </w:r>
      <w:r>
        <w:rPr>
          <w:spacing w:val="-54"/>
        </w:rPr>
      </w:r>
      <w:r>
        <w:rPr/>
        <w:t>比上升</w:t>
      </w:r>
      <w:r>
        <w:rPr>
          <w:rFonts w:ascii="Times New Roman" w:hAnsi="Times New Roman" w:cs="Times New Roman" w:eastAsia="Times New Roman" w:hint="default"/>
        </w:rPr>
        <w:t>13.71%</w:t>
      </w:r>
      <w:r>
        <w:rPr/>
        <w:t>。年度利润实现</w:t>
      </w:r>
      <w:r>
        <w:rPr>
          <w:rFonts w:ascii="Times New Roman" w:hAnsi="Times New Roman" w:cs="Times New Roman" w:eastAsia="Times New Roman" w:hint="default"/>
        </w:rPr>
        <w:t>2,346.29</w:t>
      </w:r>
      <w:r>
        <w:rPr/>
        <w:t>万元，同比上升</w:t>
      </w:r>
      <w:r>
        <w:rPr>
          <w:rFonts w:ascii="Times New Roman" w:hAnsi="Times New Roman" w:cs="Times New Roman" w:eastAsia="Times New Roman" w:hint="default"/>
        </w:rPr>
        <w:t>5.20%</w:t>
      </w:r>
      <w:r>
        <w:rPr/>
        <w:t>。</w:t>
      </w:r>
    </w:p>
    <w:p>
      <w:pPr>
        <w:pStyle w:val="BodyText"/>
        <w:spacing w:line="240" w:lineRule="auto" w:before="9"/>
        <w:ind w:left="1494" w:right="994"/>
        <w:jc w:val="left"/>
      </w:pPr>
      <w:r>
        <w:rPr/>
        <w:t>（二）</w:t>
      </w:r>
      <w:r>
        <w:rPr>
          <w:spacing w:val="-19"/>
        </w:rPr>
        <w:t> </w:t>
      </w:r>
      <w:r>
        <w:rPr/>
        <w:t>公司运营管理情况</w:t>
      </w:r>
    </w:p>
    <w:p>
      <w:pPr>
        <w:pStyle w:val="BodyText"/>
        <w:spacing w:line="307" w:lineRule="auto" w:before="76"/>
        <w:ind w:right="994" w:firstLine="360"/>
        <w:jc w:val="left"/>
      </w:pPr>
      <w:r>
        <w:rPr>
          <w:rFonts w:ascii="Times New Roman" w:hAnsi="Times New Roman" w:cs="Times New Roman" w:eastAsia="Times New Roman" w:hint="default"/>
          <w:spacing w:val="-2"/>
        </w:rPr>
        <w:t>2017</w:t>
      </w:r>
      <w:r>
        <w:rPr>
          <w:spacing w:val="-2"/>
        </w:rPr>
        <w:t>年，生产管理方面，采购制造管理中心以打造低成本，高质量，快速响应的供应体系为核心价值，通过生产效率提</w:t>
      </w:r>
      <w:r>
        <w:rPr/>
        <w:t> </w:t>
      </w:r>
      <w:r>
        <w:rPr>
          <w:spacing w:val="-2"/>
        </w:rPr>
        <w:t>升、生产直通率提升、工艺优化等活动与项目，进一步提升整体工效与品质。品质管控方面，针对生产问题点进行改善，产</w:t>
      </w:r>
      <w:r>
        <w:rPr>
          <w:spacing w:val="-67"/>
        </w:rPr>
        <w:t> </w:t>
      </w:r>
      <w:r>
        <w:rPr>
          <w:spacing w:val="-67"/>
        </w:rPr>
      </w:r>
      <w:r>
        <w:rPr>
          <w:spacing w:val="-6"/>
        </w:rPr>
        <w:t>品直通率有所提升。产品质量进一步提高，稳定性加强，产品短期返修率、中期返修率下降；</w:t>
      </w:r>
      <w:r>
        <w:rPr>
          <w:rFonts w:ascii="Times New Roman" w:hAnsi="Times New Roman" w:cs="Times New Roman" w:eastAsia="Times New Roman" w:hint="default"/>
          <w:spacing w:val="-6"/>
        </w:rPr>
        <w:t>2017</w:t>
      </w:r>
      <w:r>
        <w:rPr>
          <w:spacing w:val="-6"/>
        </w:rPr>
        <w:t>年，新产品上市成功率</w:t>
      </w:r>
      <w:r>
        <w:rPr>
          <w:rFonts w:ascii="Times New Roman" w:hAnsi="Times New Roman" w:cs="Times New Roman" w:eastAsia="Times New Roman" w:hint="default"/>
          <w:spacing w:val="-6"/>
        </w:rPr>
        <w:t>80%</w:t>
      </w:r>
      <w:r>
        <w:rPr>
          <w:spacing w:val="-6"/>
        </w:rPr>
        <w:t>，</w:t>
      </w:r>
      <w:r>
        <w:rPr>
          <w:spacing w:val="-58"/>
        </w:rPr>
        <w:t> </w:t>
      </w:r>
      <w:r>
        <w:rPr/>
        <w:t>达成年初目标值，上市新品全部实现销售。</w:t>
      </w:r>
    </w:p>
    <w:p>
      <w:pPr>
        <w:pStyle w:val="BodyText"/>
        <w:spacing w:line="307" w:lineRule="auto" w:before="26"/>
        <w:ind w:right="1131" w:firstLine="360"/>
        <w:jc w:val="both"/>
      </w:pPr>
      <w:r>
        <w:rPr>
          <w:rFonts w:ascii="Times New Roman" w:hAnsi="Times New Roman" w:cs="Times New Roman" w:eastAsia="Times New Roman" w:hint="default"/>
          <w:spacing w:val="-2"/>
        </w:rPr>
        <w:t>2017</w:t>
      </w:r>
      <w:r>
        <w:rPr>
          <w:spacing w:val="-2"/>
        </w:rPr>
        <w:t>年，人力资源和企业综合软实力建设方面，为保证公司的良好运行和发展，全面布局集团人才体系建设工作，为公</w:t>
      </w:r>
      <w:r>
        <w:rPr/>
        <w:t> </w:t>
      </w:r>
      <w:r>
        <w:rPr>
          <w:spacing w:val="-2"/>
        </w:rPr>
        <w:t>司新业务人才提供重点支持。公司通过开展人才培养相关的系列活动，有效提升国际的商务谈判与市场开拓能力，进一步提</w:t>
      </w:r>
      <w:r>
        <w:rPr>
          <w:spacing w:val="-66"/>
        </w:rPr>
        <w:t> </w:t>
      </w:r>
      <w:r>
        <w:rPr>
          <w:spacing w:val="-66"/>
        </w:rPr>
      </w:r>
      <w:r>
        <w:rPr/>
        <w:t>升前后端人员产品管理意识及技能；公司推动</w:t>
      </w:r>
      <w:r>
        <w:rPr>
          <w:rFonts w:ascii="Times New Roman" w:hAnsi="Times New Roman" w:cs="Times New Roman" w:eastAsia="Times New Roman" w:hint="default"/>
        </w:rPr>
        <w:t>OKR</w:t>
      </w:r>
      <w:r>
        <w:rPr/>
        <w:t>上线，强调个体目标透明，提高工作协同性，推动并落实集团、各子公</w:t>
      </w:r>
      <w:r>
        <w:rPr>
          <w:spacing w:val="-24"/>
        </w:rPr>
        <w:t> </w:t>
      </w:r>
      <w:r>
        <w:rPr>
          <w:spacing w:val="-24"/>
        </w:rPr>
      </w:r>
      <w:r>
        <w:rPr/>
        <w:t>司、及部门的目标考核评价工作。</w:t>
      </w:r>
    </w:p>
    <w:p>
      <w:pPr>
        <w:pStyle w:val="BodyText"/>
        <w:spacing w:line="309" w:lineRule="auto" w:before="26"/>
        <w:ind w:right="1131" w:firstLine="360"/>
        <w:jc w:val="both"/>
      </w:pPr>
      <w:r>
        <w:rPr>
          <w:rFonts w:ascii="Times New Roman" w:hAnsi="Times New Roman" w:cs="Times New Roman" w:eastAsia="Times New Roman" w:hint="default"/>
          <w:spacing w:val="-2"/>
        </w:rPr>
        <w:t>2017</w:t>
      </w:r>
      <w:r>
        <w:rPr>
          <w:spacing w:val="-2"/>
        </w:rPr>
        <w:t>年，审计监察部通过对公司及公司控股子公司的内控建设、业务体系、管理体系建设流程的梳理，及时发现公司运</w:t>
      </w:r>
      <w:r>
        <w:rPr/>
        <w:t> </w:t>
      </w:r>
      <w:r>
        <w:rPr>
          <w:spacing w:val="-2"/>
        </w:rPr>
        <w:t>营管理及业务流程出现及可能出现的问题。同时，通过对重大项目进行风险评估、监控，为公司重大决策和防范风险及时提</w:t>
      </w:r>
      <w:r>
        <w:rPr>
          <w:spacing w:val="-66"/>
        </w:rPr>
        <w:t> </w:t>
      </w:r>
      <w:r>
        <w:rPr>
          <w:spacing w:val="-66"/>
        </w:rPr>
      </w:r>
      <w:r>
        <w:rPr/>
        <w:t>供了严谨的分析、预测和建议。</w:t>
      </w:r>
    </w:p>
    <w:p>
      <w:pPr>
        <w:pStyle w:val="BodyText"/>
        <w:spacing w:line="240" w:lineRule="auto" w:before="24"/>
        <w:ind w:left="1493" w:right="994"/>
        <w:jc w:val="left"/>
      </w:pPr>
      <w:r>
        <w:rPr/>
        <w:t>（三）</w:t>
      </w:r>
      <w:r>
        <w:rPr>
          <w:spacing w:val="-19"/>
        </w:rPr>
        <w:t> </w:t>
      </w:r>
      <w:r>
        <w:rPr/>
        <w:t>公司资本市场活动</w:t>
      </w:r>
    </w:p>
    <w:p>
      <w:pPr>
        <w:pStyle w:val="BodyText"/>
        <w:spacing w:line="300" w:lineRule="auto" w:before="76"/>
        <w:ind w:left="1134" w:right="1130" w:firstLine="360"/>
        <w:jc w:val="both"/>
      </w:pP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22</w:t>
      </w:r>
      <w:r>
        <w:rPr>
          <w:spacing w:val="-5"/>
        </w:rPr>
        <w:t>日，公司非公开发行股票经中国证监会发行审核委员会审核通过。</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24</w:t>
      </w:r>
      <w:r>
        <w:rPr>
          <w:spacing w:val="-5"/>
        </w:rPr>
        <w:t>日，公司收到中国证监会《关</w:t>
      </w:r>
      <w:r>
        <w:rPr/>
        <w:t> </w:t>
      </w:r>
      <w:r>
        <w:rPr>
          <w:spacing w:val="-1"/>
        </w:rPr>
        <w:t>于核准深圳市新国都技术股份有限公司非公开发行股票的批复》（证监许可</w:t>
      </w:r>
      <w:r>
        <w:rPr>
          <w:rFonts w:ascii="Times New Roman" w:hAnsi="Times New Roman" w:cs="Times New Roman" w:eastAsia="Times New Roman" w:hint="default"/>
          <w:spacing w:val="-1"/>
        </w:rPr>
        <w:t>[2017]1146</w:t>
      </w:r>
      <w:r>
        <w:rPr>
          <w:spacing w:val="-1"/>
        </w:rPr>
        <w:t>号）。历经</w:t>
      </w:r>
      <w:r>
        <w:rPr>
          <w:rFonts w:ascii="Times New Roman" w:hAnsi="Times New Roman" w:cs="Times New Roman" w:eastAsia="Times New Roman" w:hint="default"/>
          <w:spacing w:val="-1"/>
        </w:rPr>
        <w:t>18</w:t>
      </w:r>
      <w:r>
        <w:rPr>
          <w:spacing w:val="-1"/>
        </w:rPr>
        <w:t>个月，公司申请非公开</w:t>
      </w:r>
      <w:r>
        <w:rPr>
          <w:spacing w:val="-54"/>
        </w:rPr>
        <w:t> </w:t>
      </w:r>
      <w:r>
        <w:rPr>
          <w:spacing w:val="-54"/>
        </w:rPr>
      </w:r>
      <w:r>
        <w:rPr/>
        <w:t>发行新增股份</w:t>
      </w:r>
      <w:r>
        <w:rPr>
          <w:rFonts w:ascii="Times New Roman" w:hAnsi="Times New Roman" w:cs="Times New Roman" w:eastAsia="Times New Roman" w:hint="default"/>
        </w:rPr>
        <w:t>25,000,000</w:t>
      </w:r>
      <w:r>
        <w:rPr/>
        <w:t>股于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日在深圳证券交易所上市。</w:t>
      </w:r>
    </w:p>
    <w:p>
      <w:pPr>
        <w:pStyle w:val="BodyText"/>
        <w:spacing w:line="300" w:lineRule="auto" w:before="13"/>
        <w:ind w:right="1129"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日，公司召开第三届董事会第四十二次（临时）会议及第三届监事会第四十一次会议审议通过了《关于</w:t>
      </w:r>
      <w:r>
        <w:rPr>
          <w:rFonts w:ascii="Times New Roman" w:hAnsi="Times New Roman" w:cs="Times New Roman" w:eastAsia="Times New Roman" w:hint="default"/>
        </w:rPr>
        <w:t>&lt; </w:t>
      </w:r>
      <w:r>
        <w:rPr/>
        <w:t>深圳市新国都技术股份有限公司</w:t>
      </w:r>
      <w:r>
        <w:rPr>
          <w:rFonts w:ascii="Times New Roman" w:hAnsi="Times New Roman" w:cs="Times New Roman" w:eastAsia="Times New Roman" w:hint="default"/>
        </w:rPr>
        <w:t>2017</w:t>
      </w:r>
      <w:r>
        <w:rPr/>
        <w:t>年股票期权激励计划（草案）及摘要</w:t>
      </w:r>
      <w:r>
        <w:rPr>
          <w:rFonts w:ascii="Times New Roman" w:hAnsi="Times New Roman" w:cs="Times New Roman" w:eastAsia="Times New Roman" w:hint="default"/>
        </w:rPr>
        <w:t>&gt;</w:t>
      </w:r>
      <w:r>
        <w:rPr/>
        <w:t>的议案》等相关议案，公司独立董事对股票期权 激励计划发表了明确同意的独立意见。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日，公司召开</w:t>
      </w:r>
      <w:r>
        <w:rPr>
          <w:rFonts w:ascii="Times New Roman" w:hAnsi="Times New Roman" w:cs="Times New Roman" w:eastAsia="Times New Roman" w:hint="default"/>
        </w:rPr>
        <w:t>2016</w:t>
      </w:r>
      <w:r>
        <w:rPr/>
        <w:t>年年度股东大会审议通过本次股权激励计划。</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38"/>
        </w:rPr>
        <w:t> </w:t>
      </w:r>
      <w:r>
        <w:rPr/>
        <w:t>月</w:t>
      </w:r>
      <w:r>
        <w:rPr>
          <w:rFonts w:ascii="Times New Roman" w:hAnsi="Times New Roman" w:cs="Times New Roman" w:eastAsia="Times New Roman" w:hint="default"/>
        </w:rPr>
        <w:t>29</w:t>
      </w:r>
      <w:r>
        <w:rPr/>
        <w:t>日，公司对本次股权激励对象完成授予。</w:t>
      </w:r>
    </w:p>
    <w:p>
      <w:pPr>
        <w:pStyle w:val="BodyText"/>
        <w:spacing w:line="309" w:lineRule="auto" w:before="13"/>
        <w:ind w:right="1131"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日，公司与嘉联支付有限公司（以下简称</w:t>
      </w:r>
      <w:r>
        <w:rPr>
          <w:rFonts w:ascii="Times New Roman" w:hAnsi="Times New Roman" w:cs="Times New Roman" w:eastAsia="Times New Roman" w:hint="default"/>
          <w:spacing w:val="-2"/>
        </w:rPr>
        <w:t>“</w:t>
      </w:r>
      <w:r>
        <w:rPr>
          <w:spacing w:val="-2"/>
        </w:rPr>
        <w:t>嘉联支付</w:t>
      </w:r>
      <w:r>
        <w:rPr>
          <w:rFonts w:ascii="Times New Roman" w:hAnsi="Times New Roman" w:cs="Times New Roman" w:eastAsia="Times New Roman" w:hint="default"/>
          <w:spacing w:val="-2"/>
        </w:rPr>
        <w:t>”</w:t>
      </w:r>
      <w:r>
        <w:rPr>
          <w:spacing w:val="-2"/>
        </w:rPr>
        <w:t>）的唯一股东山南市敏思达技术有限公司签订《山南</w:t>
      </w:r>
      <w:r>
        <w:rPr/>
        <w:t> 市敏思达技术有限公司与深圳市新国都技术股份有限公司签署之关于嘉联支付有限公司之股权转让协议》，以现金人民币</w:t>
      </w:r>
      <w:r>
        <w:rPr>
          <w:spacing w:val="-9"/>
        </w:rPr>
        <w:t> </w:t>
      </w:r>
      <w:r>
        <w:rPr>
          <w:spacing w:val="-9"/>
        </w:rPr>
      </w:r>
      <w:r>
        <w:rPr>
          <w:rFonts w:ascii="Times New Roman" w:hAnsi="Times New Roman" w:cs="Times New Roman" w:eastAsia="Times New Roman" w:hint="default"/>
        </w:rPr>
        <w:t>71,000</w:t>
      </w:r>
      <w:r>
        <w:rPr/>
        <w:t>万元收购嘉联支付</w:t>
      </w:r>
      <w:r>
        <w:rPr>
          <w:rFonts w:ascii="Times New Roman" w:hAnsi="Times New Roman" w:cs="Times New Roman" w:eastAsia="Times New Roman" w:hint="default"/>
        </w:rPr>
        <w:t>100%</w:t>
      </w:r>
      <w:r>
        <w:rPr/>
        <w:t>股权。本次收购完成后，新国都将持有嘉联支付</w:t>
      </w:r>
      <w:r>
        <w:rPr>
          <w:rFonts w:ascii="Times New Roman" w:hAnsi="Times New Roman" w:cs="Times New Roman" w:eastAsia="Times New Roman" w:hint="default"/>
        </w:rPr>
        <w:t>100%</w:t>
      </w:r>
      <w:r>
        <w:rPr/>
        <w:t>股权。</w:t>
      </w:r>
    </w:p>
    <w:p>
      <w:pPr>
        <w:pStyle w:val="BodyText"/>
        <w:spacing w:line="300" w:lineRule="auto" w:before="5"/>
        <w:ind w:right="105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14</w:t>
      </w:r>
      <w:r>
        <w:rPr/>
        <w:t>日，公司转让深圳嘉石大岩资本管理有限公司（以下简称</w:t>
      </w:r>
      <w:r>
        <w:rPr>
          <w:rFonts w:ascii="Times New Roman" w:hAnsi="Times New Roman" w:cs="Times New Roman" w:eastAsia="Times New Roman" w:hint="default"/>
        </w:rPr>
        <w:t>“</w:t>
      </w:r>
      <w:r>
        <w:rPr/>
        <w:t>大岩资本</w:t>
      </w:r>
      <w:r>
        <w:rPr>
          <w:rFonts w:ascii="Times New Roman" w:hAnsi="Times New Roman" w:cs="Times New Roman" w:eastAsia="Times New Roman" w:hint="default"/>
        </w:rPr>
        <w:t>”</w:t>
      </w:r>
      <w:r>
        <w:rPr/>
        <w:t>）股权。公司于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月增资获得 大岩资本</w:t>
      </w:r>
      <w:r>
        <w:rPr>
          <w:rFonts w:ascii="Times New Roman" w:hAnsi="Times New Roman" w:cs="Times New Roman" w:eastAsia="Times New Roman" w:hint="default"/>
        </w:rPr>
        <w:t>25%</w:t>
      </w:r>
      <w:r>
        <w:rPr/>
        <w:t>股权至今，与大岩资本的协同发展目标未能按预期实现，为了双方更好地聚焦于自身主业和发展战略，经各方 友好协商，各方一致同意，公司决定转让所持有的全部大岩资本股权，并由大岩资本控股股东深圳大岩科技有限公司受让。</w:t>
      </w:r>
    </w:p>
    <w:p>
      <w:pPr>
        <w:pStyle w:val="BodyText"/>
        <w:spacing w:line="307" w:lineRule="auto" w:before="31"/>
        <w:ind w:right="1128"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14</w:t>
      </w:r>
      <w:r>
        <w:rPr>
          <w:spacing w:val="-2"/>
        </w:rPr>
        <w:t>日，公司转让深圳市大拿科技有限公司（以下简称</w:t>
      </w:r>
      <w:r>
        <w:rPr>
          <w:rFonts w:ascii="Times New Roman" w:hAnsi="Times New Roman" w:cs="Times New Roman" w:eastAsia="Times New Roman" w:hint="default"/>
          <w:spacing w:val="-2"/>
        </w:rPr>
        <w:t>“</w:t>
      </w:r>
      <w:r>
        <w:rPr>
          <w:spacing w:val="-2"/>
        </w:rPr>
        <w:t>大拿科技</w:t>
      </w:r>
      <w:r>
        <w:rPr>
          <w:rFonts w:ascii="Times New Roman" w:hAnsi="Times New Roman" w:cs="Times New Roman" w:eastAsia="Times New Roman" w:hint="default"/>
          <w:spacing w:val="-2"/>
        </w:rPr>
        <w:t>”</w:t>
      </w:r>
      <w:r>
        <w:rPr>
          <w:spacing w:val="-2"/>
        </w:rPr>
        <w:t>）股权。大拿科技发展状况无法满足公司未</w:t>
      </w:r>
      <w:r>
        <w:rPr/>
        <w:t> </w:t>
      </w:r>
      <w:r>
        <w:rPr>
          <w:spacing w:val="-2"/>
        </w:rPr>
        <w:t>来业务协同需求，且标的公司暂无盈利预期。为优化公司产业投资结构，优化资源配置，交易双方本着平等互利的原则，经</w:t>
      </w:r>
      <w:r>
        <w:rPr>
          <w:spacing w:val="-66"/>
        </w:rPr>
        <w:t> </w:t>
      </w:r>
      <w:r>
        <w:rPr>
          <w:spacing w:val="-66"/>
        </w:rPr>
      </w:r>
      <w:r>
        <w:rPr/>
        <w:t>友好协商，公司已将持有的大拿科技公司</w:t>
      </w:r>
      <w:r>
        <w:rPr>
          <w:rFonts w:ascii="Times New Roman" w:hAnsi="Times New Roman" w:cs="Times New Roman" w:eastAsia="Times New Roman" w:hint="default"/>
        </w:rPr>
        <w:t>30%</w:t>
      </w:r>
      <w:r>
        <w:rPr/>
        <w:t>股权以</w:t>
      </w:r>
      <w:r>
        <w:rPr>
          <w:rFonts w:ascii="Times New Roman" w:hAnsi="Times New Roman" w:cs="Times New Roman" w:eastAsia="Times New Roman" w:hint="default"/>
        </w:rPr>
        <w:t>410</w:t>
      </w:r>
      <w:r>
        <w:rPr/>
        <w:t>万元的价格转让给大拿科技法定代表人余承富，该事项已经</w:t>
      </w:r>
      <w:r>
        <w:rPr>
          <w:rFonts w:ascii="Times New Roman" w:hAnsi="Times New Roman" w:cs="Times New Roman" w:eastAsia="Times New Roman" w:hint="default"/>
        </w:rPr>
        <w:t>2017</w:t>
      </w:r>
      <w:r>
        <w:rPr/>
        <w:t>年</w:t>
      </w:r>
      <w:r>
        <w:rPr>
          <w:spacing w:val="-54"/>
        </w:rPr>
        <w:t> </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日公司召开的第四届董事会第七次会议审议通过。</w:t>
      </w:r>
    </w:p>
    <w:p>
      <w:pPr>
        <w:spacing w:after="0" w:line="307"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4"/>
        <w:spacing w:line="240" w:lineRule="auto" w:before="26"/>
        <w:ind w:right="994"/>
        <w:jc w:val="left"/>
        <w:rPr>
          <w:b w:val="0"/>
          <w:bCs w:val="0"/>
        </w:rPr>
      </w:pPr>
      <w:bookmarkStart w:name="二、主营业务分析" w:id="24"/>
      <w:bookmarkEnd w:id="24"/>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133" w:right="6473" w:firstLine="0"/>
        <w:jc w:val="left"/>
        <w:rPr>
          <w:rFonts w:ascii="宋体" w:hAnsi="宋体" w:cs="宋体" w:eastAsia="宋体" w:hint="default"/>
          <w:sz w:val="21"/>
          <w:szCs w:val="21"/>
        </w:rPr>
      </w:pPr>
      <w:bookmarkStart w:name="1、概述" w:id="25"/>
      <w:bookmarkEnd w:id="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6"/>
      <w:bookmarkEnd w:id="26"/>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8"/>
        <w:ind w:right="994"/>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6973"/>
        <w:jc w:val="left"/>
      </w:pPr>
      <w:r>
        <w:rPr/>
        <w:t>公司是否需要遵守光伏产业链相关业的披露要求 否</w:t>
      </w:r>
    </w:p>
    <w:p>
      <w:pPr>
        <w:pStyle w:val="BodyText"/>
        <w:spacing w:line="338" w:lineRule="auto" w:before="26"/>
        <w:ind w:right="139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1136"/>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0"/>
        <w:ind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240" w:lineRule="auto" w:before="43"/>
        <w:ind w:left="1134" w:right="994"/>
        <w:jc w:val="left"/>
      </w:pPr>
      <w:r>
        <w:rPr/>
        <w:t>营业收入整体情况</w:t>
      </w:r>
    </w:p>
    <w:p>
      <w:pPr>
        <w:pStyle w:val="BodyText"/>
        <w:spacing w:line="240" w:lineRule="auto" w:before="11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00"/>
        <w:gridCol w:w="1594"/>
        <w:gridCol w:w="1591"/>
        <w:gridCol w:w="1598"/>
        <w:gridCol w:w="1586"/>
        <w:gridCol w:w="1599"/>
      </w:tblGrid>
      <w:tr>
        <w:trPr>
          <w:trHeight w:val="206"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1,236,913,539.17</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1,126,545,907.37</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9.80%</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5"/>
              <w:jc w:val="right"/>
              <w:rPr>
                <w:rFonts w:ascii="Times New Roman" w:hAnsi="Times New Roman" w:cs="Times New Roman" w:eastAsia="Times New Roman" w:hint="default"/>
                <w:sz w:val="18"/>
                <w:szCs w:val="18"/>
              </w:rPr>
            </w:pPr>
            <w:r>
              <w:rPr>
                <w:rFonts w:ascii="Times New Roman"/>
                <w:spacing w:val="-1"/>
                <w:sz w:val="18"/>
              </w:rPr>
              <w:t>1,012,304,152.19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979,163,843.21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86.91%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3.38%</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2"/>
                <w:sz w:val="18"/>
              </w:rPr>
              <w:t>111,246,749.62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100,324,342.54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8.91%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10.89%</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信用审核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87,679,462.41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30,729,837.68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2.73%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185.32%</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25,683,174.95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16,327,883.94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1.45%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57.30%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电子支付产品销售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977,165,534.35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941,266,455.50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83.55%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3.81%</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生物识别产品销售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2"/>
                <w:sz w:val="18"/>
              </w:rPr>
              <w:t>111,246,749.62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100,324,342.54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8.91%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10.89%</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信用审核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87,679,462.41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30,729,837.68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2.73%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185.32%</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机租赁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3,563,527.77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9,593,145.05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0.85%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-62.85%</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劳务服务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z w:val="18"/>
              </w:rPr>
              <w:t>167,586.65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983,447.53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0.09%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-82.96%</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31,407,503.42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28,304,242.66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2.51%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10.96%</w:t>
            </w:r>
          </w:p>
        </w:tc>
      </w:tr>
      <w:tr>
        <w:trPr>
          <w:trHeight w:val="403" w:hRule="exact"/>
        </w:trPr>
        <w:tc>
          <w:tcPr>
            <w:tcW w:w="160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25,683,174.95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Times New Roman" w:hAnsi="Times New Roman" w:cs="Times New Roman" w:eastAsia="Times New Roman" w:hint="default"/>
                <w:sz w:val="18"/>
                <w:szCs w:val="18"/>
              </w:rPr>
            </w:pPr>
            <w:r>
              <w:rPr>
                <w:rFonts w:ascii="Times New Roman"/>
                <w:spacing w:val="-1"/>
                <w:sz w:val="18"/>
              </w:rPr>
              <w:t>15,344,436.41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1.36%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1,153,980,823.56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999,886,549.78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82,932,715.61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126,659,357.59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-34.52%</w:t>
            </w:r>
          </w:p>
        </w:tc>
      </w:tr>
    </w:tbl>
    <w:p>
      <w:pPr>
        <w:spacing w:line="240" w:lineRule="auto" w:before="3"/>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8" w:lineRule="auto"/>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113" w:right="1112"/>
        <w:jc w:val="center"/>
      </w:pPr>
      <w:r>
        <w:rPr/>
        <w:t>单位：元</w:t>
      </w:r>
    </w:p>
    <w:p>
      <w:pPr>
        <w:spacing w:after="0" w:line="240" w:lineRule="auto"/>
        <w:jc w:val="center"/>
        <w:sectPr>
          <w:type w:val="continuous"/>
          <w:pgSz w:w="11910" w:h="16840"/>
          <w:pgMar w:top="1060" w:bottom="1160" w:left="0" w:right="0"/>
          <w:cols w:num="2" w:equalWidth="0">
            <w:col w:w="4195" w:space="472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9"/>
        <w:gridCol w:w="1375"/>
        <w:gridCol w:w="1366"/>
        <w:gridCol w:w="1367"/>
        <w:gridCol w:w="1367"/>
        <w:gridCol w:w="1367"/>
        <w:gridCol w:w="1372"/>
      </w:tblGrid>
      <w:tr>
        <w:trPr>
          <w:trHeight w:val="714"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37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1,012,304,152.19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662,106,928.82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-7.13%</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37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111,246,749.62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54,893,410.77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信用审核</w:t>
            </w:r>
          </w:p>
        </w:tc>
        <w:tc>
          <w:tcPr>
            <w:tcW w:w="137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87,679,462.41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29,526,499.25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165.70%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25,683,174.95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11,841,769.41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142.59%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电子支付产品销 售</w:t>
            </w:r>
          </w:p>
        </w:tc>
        <w:tc>
          <w:tcPr>
            <w:tcW w:w="137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977,165,534.35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661,493,201.89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-7.33%</w:t>
            </w:r>
          </w:p>
        </w:tc>
      </w:tr>
      <w:tr>
        <w:trPr>
          <w:trHeight w:val="714" w:hRule="exact"/>
        </w:trPr>
        <w:tc>
          <w:tcPr>
            <w:tcW w:w="13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生物识别产品销 售</w:t>
            </w:r>
          </w:p>
        </w:tc>
        <w:tc>
          <w:tcPr>
            <w:tcW w:w="137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111,246,749.62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54,893,410.77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信用审核</w:t>
            </w:r>
          </w:p>
        </w:tc>
        <w:tc>
          <w:tcPr>
            <w:tcW w:w="137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87,679,462.41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29,526,499.25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165.70%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机租赁</w:t>
            </w:r>
          </w:p>
        </w:tc>
        <w:tc>
          <w:tcPr>
            <w:tcW w:w="137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3,563,527.77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613,726.93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8.88%</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劳务服务</w:t>
            </w:r>
          </w:p>
        </w:tc>
        <w:tc>
          <w:tcPr>
            <w:tcW w:w="137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167,586.65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7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31,407,503.42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7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25,683,174.95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11,841,769.41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214.14%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7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1,153,980,823.56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725,790,314.69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37.11%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w:t>
            </w:r>
          </w:p>
        </w:tc>
      </w:tr>
      <w:tr>
        <w:trPr>
          <w:trHeight w:val="402" w:hRule="exact"/>
        </w:trPr>
        <w:tc>
          <w:tcPr>
            <w:tcW w:w="13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75"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82,932,715.61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32,578,293.56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w:t>
            </w:r>
          </w:p>
        </w:tc>
      </w:tr>
    </w:tbl>
    <w:p>
      <w:pPr>
        <w:pStyle w:val="BodyText"/>
        <w:spacing w:line="240" w:lineRule="auto" w:before="51"/>
        <w:ind w:left="1134" w:right="994"/>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94"/>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08"/>
        <w:gridCol w:w="1582"/>
        <w:gridCol w:w="1595"/>
        <w:gridCol w:w="1594"/>
        <w:gridCol w:w="1594"/>
        <w:gridCol w:w="1595"/>
      </w:tblGrid>
      <w:tr>
        <w:trPr>
          <w:trHeight w:val="402" w:hRule="exact"/>
        </w:trPr>
        <w:tc>
          <w:tcPr>
            <w:tcW w:w="1608" w:type="dxa"/>
            <w:vMerge w:val="restart"/>
            <w:tcBorders>
              <w:top w:val="single" w:sz="4" w:space="0" w:color="000000"/>
              <w:left w:val="single" w:sz="4" w:space="0" w:color="000000"/>
              <w:right w:val="single" w:sz="13" w:space="0" w:color="D2D2D2"/>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8,862,133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3,567,651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148.40%</w:t>
            </w:r>
          </w:p>
        </w:tc>
      </w:tr>
      <w:tr>
        <w:trPr>
          <w:trHeight w:val="402" w:hRule="exact"/>
        </w:trPr>
        <w:tc>
          <w:tcPr>
            <w:tcW w:w="1608" w:type="dxa"/>
            <w:vMerge/>
            <w:tcBorders>
              <w:left w:val="single" w:sz="4" w:space="0" w:color="000000"/>
              <w:right w:val="single" w:sz="13" w:space="0" w:color="D2D2D2"/>
            </w:tcBorders>
            <w:shd w:val="clear" w:color="auto" w:fill="CCE8CF"/>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8,957,632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3,555,310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151.95%</w:t>
            </w:r>
          </w:p>
        </w:tc>
      </w:tr>
      <w:tr>
        <w:trPr>
          <w:trHeight w:val="402" w:hRule="exact"/>
        </w:trPr>
        <w:tc>
          <w:tcPr>
            <w:tcW w:w="1608" w:type="dxa"/>
            <w:vMerge/>
            <w:tcBorders>
              <w:left w:val="single" w:sz="4" w:space="0" w:color="000000"/>
              <w:bottom w:val="single" w:sz="4" w:space="0" w:color="000000"/>
              <w:right w:val="single" w:sz="13" w:space="0" w:color="D2D2D2"/>
            </w:tcBorders>
            <w:shd w:val="clear" w:color="auto" w:fill="CCE8CF"/>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224,136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42.61%</w:t>
            </w:r>
          </w:p>
        </w:tc>
      </w:tr>
      <w:tr>
        <w:trPr>
          <w:trHeight w:val="402" w:hRule="exact"/>
        </w:trPr>
        <w:tc>
          <w:tcPr>
            <w:tcW w:w="1608" w:type="dxa"/>
            <w:vMerge w:val="restart"/>
            <w:tcBorders>
              <w:top w:val="single" w:sz="4" w:space="0" w:color="000000"/>
              <w:left w:val="single" w:sz="4" w:space="0" w:color="000000"/>
              <w:right w:val="single" w:sz="13" w:space="0" w:color="D2D2D2"/>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337,141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15.30%</w:t>
            </w:r>
          </w:p>
        </w:tc>
      </w:tr>
      <w:tr>
        <w:trPr>
          <w:trHeight w:val="402" w:hRule="exact"/>
        </w:trPr>
        <w:tc>
          <w:tcPr>
            <w:tcW w:w="1608" w:type="dxa"/>
            <w:vMerge/>
            <w:tcBorders>
              <w:left w:val="single" w:sz="4" w:space="0" w:color="000000"/>
              <w:right w:val="single" w:sz="13" w:space="0" w:color="D2D2D2"/>
            </w:tcBorders>
            <w:shd w:val="clear" w:color="auto" w:fill="CCE8CF"/>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360,877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15.87%</w:t>
            </w:r>
          </w:p>
        </w:tc>
      </w:tr>
      <w:tr>
        <w:trPr>
          <w:trHeight w:val="402" w:hRule="exact"/>
        </w:trPr>
        <w:tc>
          <w:tcPr>
            <w:tcW w:w="1608" w:type="dxa"/>
            <w:vMerge/>
            <w:tcBorders>
              <w:left w:val="single" w:sz="4" w:space="0" w:color="000000"/>
              <w:bottom w:val="single" w:sz="4" w:space="0" w:color="000000"/>
              <w:right w:val="single" w:sz="13" w:space="0" w:color="D2D2D2"/>
            </w:tcBorders>
            <w:shd w:val="clear" w:color="auto" w:fill="CCE8CF"/>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73,992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66.04%</w:t>
            </w:r>
          </w:p>
        </w:tc>
      </w:tr>
    </w:tbl>
    <w:p>
      <w:pPr>
        <w:pStyle w:val="BodyText"/>
        <w:spacing w:line="240" w:lineRule="auto" w:before="51"/>
        <w:ind w:left="1134" w:right="994"/>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68"/>
        <w:jc w:val="left"/>
      </w:pPr>
      <w:r>
        <w:rPr>
          <w:rFonts w:ascii="Times New Roman" w:hAnsi="Times New Roman" w:cs="Times New Roman" w:eastAsia="Times New Roman" w:hint="default"/>
        </w:rPr>
        <w:t>1.</w:t>
      </w:r>
      <w:r>
        <w:rPr/>
        <w:t>电子支付销售量变动超过</w:t>
      </w:r>
      <w:r>
        <w:rPr>
          <w:rFonts w:ascii="Times New Roman" w:hAnsi="Times New Roman" w:cs="Times New Roman" w:eastAsia="Times New Roman" w:hint="default"/>
        </w:rPr>
        <w:t>30%</w:t>
      </w:r>
      <w:r>
        <w:rPr/>
        <w:t>主要系</w:t>
      </w:r>
      <w:r>
        <w:rPr>
          <w:rFonts w:ascii="Times New Roman" w:hAnsi="Times New Roman" w:cs="Times New Roman" w:eastAsia="Times New Roman" w:hint="default"/>
        </w:rPr>
        <w:t>POS</w:t>
      </w:r>
      <w:r>
        <w:rPr/>
        <w:t>机新型支付终端的销售数量大幅增加所致</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rFonts w:ascii="Times New Roman" w:hAnsi="Times New Roman" w:cs="Times New Roman" w:eastAsia="Times New Roman" w:hint="default"/>
        </w:rPr>
        <w:t>2017</w:t>
      </w:r>
      <w:r>
        <w:rPr/>
        <w:t>年相比</w:t>
      </w:r>
      <w:r>
        <w:rPr>
          <w:rFonts w:ascii="Times New Roman" w:hAnsi="Times New Roman" w:cs="Times New Roman" w:eastAsia="Times New Roman" w:hint="default"/>
        </w:rPr>
        <w:t>2016</w:t>
      </w:r>
      <w:r>
        <w:rPr/>
        <w:t>年简易</w:t>
      </w:r>
      <w:r>
        <w:rPr>
          <w:rFonts w:ascii="Times New Roman" w:hAnsi="Times New Roman" w:cs="Times New Roman" w:eastAsia="Times New Roman" w:hint="default"/>
        </w:rPr>
        <w:t>POS</w:t>
      </w:r>
      <w:r>
        <w:rPr/>
        <w:t>机新型支 付终端的销售增加导致的同比增长率影响约</w:t>
      </w:r>
      <w:r>
        <w:rPr>
          <w:rFonts w:ascii="Times New Roman" w:hAnsi="Times New Roman" w:cs="Times New Roman" w:eastAsia="Times New Roman" w:hint="default"/>
        </w:rPr>
        <w:t>156%; 2.</w:t>
      </w:r>
      <w:r>
        <w:rPr/>
        <w:t>电子支付生产量变动超过</w:t>
      </w:r>
      <w:r>
        <w:rPr>
          <w:rFonts w:ascii="Times New Roman" w:hAnsi="Times New Roman" w:cs="Times New Roman" w:eastAsia="Times New Roman" w:hint="default"/>
        </w:rPr>
        <w:t>30%</w:t>
      </w:r>
      <w:r>
        <w:rPr/>
        <w:t>主要系</w:t>
      </w:r>
      <w:r>
        <w:rPr>
          <w:rFonts w:ascii="Times New Roman" w:hAnsi="Times New Roman" w:cs="Times New Roman" w:eastAsia="Times New Roman" w:hint="default"/>
        </w:rPr>
        <w:t>POS</w:t>
      </w:r>
      <w:r>
        <w:rPr/>
        <w:t>机新型支付终端的生产数量大幅增加所致，</w:t>
      </w:r>
      <w:r>
        <w:rPr>
          <w:rFonts w:ascii="Times New Roman" w:hAnsi="Times New Roman" w:cs="Times New Roman" w:eastAsia="Times New Roman" w:hint="default"/>
        </w:rPr>
        <w:t>2017</w:t>
      </w:r>
      <w:r>
        <w:rPr/>
        <w:t>年相比</w:t>
      </w:r>
      <w:r>
        <w:rPr>
          <w:rFonts w:ascii="Times New Roman" w:hAnsi="Times New Roman" w:cs="Times New Roman" w:eastAsia="Times New Roman" w:hint="default"/>
        </w:rPr>
        <w:t>2016</w:t>
      </w:r>
      <w:r>
        <w:rPr/>
        <w:t>年简易</w:t>
      </w:r>
      <w:r>
        <w:rPr>
          <w:rFonts w:ascii="Times New Roman" w:hAnsi="Times New Roman" w:cs="Times New Roman" w:eastAsia="Times New Roman" w:hint="default"/>
        </w:rPr>
        <w:t>POS</w:t>
      </w:r>
      <w:r>
        <w:rPr/>
        <w:t>机新型支 付终端的产量增加导致的同比增长率影响约</w:t>
      </w:r>
      <w:r>
        <w:rPr>
          <w:rFonts w:ascii="Times New Roman" w:hAnsi="Times New Roman" w:cs="Times New Roman" w:eastAsia="Times New Roman" w:hint="default"/>
        </w:rPr>
        <w:t>157%</w:t>
      </w:r>
      <w:r>
        <w:rPr/>
        <w:t>。 </w:t>
      </w:r>
      <w:r>
        <w:rPr>
          <w:rFonts w:ascii="Times New Roman" w:hAnsi="Times New Roman" w:cs="Times New Roman" w:eastAsia="Times New Roman" w:hint="default"/>
        </w:rPr>
        <w:t>3.</w:t>
      </w:r>
      <w:r>
        <w:rPr/>
        <w:t>电子支付库存量变动超过</w:t>
      </w:r>
      <w:r>
        <w:rPr>
          <w:rFonts w:ascii="Times New Roman" w:hAnsi="Times New Roman" w:cs="Times New Roman" w:eastAsia="Times New Roman" w:hint="default"/>
        </w:rPr>
        <w:t>30%</w:t>
      </w:r>
      <w:r>
        <w:rPr/>
        <w:t>主要系为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季度海外销售备库存增加。</w:t>
      </w:r>
    </w:p>
    <w:p>
      <w:pPr>
        <w:pStyle w:val="BodyText"/>
        <w:spacing w:line="240" w:lineRule="auto" w:before="13"/>
        <w:ind w:right="994"/>
        <w:jc w:val="left"/>
      </w:pPr>
      <w:r>
        <w:rPr>
          <w:rFonts w:ascii="Times New Roman" w:hAnsi="Times New Roman" w:cs="Times New Roman" w:eastAsia="Times New Roman" w:hint="default"/>
        </w:rPr>
        <w:t>4.</w:t>
      </w:r>
      <w:r>
        <w:rPr/>
        <w:t>生物识别库存量变动超过</w:t>
      </w:r>
      <w:r>
        <w:rPr>
          <w:rFonts w:ascii="Times New Roman" w:hAnsi="Times New Roman" w:cs="Times New Roman" w:eastAsia="Times New Roman" w:hint="default"/>
        </w:rPr>
        <w:t>30%</w:t>
      </w:r>
      <w:r>
        <w:rPr/>
        <w:t>主要系为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季度销售备库存增加。</w:t>
      </w:r>
    </w:p>
    <w:p>
      <w:pPr>
        <w:spacing w:line="240" w:lineRule="auto" w:before="11"/>
        <w:rPr>
          <w:rFonts w:ascii="宋体" w:hAnsi="宋体" w:cs="宋体" w:eastAsia="宋体" w:hint="default"/>
          <w:sz w:val="25"/>
          <w:szCs w:val="25"/>
        </w:rPr>
      </w:pPr>
    </w:p>
    <w:p>
      <w:pPr>
        <w:pStyle w:val="Heading5"/>
        <w:spacing w:line="240" w:lineRule="auto"/>
        <w:ind w:right="994"/>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994"/>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994"/>
        <w:jc w:val="left"/>
      </w:pPr>
      <w:r>
        <w:rPr/>
        <w:t>行业分类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608,873,531.75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523,306,542.59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35,025,456.53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31,215,777.40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18,207,940.54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16,150,027.43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电子支付</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662,106,928.82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570,672,347.43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51,292,403.02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45,570,681.4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1,784,035.85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1,734,279.23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1,816,971.90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2,700,278.52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-32.28%</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生物识别</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54,893,410.77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50,005,239.19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w:t>
            </w:r>
          </w:p>
        </w:tc>
      </w:tr>
    </w:tbl>
    <w:p>
      <w:pPr>
        <w:pStyle w:val="BodyText"/>
        <w:spacing w:line="240" w:lineRule="auto" w:before="51"/>
        <w:ind w:left="1134" w:right="994"/>
        <w:jc w:val="left"/>
      </w:pPr>
      <w:r>
        <w:rPr/>
        <w:t>说明</w:t>
      </w:r>
    </w:p>
    <w:p>
      <w:pPr>
        <w:spacing w:line="240" w:lineRule="auto" w:before="11"/>
        <w:rPr>
          <w:rFonts w:ascii="宋体" w:hAnsi="宋体" w:cs="宋体" w:eastAsia="宋体" w:hint="default"/>
          <w:sz w:val="26"/>
          <w:szCs w:val="26"/>
        </w:rPr>
      </w:pPr>
    </w:p>
    <w:p>
      <w:pPr>
        <w:pStyle w:val="Heading5"/>
        <w:spacing w:line="240" w:lineRule="auto"/>
        <w:ind w:left="1134" w:right="994"/>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1"/>
        <w:ind w:left="1553" w:right="994"/>
        <w:jc w:val="left"/>
      </w:pPr>
      <w:r>
        <w:rPr/>
        <w:t>本期纳入合并财务报表范围的主体较上期相比，增加</w:t>
      </w:r>
      <w:r>
        <w:rPr>
          <w:rFonts w:ascii="Times New Roman" w:hAnsi="Times New Roman" w:cs="Times New Roman" w:eastAsia="Times New Roman" w:hint="default"/>
        </w:rPr>
        <w:t>4</w:t>
      </w:r>
      <w:r>
        <w:rPr/>
        <w:t>户，其中：</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ind w:right="994"/>
        <w:jc w:val="left"/>
      </w:pPr>
      <w:r>
        <w:rPr>
          <w:rFonts w:ascii="宋体" w:hAnsi="宋体" w:cs="宋体" w:eastAsia="宋体" w:hint="default"/>
        </w:rPr>
        <w:t>1.  </w:t>
      </w:r>
      <w:r>
        <w:rPr/>
        <w:t>本期新纳入合并范围的子公司、特殊目的主体、通过受托经营或承租等方式形成控制权的经营实体</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3370"/>
        <w:gridCol w:w="5160"/>
      </w:tblGrid>
      <w:tr>
        <w:trPr>
          <w:trHeight w:val="355"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51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深圳市新国都末微技术服务有限公司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长沙法度互联网科技有限公司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杭州中宗电子有限公司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巴西</w:t>
            </w:r>
            <w:r>
              <w:rPr>
                <w:rFonts w:ascii="Times New Roman" w:hAnsi="Times New Roman" w:cs="Times New Roman" w:eastAsia="Times New Roman" w:hint="default"/>
                <w:sz w:val="18"/>
                <w:szCs w:val="18"/>
              </w:rPr>
              <w:t>NEXGO</w:t>
            </w:r>
            <w:r>
              <w:rPr>
                <w:rFonts w:ascii="宋体" w:hAnsi="宋体" w:cs="宋体" w:eastAsia="宋体" w:hint="default"/>
                <w:sz w:val="18"/>
                <w:szCs w:val="18"/>
              </w:rPr>
              <w:t>控股有限责任公司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投资新设</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5"/>
        <w:spacing w:line="240" w:lineRule="auto" w:before="35"/>
        <w:ind w:left="1134" w:right="994"/>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pStyle w:val="BodyText"/>
        <w:spacing w:line="319" w:lineRule="auto" w:before="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报告期内，公司信用审核服务实现营业收入</w:t>
      </w:r>
      <w:r>
        <w:rPr>
          <w:rFonts w:ascii="Times New Roman" w:hAnsi="Times New Roman" w:cs="Times New Roman" w:eastAsia="Times New Roman" w:hint="default"/>
          <w:spacing w:val="-2"/>
        </w:rPr>
        <w:t>8,767.95</w:t>
      </w:r>
      <w:r>
        <w:rPr>
          <w:spacing w:val="-2"/>
        </w:rPr>
        <w:t>万元，相比上年增加</w:t>
      </w:r>
      <w:r>
        <w:rPr>
          <w:rFonts w:ascii="Times New Roman" w:hAnsi="Times New Roman" w:cs="Times New Roman" w:eastAsia="Times New Roman" w:hint="default"/>
          <w:spacing w:val="-2"/>
        </w:rPr>
        <w:t>5,801.28</w:t>
      </w:r>
      <w:r>
        <w:rPr>
          <w:spacing w:val="-2"/>
        </w:rPr>
        <w:t>万元。其中，公信诚丰报告期内信用审核实</w:t>
      </w:r>
      <w:r>
        <w:rPr>
          <w:spacing w:val="-52"/>
        </w:rPr>
        <w:t> </w:t>
      </w:r>
      <w:r>
        <w:rPr>
          <w:spacing w:val="-52"/>
        </w:rPr>
      </w:r>
      <w:r>
        <w:rPr/>
        <w:t>现营业收入</w:t>
      </w:r>
      <w:r>
        <w:rPr>
          <w:rFonts w:ascii="Times New Roman" w:hAnsi="Times New Roman" w:cs="Times New Roman" w:eastAsia="Times New Roman" w:hint="default"/>
        </w:rPr>
        <w:t>7,276.17</w:t>
      </w:r>
      <w:r>
        <w:rPr/>
        <w:t>万元；信联征信报告期内信用审核实现营业收入</w:t>
      </w:r>
      <w:r>
        <w:rPr>
          <w:rFonts w:ascii="Times New Roman" w:hAnsi="Times New Roman" w:cs="Times New Roman" w:eastAsia="Times New Roman" w:hint="default"/>
        </w:rPr>
        <w:t>1,477.92</w:t>
      </w:r>
      <w:r>
        <w:rPr/>
        <w:t>万元。</w:t>
      </w:r>
    </w:p>
    <w:p>
      <w:pPr>
        <w:spacing w:line="240" w:lineRule="auto" w:before="11"/>
        <w:rPr>
          <w:rFonts w:ascii="宋体" w:hAnsi="宋体" w:cs="宋体" w:eastAsia="宋体" w:hint="default"/>
          <w:sz w:val="20"/>
          <w:szCs w:val="20"/>
        </w:rPr>
      </w:pPr>
    </w:p>
    <w:p>
      <w:pPr>
        <w:pStyle w:val="Heading5"/>
        <w:spacing w:line="240" w:lineRule="auto"/>
        <w:ind w:right="994"/>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94"/>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485,608,799.72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39.26%</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994"/>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03"/>
        <w:gridCol w:w="3301"/>
        <w:gridCol w:w="2322"/>
        <w:gridCol w:w="3143"/>
      </w:tblGrid>
      <w:tr>
        <w:trPr>
          <w:trHeight w:val="401"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148,471,410.03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w:t>
            </w:r>
          </w:p>
        </w:tc>
      </w:tr>
      <w:tr>
        <w:trPr>
          <w:trHeight w:val="402" w:hRule="exact"/>
        </w:trPr>
        <w:tc>
          <w:tcPr>
            <w:tcW w:w="80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107,818,103.76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8.72%</w:t>
            </w:r>
          </w:p>
        </w:tc>
      </w:tr>
      <w:tr>
        <w:trPr>
          <w:trHeight w:val="402" w:hRule="exact"/>
        </w:trPr>
        <w:tc>
          <w:tcPr>
            <w:tcW w:w="80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83,876,362.17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w:t>
            </w:r>
          </w:p>
        </w:tc>
      </w:tr>
      <w:tr>
        <w:trPr>
          <w:trHeight w:val="402" w:hRule="exact"/>
        </w:trPr>
        <w:tc>
          <w:tcPr>
            <w:tcW w:w="80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75,934,670.08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w:t>
            </w:r>
          </w:p>
        </w:tc>
      </w:tr>
      <w:tr>
        <w:trPr>
          <w:trHeight w:val="402" w:hRule="exact"/>
        </w:trPr>
        <w:tc>
          <w:tcPr>
            <w:tcW w:w="80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69,508,253.68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5.62%</w:t>
            </w:r>
          </w:p>
        </w:tc>
      </w:tr>
      <w:tr>
        <w:trPr>
          <w:trHeight w:val="403"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485,608,799.72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39.26%</w:t>
            </w:r>
          </w:p>
        </w:tc>
      </w:tr>
    </w:tbl>
    <w:p>
      <w:pPr>
        <w:pStyle w:val="BodyText"/>
        <w:spacing w:line="240" w:lineRule="auto" w:before="51"/>
        <w:ind w:left="1134" w:right="994"/>
        <w:jc w:val="left"/>
      </w:pPr>
      <w:r>
        <w:rPr/>
        <w:t>主要客户其他情况说明</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195,566,747.20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29.16%</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994"/>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57,424,590.84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56,745,474.68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30,080,081.47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27,817,049.63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23,499,550.58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195,566,747.20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29.16%</w:t>
            </w:r>
          </w:p>
        </w:tc>
      </w:tr>
    </w:tbl>
    <w:p>
      <w:pPr>
        <w:pStyle w:val="BodyText"/>
        <w:spacing w:line="240" w:lineRule="auto" w:before="51"/>
        <w:ind w:left="1134" w:right="994"/>
        <w:jc w:val="left"/>
      </w:pPr>
      <w:r>
        <w:rPr/>
        <w:t>主要供应商其他情况说明</w:t>
      </w:r>
    </w:p>
    <w:p>
      <w:pPr>
        <w:pStyle w:val="BodyText"/>
        <w:spacing w:line="240" w:lineRule="auto" w:before="117"/>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94"/>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113,547,239.45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125,210,095.85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03" w:right="0"/>
              <w:jc w:val="left"/>
              <w:rPr>
                <w:rFonts w:ascii="Times New Roman" w:hAnsi="Times New Roman" w:cs="Times New Roman" w:eastAsia="Times New Roman" w:hint="default"/>
                <w:sz w:val="18"/>
                <w:szCs w:val="18"/>
              </w:rPr>
            </w:pPr>
            <w:r>
              <w:rPr>
                <w:rFonts w:ascii="Times New Roman"/>
                <w:sz w:val="18"/>
              </w:rPr>
              <w:t>-9.31%</w:t>
            </w:r>
          </w:p>
        </w:tc>
        <w:tc>
          <w:tcPr>
            <w:tcW w:w="2918"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主要系报告期内公司通过预算管控 优化结构节约费用所致。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CE8CF"/>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CE8CF"/>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261,442,895.38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266,694,943.29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03" w:right="0"/>
              <w:jc w:val="left"/>
              <w:rPr>
                <w:rFonts w:ascii="Times New Roman" w:hAnsi="Times New Roman" w:cs="Times New Roman" w:eastAsia="Times New Roman" w:hint="default"/>
                <w:sz w:val="18"/>
                <w:szCs w:val="18"/>
              </w:rPr>
            </w:pPr>
            <w:r>
              <w:rPr>
                <w:rFonts w:ascii="Times New Roman"/>
                <w:sz w:val="18"/>
              </w:rPr>
              <w:t>-1.97%</w:t>
            </w:r>
          </w:p>
        </w:tc>
        <w:tc>
          <w:tcPr>
            <w:tcW w:w="2918"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主要系报告期内公司通过预算管控 优化结构节约费用所致。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CE8CF"/>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CE8CF"/>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2" w:right="0"/>
              <w:jc w:val="left"/>
              <w:rPr>
                <w:rFonts w:ascii="Times New Roman" w:hAnsi="Times New Roman" w:cs="Times New Roman" w:eastAsia="Times New Roman" w:hint="default"/>
                <w:sz w:val="18"/>
                <w:szCs w:val="18"/>
              </w:rPr>
            </w:pPr>
            <w:r>
              <w:rPr>
                <w:rFonts w:ascii="Times New Roman"/>
                <w:sz w:val="18"/>
              </w:rPr>
              <w:t>28,638,650.76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6" w:right="0"/>
              <w:jc w:val="left"/>
              <w:rPr>
                <w:rFonts w:ascii="Times New Roman" w:hAnsi="Times New Roman" w:cs="Times New Roman" w:eastAsia="Times New Roman" w:hint="default"/>
                <w:sz w:val="18"/>
                <w:szCs w:val="18"/>
              </w:rPr>
            </w:pPr>
            <w:r>
              <w:rPr>
                <w:rFonts w:ascii="Times New Roman"/>
                <w:sz w:val="18"/>
              </w:rPr>
              <w:t>35,396,458.11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-19.09%</w:t>
            </w:r>
          </w:p>
        </w:tc>
        <w:tc>
          <w:tcPr>
            <w:tcW w:w="2918"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2"/>
              <w:ind w:left="22" w:right="2"/>
              <w:jc w:val="left"/>
              <w:rPr>
                <w:rFonts w:ascii="宋体" w:hAnsi="宋体" w:cs="宋体" w:eastAsia="宋体" w:hint="default"/>
                <w:sz w:val="18"/>
                <w:szCs w:val="18"/>
              </w:rPr>
            </w:pPr>
            <w:r>
              <w:rPr>
                <w:rFonts w:ascii="宋体" w:hAnsi="宋体" w:cs="宋体" w:eastAsia="宋体" w:hint="default"/>
                <w:sz w:val="18"/>
                <w:szCs w:val="18"/>
              </w:rPr>
              <w:t>系报告期内会计政策变更将收到的 政府贴息补贴款冲减财务费用所致。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CE8CF"/>
          </w:tcPr>
          <w:p>
            <w:pPr/>
          </w:p>
        </w:tc>
      </w:tr>
      <w:tr>
        <w:trPr>
          <w:trHeight w:val="162"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CE8CF"/>
          </w:tcPr>
          <w:p>
            <w:pPr/>
          </w:p>
        </w:tc>
      </w:tr>
    </w:tbl>
    <w:p>
      <w:pPr>
        <w:spacing w:line="240" w:lineRule="auto" w:before="3"/>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1493" w:right="99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报告期内，公司主要研发投入方向包括智能</w:t>
      </w:r>
      <w:r>
        <w:rPr>
          <w:rFonts w:ascii="Times New Roman" w:hAnsi="Times New Roman" w:cs="Times New Roman" w:eastAsia="Times New Roman" w:hint="default"/>
          <w:spacing w:val="-2"/>
        </w:rPr>
        <w:t>POS</w:t>
      </w:r>
      <w:r>
        <w:rPr>
          <w:spacing w:val="-2"/>
        </w:rPr>
        <w:t>等支付新工具，生物识别技术在支付领域的应用方案，同时继续投入基</w:t>
      </w:r>
    </w:p>
    <w:p>
      <w:pPr>
        <w:pStyle w:val="BodyText"/>
        <w:spacing w:line="230" w:lineRule="exact" w:before="0"/>
        <w:ind w:right="994"/>
        <w:jc w:val="left"/>
      </w:pPr>
      <w:r>
        <w:rPr/>
        <w:t>于新一代云平台技术架构的大型交易结算支撑系统平台的研发。报告期内公司研发投入</w:t>
      </w:r>
      <w:r>
        <w:rPr>
          <w:rFonts w:ascii="Times New Roman" w:hAnsi="Times New Roman" w:cs="Times New Roman" w:eastAsia="Times New Roman" w:hint="default"/>
        </w:rPr>
        <w:t>1.55</w:t>
      </w:r>
      <w:r>
        <w:rPr/>
        <w:t>亿元，占营业收入的</w:t>
      </w:r>
      <w:r>
        <w:rPr>
          <w:rFonts w:ascii="Times New Roman" w:hAnsi="Times New Roman" w:cs="Times New Roman" w:eastAsia="Times New Roman" w:hint="default"/>
        </w:rPr>
        <w:t>12.52%</w:t>
      </w:r>
      <w:r>
        <w:rPr/>
        <w:t>，所</w:t>
      </w:r>
    </w:p>
    <w:p>
      <w:pPr>
        <w:pStyle w:val="BodyText"/>
        <w:spacing w:line="676" w:lineRule="auto" w:before="63"/>
        <w:ind w:left="1134" w:right="6792"/>
        <w:jc w:val="left"/>
      </w:pPr>
      <w:r>
        <w:rPr/>
        <w:pict>
          <v:shape style="position:absolute;margin-left:57.029999pt;margin-top:53.441715pt;width:478.6pt;height:192.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154,873,998.17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148,932,441.36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131,493,087.64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
              </w:txbxContent>
            </v:textbox>
            <w10:wrap type="none"/>
          </v:shape>
        </w:pict>
      </w:r>
      <w:r>
        <w:rPr/>
        <w:t>有研发支出均作为当期费用核算，未进行资本化。 近三年公司研发投入金额及占营业收入的比例</w:t>
      </w:r>
    </w:p>
    <w:p>
      <w:pPr>
        <w:spacing w:after="0" w:line="676"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994"/>
        <w:jc w:val="left"/>
      </w:pPr>
      <w:r>
        <w:rPr/>
        <w:t>研发投入总额占营业收入的比重较上年发生显著变化的原因</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94"/>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1,286,654,156.59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1,497,032,043.43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1,239,560,274.84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1,240,720,125.44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47,093,881.75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256,311,917.99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-81.63%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524,944,034.95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155,874,954.47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236.77%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1,295,100,293.92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733,562,796.55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-770,156,258.97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-577,687,842.08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-33.32%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1,372,146,234.20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879,129,065.23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56.08%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118,035,440.81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407,913,966.85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-71.06%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1,254,110,793.39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471,215,098.38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166.14%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530,980,933.62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149,810,736.05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254.43%</w:t>
            </w:r>
          </w:p>
        </w:tc>
      </w:tr>
    </w:tbl>
    <w:p>
      <w:pPr>
        <w:pStyle w:val="BodyText"/>
        <w:spacing w:line="240" w:lineRule="auto" w:before="51"/>
        <w:ind w:left="1134" w:right="994"/>
        <w:jc w:val="left"/>
      </w:pPr>
      <w:r>
        <w:rPr/>
        <w:t>相关数据同比发生重大变动的主要影响因素说明</w:t>
      </w:r>
    </w:p>
    <w:p>
      <w:pPr>
        <w:pStyle w:val="BodyText"/>
        <w:spacing w:line="319" w:lineRule="auto" w:before="116"/>
        <w:ind w:right="10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报告期，经营活动产生的现金流量净额计较上年同期减少</w:t>
      </w:r>
      <w:r>
        <w:rPr>
          <w:rFonts w:ascii="Times New Roman" w:hAnsi="Times New Roman" w:cs="Times New Roman" w:eastAsia="Times New Roman" w:hint="default"/>
        </w:rPr>
        <w:t>81.63%</w:t>
      </w:r>
      <w:r>
        <w:rPr/>
        <w:t>，主要系四季度业务增长和无追溯权的保理业务减少导致 的应收账款回款减少所致。 </w:t>
      </w:r>
      <w:r>
        <w:rPr>
          <w:rFonts w:ascii="Times New Roman" w:hAnsi="Times New Roman" w:cs="Times New Roman" w:eastAsia="Times New Roman" w:hint="default"/>
          <w:spacing w:val="-1"/>
        </w:rPr>
        <w:t>2.</w:t>
      </w:r>
      <w:r>
        <w:rPr>
          <w:spacing w:val="-1"/>
        </w:rPr>
        <w:t>报告期，投资活动现金流入小计较上年同期增加</w:t>
      </w:r>
      <w:r>
        <w:rPr>
          <w:rFonts w:ascii="Times New Roman" w:hAnsi="Times New Roman" w:cs="Times New Roman" w:eastAsia="Times New Roman" w:hint="default"/>
          <w:spacing w:val="-1"/>
        </w:rPr>
        <w:t>236.77%</w:t>
      </w:r>
      <w:r>
        <w:rPr>
          <w:spacing w:val="-1"/>
        </w:rPr>
        <w:t>，主要系购买理财产品到期增加和发行新股及股权激励行权所致。</w:t>
      </w:r>
    </w:p>
    <w:p>
      <w:pPr>
        <w:pStyle w:val="BodyText"/>
        <w:spacing w:line="246" w:lineRule="exact" w:before="0"/>
        <w:ind w:left="1134" w:right="994"/>
        <w:jc w:val="left"/>
      </w:pPr>
      <w:r>
        <w:rPr>
          <w:rFonts w:ascii="Times New Roman" w:hAnsi="Times New Roman" w:cs="Times New Roman" w:eastAsia="Times New Roman" w:hint="default"/>
        </w:rPr>
        <w:t>3.</w:t>
      </w:r>
      <w:r>
        <w:rPr/>
        <w:t>报告期，投资活动现金流出小计较上年同期增加</w:t>
      </w:r>
      <w:r>
        <w:rPr>
          <w:rFonts w:ascii="Times New Roman" w:hAnsi="Times New Roman" w:cs="Times New Roman" w:eastAsia="Times New Roman" w:hint="default"/>
        </w:rPr>
        <w:t>76.55%</w:t>
      </w:r>
      <w:r>
        <w:rPr/>
        <w:t>，主要系支付股权收购尾款增加所致。</w:t>
      </w:r>
    </w:p>
    <w:p>
      <w:pPr>
        <w:pStyle w:val="BodyText"/>
        <w:spacing w:line="240" w:lineRule="auto" w:before="63"/>
        <w:ind w:right="994"/>
        <w:jc w:val="left"/>
      </w:pPr>
      <w:r>
        <w:rPr>
          <w:rFonts w:ascii="Times New Roman" w:hAnsi="Times New Roman" w:cs="Times New Roman" w:eastAsia="Times New Roman" w:hint="default"/>
        </w:rPr>
        <w:t>4.</w:t>
      </w:r>
      <w:r>
        <w:rPr/>
        <w:t>报告期，投资活动产生的现金流量净额较上年同期减少</w:t>
      </w:r>
      <w:r>
        <w:rPr>
          <w:rFonts w:ascii="Times New Roman" w:hAnsi="Times New Roman" w:cs="Times New Roman" w:eastAsia="Times New Roman" w:hint="default"/>
        </w:rPr>
        <w:t>33.32%</w:t>
      </w:r>
      <w:r>
        <w:rPr/>
        <w:t>，主要系支付股权收购尾款增加所致。</w:t>
      </w:r>
    </w:p>
    <w:p>
      <w:pPr>
        <w:pStyle w:val="BodyText"/>
        <w:spacing w:line="240" w:lineRule="auto" w:before="63"/>
        <w:ind w:left="1134" w:right="994"/>
        <w:jc w:val="left"/>
      </w:pPr>
      <w:r>
        <w:rPr>
          <w:rFonts w:ascii="Times New Roman" w:hAnsi="Times New Roman" w:cs="Times New Roman" w:eastAsia="Times New Roman" w:hint="default"/>
        </w:rPr>
        <w:t>5.</w:t>
      </w:r>
      <w:r>
        <w:rPr/>
        <w:t>报告期，筹资活动现金流入小计较上年同期增长</w:t>
      </w:r>
      <w:r>
        <w:rPr>
          <w:rFonts w:ascii="Times New Roman" w:hAnsi="Times New Roman" w:cs="Times New Roman" w:eastAsia="Times New Roman" w:hint="default"/>
        </w:rPr>
        <w:t>56.08%</w:t>
      </w:r>
      <w:r>
        <w:rPr/>
        <w:t>，主要系银行借款增加和增发股票所致。</w:t>
      </w:r>
    </w:p>
    <w:p>
      <w:pPr>
        <w:pStyle w:val="BodyText"/>
        <w:spacing w:line="240" w:lineRule="auto" w:before="63"/>
        <w:ind w:left="1134" w:right="994"/>
        <w:jc w:val="left"/>
      </w:pPr>
      <w:r>
        <w:rPr>
          <w:rFonts w:ascii="Times New Roman" w:hAnsi="Times New Roman" w:cs="Times New Roman" w:eastAsia="Times New Roman" w:hint="default"/>
        </w:rPr>
        <w:t>6.</w:t>
      </w:r>
      <w:r>
        <w:rPr/>
        <w:t>报告期，筹资活动现金流出小计较上年同期减少</w:t>
      </w:r>
      <w:r>
        <w:rPr>
          <w:rFonts w:ascii="Times New Roman" w:hAnsi="Times New Roman" w:cs="Times New Roman" w:eastAsia="Times New Roman" w:hint="default"/>
        </w:rPr>
        <w:t>71.06%</w:t>
      </w:r>
      <w:r>
        <w:rPr/>
        <w:t>，主要系归还银行借款减少所致。</w:t>
      </w:r>
    </w:p>
    <w:p>
      <w:pPr>
        <w:pStyle w:val="BodyText"/>
        <w:spacing w:line="240" w:lineRule="auto" w:before="63"/>
        <w:ind w:left="1134" w:right="994"/>
        <w:jc w:val="left"/>
      </w:pPr>
      <w:r>
        <w:rPr>
          <w:rFonts w:ascii="Times New Roman" w:hAnsi="Times New Roman" w:cs="Times New Roman" w:eastAsia="Times New Roman" w:hint="default"/>
        </w:rPr>
        <w:t>7.</w:t>
      </w:r>
      <w:r>
        <w:rPr/>
        <w:t>报告期，筹资活动产生的现金流量净额较上年同期增长</w:t>
      </w:r>
      <w:r>
        <w:rPr>
          <w:rFonts w:ascii="Times New Roman" w:hAnsi="Times New Roman" w:cs="Times New Roman" w:eastAsia="Times New Roman" w:hint="default"/>
        </w:rPr>
        <w:t>166.14%</w:t>
      </w:r>
      <w:r>
        <w:rPr/>
        <w:t>，主要系银行借款增加和增发股票所致。</w:t>
      </w:r>
    </w:p>
    <w:p>
      <w:pPr>
        <w:pStyle w:val="BodyText"/>
        <w:spacing w:line="340" w:lineRule="auto" w:before="63"/>
        <w:ind w:right="3493"/>
        <w:jc w:val="left"/>
      </w:pPr>
      <w:r>
        <w:rPr>
          <w:rFonts w:ascii="Times New Roman" w:hAnsi="Times New Roman" w:cs="Times New Roman" w:eastAsia="Times New Roman" w:hint="default"/>
        </w:rPr>
        <w:t>8.</w:t>
      </w:r>
      <w:r>
        <w:rPr/>
        <w:t>报告期，现金及现金等价物净增加额较上年同期增长</w:t>
      </w:r>
      <w:r>
        <w:rPr>
          <w:rFonts w:ascii="Times New Roman" w:hAnsi="Times New Roman" w:cs="Times New Roman" w:eastAsia="Times New Roman" w:hint="default"/>
        </w:rPr>
        <w:t>254.43%</w:t>
      </w:r>
      <w:r>
        <w:rPr/>
        <w:t>，主要系银行借款增加所致。 报告期内公司经营活动产生的现金净流量与本年度净利润存在重大差异的原因说明</w:t>
      </w:r>
    </w:p>
    <w:p>
      <w:pPr>
        <w:pStyle w:val="BodyText"/>
        <w:spacing w:line="319" w:lineRule="auto" w:before="40"/>
        <w:ind w:right="112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报告期内公司经营活动产生的现金净流量为</w:t>
      </w:r>
      <w:r>
        <w:rPr>
          <w:rFonts w:ascii="Times New Roman" w:hAnsi="Times New Roman" w:cs="Times New Roman" w:eastAsia="Times New Roman" w:hint="default"/>
        </w:rPr>
        <w:t>47,093,881.75</w:t>
      </w:r>
      <w:r>
        <w:rPr/>
        <w:t>元，本年度净利润为</w:t>
      </w:r>
      <w:r>
        <w:rPr>
          <w:rFonts w:ascii="Times New Roman" w:hAnsi="Times New Roman" w:cs="Times New Roman" w:eastAsia="Times New Roman" w:hint="default"/>
        </w:rPr>
        <w:t>71,931,659.83</w:t>
      </w:r>
      <w:r>
        <w:rPr/>
        <w:t>元，存在差异的原因主要系备货 增加，经营性应付项目增加所致。</w:t>
      </w:r>
    </w:p>
    <w:p>
      <w:pPr>
        <w:spacing w:after="0" w:line="319"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4"/>
        <w:spacing w:line="240" w:lineRule="auto" w:before="26"/>
        <w:ind w:right="994"/>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512"/>
        <w:gridCol w:w="1916"/>
        <w:gridCol w:w="1623"/>
        <w:gridCol w:w="2166"/>
        <w:gridCol w:w="2340"/>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448,224.27</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2166"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23" w:right="150"/>
              <w:jc w:val="left"/>
              <w:rPr>
                <w:rFonts w:ascii="宋体" w:hAnsi="宋体" w:cs="宋体" w:eastAsia="宋体" w:hint="default"/>
                <w:sz w:val="18"/>
                <w:szCs w:val="18"/>
              </w:rPr>
            </w:pPr>
            <w:r>
              <w:rPr>
                <w:rFonts w:ascii="宋体" w:hAnsi="宋体" w:cs="宋体" w:eastAsia="宋体" w:hint="default"/>
                <w:sz w:val="18"/>
                <w:szCs w:val="18"/>
              </w:rPr>
              <w:t>主要系交易性金融资产产 生的投资收益。</w:t>
            </w:r>
          </w:p>
        </w:tc>
        <w:tc>
          <w:tcPr>
            <w:tcW w:w="234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shd w:val="clear" w:color="auto" w:fill="CCE8CF"/>
          </w:tcPr>
          <w:p>
            <w:pPr/>
          </w:p>
        </w:tc>
        <w:tc>
          <w:tcPr>
            <w:tcW w:w="2340" w:type="dxa"/>
            <w:vMerge/>
            <w:tcBorders>
              <w:left w:val="single" w:sz="4" w:space="0" w:color="000000"/>
              <w:right w:val="single" w:sz="4" w:space="0" w:color="000000"/>
            </w:tcBorders>
            <w:shd w:val="clear" w:color="auto" w:fill="CCE8CF"/>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shd w:val="clear" w:color="auto" w:fill="CCE8CF"/>
          </w:tcPr>
          <w:p>
            <w:pPr/>
          </w:p>
        </w:tc>
        <w:tc>
          <w:tcPr>
            <w:tcW w:w="2340" w:type="dxa"/>
            <w:vMerge/>
            <w:tcBorders>
              <w:left w:val="single" w:sz="4" w:space="0" w:color="000000"/>
              <w:bottom w:val="single" w:sz="4" w:space="0" w:color="000000"/>
              <w:right w:val="single" w:sz="4" w:space="0" w:color="000000"/>
            </w:tcBorders>
            <w:shd w:val="clear" w:color="auto" w:fill="CCE8CF"/>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29,974,724.70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32.07%</w:t>
            </w:r>
          </w:p>
        </w:tc>
        <w:tc>
          <w:tcPr>
            <w:tcW w:w="2166"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5"/>
                <w:sz w:val="18"/>
                <w:szCs w:val="18"/>
              </w:rPr>
              <w:t>主要系计提的坏帐，存货跌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准备及商誉减值。</w:t>
            </w:r>
          </w:p>
        </w:tc>
        <w:tc>
          <w:tcPr>
            <w:tcW w:w="234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shd w:val="clear" w:color="auto" w:fill="CCE8CF"/>
          </w:tcPr>
          <w:p>
            <w:pPr/>
          </w:p>
        </w:tc>
        <w:tc>
          <w:tcPr>
            <w:tcW w:w="2340" w:type="dxa"/>
            <w:vMerge/>
            <w:tcBorders>
              <w:left w:val="single" w:sz="4" w:space="0" w:color="000000"/>
              <w:right w:val="single" w:sz="4" w:space="0" w:color="000000"/>
            </w:tcBorders>
            <w:shd w:val="clear" w:color="auto" w:fill="CCE8CF"/>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shd w:val="clear" w:color="auto" w:fill="CCE8CF"/>
          </w:tcPr>
          <w:p>
            <w:pPr/>
          </w:p>
        </w:tc>
        <w:tc>
          <w:tcPr>
            <w:tcW w:w="2340" w:type="dxa"/>
            <w:vMerge/>
            <w:tcBorders>
              <w:left w:val="single" w:sz="4" w:space="0" w:color="000000"/>
              <w:bottom w:val="single" w:sz="4" w:space="0" w:color="000000"/>
              <w:right w:val="single" w:sz="4" w:space="0" w:color="000000"/>
            </w:tcBorders>
            <w:shd w:val="clear" w:color="auto" w:fill="CCE8CF"/>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61" w:right="0"/>
              <w:jc w:val="left"/>
              <w:rPr>
                <w:rFonts w:ascii="Times New Roman" w:hAnsi="Times New Roman" w:cs="Times New Roman" w:eastAsia="Times New Roman" w:hint="default"/>
                <w:sz w:val="18"/>
                <w:szCs w:val="18"/>
              </w:rPr>
            </w:pPr>
            <w:r>
              <w:rPr>
                <w:rFonts w:ascii="Times New Roman"/>
                <w:sz w:val="18"/>
              </w:rPr>
              <w:t>346,674.93</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0.37%</w:t>
            </w:r>
          </w:p>
        </w:tc>
        <w:tc>
          <w:tcPr>
            <w:tcW w:w="216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1,868,646.44</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2166"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23" w:right="150"/>
              <w:jc w:val="both"/>
              <w:rPr>
                <w:rFonts w:ascii="宋体" w:hAnsi="宋体" w:cs="宋体" w:eastAsia="宋体" w:hint="default"/>
                <w:sz w:val="18"/>
                <w:szCs w:val="18"/>
              </w:rPr>
            </w:pPr>
            <w:r>
              <w:rPr>
                <w:rFonts w:ascii="宋体" w:hAnsi="宋体" w:cs="宋体" w:eastAsia="宋体" w:hint="default"/>
                <w:sz w:val="18"/>
                <w:szCs w:val="18"/>
              </w:rPr>
              <w:t>主要系预缴所得税超三年 转营业外支出及升级赔偿 支出。</w:t>
            </w:r>
          </w:p>
        </w:tc>
        <w:tc>
          <w:tcPr>
            <w:tcW w:w="234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shd w:val="clear" w:color="auto" w:fill="CCE8CF"/>
          </w:tcPr>
          <w:p>
            <w:pPr/>
          </w:p>
        </w:tc>
        <w:tc>
          <w:tcPr>
            <w:tcW w:w="2340" w:type="dxa"/>
            <w:vMerge/>
            <w:tcBorders>
              <w:left w:val="single" w:sz="4" w:space="0" w:color="000000"/>
              <w:right w:val="single" w:sz="4" w:space="0" w:color="000000"/>
            </w:tcBorders>
            <w:shd w:val="clear" w:color="auto" w:fill="CCE8CF"/>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shd w:val="clear" w:color="auto" w:fill="CCE8CF"/>
          </w:tcPr>
          <w:p>
            <w:pPr/>
          </w:p>
        </w:tc>
        <w:tc>
          <w:tcPr>
            <w:tcW w:w="2340" w:type="dxa"/>
            <w:vMerge/>
            <w:tcBorders>
              <w:left w:val="single" w:sz="4" w:space="0" w:color="000000"/>
              <w:bottom w:val="single" w:sz="4" w:space="0" w:color="000000"/>
              <w:right w:val="single" w:sz="4" w:space="0" w:color="000000"/>
            </w:tcBorders>
            <w:shd w:val="clear" w:color="auto" w:fill="CCE8CF"/>
          </w:tcPr>
          <w:p>
            <w:pPr/>
          </w:p>
        </w:tc>
      </w:tr>
    </w:tbl>
    <w:p>
      <w:pPr>
        <w:spacing w:line="240" w:lineRule="auto" w:before="2"/>
        <w:rPr>
          <w:rFonts w:ascii="宋体" w:hAnsi="宋体" w:cs="宋体" w:eastAsia="宋体" w:hint="default"/>
          <w:sz w:val="18"/>
          <w:szCs w:val="18"/>
        </w:rPr>
      </w:pPr>
    </w:p>
    <w:p>
      <w:pPr>
        <w:pStyle w:val="Heading4"/>
        <w:spacing w:line="240" w:lineRule="auto" w:before="26"/>
        <w:ind w:left="1134" w:right="994"/>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79"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1,120,243,314.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28.77%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576,199,962.02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20.60%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8.17%</w:t>
            </w:r>
          </w:p>
        </w:tc>
        <w:tc>
          <w:tcPr>
            <w:tcW w:w="2918"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CE8CF"/>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CE8CF"/>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424,972,668.1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10.91%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276,804,932.95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9.90%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1.01%</w:t>
            </w:r>
          </w:p>
        </w:tc>
        <w:tc>
          <w:tcPr>
            <w:tcW w:w="2918"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CE8CF"/>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CE8CF"/>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252,443,529.0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6.48%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160,305,351.77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5.73%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0.75%</w:t>
            </w:r>
          </w:p>
        </w:tc>
        <w:tc>
          <w:tcPr>
            <w:tcW w:w="2918"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CE8CF"/>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CE8CF"/>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525,931,836.09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5" w:right="0"/>
              <w:jc w:val="left"/>
              <w:rPr>
                <w:rFonts w:ascii="Times New Roman" w:hAnsi="Times New Roman" w:cs="Times New Roman" w:eastAsia="Times New Roman" w:hint="default"/>
                <w:sz w:val="18"/>
                <w:szCs w:val="18"/>
              </w:rPr>
            </w:pPr>
            <w:r>
              <w:rPr>
                <w:rFonts w:ascii="Times New Roman"/>
                <w:sz w:val="18"/>
              </w:rPr>
              <w:t>18.81%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0" w:right="0"/>
              <w:jc w:val="left"/>
              <w:rPr>
                <w:rFonts w:ascii="Times New Roman" w:hAnsi="Times New Roman" w:cs="Times New Roman" w:eastAsia="Times New Roman" w:hint="default"/>
                <w:sz w:val="18"/>
                <w:szCs w:val="18"/>
              </w:rPr>
            </w:pPr>
            <w:r>
              <w:rPr>
                <w:rFonts w:ascii="Times New Roman"/>
                <w:sz w:val="18"/>
              </w:rPr>
              <w:t>-18.81%</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390,466,584.2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10.03%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402,718,815.18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14.40%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-4.37%</w:t>
            </w:r>
          </w:p>
        </w:tc>
        <w:tc>
          <w:tcPr>
            <w:tcW w:w="2918"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CE8CF"/>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CE8CF"/>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674,032,183.3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17.31%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17,179,084.73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0.61%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16.70%</w:t>
            </w:r>
          </w:p>
        </w:tc>
        <w:tc>
          <w:tcPr>
            <w:tcW w:w="2918"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CE8CF"/>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CE8CF"/>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5.39%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70,000,000.00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2.50%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2.89%</w:t>
            </w:r>
          </w:p>
        </w:tc>
        <w:tc>
          <w:tcPr>
            <w:tcW w:w="2918"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CE8CF"/>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CE8CF"/>
          </w:tcPr>
          <w:p>
            <w:pPr/>
          </w:p>
        </w:tc>
      </w:tr>
    </w:tbl>
    <w:p>
      <w:pPr>
        <w:spacing w:line="240" w:lineRule="auto" w:before="3"/>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94"/>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before="0"/>
        <w:ind w:right="1123" w:firstLine="360"/>
        <w:jc w:val="left"/>
      </w:pPr>
      <w:r>
        <w:rPr/>
        <w:t>公司根据实际发展需要，向合格投资者公开发行人民币</w:t>
      </w:r>
      <w:r>
        <w:rPr>
          <w:rFonts w:ascii="Times New Roman" w:hAnsi="Times New Roman" w:cs="Times New Roman" w:eastAsia="Times New Roman" w:hint="default"/>
        </w:rPr>
        <w:t>4</w:t>
      </w:r>
      <w:r>
        <w:rPr/>
        <w:t>亿元公司债券，募集资金用于偿还借款及补充流动资金。本次 债券由深圳市中小企业信用融资担保集团有限公司出具《关于为深圳市新国都技术股份有限公司</w:t>
      </w:r>
      <w:r>
        <w:rPr>
          <w:rFonts w:ascii="Times New Roman" w:hAnsi="Times New Roman" w:cs="Times New Roman" w:eastAsia="Times New Roman" w:hint="default"/>
        </w:rPr>
        <w:t>2015</w:t>
      </w:r>
      <w:r>
        <w:rPr/>
        <w:t>年公开发行公司债券 </w:t>
      </w:r>
      <w:r>
        <w:rPr>
          <w:rFonts w:ascii="Times New Roman" w:hAnsi="Times New Roman" w:cs="Times New Roman" w:eastAsia="Times New Roman" w:hint="default"/>
          <w:spacing w:val="-1"/>
        </w:rPr>
        <w:t>(</w:t>
      </w:r>
      <w:r>
        <w:rPr>
          <w:spacing w:val="-1"/>
        </w:rPr>
        <w:t>面向合格投资者</w:t>
      </w:r>
      <w:r>
        <w:rPr>
          <w:rFonts w:ascii="Times New Roman" w:hAnsi="Times New Roman" w:cs="Times New Roman" w:eastAsia="Times New Roman" w:hint="default"/>
          <w:spacing w:val="-1"/>
        </w:rPr>
        <w:t>)</w:t>
      </w:r>
      <w:r>
        <w:rPr>
          <w:spacing w:val="-1"/>
        </w:rPr>
        <w:t>提供保证的担保函》，对债券存续年度内应支付的债券本金及利息、违约金、损害赔偿金和实现债权的费</w:t>
      </w:r>
      <w:r>
        <w:rPr>
          <w:spacing w:val="-57"/>
        </w:rPr>
        <w:t> </w:t>
      </w:r>
      <w:r>
        <w:rPr>
          <w:spacing w:val="-57"/>
        </w:rPr>
      </w:r>
      <w:r>
        <w:rPr>
          <w:spacing w:val="-2"/>
        </w:rPr>
        <w:t>用提供无条件不可撤销的连带责任保证担保。同时本公司及本公司控股子公司苏州新国都电子技术有限公司向担保机构出具</w:t>
      </w:r>
    </w:p>
    <w:p>
      <w:pPr>
        <w:pStyle w:val="BodyText"/>
        <w:spacing w:line="300" w:lineRule="auto" w:before="31"/>
        <w:ind w:right="1132"/>
        <w:jc w:val="left"/>
      </w:pPr>
      <w:r>
        <w:rPr>
          <w:spacing w:val="-2"/>
        </w:rPr>
        <w:t>《承诺函》，以苏州新国都拥有合法处分权的土地以及其上建筑物为公司向担保机构提供抵押反担保。该事项已于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14"/>
        </w:rPr>
        <w:t> </w:t>
      </w:r>
      <w:r>
        <w:rPr/>
        <w:t>月</w:t>
      </w:r>
      <w:r>
        <w:rPr>
          <w:rFonts w:ascii="Times New Roman" w:hAnsi="Times New Roman" w:cs="Times New Roman" w:eastAsia="Times New Roman" w:hint="default"/>
        </w:rPr>
        <w:t>29</w:t>
      </w:r>
      <w:r>
        <w:rPr/>
        <w:t>日经公司第三届董事会第二十一次（临时）会议，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日经</w:t>
      </w:r>
      <w:r>
        <w:rPr>
          <w:rFonts w:ascii="Times New Roman" w:hAnsi="Times New Roman" w:cs="Times New Roman" w:eastAsia="Times New Roman" w:hint="default"/>
        </w:rPr>
        <w:t>2016</w:t>
      </w:r>
      <w:r>
        <w:rPr/>
        <w:t>年第一次临时股东大会审议通过，详情请见公 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日于巨潮资讯网发布的《关于控股子公司拟为公司发行债券提供抵押反担保承诺的公告》（公告编号： </w:t>
      </w:r>
      <w:r>
        <w:rPr>
          <w:rFonts w:ascii="Times New Roman" w:hAnsi="Times New Roman" w:cs="Times New Roman" w:eastAsia="Times New Roman" w:hint="default"/>
        </w:rPr>
        <w:t>2015-145</w:t>
      </w:r>
      <w:r>
        <w:rPr/>
        <w:t>）。</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4"/>
        <w:spacing w:line="240" w:lineRule="auto"/>
        <w:ind w:right="994"/>
        <w:jc w:val="left"/>
        <w:rPr>
          <w:b w:val="0"/>
          <w:bCs w:val="0"/>
        </w:rPr>
      </w:pPr>
      <w:bookmarkStart w:name="五、投资状况分析" w:id="43"/>
      <w:bookmarkEnd w:id="43"/>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442,212,475.37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7" w:right="0"/>
              <w:jc w:val="left"/>
              <w:rPr>
                <w:rFonts w:ascii="Times New Roman" w:hAnsi="Times New Roman" w:cs="Times New Roman" w:eastAsia="Times New Roman" w:hint="default"/>
                <w:sz w:val="18"/>
                <w:szCs w:val="18"/>
              </w:rPr>
            </w:pPr>
            <w:r>
              <w:rPr>
                <w:rFonts w:ascii="Times New Roman"/>
                <w:sz w:val="18"/>
              </w:rPr>
              <w:t>1,000,000,000.00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-55.78%</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94"/>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94"/>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94"/>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994"/>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5"/>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016"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9"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69" w:right="68"/>
              <w:jc w:val="both"/>
              <w:rPr>
                <w:rFonts w:ascii="宋体" w:hAnsi="宋体" w:cs="宋体" w:eastAsia="宋体" w:hint="default"/>
                <w:sz w:val="18"/>
                <w:szCs w:val="18"/>
              </w:rPr>
            </w:pPr>
            <w:r>
              <w:rPr>
                <w:rFonts w:ascii="宋体" w:hAnsi="宋体" w:cs="宋体" w:eastAsia="宋体" w:hint="default"/>
                <w:sz w:val="18"/>
                <w:szCs w:val="18"/>
              </w:rPr>
              <w:t>尚未使用 募集资金 用途及去</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bl>
    <w:p>
      <w:pPr>
        <w:spacing w:after="0" w:line="319"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ind w:left="0" w:right="1145"/>
        <w:jc w:val="right"/>
      </w:pPr>
      <w:r>
        <w:rPr/>
        <w:pict>
          <v:shape style="position:absolute;margin-left:56.459999pt;margin-top:-241.76828pt;width:478.95pt;height:323.9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36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8" w:right="0"/>
                          <w:jc w:val="left"/>
                          <w:rPr>
                            <w:rFonts w:ascii="宋体" w:hAnsi="宋体" w:cs="宋体" w:eastAsia="宋体" w:hint="default"/>
                            <w:sz w:val="18"/>
                            <w:szCs w:val="18"/>
                          </w:rPr>
                        </w:pPr>
                        <w:r>
                          <w:rPr>
                            <w:rFonts w:ascii="宋体" w:hAnsi="宋体" w:cs="宋体" w:eastAsia="宋体" w:hint="default"/>
                            <w:sz w:val="18"/>
                            <w:szCs w:val="18"/>
                          </w:rPr>
                          <w:t>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9" w:right="0"/>
                          <w:jc w:val="left"/>
                          <w:rPr>
                            <w:rFonts w:ascii="宋体" w:hAnsi="宋体" w:cs="宋体" w:eastAsia="宋体" w:hint="default"/>
                            <w:sz w:val="18"/>
                            <w:szCs w:val="18"/>
                          </w:rPr>
                        </w:pPr>
                        <w:r>
                          <w:rPr>
                            <w:rFonts w:ascii="宋体" w:hAnsi="宋体" w:cs="宋体" w:eastAsia="宋体" w:hint="default"/>
                            <w:sz w:val="18"/>
                            <w:szCs w:val="18"/>
                          </w:rPr>
                          <w:t>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38"/>
                          <w:jc w:val="right"/>
                          <w:rPr>
                            <w:rFonts w:ascii="宋体" w:hAnsi="宋体" w:cs="宋体" w:eastAsia="宋体" w:hint="default"/>
                            <w:sz w:val="18"/>
                            <w:szCs w:val="18"/>
                          </w:rPr>
                        </w:pP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2010</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公开发行 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64,633.49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 w:right="0"/>
                          <w:jc w:val="center"/>
                          <w:rPr>
                            <w:rFonts w:ascii="Times New Roman" w:hAnsi="Times New Roman" w:cs="Times New Roman" w:eastAsia="Times New Roman" w:hint="default"/>
                            <w:sz w:val="18"/>
                            <w:szCs w:val="18"/>
                          </w:rPr>
                        </w:pPr>
                        <w:r>
                          <w:rPr>
                            <w:rFonts w:ascii="Times New Roman"/>
                            <w:sz w:val="18"/>
                          </w:rPr>
                          <w:t>3,364.66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68,238.99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44,462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44,516.69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44,516.69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5"/>
                          <w:jc w:val="righ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109,095.49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47,881.35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112,755.68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874"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日经中国证券监督管理委员会证监发行字</w:t>
                        </w:r>
                        <w:r>
                          <w:rPr>
                            <w:rFonts w:ascii="Times New Roman" w:hAnsi="Times New Roman" w:cs="Times New Roman" w:eastAsia="Times New Roman" w:hint="default"/>
                            <w:sz w:val="18"/>
                            <w:szCs w:val="18"/>
                          </w:rPr>
                          <w:t>[2010]1292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号文核准，并经深圳证券交易所同意，公司由主承</w:t>
                        </w:r>
                      </w:p>
                      <w:p>
                        <w:pPr>
                          <w:pStyle w:val="TableParagraph"/>
                          <w:spacing w:line="240" w:lineRule="auto" w:before="6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销商中信证券股份有限公司向社会公众公开发行普通股（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股）股票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1,600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万股，每股面值</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元，每股发行价人民币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43.33</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日止，本公司共募集资金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69,328.00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46,945,065.67 </w:t>
                        </w:r>
                        <w:r>
                          <w:rPr>
                            <w:rFonts w:ascii="宋体" w:hAnsi="宋体" w:cs="宋体" w:eastAsia="宋体" w:hint="default"/>
                            <w:sz w:val="18"/>
                            <w:szCs w:val="18"/>
                          </w:rPr>
                          <w:t>元，募集资金净额</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646,334,934.33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元。其中，募投项目承诺投资资金为</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236,170,000.00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其他与主营业务相关的营运资金（以下简称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超募资</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w:t>
                        </w: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410,164,934.33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日，公司已累计投入募集资金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68,238.99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日经中国证券监督管理委员会证监许可〔</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1146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号文核准，并经深圳证券交易所同意，公司以每股</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18.22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元的价格向泰达宏利基金管理有限公司、鹏华资产管理有限公司、财通证券资产管理有限公司合计非公开发行股票</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万股。股款计人民币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45,550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万元，扣除与发行有关的费用总额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1,088</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万（含税）元，实际募集资金净额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44,462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p>
                        <w:pPr>
                          <w:pStyle w:val="TableParagraph"/>
                          <w:spacing w:line="300" w:lineRule="auto" w:before="63"/>
                          <w:ind w:left="22" w:right="-1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日，公司第四届董事会第五次会议及第四届监事会第五次会议审议通过了《关于使用募集资金置换预先投 </w:t>
                        </w:r>
                        <w:r>
                          <w:rPr>
                            <w:rFonts w:ascii="宋体" w:hAnsi="宋体" w:cs="宋体" w:eastAsia="宋体" w:hint="default"/>
                            <w:spacing w:val="-4"/>
                            <w:sz w:val="18"/>
                            <w:szCs w:val="18"/>
                          </w:rPr>
                          <w:t>入募投项目自筹资金的议案》，公司以自筹资金预先投入收购长沙公信诚丰信息技术服务有限公司</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股权项目的实际投</w:t>
                        </w:r>
                        <w:r>
                          <w:rPr>
                            <w:rFonts w:ascii="宋体" w:hAnsi="宋体" w:cs="宋体" w:eastAsia="宋体" w:hint="default"/>
                            <w:spacing w:val="-74"/>
                            <w:sz w:val="18"/>
                            <w:szCs w:val="18"/>
                          </w:rPr>
                          <w:t> </w:t>
                        </w:r>
                        <w:r>
                          <w:rPr>
                            <w:rFonts w:ascii="宋体" w:hAnsi="宋体" w:cs="宋体" w:eastAsia="宋体" w:hint="default"/>
                            <w:sz w:val="18"/>
                            <w:szCs w:val="18"/>
                          </w:rPr>
                          <w:t>资额为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日，从募集户将预先投入自筹资金金额为人民币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万元转入公司基本户。</w:t>
                        </w:r>
                      </w:p>
                      <w:p>
                        <w:pPr>
                          <w:pStyle w:val="TableParagraph"/>
                          <w:spacing w:line="240" w:lineRule="auto" w:before="14"/>
                          <w:ind w:left="22" w:right="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日，募集资金账户利息净收入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641,314.34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元，累计支出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445,166,941.60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元，结余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94,372.74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5"/>
        <w:spacing w:line="240" w:lineRule="auto" w:before="35"/>
        <w:ind w:left="1134" w:right="994"/>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运营销售服务网络 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2,690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1,967.88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73.16%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2" w:lineRule="auto" w:before="51"/>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电子支付终端设备 运营项目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5,621</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3,041.83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54.12%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电子支付技术产研 基地建设项目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15,306</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16,001.82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104.55%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2" w:lineRule="auto" w:before="51"/>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项目节余资金永久 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3,952.77</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收购公信诚丰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44,462</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44,516.69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44,516.69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100.12%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4,643.39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7.7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674" w:hRule="exact"/>
                    </w:trPr>
                    <w:tc>
                      <w:tcPr>
                        <w:tcW w:w="17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股权项目</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68,079</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44,516.69</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69,480.99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4,913.52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8"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1"/>
                          <w:ind w:left="22" w:right="1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电子支付技术苏州 研发基地项目（简称 </w:t>
                        </w:r>
                        <w:r>
                          <w:rPr>
                            <w:rFonts w:ascii="Times New Roman" w:hAnsi="Times New Roman" w:cs="Times New Roman" w:eastAsia="Times New Roman" w:hint="default"/>
                            <w:sz w:val="18"/>
                            <w:szCs w:val="18"/>
                          </w:rPr>
                          <w:t>“</w:t>
                        </w:r>
                        <w:r>
                          <w:rPr>
                            <w:rFonts w:ascii="宋体" w:hAnsi="宋体" w:cs="宋体" w:eastAsia="宋体" w:hint="default"/>
                            <w:sz w:val="18"/>
                            <w:szCs w:val="18"/>
                          </w:rPr>
                          <w:t>苏州项目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25,684.61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25,684.61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3,364.66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24,874.69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1" w:right="0"/>
                          <w:jc w:val="center"/>
                          <w:rPr>
                            <w:rFonts w:ascii="Times New Roman" w:hAnsi="Times New Roman" w:cs="Times New Roman" w:eastAsia="Times New Roman" w:hint="default"/>
                            <w:sz w:val="18"/>
                            <w:szCs w:val="18"/>
                          </w:rPr>
                        </w:pPr>
                        <w:r>
                          <w:rPr>
                            <w:rFonts w:ascii="Times New Roman"/>
                            <w:sz w:val="18"/>
                          </w:rPr>
                          <w:t>96.85%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453.3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收购瑞柏泰公司</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股权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1"/>
                          <w:ind w:left="22" w:right="117"/>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增资易联技术公司 开展电子支付服务项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23" w:val="left" w:leader="none"/>
                          </w:tabs>
                          <w:spacing w:line="240" w:lineRule="auto" w:before="51"/>
                          <w:ind w:left="-128" w:right="323"/>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16,400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54,084.61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44,084.61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center"/>
                          <w:rPr>
                            <w:rFonts w:ascii="Times New Roman" w:hAnsi="Times New Roman" w:cs="Times New Roman" w:eastAsia="Times New Roman" w:hint="default"/>
                            <w:sz w:val="18"/>
                            <w:szCs w:val="18"/>
                          </w:rPr>
                        </w:pPr>
                        <w:r>
                          <w:rPr>
                            <w:rFonts w:ascii="Times New Roman"/>
                            <w:sz w:val="18"/>
                          </w:rPr>
                          <w:t>3,364.66</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43,274.69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453.3</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122,163.6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112,163.6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47,881.35</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112,755.6</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9" w:space="0" w:color="D2D2D2"/>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5,366.82</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9"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9"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2829"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shd w:val="clear" w:color="auto" w:fill="CCE8CF"/>
                      </w:tcPr>
                      <w:p>
                        <w:pPr>
                          <w:pStyle w:val="TableParagraph"/>
                          <w:spacing w:line="240" w:lineRule="auto" w:before="4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电子支付终端设备运营项目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的实施进度未能达到计划进度和预计收益，具体原因为：</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p>
                      <w:p>
                        <w:pPr>
                          <w:pStyle w:val="TableParagraph"/>
                          <w:spacing w:line="307" w:lineRule="auto" w:before="61"/>
                          <w:ind w:left="16"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月，中国人民银行发布中国人民银行令【</w:t>
                        </w:r>
                        <w:r>
                          <w:rPr>
                            <w:rFonts w:ascii="Times New Roman" w:hAnsi="Times New Roman" w:cs="Times New Roman" w:eastAsia="Times New Roman" w:hint="default"/>
                            <w:spacing w:val="-4"/>
                            <w:sz w:val="18"/>
                            <w:szCs w:val="18"/>
                          </w:rPr>
                          <w:t>2010</w:t>
                        </w:r>
                        <w:r>
                          <w:rPr>
                            <w:rFonts w:ascii="宋体" w:hAnsi="宋体" w:cs="宋体" w:eastAsia="宋体" w:hint="default"/>
                            <w:spacing w:val="-4"/>
                            <w:sz w:val="18"/>
                            <w:szCs w:val="18"/>
                          </w:rPr>
                          <w:t>】第</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1"/>
                            <w:sz w:val="18"/>
                            <w:szCs w:val="18"/>
                          </w:rPr>
                          <w:t> </w:t>
                        </w:r>
                        <w:r>
                          <w:rPr>
                            <w:rFonts w:ascii="宋体" w:hAnsi="宋体" w:cs="宋体" w:eastAsia="宋体" w:hint="default"/>
                            <w:spacing w:val="-8"/>
                            <w:sz w:val="18"/>
                            <w:szCs w:val="18"/>
                          </w:rPr>
                          <w:t>号文件《非金融机构支付服务管理办法》（以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w w:val="100"/>
                            <w:sz w:val="18"/>
                            <w:szCs w:val="18"/>
                          </w:rPr>
                          <w:t>下简称</w:t>
                        </w:r>
                        <w:r>
                          <w:rPr>
                            <w:rFonts w:ascii="Times New Roman" w:hAnsi="Times New Roman" w:cs="Times New Roman" w:eastAsia="Times New Roman" w:hint="default"/>
                            <w:spacing w:val="-1"/>
                            <w:w w:val="100"/>
                            <w:sz w:val="18"/>
                            <w:szCs w:val="18"/>
                          </w:rPr>
                          <w:t>“2</w:t>
                        </w:r>
                        <w:r>
                          <w:rPr>
                            <w:rFonts w:ascii="Times New Roman" w:hAnsi="Times New Roman" w:cs="Times New Roman" w:eastAsia="Times New Roman" w:hint="default"/>
                            <w:spacing w:val="4"/>
                            <w:w w:val="100"/>
                            <w:sz w:val="18"/>
                            <w:szCs w:val="18"/>
                          </w:rPr>
                          <w:t> </w:t>
                        </w:r>
                        <w:r>
                          <w:rPr>
                            <w:rFonts w:ascii="宋体" w:hAnsi="宋体" w:cs="宋体" w:eastAsia="宋体" w:hint="default"/>
                            <w:spacing w:val="-4"/>
                            <w:sz w:val="18"/>
                            <w:szCs w:val="18"/>
                          </w:rPr>
                          <w:t>号令</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），根据该办法规定，国内非金融机构从事网上支付、预付卡的发行与受理、银行卡</w:t>
                        </w:r>
                        <w:r>
                          <w:rPr>
                            <w:rFonts w:ascii="宋体" w:hAnsi="宋体" w:cs="宋体" w:eastAsia="宋体" w:hint="default"/>
                            <w:sz w:val="18"/>
                            <w:szCs w:val="18"/>
                          </w:rPr>
                          <w:t> 收单服务等业务的，必须通过中国人民银行审批，并获得相关业务许可证书。电子支付终端设备运 营项目的运营内容主要为与广州羊城通有限公司合作开展基于</w:t>
                        </w:r>
                        <w:r>
                          <w:rPr>
                            <w:rFonts w:ascii="Times New Roman" w:hAnsi="Times New Roman" w:cs="Times New Roman" w:eastAsia="Times New Roman" w:hint="default"/>
                            <w:sz w:val="18"/>
                            <w:szCs w:val="18"/>
                          </w:rPr>
                          <w:t>“</w:t>
                        </w:r>
                        <w:r>
                          <w:rPr>
                            <w:rFonts w:ascii="宋体" w:hAnsi="宋体" w:cs="宋体" w:eastAsia="宋体" w:hint="default"/>
                            <w:sz w:val="18"/>
                            <w:szCs w:val="18"/>
                          </w:rPr>
                          <w:t>羊城通</w:t>
                        </w:r>
                        <w:r>
                          <w:rPr>
                            <w:rFonts w:ascii="Times New Roman" w:hAnsi="Times New Roman" w:cs="Times New Roman" w:eastAsia="Times New Roman" w:hint="default"/>
                            <w:sz w:val="18"/>
                            <w:szCs w:val="18"/>
                          </w:rPr>
                          <w:t>”</w:t>
                        </w:r>
                        <w:r>
                          <w:rPr>
                            <w:rFonts w:ascii="宋体" w:hAnsi="宋体" w:cs="宋体" w:eastAsia="宋体" w:hint="default"/>
                            <w:sz w:val="18"/>
                            <w:szCs w:val="18"/>
                          </w:rPr>
                          <w:t>公交卡的小额支付合作运营 业务，以及为商业银行、第三方提供设备租赁服务。由于受到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号令实施和审批进度的影响，以及 广州羊城通有限公司在申领预付卡发行与受理牌照的进度限制，本项目的实施进度缓慢，项目一直 </w:t>
                        </w:r>
                        <w:r>
                          <w:rPr>
                            <w:rFonts w:ascii="宋体" w:hAnsi="宋体" w:cs="宋体" w:eastAsia="宋体" w:hint="default"/>
                            <w:spacing w:val="-4"/>
                            <w:sz w:val="18"/>
                            <w:szCs w:val="18"/>
                          </w:rPr>
                          <w:t>未能达到预计收益。截止至</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日，广州羊城通有限公司仍未能取得预付卡发行与受理</w:t>
                        </w:r>
                      </w:p>
                      <w:p>
                        <w:pPr>
                          <w:pStyle w:val="TableParagraph"/>
                          <w:spacing w:line="314" w:lineRule="auto" w:before="7"/>
                          <w:ind w:left="16" w:right="21"/>
                          <w:jc w:val="left"/>
                          <w:rPr>
                            <w:rFonts w:ascii="宋体" w:hAnsi="宋体" w:cs="宋体" w:eastAsia="宋体" w:hint="default"/>
                            <w:sz w:val="18"/>
                            <w:szCs w:val="18"/>
                          </w:rPr>
                        </w:pPr>
                        <w:r>
                          <w:rPr>
                            <w:rFonts w:ascii="宋体" w:hAnsi="宋体" w:cs="宋体" w:eastAsia="宋体" w:hint="default"/>
                            <w:spacing w:val="-3"/>
                            <w:sz w:val="18"/>
                            <w:szCs w:val="18"/>
                          </w:rPr>
                          <w:t>牌照，对公司电子支付终端设备运营项目直接产生影响。鉴于上述情况，公司于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 召开第三届董事会第七次会议，审议通过《关于终止部分募投项目并将剩余募集资金永久补充流动 </w:t>
                        </w:r>
                        <w:r>
                          <w:rPr>
                            <w:rFonts w:ascii="宋体" w:hAnsi="宋体" w:cs="宋体" w:eastAsia="宋体" w:hint="default"/>
                            <w:spacing w:val="-4"/>
                            <w:w w:val="100"/>
                            <w:sz w:val="18"/>
                            <w:szCs w:val="18"/>
                          </w:rPr>
                          <w:t>资金的议案》，同意终止募投项目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电子支付终端设备运营项目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的实施，并将该项目剩余资金（含利</w:t>
                        </w:r>
                        <w:r>
                          <w:rPr>
                            <w:rFonts w:ascii="宋体" w:hAnsi="宋体" w:cs="宋体" w:eastAsia="宋体" w:hint="default"/>
                            <w:spacing w:val="-70"/>
                            <w:w w:val="100"/>
                            <w:sz w:val="18"/>
                            <w:szCs w:val="18"/>
                          </w:rPr>
                          <w:t> </w:t>
                        </w:r>
                        <w:r>
                          <w:rPr>
                            <w:rFonts w:ascii="宋体" w:hAnsi="宋体" w:cs="宋体" w:eastAsia="宋体" w:hint="default"/>
                            <w:spacing w:val="-70"/>
                            <w:w w:val="100"/>
                            <w:sz w:val="18"/>
                            <w:szCs w:val="18"/>
                          </w:rPr>
                        </w:r>
                        <w:r>
                          <w:rPr>
                            <w:rFonts w:ascii="宋体" w:hAnsi="宋体" w:cs="宋体" w:eastAsia="宋体" w:hint="default"/>
                            <w:spacing w:val="-5"/>
                            <w:sz w:val="18"/>
                            <w:szCs w:val="18"/>
                          </w:rPr>
                          <w:t>息收入）（资金转出当日银行结息余额为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3,123.16</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万元（含利息））永久补充流动资金。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电子支付技术产研基地建设项目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（原募集资金承诺投资项目，实施地点：南京）的实施进度未</w:t>
                        </w:r>
                      </w:p>
                      <w:p>
                        <w:pPr>
                          <w:pStyle w:val="TableParagraph"/>
                          <w:spacing w:line="300" w:lineRule="auto" w:before="1"/>
                          <w:ind w:left="16"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能达到计划进度和预计收益，具体原因为：政府原本规定的项目土地建设规划要点由</w:t>
                        </w:r>
                        <w:r>
                          <w:rPr>
                            <w:rFonts w:ascii="Times New Roman" w:hAnsi="Times New Roman" w:cs="Times New Roman" w:eastAsia="Times New Roman" w:hint="default"/>
                            <w:sz w:val="18"/>
                            <w:szCs w:val="18"/>
                          </w:rPr>
                          <w:t>“</w:t>
                        </w:r>
                        <w:r>
                          <w:rPr>
                            <w:rFonts w:ascii="宋体" w:hAnsi="宋体" w:cs="宋体" w:eastAsia="宋体" w:hint="default"/>
                            <w:sz w:val="18"/>
                            <w:szCs w:val="18"/>
                          </w:rPr>
                          <w:t>建筑容积率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R</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，建筑密度</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，建筑高度</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15 </w:t>
                        </w:r>
                        <w:r>
                          <w:rPr>
                            <w:rFonts w:ascii="宋体" w:hAnsi="宋体" w:cs="宋体" w:eastAsia="宋体" w:hint="default"/>
                            <w:sz w:val="18"/>
                            <w:szCs w:val="18"/>
                          </w:rPr>
                          <w:t>米，绿地率</w:t>
                        </w:r>
                        <w:r>
                          <w:rPr>
                            <w:rFonts w:ascii="Times New Roman" w:hAnsi="Times New Roman" w:cs="Times New Roman" w:eastAsia="Times New Roman" w:hint="default"/>
                            <w:sz w:val="18"/>
                            <w:szCs w:val="18"/>
                          </w:rPr>
                          <w:t>≥45%”</w:t>
                        </w:r>
                        <w:r>
                          <w:rPr>
                            <w:rFonts w:ascii="宋体" w:hAnsi="宋体" w:cs="宋体" w:eastAsia="宋体" w:hint="default"/>
                            <w:sz w:val="18"/>
                            <w:szCs w:val="18"/>
                          </w:rPr>
                          <w:t>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建筑容积率</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R</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1.2</w:t>
                        </w:r>
                        <w:r>
                          <w:rPr>
                            <w:rFonts w:ascii="宋体" w:hAnsi="宋体" w:cs="宋体" w:eastAsia="宋体" w:hint="default"/>
                            <w:sz w:val="18"/>
                            <w:szCs w:val="18"/>
                          </w:rPr>
                          <w:t>，建筑 密度</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，建筑高度</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米，绿地率</w:t>
                        </w:r>
                        <w:r>
                          <w:rPr>
                            <w:rFonts w:ascii="Times New Roman" w:hAnsi="Times New Roman" w:cs="Times New Roman" w:eastAsia="Times New Roman" w:hint="default"/>
                            <w:sz w:val="18"/>
                            <w:szCs w:val="18"/>
                          </w:rPr>
                          <w:t>≥45%”</w:t>
                        </w:r>
                        <w:r>
                          <w:rPr>
                            <w:rFonts w:ascii="宋体" w:hAnsi="宋体" w:cs="宋体" w:eastAsia="宋体" w:hint="default"/>
                            <w:sz w:val="18"/>
                            <w:szCs w:val="18"/>
                          </w:rPr>
                          <w:t>，建设规划要点的变更导致南京项目土地的原定建设方</w:t>
                        </w:r>
                        <w:r>
                          <w:rPr>
                            <w:rFonts w:ascii="宋体" w:hAnsi="宋体" w:cs="宋体" w:eastAsia="宋体" w:hint="default"/>
                            <w:w w:val="100"/>
                            <w:sz w:val="18"/>
                            <w:szCs w:val="18"/>
                          </w:rPr>
                          <w:t> </w:t>
                        </w:r>
                        <w:r>
                          <w:rPr>
                            <w:rFonts w:ascii="宋体" w:hAnsi="宋体" w:cs="宋体" w:eastAsia="宋体" w:hint="default"/>
                            <w:spacing w:val="-2"/>
                            <w:sz w:val="18"/>
                            <w:szCs w:val="18"/>
                          </w:rPr>
                          <w:t>案无法正常实施，且根据新的建设规划要点，项目地块已经无法满足公司使用需求。该项目于</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2012</w:t>
                        </w:r>
                      </w:p>
                      <w:p>
                        <w:pPr>
                          <w:pStyle w:val="TableParagraph"/>
                          <w:spacing w:line="312" w:lineRule="auto" w:before="13"/>
                          <w:ind w:left="16" w:right="2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年度股东大会审议通过，公司已将该项目建设内容和投资资金分别迁移至深 </w:t>
                        </w:r>
                        <w:r>
                          <w:rPr>
                            <w:rFonts w:ascii="宋体" w:hAnsi="宋体" w:cs="宋体" w:eastAsia="宋体" w:hint="default"/>
                            <w:spacing w:val="-3"/>
                            <w:sz w:val="18"/>
                            <w:szCs w:val="18"/>
                          </w:rPr>
                          <w:t>圳、苏州两地实施，其中在深圳，由公司通过租赁厂房的方式实施电子支付设备生产中心；在苏州</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由公司的控股子公司苏州新国都电子技术有限公司实施电子支付技术研发中心建设项目。变更后项 目实施情况详见 </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募集资金投资项目实施地点变更情况</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015"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vMerge/>
                        <w:tcBorders>
                          <w:left w:val="single" w:sz="9" w:space="0" w:color="D2D2D2"/>
                          <w:right w:val="single" w:sz="4" w:space="0" w:color="000000"/>
                        </w:tcBorders>
                        <w:shd w:val="clear" w:color="auto" w:fill="CCE8CF"/>
                      </w:tcPr>
                      <w:p>
                        <w:pPr/>
                      </w:p>
                    </w:tc>
                  </w:tr>
                  <w:tr>
                    <w:trPr>
                      <w:trHeight w:val="2834"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shd w:val="clear" w:color="auto" w:fill="CCE8CF"/>
                      </w:tcPr>
                      <w:p>
                        <w:pPr/>
                      </w:p>
                    </w:tc>
                  </w:tr>
                  <w:tr>
                    <w:trPr>
                      <w:trHeight w:val="142"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shd w:val="clear" w:color="auto" w:fill="CCE8CF"/>
                      </w:tcPr>
                      <w:p>
                        <w:pPr>
                          <w:pStyle w:val="TableParagraph"/>
                          <w:spacing w:line="300" w:lineRule="auto" w:before="51"/>
                          <w:ind w:left="16" w:right="23"/>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、用超募资金增资深圳市易联技术有限公司（以下简称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易联技术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）开展</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电子支付服务项目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w:t>
                        </w:r>
                        <w:r>
                          <w:rPr>
                            <w:rFonts w:ascii="宋体" w:hAnsi="宋体" w:cs="宋体" w:eastAsia="宋体" w:hint="default"/>
                            <w:spacing w:val="-61"/>
                            <w:sz w:val="18"/>
                            <w:szCs w:val="18"/>
                          </w:rPr>
                          <w:t> </w:t>
                        </w:r>
                        <w:r>
                          <w:rPr>
                            <w:rFonts w:ascii="宋体" w:hAnsi="宋体" w:cs="宋体" w:eastAsia="宋体" w:hint="default"/>
                            <w:sz w:val="18"/>
                            <w:szCs w:val="18"/>
                          </w:rPr>
                          <w:t>目可行性发生重大变化，具体情况为：随着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号令的推行，国内第三方支付市场发生重大变化，且 市场竞争不断加剧。易联技术开展电子支付服务项目，主要是为了推进小额支付运营业务的进展，</w:t>
                        </w:r>
                      </w:p>
                    </w:tc>
                  </w:tr>
                  <w:tr>
                    <w:trPr>
                      <w:trHeight w:val="703"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vMerge/>
                        <w:tcBorders>
                          <w:left w:val="single" w:sz="9" w:space="0" w:color="D2D2D2"/>
                          <w:right w:val="single" w:sz="4" w:space="0" w:color="000000"/>
                        </w:tcBorders>
                        <w:shd w:val="clear" w:color="auto" w:fill="CCE8CF"/>
                      </w:tcPr>
                      <w:p>
                        <w:pPr/>
                      </w:p>
                    </w:tc>
                  </w:tr>
                  <w:tr>
                    <w:trPr>
                      <w:trHeight w:val="142"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shd w:val="clear" w:color="auto" w:fill="CCE8CF"/>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ind w:left="0" w:right="1138"/>
        <w:jc w:val="right"/>
      </w:pPr>
      <w:r>
        <w:rPr/>
        <w:t>，</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6.9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107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计划申领预付卡发行和受理业务。由于公司的小额支付运营业务受到阻碍，导致本项目无法实际开 </w:t>
                        </w:r>
                        <w:r>
                          <w:rPr>
                            <w:rFonts w:ascii="宋体" w:hAnsi="宋体" w:cs="宋体" w:eastAsia="宋体" w:hint="default"/>
                            <w:spacing w:val="-3"/>
                            <w:sz w:val="18"/>
                            <w:szCs w:val="18"/>
                          </w:rPr>
                          <w:t>展，造成项目可行性发生重大变化。</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年第一次临时股东大会审议通过了</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《审议终止深圳市易联技术有限公司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并退回其他与主营业务相关的营运资金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亿元的议案</w:t>
                        </w:r>
                        <w:r>
                          <w:rPr>
                            <w:rFonts w:ascii="宋体" w:hAnsi="宋体" w:cs="宋体" w:eastAsia="宋体" w:hint="default"/>
                            <w:spacing w:val="-90"/>
                            <w:sz w:val="18"/>
                            <w:szCs w:val="18"/>
                          </w:rPr>
                          <w:t>》</w:t>
                        </w:r>
                        <w:r>
                          <w:rPr>
                            <w:rFonts w:ascii="宋体" w:hAnsi="宋体" w:cs="宋体" w:eastAsia="宋体" w:hint="default"/>
                            <w:sz w:val="18"/>
                            <w:szCs w:val="18"/>
                          </w:rPr>
                          <w:t>，终止该项目的实施，以提高超募资金的使用效率。</w:t>
                        </w:r>
                      </w:p>
                      <w:p>
                        <w:pPr>
                          <w:pStyle w:val="TableParagraph"/>
                          <w:spacing w:line="307" w:lineRule="auto" w:before="116"/>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、电子支付终端设备运营项目：</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月，中国人民银行发布中国人民银行令【</w:t>
                        </w:r>
                        <w:r>
                          <w:rPr>
                            <w:rFonts w:ascii="Times New Roman" w:hAnsi="Times New Roman" w:cs="Times New Roman" w:eastAsia="Times New Roman" w:hint="default"/>
                            <w:sz w:val="18"/>
                            <w:szCs w:val="18"/>
                          </w:rPr>
                          <w:t>2010</w:t>
                        </w:r>
                        <w:r>
                          <w:rPr>
                            <w:rFonts w:ascii="宋体" w:hAnsi="宋体" w:cs="宋体" w:eastAsia="宋体" w:hint="default"/>
                            <w:sz w:val="18"/>
                            <w:szCs w:val="18"/>
                          </w:rPr>
                          <w:t>】第</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号 </w:t>
                        </w:r>
                        <w:r>
                          <w:rPr>
                            <w:rFonts w:ascii="宋体" w:hAnsi="宋体" w:cs="宋体" w:eastAsia="宋体" w:hint="default"/>
                            <w:spacing w:val="-4"/>
                            <w:w w:val="100"/>
                            <w:sz w:val="18"/>
                            <w:szCs w:val="18"/>
                          </w:rPr>
                          <w:t>文件《非金融机构支付服务管理办法》（以下简称</w:t>
                        </w:r>
                        <w:r>
                          <w:rPr>
                            <w:rFonts w:ascii="Times New Roman" w:hAnsi="Times New Roman" w:cs="Times New Roman" w:eastAsia="Times New Roman" w:hint="default"/>
                            <w:spacing w:val="-4"/>
                            <w:w w:val="100"/>
                            <w:sz w:val="18"/>
                            <w:szCs w:val="18"/>
                          </w:rPr>
                          <w:t>“2</w:t>
                        </w:r>
                        <w:r>
                          <w:rPr>
                            <w:rFonts w:ascii="Times New Roman" w:hAnsi="Times New Roman" w:cs="Times New Roman" w:eastAsia="Times New Roman" w:hint="default"/>
                            <w:spacing w:val="14"/>
                            <w:w w:val="100"/>
                            <w:sz w:val="18"/>
                            <w:szCs w:val="18"/>
                          </w:rPr>
                          <w:t> </w:t>
                        </w:r>
                        <w:r>
                          <w:rPr>
                            <w:rFonts w:ascii="宋体" w:hAnsi="宋体" w:cs="宋体" w:eastAsia="宋体" w:hint="default"/>
                            <w:spacing w:val="-5"/>
                            <w:w w:val="100"/>
                            <w:sz w:val="18"/>
                            <w:szCs w:val="18"/>
                          </w:rPr>
                          <w:t>号令</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），根据该办法规定，国内非金融机构从</w:t>
                        </w:r>
                        <w:r>
                          <w:rPr>
                            <w:rFonts w:ascii="宋体" w:hAnsi="宋体" w:cs="宋体" w:eastAsia="宋体" w:hint="default"/>
                            <w:spacing w:val="-84"/>
                            <w:w w:val="100"/>
                            <w:sz w:val="18"/>
                            <w:szCs w:val="18"/>
                          </w:rPr>
                          <w:t> </w:t>
                        </w:r>
                        <w:r>
                          <w:rPr>
                            <w:rFonts w:ascii="宋体" w:hAnsi="宋体" w:cs="宋体" w:eastAsia="宋体" w:hint="default"/>
                            <w:spacing w:val="-84"/>
                            <w:w w:val="100"/>
                            <w:sz w:val="18"/>
                            <w:szCs w:val="18"/>
                          </w:rPr>
                        </w:r>
                        <w:r>
                          <w:rPr>
                            <w:rFonts w:ascii="宋体" w:hAnsi="宋体" w:cs="宋体" w:eastAsia="宋体" w:hint="default"/>
                            <w:sz w:val="18"/>
                            <w:szCs w:val="18"/>
                          </w:rPr>
                          <w:t>事网上支付、预付卡的发行与受理、银行卡收单服务等业务的，必须通过中国人民银行审批，并获 得相关业务许可证书。电子支付终端设备运营项目的运营内容主要为与广州羊城通有限公司合作开 展基于</w:t>
                        </w:r>
                        <w:r>
                          <w:rPr>
                            <w:rFonts w:ascii="Times New Roman" w:hAnsi="Times New Roman" w:cs="Times New Roman" w:eastAsia="Times New Roman" w:hint="default"/>
                            <w:sz w:val="18"/>
                            <w:szCs w:val="18"/>
                          </w:rPr>
                          <w:t>“</w:t>
                        </w:r>
                        <w:r>
                          <w:rPr>
                            <w:rFonts w:ascii="宋体" w:hAnsi="宋体" w:cs="宋体" w:eastAsia="宋体" w:hint="default"/>
                            <w:sz w:val="18"/>
                            <w:szCs w:val="18"/>
                          </w:rPr>
                          <w:t>羊城通</w:t>
                        </w:r>
                        <w:r>
                          <w:rPr>
                            <w:rFonts w:ascii="Times New Roman" w:hAnsi="Times New Roman" w:cs="Times New Roman" w:eastAsia="Times New Roman" w:hint="default"/>
                            <w:sz w:val="18"/>
                            <w:szCs w:val="18"/>
                          </w:rPr>
                          <w:t>”</w:t>
                        </w:r>
                        <w:r>
                          <w:rPr>
                            <w:rFonts w:ascii="宋体" w:hAnsi="宋体" w:cs="宋体" w:eastAsia="宋体" w:hint="default"/>
                            <w:sz w:val="18"/>
                            <w:szCs w:val="18"/>
                          </w:rPr>
                          <w:t>公交卡的小额支付合作运营业务，以及为商业银行、第三方提供设备租赁服务。由 于受到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号令实施和审批进度的影响，以及广州羊城通有限公司在申领预付卡发行与受理牌照的进</w:t>
                        </w:r>
                      </w:p>
                      <w:p>
                        <w:pPr>
                          <w:pStyle w:val="TableParagraph"/>
                          <w:spacing w:line="304" w:lineRule="auto" w:before="7"/>
                          <w:ind w:left="22" w:right="21"/>
                          <w:jc w:val="left"/>
                          <w:rPr>
                            <w:rFonts w:ascii="宋体" w:hAnsi="宋体" w:cs="宋体" w:eastAsia="宋体" w:hint="default"/>
                            <w:sz w:val="18"/>
                            <w:szCs w:val="18"/>
                          </w:rPr>
                        </w:pPr>
                        <w:r>
                          <w:rPr>
                            <w:rFonts w:ascii="宋体" w:hAnsi="宋体" w:cs="宋体" w:eastAsia="宋体" w:hint="default"/>
                            <w:sz w:val="18"/>
                            <w:szCs w:val="18"/>
                          </w:rPr>
                          <w:t>度限制，本项目的实施进度缓慢，项目一直未能达到预计收益。截止至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日，广州羊 </w:t>
                        </w:r>
                        <w:r>
                          <w:rPr>
                            <w:rFonts w:ascii="宋体" w:hAnsi="宋体" w:cs="宋体" w:eastAsia="宋体" w:hint="default"/>
                            <w:spacing w:val="-3"/>
                            <w:sz w:val="18"/>
                            <w:szCs w:val="18"/>
                          </w:rPr>
                          <w:t>城通有限公司仍未能取得预付卡发行与受理牌照，对公司电子支付终端设备运营项目直接产生影响</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鉴于上述情况，公司于</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日召开第三届董事会第七次会议，审议通过《关于终止部分 </w:t>
                        </w:r>
                        <w:r>
                          <w:rPr>
                            <w:rFonts w:ascii="宋体" w:hAnsi="宋体" w:cs="宋体" w:eastAsia="宋体" w:hint="default"/>
                            <w:spacing w:val="-3"/>
                            <w:sz w:val="18"/>
                            <w:szCs w:val="18"/>
                          </w:rPr>
                          <w:t>募投项目并将剩余募集资金永久补充流动资金的议案》，同意终止募投项目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电子支付终端设备运营</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6"/>
                            <w:sz w:val="18"/>
                            <w:szCs w:val="18"/>
                          </w:rPr>
                          <w:t>项目</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的实施，并将该项目剩余资金（含利息收入）（资金转出当日银行结息余额为</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3,123.16</w:t>
                        </w:r>
                        <w:r>
                          <w:rPr>
                            <w:rFonts w:ascii="Times New Roman" w:hAnsi="Times New Roman" w:cs="Times New Roman" w:eastAsia="Times New Roman" w:hint="default"/>
                            <w:spacing w:val="5"/>
                            <w:sz w:val="18"/>
                            <w:szCs w:val="18"/>
                          </w:rPr>
                          <w:t> </w:t>
                        </w:r>
                        <w:r>
                          <w:rPr>
                            <w:rFonts w:ascii="宋体" w:hAnsi="宋体" w:cs="宋体" w:eastAsia="宋体" w:hint="default"/>
                            <w:spacing w:val="-11"/>
                            <w:sz w:val="18"/>
                            <w:szCs w:val="18"/>
                          </w:rPr>
                          <w:t>万元（含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利息））永久补充流动资金。</w:t>
                        </w:r>
                      </w:p>
                      <w:p>
                        <w:pPr>
                          <w:pStyle w:val="TableParagraph"/>
                          <w:spacing w:line="307" w:lineRule="auto" w:before="66"/>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日公司与深圳市瑞柏泰电子有限公司股东签署《深圳市新国都技术股份有限公司 </w:t>
                        </w:r>
                        <w:r>
                          <w:rPr>
                            <w:rFonts w:ascii="宋体" w:hAnsi="宋体" w:cs="宋体" w:eastAsia="宋体" w:hint="default"/>
                            <w:spacing w:val="-5"/>
                            <w:sz w:val="18"/>
                            <w:szCs w:val="18"/>
                          </w:rPr>
                          <w:t>与蔡敏及深圳市柏士泰科技有限公司关于深圳市瑞柏泰电子有限公司之股权回购协议》，该事项已经</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公司第三届董事会第三十次会议和第三届监事会第二十九次会议审议通过，根据公司与蔡敏女士于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月签订的《股权受让合同》约定，新国都受让深圳市瑞柏泰电子有限公司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股权。后 蔡敏女士将其持有的瑞柏泰</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股权全部转让至其设立并控制的深圳市柏士泰科技有限公司（以下 </w:t>
                        </w:r>
                        <w:r>
                          <w:rPr>
                            <w:rFonts w:ascii="宋体" w:hAnsi="宋体" w:cs="宋体" w:eastAsia="宋体" w:hint="default"/>
                            <w:spacing w:val="-6"/>
                            <w:w w:val="100"/>
                            <w:sz w:val="18"/>
                            <w:szCs w:val="18"/>
                          </w:rPr>
                          <w:t>简称</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柏士泰</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）。考虑到自公司受让瑞柏泰</w:t>
                        </w:r>
                        <w:r>
                          <w:rPr>
                            <w:rFonts w:ascii="宋体" w:hAnsi="宋体" w:cs="宋体" w:eastAsia="宋体" w:hint="default"/>
                            <w:spacing w:val="-30"/>
                            <w:w w:val="100"/>
                            <w:sz w:val="18"/>
                            <w:szCs w:val="18"/>
                          </w:rPr>
                          <w:t> </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股权后，公司和瑞柏泰的业务合作、团队整合等方面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未达预期，同时公司和瑞柏泰的业务模式和未来发展战略存在差异，经公司、蔡敏女士及柏士泰友 </w:t>
                        </w:r>
                        <w:r>
                          <w:rPr>
                            <w:rFonts w:ascii="宋体" w:hAnsi="宋体" w:cs="宋体" w:eastAsia="宋体" w:hint="default"/>
                            <w:spacing w:val="-3"/>
                            <w:sz w:val="18"/>
                            <w:szCs w:val="18"/>
                          </w:rPr>
                          <w:t>好协商，各方一致同意，由柏士泰受让公司持有瑞柏泰的全部股权，包括公司根据《股权受让合同</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受让的瑞柏泰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的股权及柏士泰依据相关合同及协议应无偿转让给公司的瑞柏泰的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股权，股 权转让价格为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2,860</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万元，于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日完成了工商变更手续。</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日，经各方协</w:t>
                        </w:r>
                        <w:r>
                          <w:rPr>
                            <w:rFonts w:ascii="宋体" w:hAnsi="宋体" w:cs="宋体" w:eastAsia="宋体" w:hint="default"/>
                            <w:sz w:val="18"/>
                            <w:szCs w:val="18"/>
                          </w:rPr>
                          <w:t> 商并经公司第三届董事会第三十六次会议审议通过，公司与蔡敏及柏士泰签署《深圳市新国都技术 股份有限公司与蔡敏及深圳市柏士泰科技有限公司关于深圳市瑞柏泰电子有限公司之股权回购协议 </w:t>
                        </w:r>
                        <w:r>
                          <w:rPr>
                            <w:rFonts w:ascii="宋体" w:hAnsi="宋体" w:cs="宋体" w:eastAsia="宋体" w:hint="default"/>
                            <w:spacing w:val="-6"/>
                            <w:sz w:val="18"/>
                            <w:szCs w:val="18"/>
                          </w:rPr>
                          <w:t>之补充协议（二）》，对股权回购价格的支付约定修改为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本次股权转让的工商变更手续办理完毕之日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起七个自然月内，丙方向甲方指定银行账户支付回购款 </w:t>
                        </w:r>
                        <w:r>
                          <w:rPr>
                            <w:rFonts w:ascii="Times New Roman" w:hAnsi="Times New Roman" w:cs="Times New Roman" w:eastAsia="Times New Roman" w:hint="default"/>
                            <w:sz w:val="18"/>
                            <w:szCs w:val="18"/>
                          </w:rPr>
                          <w:t>2,360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，经本公司第三届董事会第三 十一次会议和第三届监事会第三十次会议审议通过，及公司</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年第四次临时股东大会批准，本次</w:t>
                        </w:r>
                      </w:p>
                      <w:p>
                        <w:pPr>
                          <w:pStyle w:val="TableParagraph"/>
                          <w:spacing w:line="240" w:lineRule="auto" w:before="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股权转让交易所得款项将用于暂时性补充流动资金。本公司招商银行车公庙支行账户于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日分别收到瑞柏泰回购股权款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日将实际用于暂时补充流动资金人民币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万元归还至公司募集资金专用账户。</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2011 </w:t>
                        </w:r>
                        <w:r>
                          <w:rPr>
                            <w:rFonts w:ascii="宋体" w:hAnsi="宋体" w:cs="宋体" w:eastAsia="宋体" w:hint="default"/>
                            <w:sz w:val="18"/>
                            <w:szCs w:val="18"/>
                          </w:rPr>
                          <w:t>年第一次临时股东大会会议于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日召开，审议通过了《关于审议使用部分</w:t>
                        </w:r>
                        <w:r>
                          <w:rPr>
                            <w:rFonts w:ascii="宋体" w:hAnsi="宋体" w:cs="宋体" w:eastAsia="宋体" w:hint="default"/>
                            <w:sz w:val="18"/>
                            <w:szCs w:val="18"/>
                          </w:rPr>
                          <w:t> </w:t>
                        </w:r>
                        <w:r>
                          <w:rPr>
                            <w:rFonts w:ascii="宋体" w:hAnsi="宋体" w:cs="宋体" w:eastAsia="宋体" w:hint="default"/>
                            <w:spacing w:val="-1"/>
                            <w:sz w:val="18"/>
                            <w:szCs w:val="18"/>
                          </w:rPr>
                          <w:t>其他与主营业务相关的营运资金对全资子公司深圳市新国都软件技术有限公司增资的议案》</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公司于</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日使用超募资金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24"/>
                            <w:sz w:val="18"/>
                            <w:szCs w:val="18"/>
                          </w:rPr>
                          <w:t> </w:t>
                        </w:r>
                        <w:r>
                          <w:rPr>
                            <w:rFonts w:ascii="宋体" w:hAnsi="宋体" w:cs="宋体" w:eastAsia="宋体" w:hint="default"/>
                            <w:spacing w:val="-7"/>
                            <w:sz w:val="18"/>
                            <w:szCs w:val="18"/>
                          </w:rPr>
                          <w:t>亿增资新国都软件公司。（注：现已更名为深圳市易联技术有限</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90"/>
                            <w:sz w:val="18"/>
                            <w:szCs w:val="18"/>
                          </w:rPr>
                          <w:t>）</w:t>
                        </w:r>
                        <w:r>
                          <w:rPr>
                            <w:rFonts w:ascii="宋体" w:hAnsi="宋体" w:cs="宋体" w:eastAsia="宋体" w:hint="default"/>
                            <w:spacing w:val="-29"/>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r>
                          <w:rPr>
                            <w:rFonts w:ascii="宋体" w:hAnsi="宋体" w:cs="宋体" w:eastAsia="宋体" w:hint="default"/>
                            <w:spacing w:val="-29"/>
                            <w:sz w:val="18"/>
                            <w:szCs w:val="18"/>
                          </w:rPr>
                          <w:t>，</w:t>
                        </w:r>
                        <w:r>
                          <w:rPr>
                            <w:rFonts w:ascii="宋体" w:hAnsi="宋体" w:cs="宋体" w:eastAsia="宋体" w:hint="default"/>
                            <w:sz w:val="18"/>
                            <w:szCs w:val="18"/>
                          </w:rPr>
                          <w:t>经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年第一次临时股东大会审议通过</w:t>
                        </w:r>
                        <w:r>
                          <w:rPr>
                            <w:rFonts w:ascii="宋体" w:hAnsi="宋体" w:cs="宋体" w:eastAsia="宋体" w:hint="default"/>
                            <w:spacing w:val="-29"/>
                            <w:sz w:val="18"/>
                            <w:szCs w:val="18"/>
                          </w:rPr>
                          <w:t>了</w:t>
                        </w:r>
                        <w:r>
                          <w:rPr>
                            <w:rFonts w:ascii="宋体" w:hAnsi="宋体" w:cs="宋体" w:eastAsia="宋体" w:hint="default"/>
                            <w:sz w:val="18"/>
                            <w:szCs w:val="18"/>
                          </w:rPr>
                          <w:t>《审议终止深圳市易联技</w:t>
                        </w:r>
                      </w:p>
                      <w:p>
                        <w:pPr>
                          <w:pStyle w:val="TableParagraph"/>
                          <w:spacing w:line="302" w:lineRule="auto" w:before="63"/>
                          <w:ind w:left="22" w:right="42"/>
                          <w:jc w:val="both"/>
                          <w:rPr>
                            <w:rFonts w:ascii="宋体" w:hAnsi="宋体" w:cs="宋体" w:eastAsia="宋体" w:hint="default"/>
                            <w:sz w:val="18"/>
                            <w:szCs w:val="18"/>
                          </w:rPr>
                        </w:pPr>
                        <w:r>
                          <w:rPr>
                            <w:rFonts w:ascii="宋体" w:hAnsi="宋体" w:cs="宋体" w:eastAsia="宋体" w:hint="default"/>
                            <w:w w:val="100"/>
                            <w:sz w:val="18"/>
                            <w:szCs w:val="18"/>
                          </w:rPr>
                          <w:t>术有限公司</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电子支付服务项目</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并退回其他与主营业务相关的营运资金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pacing w:val="-9"/>
                            <w:sz w:val="18"/>
                            <w:szCs w:val="18"/>
                          </w:rPr>
                          <w:t>亿元的议案》，终止该项</w:t>
                        </w:r>
                        <w:r>
                          <w:rPr>
                            <w:rFonts w:ascii="宋体" w:hAnsi="宋体" w:cs="宋体" w:eastAsia="宋体" w:hint="default"/>
                            <w:sz w:val="18"/>
                            <w:szCs w:val="18"/>
                          </w:rPr>
                          <w:t> 目的实施。</w:t>
                        </w:r>
                      </w:p>
                      <w:p>
                        <w:pPr>
                          <w:pStyle w:val="TableParagraph"/>
                          <w:spacing w:line="240" w:lineRule="auto" w:before="68"/>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、本公司于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日召开第二届董事会第二次会议，会议通过了《关于投资建设</w:t>
                        </w:r>
                        <w:r>
                          <w:rPr>
                            <w:rFonts w:ascii="Times New Roman" w:hAnsi="Times New Roman" w:cs="Times New Roman" w:eastAsia="Times New Roman" w:hint="default"/>
                            <w:sz w:val="18"/>
                            <w:szCs w:val="18"/>
                          </w:rPr>
                          <w:t>“</w:t>
                        </w:r>
                        <w:r>
                          <w:rPr>
                            <w:rFonts w:ascii="宋体" w:hAnsi="宋体" w:cs="宋体" w:eastAsia="宋体" w:hint="default"/>
                            <w:sz w:val="18"/>
                            <w:szCs w:val="18"/>
                          </w:rPr>
                          <w:t>电子</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支付技术苏州研发基地</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pacing w:val="-63"/>
                            <w:sz w:val="18"/>
                            <w:szCs w:val="18"/>
                          </w:rPr>
                          <w:t>，</w:t>
                        </w:r>
                        <w:r>
                          <w:rPr>
                            <w:rFonts w:ascii="宋体" w:hAnsi="宋体" w:cs="宋体" w:eastAsia="宋体" w:hint="default"/>
                            <w:sz w:val="18"/>
                            <w:szCs w:val="18"/>
                          </w:rPr>
                          <w:t>同意从其他与主营业务相关的营运资金</w:t>
                        </w:r>
                        <w:r>
                          <w:rPr>
                            <w:rFonts w:ascii="Times New Roman" w:hAnsi="Times New Roman" w:cs="Times New Roman" w:eastAsia="Times New Roman" w:hint="default"/>
                            <w:sz w:val="18"/>
                            <w:szCs w:val="18"/>
                          </w:rPr>
                          <w:t>(</w:t>
                        </w:r>
                        <w:r>
                          <w:rPr>
                            <w:rFonts w:ascii="宋体" w:hAnsi="宋体" w:cs="宋体" w:eastAsia="宋体" w:hint="default"/>
                            <w:sz w:val="18"/>
                            <w:szCs w:val="18"/>
                          </w:rPr>
                          <w:t>超募资金</w:t>
                        </w:r>
                        <w:r>
                          <w:rPr>
                            <w:rFonts w:ascii="Times New Roman" w:hAnsi="Times New Roman" w:cs="Times New Roman" w:eastAsia="Times New Roman" w:hint="default"/>
                            <w:sz w:val="18"/>
                            <w:szCs w:val="18"/>
                          </w:rPr>
                          <w:t>)</w:t>
                        </w:r>
                        <w:r>
                          <w:rPr>
                            <w:rFonts w:ascii="宋体" w:hAnsi="宋体" w:cs="宋体" w:eastAsia="宋体" w:hint="default"/>
                            <w:sz w:val="18"/>
                            <w:szCs w:val="18"/>
                          </w:rPr>
                          <w:t>中支出 </w:t>
                        </w:r>
                        <w:r>
                          <w:rPr>
                            <w:rFonts w:ascii="Times New Roman" w:hAnsi="Times New Roman" w:cs="Times New Roman" w:eastAsia="Times New Roman" w:hint="default"/>
                            <w:sz w:val="18"/>
                            <w:szCs w:val="18"/>
                          </w:rPr>
                          <w:t>1.35  </w:t>
                        </w:r>
                        <w:r>
                          <w:rPr>
                            <w:rFonts w:ascii="宋体" w:hAnsi="宋体" w:cs="宋体" w:eastAsia="宋体" w:hint="default"/>
                            <w:sz w:val="18"/>
                            <w:szCs w:val="18"/>
                          </w:rPr>
                          <w:t>亿</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0"/>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0" w:right="1138"/>
        <w:jc w:val="right"/>
      </w:pPr>
      <w:r>
        <w:rPr/>
        <w:t>》</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3.4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1175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元人民币，以货币资金形式对苏州新国都投资。</w:t>
                        </w: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、本公司于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日召开第二届董事会第三次会议，会议通过了《关于使用部分超募</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资金永久补充流动资金的议案</w:t>
                        </w:r>
                        <w:r>
                          <w:rPr>
                            <w:rFonts w:ascii="宋体" w:hAnsi="宋体" w:cs="宋体" w:eastAsia="宋体" w:hint="default"/>
                            <w:spacing w:val="-90"/>
                            <w:sz w:val="18"/>
                            <w:szCs w:val="18"/>
                          </w:rPr>
                          <w:t>》</w:t>
                        </w:r>
                        <w:r>
                          <w:rPr>
                            <w:rFonts w:ascii="宋体" w:hAnsi="宋体" w:cs="宋体" w:eastAsia="宋体" w:hint="default"/>
                            <w:spacing w:val="-18"/>
                            <w:sz w:val="18"/>
                            <w:szCs w:val="18"/>
                          </w:rPr>
                          <w:t>，</w:t>
                        </w:r>
                        <w:r>
                          <w:rPr>
                            <w:rFonts w:ascii="宋体" w:hAnsi="宋体" w:cs="宋体" w:eastAsia="宋体" w:hint="default"/>
                            <w:sz w:val="18"/>
                            <w:szCs w:val="18"/>
                          </w:rPr>
                          <w:t>同意公司使用部分超募资金 </w:t>
                        </w:r>
                        <w:r>
                          <w:rPr>
                            <w:rFonts w:ascii="Times New Roman" w:hAnsi="Times New Roman" w:cs="Times New Roman" w:eastAsia="Times New Roman" w:hint="default"/>
                            <w:sz w:val="18"/>
                            <w:szCs w:val="18"/>
                          </w:rPr>
                          <w:t>4,500  </w:t>
                        </w:r>
                        <w:r>
                          <w:rPr>
                            <w:rFonts w:ascii="宋体" w:hAnsi="宋体" w:cs="宋体" w:eastAsia="宋体" w:hint="default"/>
                            <w:spacing w:val="-2"/>
                            <w:sz w:val="18"/>
                            <w:szCs w:val="18"/>
                          </w:rPr>
                          <w:t>万</w:t>
                        </w:r>
                        <w:r>
                          <w:rPr>
                            <w:rFonts w:ascii="宋体" w:hAnsi="宋体" w:cs="宋体" w:eastAsia="宋体" w:hint="default"/>
                            <w:sz w:val="18"/>
                            <w:szCs w:val="18"/>
                          </w:rPr>
                          <w:t>元永久补充流动资金；</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月，公司从募集资金账户支取人民币 </w:t>
                        </w: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万元用于永久补充流动资金。</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、本公司于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年第一次临时股东大会，会议审议通过了《审议使用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部分超募资金永久补充流动资金的议案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，同意公司使用部分超募资金 </w:t>
                        </w:r>
                        <w:r>
                          <w:rPr>
                            <w:rFonts w:ascii="Times New Roman" w:hAnsi="Times New Roman" w:cs="Times New Roman" w:eastAsia="Times New Roman" w:hint="default"/>
                            <w:sz w:val="18"/>
                            <w:szCs w:val="18"/>
                          </w:rPr>
                          <w:t>3,700  </w:t>
                        </w:r>
                        <w:r>
                          <w:rPr>
                            <w:rFonts w:ascii="宋体" w:hAnsi="宋体" w:cs="宋体" w:eastAsia="宋体" w:hint="default"/>
                            <w:sz w:val="18"/>
                            <w:szCs w:val="18"/>
                          </w:rPr>
                          <w:t>万元永</w:t>
                        </w:r>
                        <w:r>
                          <w:rPr>
                            <w:rFonts w:ascii="宋体" w:hAnsi="宋体" w:cs="宋体" w:eastAsia="宋体" w:hint="default"/>
                            <w:spacing w:val="-2"/>
                            <w:sz w:val="18"/>
                            <w:szCs w:val="18"/>
                          </w:rPr>
                          <w:t>久</w:t>
                        </w:r>
                        <w:r>
                          <w:rPr>
                            <w:rFonts w:ascii="宋体" w:hAnsi="宋体" w:cs="宋体" w:eastAsia="宋体" w:hint="default"/>
                            <w:sz w:val="18"/>
                            <w:szCs w:val="18"/>
                          </w:rPr>
                          <w:t>补充流动资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月，公司从募集资金账户支取人民币 </w:t>
                        </w:r>
                        <w:r>
                          <w:rPr>
                            <w:rFonts w:ascii="Times New Roman" w:hAnsi="Times New Roman" w:cs="Times New Roman" w:eastAsia="Times New Roman" w:hint="default"/>
                            <w:sz w:val="18"/>
                            <w:szCs w:val="18"/>
                          </w:rPr>
                          <w:t>3,700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万元用于永久补充流动资金。</w:t>
                        </w:r>
                      </w:p>
                      <w:p>
                        <w:pPr>
                          <w:pStyle w:val="TableParagraph"/>
                          <w:spacing w:line="307" w:lineRule="auto" w:before="10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日召开第二届董事会第十次会议，会议通过了《审议收购深圳市瑞柏 泰电子有限公司</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20%</w:t>
                        </w:r>
                        <w:r>
                          <w:rPr>
                            <w:rFonts w:ascii="宋体" w:hAnsi="宋体" w:cs="宋体" w:eastAsia="宋体" w:hint="default"/>
                            <w:spacing w:val="-4"/>
                            <w:sz w:val="18"/>
                            <w:szCs w:val="18"/>
                          </w:rPr>
                          <w:t>股权的议案》，同意公司使用超募资金人民币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万元向蔡敏女士购买其所 持瑞柏泰公司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日，公司从募集资金账户转出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万元。新国都受让深圳 市瑞柏泰电子有限公司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股权后，蔡敏女士将其持有的瑞柏泰</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股权全部转让至其设立并控制 </w:t>
                        </w:r>
                        <w:r>
                          <w:rPr>
                            <w:rFonts w:ascii="宋体" w:hAnsi="宋体" w:cs="宋体" w:eastAsia="宋体" w:hint="default"/>
                            <w:spacing w:val="-4"/>
                            <w:w w:val="100"/>
                            <w:sz w:val="18"/>
                            <w:szCs w:val="18"/>
                          </w:rPr>
                          <w:t>的深圳市柏士泰科技有限公司（以下简称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柏士泰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w:t>
                        </w:r>
                        <w:r>
                          <w:rPr>
                            <w:rFonts w:ascii="Times New Roman" w:hAnsi="Times New Roman" w:cs="Times New Roman" w:eastAsia="Times New Roman" w:hint="default"/>
                            <w:spacing w:val="-4"/>
                            <w:w w:val="100"/>
                            <w:sz w:val="18"/>
                            <w:szCs w:val="18"/>
                          </w:rPr>
                          <w:t>2016</w:t>
                        </w:r>
                        <w:r>
                          <w:rPr>
                            <w:rFonts w:ascii="Times New Roman" w:hAnsi="Times New Roman" w:cs="Times New Roman" w:eastAsia="Times New Roman" w:hint="default"/>
                            <w:spacing w:val="-1"/>
                            <w:w w:val="10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日公司与深圳市瑞柏泰电子有 限公司股东签署《深圳市新国都技术股份有限公司与蔡敏及深圳市柏士泰科技有限公司关于深圳市 </w:t>
                        </w:r>
                        <w:r>
                          <w:rPr>
                            <w:rFonts w:ascii="宋体" w:hAnsi="宋体" w:cs="宋体" w:eastAsia="宋体" w:hint="default"/>
                            <w:spacing w:val="-5"/>
                            <w:sz w:val="18"/>
                            <w:szCs w:val="18"/>
                          </w:rPr>
                          <w:t>瑞柏泰电子有限公司之股权回购协议》，该事项已经公司第三届监事会第二十九次会议及第三届董事</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会第三十次会议审议通过，考虑到自公司受让瑞柏泰</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股权后，公司和瑞柏泰的业务合作、团队 整合等方面未达预期，同时公司和瑞柏泰的业务模式和未来发展战略存在差异，经公司、蔡敏女士 及柏士泰友好协商，各方一致同意，由柏士泰受让公司持有瑞柏泰的全部股权，包括公司根据《股 权受让合同》受让的瑞柏泰</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的股权及柏士泰依据相关合同及协议应无偿转让给公司的瑞柏泰的 </w:t>
                        </w:r>
                        <w:r>
                          <w:rPr>
                            <w:rFonts w:ascii="Times New Roman" w:hAnsi="Times New Roman" w:cs="Times New Roman" w:eastAsia="Times New Roman" w:hint="default"/>
                            <w:sz w:val="18"/>
                            <w:szCs w:val="18"/>
                          </w:rPr>
                          <w:t>4%</w:t>
                        </w:r>
                        <w:r>
                          <w:rPr>
                            <w:rFonts w:ascii="宋体" w:hAnsi="宋体" w:cs="宋体" w:eastAsia="宋体" w:hint="default"/>
                            <w:sz w:val="18"/>
                            <w:szCs w:val="18"/>
                          </w:rPr>
                          <w:t>股权，终止此超募资金项目，股权转让价格为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万元，本次股权转让已于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9" w:lineRule="auto" w:before="7"/>
                          <w:ind w:left="22" w:right="21"/>
                          <w:jc w:val="both"/>
                          <w:rPr>
                            <w:rFonts w:ascii="宋体" w:hAnsi="宋体" w:cs="宋体" w:eastAsia="宋体" w:hint="default"/>
                            <w:sz w:val="18"/>
                            <w:szCs w:val="18"/>
                          </w:rPr>
                        </w:pPr>
                        <w:r>
                          <w:rPr>
                            <w:rFonts w:ascii="宋体" w:hAnsi="宋体" w:cs="宋体" w:eastAsia="宋体" w:hint="default"/>
                            <w:sz w:val="18"/>
                            <w:szCs w:val="18"/>
                          </w:rPr>
                          <w:t>办理完成工商变更手续。具体详见公司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日披露于巨潮资讯网的相关公告。根据《股 权回购协议》约定：柏士泰应于本次股权转让事项工商手续变更完毕之日起三个自然月内，向新国 都支付回购款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2,360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万元；《股权回购协议》之补充协议（二）将上述支付条款变更为：本次股权转</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让的工商变更手续办理完毕之日起七个自然月内，丙方向甲方指定银行账户支付回购款</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2,360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w:t>
                        </w:r>
                      </w:p>
                      <w:p>
                        <w:pPr>
                          <w:pStyle w:val="TableParagraph"/>
                          <w:spacing w:line="309" w:lineRule="auto" w:before="63"/>
                          <w:ind w:left="22" w:right="2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经本公司第三届董事会第三十一次会议和第三届监事会第三十次会议审议通过，及公司</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年第四</w:t>
                        </w:r>
                        <w:r>
                          <w:rPr>
                            <w:rFonts w:ascii="宋体" w:hAnsi="宋体" w:cs="宋体" w:eastAsia="宋体" w:hint="default"/>
                            <w:spacing w:val="-86"/>
                            <w:sz w:val="18"/>
                            <w:szCs w:val="18"/>
                          </w:rPr>
                          <w:t> </w:t>
                        </w:r>
                        <w:r>
                          <w:rPr>
                            <w:rFonts w:ascii="宋体" w:hAnsi="宋体" w:cs="宋体" w:eastAsia="宋体" w:hint="default"/>
                            <w:sz w:val="18"/>
                            <w:szCs w:val="18"/>
                          </w:rPr>
                          <w:t>次临时股东大会批准，本次股权转让交易所得款项将用于暂时性补充流动资金。本公司招商银行车 公庙支行账户于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日分别收到瑞柏泰回购股权款</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360</w:t>
                        </w:r>
                      </w:p>
                      <w:p>
                        <w:pPr>
                          <w:pStyle w:val="TableParagraph"/>
                          <w:spacing w:line="302" w:lineRule="auto" w:before="5"/>
                          <w:ind w:left="22" w:right="71"/>
                          <w:jc w:val="left"/>
                          <w:rPr>
                            <w:rFonts w:ascii="宋体" w:hAnsi="宋体" w:cs="宋体" w:eastAsia="宋体" w:hint="default"/>
                            <w:sz w:val="18"/>
                            <w:szCs w:val="18"/>
                          </w:rPr>
                        </w:pPr>
                        <w:r>
                          <w:rPr>
                            <w:rFonts w:ascii="宋体" w:hAnsi="宋体" w:cs="宋体" w:eastAsia="宋体" w:hint="default"/>
                            <w:sz w:val="18"/>
                            <w:szCs w:val="18"/>
                          </w:rPr>
                          <w:t>万元，并于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日将实际用于暂时补充流动资金人民币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万元归还至公司募集资金 专用账户。</w:t>
                        </w:r>
                      </w:p>
                      <w:p>
                        <w:pPr>
                          <w:pStyle w:val="TableParagraph"/>
                          <w:spacing w:line="240" w:lineRule="auto" w:before="69"/>
                          <w:ind w:left="11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、本公司于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日召开第二届董事会第十七次会议，会议通过了《关于使用部分超募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资金永久补充流动资金的议案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，同意公司使用部分超募资金 </w:t>
                        </w:r>
                        <w:r>
                          <w:rPr>
                            <w:rFonts w:ascii="Times New Roman" w:hAnsi="Times New Roman" w:cs="Times New Roman" w:eastAsia="Times New Roman" w:hint="default"/>
                            <w:sz w:val="18"/>
                            <w:szCs w:val="18"/>
                          </w:rPr>
                          <w:t>8,200  </w:t>
                        </w:r>
                        <w:r>
                          <w:rPr>
                            <w:rFonts w:ascii="宋体" w:hAnsi="宋体" w:cs="宋体" w:eastAsia="宋体" w:hint="default"/>
                            <w:spacing w:val="-2"/>
                            <w:sz w:val="18"/>
                            <w:szCs w:val="18"/>
                          </w:rPr>
                          <w:t>万</w:t>
                        </w:r>
                        <w:r>
                          <w:rPr>
                            <w:rFonts w:ascii="宋体" w:hAnsi="宋体" w:cs="宋体" w:eastAsia="宋体" w:hint="default"/>
                            <w:sz w:val="18"/>
                            <w:szCs w:val="18"/>
                          </w:rPr>
                          <w:t>元永久补充流动资金；会议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3"/>
                            <w:sz w:val="18"/>
                            <w:szCs w:val="18"/>
                          </w:rPr>
                          <w:t>还通过了《审议增加投资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电子支付技术苏州研发基地项目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的议案》同意公司使用人民币 </w:t>
                        </w:r>
                        <w:r>
                          <w:rPr>
                            <w:rFonts w:ascii="Times New Roman" w:hAnsi="Times New Roman" w:cs="Times New Roman" w:eastAsia="Times New Roman" w:hint="default"/>
                            <w:sz w:val="18"/>
                            <w:szCs w:val="18"/>
                          </w:rPr>
                          <w:t>13,000 </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元对</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电子支付技术苏州研发基地项目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增加投资，其中 </w:t>
                        </w:r>
                        <w:r>
                          <w:rPr>
                            <w:rFonts w:ascii="Times New Roman" w:hAnsi="Times New Roman" w:cs="Times New Roman" w:eastAsia="Times New Roman" w:hint="default"/>
                            <w:sz w:val="18"/>
                            <w:szCs w:val="18"/>
                          </w:rPr>
                          <w:t>12,184.61 </w:t>
                        </w:r>
                        <w:r>
                          <w:rPr>
                            <w:rFonts w:ascii="Times New Roman" w:hAnsi="Times New Roman" w:cs="Times New Roman" w:eastAsia="Times New Roman" w:hint="default"/>
                            <w:spacing w:val="33"/>
                            <w:sz w:val="18"/>
                            <w:szCs w:val="18"/>
                          </w:rPr>
                          <w:t> </w:t>
                        </w:r>
                        <w:r>
                          <w:rPr>
                            <w:rFonts w:ascii="宋体" w:hAnsi="宋体" w:cs="宋体" w:eastAsia="宋体" w:hint="default"/>
                            <w:spacing w:val="-4"/>
                            <w:sz w:val="18"/>
                            <w:szCs w:val="18"/>
                          </w:rPr>
                          <w:t>万元由上市超募资金解决，</w:t>
                        </w:r>
                        <w:r>
                          <w:rPr>
                            <w:rFonts w:ascii="Times New Roman" w:hAnsi="Times New Roman" w:cs="Times New Roman" w:eastAsia="Times New Roman" w:hint="default"/>
                            <w:spacing w:val="-4"/>
                            <w:sz w:val="18"/>
                            <w:szCs w:val="18"/>
                          </w:rPr>
                          <w:t>815.39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万元由企业自筹解决，全部投资将以增资形式投入苏州新国都。</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日，公司发布</w:t>
                        </w:r>
                      </w:p>
                      <w:p>
                        <w:pPr>
                          <w:pStyle w:val="TableParagraph"/>
                          <w:spacing w:line="307" w:lineRule="auto" w:before="63"/>
                          <w:ind w:left="22" w:right="25"/>
                          <w:jc w:val="left"/>
                          <w:rPr>
                            <w:rFonts w:ascii="宋体" w:hAnsi="宋体" w:cs="宋体" w:eastAsia="宋体" w:hint="default"/>
                            <w:sz w:val="18"/>
                            <w:szCs w:val="18"/>
                          </w:rPr>
                        </w:pPr>
                        <w:r>
                          <w:rPr>
                            <w:rFonts w:ascii="宋体" w:hAnsi="宋体" w:cs="宋体" w:eastAsia="宋体" w:hint="default"/>
                            <w:spacing w:val="-4"/>
                            <w:sz w:val="18"/>
                            <w:szCs w:val="18"/>
                          </w:rPr>
                          <w:t>《关于注销部分募集资金专户的公告》（公告编号：</w:t>
                        </w:r>
                        <w:r>
                          <w:rPr>
                            <w:rFonts w:ascii="Times New Roman" w:hAnsi="Times New Roman" w:cs="Times New Roman" w:eastAsia="Times New Roman" w:hint="default"/>
                            <w:spacing w:val="-4"/>
                            <w:sz w:val="18"/>
                            <w:szCs w:val="18"/>
                          </w:rPr>
                          <w:t>2015-007</w:t>
                        </w:r>
                        <w:r>
                          <w:rPr>
                            <w:rFonts w:ascii="宋体" w:hAnsi="宋体" w:cs="宋体" w:eastAsia="宋体" w:hint="default"/>
                            <w:spacing w:val="-4"/>
                            <w:sz w:val="18"/>
                            <w:szCs w:val="18"/>
                          </w:rPr>
                          <w:t>），截止至公告披露日期，超募资金专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户</w:t>
                        </w:r>
                        <w:r>
                          <w:rPr>
                            <w:rFonts w:ascii="Times New Roman" w:hAnsi="Times New Roman" w:cs="Times New Roman" w:eastAsia="Times New Roman" w:hint="default"/>
                            <w:sz w:val="18"/>
                            <w:szCs w:val="18"/>
                          </w:rPr>
                          <w:t>—</w:t>
                        </w:r>
                        <w:r>
                          <w:rPr>
                            <w:rFonts w:ascii="宋体" w:hAnsi="宋体" w:cs="宋体" w:eastAsia="宋体" w:hint="default"/>
                            <w:sz w:val="18"/>
                            <w:szCs w:val="18"/>
                          </w:rPr>
                          <w:t>中信银行深圳市市民中心支行（账号：</w:t>
                        </w:r>
                        <w:r>
                          <w:rPr>
                            <w:rFonts w:ascii="Times New Roman" w:hAnsi="Times New Roman" w:cs="Times New Roman" w:eastAsia="Times New Roman" w:hint="default"/>
                            <w:sz w:val="18"/>
                            <w:szCs w:val="18"/>
                          </w:rPr>
                          <w:t>7442410182600061107</w:t>
                        </w:r>
                        <w:r>
                          <w:rPr>
                            <w:rFonts w:ascii="宋体" w:hAnsi="宋体" w:cs="宋体" w:eastAsia="宋体" w:hint="default"/>
                            <w:sz w:val="18"/>
                            <w:szCs w:val="18"/>
                          </w:rPr>
                          <w:t>）余额为零，公司将其予以注销 注销后公司与相关银行及公司保荐机构中信证券股份有限公司签订的《募集资金三方监管协议》终 止。</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299"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pacing w:val="-4"/>
                            <w:sz w:val="18"/>
                            <w:szCs w:val="18"/>
                          </w:rPr>
                          <w:t>年度股东大会，审议通过了《关于审议变更募投项目电子支</w:t>
                        </w:r>
                        <w:r>
                          <w:rPr>
                            <w:rFonts w:ascii="宋体" w:hAnsi="宋体" w:cs="宋体" w:eastAsia="宋体" w:hint="default"/>
                            <w:sz w:val="18"/>
                            <w:szCs w:val="18"/>
                          </w:rPr>
                          <w:t> </w:t>
                        </w:r>
                        <w:r>
                          <w:rPr>
                            <w:rFonts w:ascii="宋体" w:hAnsi="宋体" w:cs="宋体" w:eastAsia="宋体" w:hint="default"/>
                            <w:spacing w:val="-3"/>
                            <w:sz w:val="18"/>
                            <w:szCs w:val="18"/>
                          </w:rPr>
                          <w:t>付技术产研基地建设项目实施地址及部分实施方式的议案》。同意将原位于南京的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电子支付技术产</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2"/>
                            <w:sz w:val="18"/>
                            <w:szCs w:val="18"/>
                          </w:rPr>
                          <w:t>研基地项目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中规划的研发中心、客服中心迁移到苏州实施，项目规划的生产中心迁移到深圳宝安区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以租赁房屋的方式实施。原投入南京的</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电子支付技术产研基地项目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总投资 </w:t>
                        </w:r>
                        <w:r>
                          <w:rPr>
                            <w:rFonts w:ascii="Times New Roman" w:hAnsi="Times New Roman" w:cs="Times New Roman" w:eastAsia="Times New Roman" w:hint="default"/>
                            <w:sz w:val="18"/>
                            <w:szCs w:val="18"/>
                          </w:rPr>
                          <w:t>15,306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万元，扣除投</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ind w:left="0" w:right="114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ind w:left="0" w:right="1148"/>
        <w:jc w:val="right"/>
      </w:pPr>
      <w:r>
        <w:rPr/>
        <w:t>，</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7.2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223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入深圳生产中心的</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30"/>
                            <w:sz w:val="18"/>
                            <w:szCs w:val="18"/>
                          </w:rPr>
                          <w:t> </w:t>
                        </w:r>
                        <w:r>
                          <w:rPr>
                            <w:rFonts w:ascii="宋体" w:hAnsi="宋体" w:cs="宋体" w:eastAsia="宋体" w:hint="default"/>
                            <w:spacing w:val="-8"/>
                            <w:sz w:val="18"/>
                            <w:szCs w:val="18"/>
                          </w:rPr>
                          <w:t>万元，剩余的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12,806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万元全部投入苏州新国都，由苏州新国都继续推进电</w:t>
                        </w:r>
                      </w:p>
                      <w:p>
                        <w:pPr>
                          <w:pStyle w:val="TableParagraph"/>
                          <w:spacing w:line="304"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子支付技术产研基地建设项目。</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日，经深圳市新国都技术股份有限公司第四届董事 会第六次会议决议（公告</w:t>
                        </w:r>
                        <w:r>
                          <w:rPr>
                            <w:rFonts w:ascii="宋体" w:hAnsi="宋体" w:cs="宋体" w:eastAsia="宋体" w:hint="default"/>
                            <w:spacing w:val="-41"/>
                            <w:sz w:val="18"/>
                            <w:szCs w:val="18"/>
                          </w:rPr>
                          <w:t> </w:t>
                        </w:r>
                        <w:r>
                          <w:rPr>
                            <w:rFonts w:ascii="Times New Roman" w:hAnsi="Times New Roman" w:cs="Times New Roman" w:eastAsia="Times New Roman" w:hint="default"/>
                            <w:spacing w:val="-3"/>
                            <w:w w:val="100"/>
                            <w:sz w:val="18"/>
                            <w:szCs w:val="18"/>
                          </w:rPr>
                          <w:t>2017-125</w:t>
                        </w:r>
                        <w:r>
                          <w:rPr>
                            <w:rFonts w:ascii="宋体" w:hAnsi="宋体" w:cs="宋体" w:eastAsia="宋体" w:hint="default"/>
                            <w:spacing w:val="-3"/>
                            <w:w w:val="100"/>
                            <w:sz w:val="18"/>
                            <w:szCs w:val="18"/>
                          </w:rPr>
                          <w:t>），为提高募集资金投资项目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电子支付技术产研基地建设项目</w:t>
                        </w:r>
                        <w:r>
                          <w:rPr>
                            <w:rFonts w:ascii="Times New Roman" w:hAnsi="Times New Roman" w:cs="Times New Roman" w:eastAsia="Times New Roman" w:hint="default"/>
                            <w:spacing w:val="-3"/>
                            <w:w w:val="100"/>
                            <w:sz w:val="18"/>
                            <w:szCs w:val="18"/>
                          </w:rPr>
                          <w:t>”</w:t>
                        </w:r>
                        <w:r>
                          <w:rPr>
                            <w:rFonts w:ascii="Times New Roman" w:hAnsi="Times New Roman" w:cs="Times New Roman" w:eastAsia="Times New Roman" w:hint="default"/>
                            <w:spacing w:val="-30"/>
                            <w:w w:val="100"/>
                            <w:sz w:val="18"/>
                            <w:szCs w:val="18"/>
                          </w:rPr>
                          <w:t> </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电子支付技术苏州研发基地项目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整体的经济收益，经慎重研究，公司拟将募集资金投资项目的 实施地点由苏州市变更为深圳市。公司变更部分募集资金投资项目的实施地点是公司经营管理和经 济效益的需要</w:t>
                        </w:r>
                        <w:r>
                          <w:rPr>
                            <w:rFonts w:ascii="Times New Roman" w:hAnsi="Times New Roman" w:cs="Times New Roman" w:eastAsia="Times New Roman" w:hint="default"/>
                            <w:sz w:val="18"/>
                            <w:szCs w:val="18"/>
                          </w:rPr>
                          <w:t>,</w:t>
                        </w:r>
                        <w:r>
                          <w:rPr>
                            <w:rFonts w:ascii="宋体" w:hAnsi="宋体" w:cs="宋体" w:eastAsia="宋体" w:hint="default"/>
                            <w:sz w:val="18"/>
                            <w:szCs w:val="18"/>
                          </w:rPr>
                          <w:t>本次变更部分募集资金投资项目实施地点对项目实施方案和实施计划并未产生重大 影响，不会导致募集资金投资项目发生实质性变更。</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325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年度股东大会，审议通过了《关于审议变更募投项目电 </w:t>
                        </w:r>
                        <w:r>
                          <w:rPr>
                            <w:rFonts w:ascii="宋体" w:hAnsi="宋体" w:cs="宋体" w:eastAsia="宋体" w:hint="default"/>
                            <w:spacing w:val="-3"/>
                            <w:sz w:val="18"/>
                            <w:szCs w:val="18"/>
                          </w:rPr>
                          <w:t>子支付技术产研基地建设项目实施地址及部分实施方式的议案》。同意将原位于南京的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电子支付技</w:t>
                        </w:r>
                        <w:r>
                          <w:rPr>
                            <w:rFonts w:ascii="宋体" w:hAnsi="宋体" w:cs="宋体" w:eastAsia="宋体" w:hint="default"/>
                            <w:spacing w:val="-50"/>
                            <w:sz w:val="18"/>
                            <w:szCs w:val="18"/>
                          </w:rPr>
                          <w:t> </w:t>
                        </w:r>
                        <w:r>
                          <w:rPr>
                            <w:rFonts w:ascii="宋体" w:hAnsi="宋体" w:cs="宋体" w:eastAsia="宋体" w:hint="default"/>
                            <w:spacing w:val="-2"/>
                            <w:sz w:val="18"/>
                            <w:szCs w:val="18"/>
                          </w:rPr>
                          <w:t>术产研基地项目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中规划的研发中心、客服中心迁移到苏州实施，项目规划的生产中心迁移到深圳宝</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安区以租赁房屋的方式实施。由于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年募集资金投入南京新国都土地使用权 </w:t>
                        </w:r>
                        <w:r>
                          <w:rPr>
                            <w:rFonts w:ascii="Times New Roman" w:hAnsi="Times New Roman" w:cs="Times New Roman" w:eastAsia="Times New Roman" w:hint="default"/>
                            <w:sz w:val="18"/>
                            <w:szCs w:val="18"/>
                          </w:rPr>
                          <w:t>1,475.71  </w:t>
                        </w:r>
                        <w:r>
                          <w:rPr>
                            <w:rFonts w:ascii="宋体" w:hAnsi="宋体" w:cs="宋体" w:eastAsia="宋体" w:hint="default"/>
                            <w:spacing w:val="-11"/>
                            <w:sz w:val="18"/>
                            <w:szCs w:val="18"/>
                          </w:rPr>
                          <w:t>万元，本</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次变更募投项目实施地点</w:t>
                        </w:r>
                        <w:r>
                          <w:rPr>
                            <w:rFonts w:ascii="宋体" w:hAnsi="宋体" w:cs="宋体" w:eastAsia="宋体" w:hint="default"/>
                            <w:spacing w:val="-88"/>
                            <w:sz w:val="18"/>
                            <w:szCs w:val="18"/>
                          </w:rPr>
                          <w:t>，</w:t>
                        </w:r>
                        <w:r>
                          <w:rPr>
                            <w:rFonts w:ascii="宋体" w:hAnsi="宋体" w:cs="宋体" w:eastAsia="宋体" w:hint="default"/>
                            <w:sz w:val="18"/>
                            <w:szCs w:val="18"/>
                          </w:rPr>
                          <w:t>本公司将投入南京新国都的土地使用权金额为 </w:t>
                        </w:r>
                        <w:r>
                          <w:rPr>
                            <w:rFonts w:ascii="Times New Roman" w:hAnsi="Times New Roman" w:cs="Times New Roman" w:eastAsia="Times New Roman" w:hint="default"/>
                            <w:sz w:val="18"/>
                            <w:szCs w:val="18"/>
                          </w:rPr>
                          <w:t>1,475.71  </w:t>
                        </w:r>
                        <w:r>
                          <w:rPr>
                            <w:rFonts w:ascii="宋体" w:hAnsi="宋体" w:cs="宋体" w:eastAsia="宋体" w:hint="default"/>
                            <w:spacing w:val="-2"/>
                            <w:sz w:val="18"/>
                            <w:szCs w:val="18"/>
                          </w:rPr>
                          <w:t>万</w:t>
                        </w:r>
                        <w:r>
                          <w:rPr>
                            <w:rFonts w:ascii="宋体" w:hAnsi="宋体" w:cs="宋体" w:eastAsia="宋体" w:hint="default"/>
                            <w:sz w:val="18"/>
                            <w:szCs w:val="18"/>
                          </w:rPr>
                          <w:t>元转为公司自</w:t>
                        </w:r>
                      </w:p>
                      <w:p>
                        <w:pPr>
                          <w:pStyle w:val="TableParagraph"/>
                          <w:spacing w:line="302" w:lineRule="auto" w:before="63"/>
                          <w:ind w:left="22" w:right="68"/>
                          <w:jc w:val="both"/>
                          <w:rPr>
                            <w:rFonts w:ascii="宋体" w:hAnsi="宋体" w:cs="宋体" w:eastAsia="宋体" w:hint="default"/>
                            <w:sz w:val="18"/>
                            <w:szCs w:val="18"/>
                          </w:rPr>
                        </w:pPr>
                        <w:r>
                          <w:rPr>
                            <w:rFonts w:ascii="宋体" w:hAnsi="宋体" w:cs="宋体" w:eastAsia="宋体" w:hint="default"/>
                            <w:sz w:val="18"/>
                            <w:szCs w:val="18"/>
                          </w:rPr>
                          <w:t>筹资金投入，并用自有资金归还募集资金，公司于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 </w:t>
                        </w:r>
                        <w:r>
                          <w:rPr>
                            <w:rFonts w:ascii="宋体" w:hAnsi="宋体" w:cs="宋体" w:eastAsia="宋体" w:hint="default"/>
                            <w:sz w:val="18"/>
                            <w:szCs w:val="18"/>
                          </w:rPr>
                          <w:t>日和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日办理 银行资金归还手续。</w:t>
                        </w:r>
                      </w:p>
                      <w:p>
                        <w:pPr>
                          <w:pStyle w:val="TableParagraph"/>
                          <w:spacing w:line="309" w:lineRule="auto" w:before="69"/>
                          <w:ind w:left="22"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日，第二届董事会第八次会议审议通过了《关于变更运营销售服务网络建设项目 </w:t>
                        </w:r>
                        <w:r>
                          <w:rPr>
                            <w:rFonts w:ascii="宋体" w:hAnsi="宋体" w:cs="宋体" w:eastAsia="宋体" w:hint="default"/>
                            <w:spacing w:val="-5"/>
                            <w:sz w:val="18"/>
                            <w:szCs w:val="18"/>
                          </w:rPr>
                          <w:t>部分实施方式的公告》，决定将项目中原计划在一类办事处北京、上海、广州、青岛购置办公用房作</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为办工场所改为租赁实施（公告编号</w:t>
                        </w:r>
                        <w:r>
                          <w:rPr>
                            <w:rFonts w:ascii="宋体" w:hAnsi="宋体" w:cs="宋体" w:eastAsia="宋体" w:hint="default"/>
                            <w:spacing w:val="-46"/>
                            <w:sz w:val="18"/>
                            <w:szCs w:val="18"/>
                          </w:rPr>
                          <w:t> </w:t>
                        </w:r>
                        <w:r>
                          <w:rPr>
                            <w:rFonts w:ascii="Times New Roman" w:hAnsi="Times New Roman" w:cs="Times New Roman" w:eastAsia="Times New Roman" w:hint="default"/>
                            <w:spacing w:val="-20"/>
                            <w:sz w:val="18"/>
                            <w:szCs w:val="18"/>
                          </w:rPr>
                          <w:t>2012-28</w:t>
                        </w:r>
                        <w:r>
                          <w:rPr>
                            <w:rFonts w:ascii="宋体" w:hAnsi="宋体" w:cs="宋体" w:eastAsia="宋体" w:hint="default"/>
                            <w:spacing w:val="-20"/>
                            <w:sz w:val="18"/>
                            <w:szCs w:val="18"/>
                          </w:rPr>
                          <w:t>）。</w:t>
                        </w:r>
                        <w:r>
                          <w:rPr>
                            <w:rFonts w:ascii="宋体" w:hAnsi="宋体" w:cs="宋体" w:eastAsia="宋体" w:hint="default"/>
                            <w:sz w:val="18"/>
                            <w:szCs w:val="18"/>
                          </w:rPr>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498"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、电子支付技术产研基地建设项目，截止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日公司已利用自筹资金先行投入</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1,293  </w:t>
                        </w:r>
                        <w:r>
                          <w:rPr>
                            <w:rFonts w:ascii="宋体" w:hAnsi="宋体" w:cs="宋体" w:eastAsia="宋体" w:hint="default"/>
                            <w:sz w:val="18"/>
                            <w:szCs w:val="18"/>
                          </w:rPr>
                          <w:t>万元，业经立信大华会计师事务所有限公司出具的立信大华核字</w:t>
                        </w:r>
                        <w:r>
                          <w:rPr>
                            <w:rFonts w:ascii="Times New Roman" w:hAnsi="Times New Roman" w:cs="Times New Roman" w:eastAsia="Times New Roman" w:hint="default"/>
                            <w:sz w:val="18"/>
                            <w:szCs w:val="18"/>
                          </w:rPr>
                          <w:t>[2010]2404</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号《首次公开发</w:t>
                        </w:r>
                      </w:p>
                      <w:p>
                        <w:pPr>
                          <w:pStyle w:val="TableParagraph"/>
                          <w:spacing w:line="319" w:lineRule="auto" w:before="63"/>
                          <w:ind w:left="22" w:right="20"/>
                          <w:jc w:val="left"/>
                          <w:rPr>
                            <w:rFonts w:ascii="宋体" w:hAnsi="宋体" w:cs="宋体" w:eastAsia="宋体" w:hint="default"/>
                            <w:sz w:val="18"/>
                            <w:szCs w:val="18"/>
                          </w:rPr>
                        </w:pPr>
                        <w:r>
                          <w:rPr>
                            <w:rFonts w:ascii="宋体" w:hAnsi="宋体" w:cs="宋体" w:eastAsia="宋体" w:hint="default"/>
                            <w:spacing w:val="-5"/>
                            <w:sz w:val="18"/>
                            <w:szCs w:val="18"/>
                          </w:rPr>
                          <w:t>行股票募集资金投资项目实际自筹资金使用情况专项审核报告》确认，经本公司</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第一届董事会第十四次会议决议通过，使用募集资金置换公司预先投入募集资金项目建设的自筹资 金 </w:t>
                        </w:r>
                        <w:r>
                          <w:rPr>
                            <w:rFonts w:ascii="Times New Roman" w:hAnsi="Times New Roman" w:cs="Times New Roman" w:eastAsia="Times New Roman" w:hint="default"/>
                            <w:sz w:val="18"/>
                            <w:szCs w:val="18"/>
                          </w:rPr>
                          <w:t>1,293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日办理了银行资金置换手续。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、在非公开发行股份募集资金到位之前，公司已根据募投项目进度的实际情况，使用自筹资金投入</w:t>
                        </w:r>
                      </w:p>
                      <w:p>
                        <w:pPr>
                          <w:pStyle w:val="TableParagraph"/>
                          <w:spacing w:line="302"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350,000,000 </w:t>
                        </w:r>
                        <w:r>
                          <w:rPr>
                            <w:rFonts w:ascii="宋体" w:hAnsi="宋体" w:cs="宋体" w:eastAsia="宋体" w:hint="default"/>
                            <w:sz w:val="18"/>
                            <w:szCs w:val="18"/>
                          </w:rPr>
                          <w:t>元先行用于支付收购长沙公信诚丰信息技术服务有限公司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股权项目，大华会计师 事务所（普通特殊合伙）对公司以自筹资金预先投入募集资金投资项目的情况进行了核验和确认</w:t>
                        </w:r>
                        <w:r>
                          <w:rPr>
                            <w:rFonts w:ascii="Times New Roman" w:hAnsi="Times New Roman" w:cs="Times New Roman" w:eastAsia="Times New Roman" w:hint="default"/>
                            <w:sz w:val="18"/>
                            <w:szCs w:val="18"/>
                          </w:rPr>
                          <w:t>, </w:t>
                        </w:r>
                        <w:r>
                          <w:rPr>
                            <w:rFonts w:ascii="宋体" w:hAnsi="宋体" w:cs="宋体" w:eastAsia="宋体" w:hint="default"/>
                            <w:sz w:val="18"/>
                            <w:szCs w:val="18"/>
                          </w:rPr>
                          <w:t>并出具了大华核字</w:t>
                        </w:r>
                        <w:r>
                          <w:rPr>
                            <w:rFonts w:ascii="Times New Roman" w:hAnsi="Times New Roman" w:cs="Times New Roman" w:eastAsia="Times New Roman" w:hint="default"/>
                            <w:sz w:val="18"/>
                            <w:szCs w:val="18"/>
                          </w:rPr>
                          <w:t>[2017] 003808</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号《深圳市新国都技术股份有限公司以自筹资金预先投入募集资金 </w:t>
                        </w:r>
                        <w:r>
                          <w:rPr>
                            <w:rFonts w:ascii="宋体" w:hAnsi="宋体" w:cs="宋体" w:eastAsia="宋体" w:hint="default"/>
                            <w:spacing w:val="-6"/>
                            <w:sz w:val="18"/>
                            <w:szCs w:val="18"/>
                          </w:rPr>
                          <w:t>投资项目的鉴证报告》。</w:t>
                        </w:r>
                        <w:r>
                          <w:rPr>
                            <w:rFonts w:ascii="Times New Roman" w:hAnsi="Times New Roman" w:cs="Times New Roman" w:eastAsia="Times New Roman" w:hint="default"/>
                            <w:spacing w:val="-6"/>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日，公司第四届董事会第五次会议及第四届监事会第五次 </w:t>
                        </w:r>
                        <w:r>
                          <w:rPr>
                            <w:rFonts w:ascii="宋体" w:hAnsi="宋体" w:cs="宋体" w:eastAsia="宋体" w:hint="default"/>
                            <w:spacing w:val="-5"/>
                            <w:sz w:val="18"/>
                            <w:szCs w:val="18"/>
                          </w:rPr>
                          <w:t>会议，审议通过了《关于使用募集资金置换预先投入募投项目自筹资金的议案》，公司以自筹资金预</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先投入收购长沙公信诚丰信息技术服务有限公司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股权项目的实际投资额为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350,000,000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元，并</w:t>
                        </w:r>
                        <w:r>
                          <w:rPr>
                            <w:rFonts w:ascii="宋体" w:hAnsi="宋体" w:cs="宋体" w:eastAsia="宋体" w:hint="default"/>
                            <w:sz w:val="18"/>
                            <w:szCs w:val="18"/>
                          </w:rPr>
                          <w:t> 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日，从募集户将预先投入自筹资金金额为人民币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350,000,000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元转入公司基本户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完成置换（公告</w:t>
                        </w:r>
                        <w:r>
                          <w:rPr>
                            <w:rFonts w:ascii="宋体" w:hAnsi="宋体" w:cs="宋体" w:eastAsia="宋体" w:hint="default"/>
                            <w:spacing w:val="-44"/>
                            <w:sz w:val="18"/>
                            <w:szCs w:val="18"/>
                          </w:rPr>
                          <w:t> </w:t>
                        </w:r>
                        <w:r>
                          <w:rPr>
                            <w:rFonts w:ascii="Times New Roman" w:hAnsi="Times New Roman" w:cs="Times New Roman" w:eastAsia="Times New Roman" w:hint="default"/>
                            <w:spacing w:val="-19"/>
                            <w:sz w:val="18"/>
                            <w:szCs w:val="18"/>
                          </w:rPr>
                          <w:t>2017-118</w:t>
                        </w:r>
                        <w:r>
                          <w:rPr>
                            <w:rFonts w:ascii="宋体" w:hAnsi="宋体" w:cs="宋体" w:eastAsia="宋体" w:hint="default"/>
                            <w:spacing w:val="-19"/>
                            <w:sz w:val="18"/>
                            <w:szCs w:val="18"/>
                          </w:rPr>
                          <w:t>）。</w:t>
                        </w:r>
                        <w:r>
                          <w:rPr>
                            <w:rFonts w:ascii="宋体" w:hAnsi="宋体" w:cs="宋体" w:eastAsia="宋体" w:hint="default"/>
                            <w:sz w:val="18"/>
                            <w:szCs w:val="18"/>
                          </w:rPr>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4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2" w:right="23"/>
                          <w:jc w:val="left"/>
                          <w:rPr>
                            <w:rFonts w:ascii="宋体" w:hAnsi="宋体" w:cs="宋体" w:eastAsia="宋体" w:hint="default"/>
                            <w:sz w:val="18"/>
                            <w:szCs w:val="18"/>
                          </w:rPr>
                        </w:pPr>
                        <w:r>
                          <w:rPr>
                            <w:rFonts w:ascii="Times New Roman" w:hAnsi="Times New Roman" w:cs="Times New Roman" w:eastAsia="Times New Roman" w:hint="default"/>
                            <w:w w:val="100"/>
                            <w:sz w:val="18"/>
                            <w:szCs w:val="18"/>
                          </w:rPr>
                          <w:t>1</w:t>
                        </w:r>
                        <w:r>
                          <w:rPr>
                            <w:rFonts w:ascii="宋体" w:hAnsi="宋体" w:cs="宋体" w:eastAsia="宋体" w:hint="default"/>
                            <w:w w:val="100"/>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运营销售服务网络建设项目</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已完成项目建设，节余资金 </w:t>
                        </w:r>
                        <w:r>
                          <w:rPr>
                            <w:rFonts w:ascii="Times New Roman" w:hAnsi="Times New Roman" w:cs="Times New Roman" w:eastAsia="Times New Roman" w:hint="default"/>
                            <w:sz w:val="18"/>
                            <w:szCs w:val="18"/>
                          </w:rPr>
                          <w:t>829.6</w:t>
                        </w:r>
                        <w:r>
                          <w:rPr>
                            <w:rFonts w:ascii="Times New Roman" w:hAnsi="Times New Roman" w:cs="Times New Roman" w:eastAsia="Times New Roman" w:hint="default"/>
                            <w:spacing w:val="44"/>
                            <w:sz w:val="18"/>
                            <w:szCs w:val="18"/>
                          </w:rPr>
                          <w:t> </w:t>
                        </w:r>
                        <w:r>
                          <w:rPr>
                            <w:rFonts w:ascii="宋体" w:hAnsi="宋体" w:cs="宋体" w:eastAsia="宋体" w:hint="default"/>
                            <w:spacing w:val="-7"/>
                            <w:sz w:val="18"/>
                            <w:szCs w:val="18"/>
                          </w:rPr>
                          <w:t>万（含利息）。项目原计划在</w:t>
                        </w:r>
                        <w:r>
                          <w:rPr>
                            <w:rFonts w:ascii="宋体" w:hAnsi="宋体" w:cs="宋体" w:eastAsia="宋体" w:hint="default"/>
                            <w:sz w:val="18"/>
                            <w:szCs w:val="18"/>
                          </w:rPr>
                          <w:t> 一类办事处北京、上海、青岛、广州购置办公用房作为办公场地使用，现由于实际经营需要，将原 计划购置房产的实施方式改为通过租赁房产来实施，因此节约了项目成本。</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电子支付终端设备运营项目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该项目公司原计划投资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万元，原计划完成时间为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40" w:lineRule="auto" w:before="0"/>
        <w:ind w:left="0" w:right="1140"/>
        <w:jc w:val="right"/>
      </w:pPr>
      <w:r>
        <w:rPr/>
        <w:t>，</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0"/>
        <w:ind w:left="0" w:right="1141"/>
        <w:jc w:val="right"/>
      </w:pPr>
      <w:r>
        <w:rPr/>
        <w:pict>
          <v:shape style="position:absolute;margin-left:56.459999pt;margin-top:-110.228287pt;width:479.2pt;height:372.8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8"/>
                  </w:tblGrid>
                  <w:tr>
                    <w:trPr>
                      <w:trHeight w:val="570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日，由于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月，中国人民银行发布中国人民银行令【</w:t>
                        </w:r>
                        <w:r>
                          <w:rPr>
                            <w:rFonts w:ascii="Times New Roman" w:hAnsi="Times New Roman" w:cs="Times New Roman" w:eastAsia="Times New Roman" w:hint="default"/>
                            <w:sz w:val="18"/>
                            <w:szCs w:val="18"/>
                          </w:rPr>
                          <w:t>2010</w:t>
                        </w:r>
                        <w:r>
                          <w:rPr>
                            <w:rFonts w:ascii="宋体" w:hAnsi="宋体" w:cs="宋体" w:eastAsia="宋体" w:hint="default"/>
                            <w:sz w:val="18"/>
                            <w:szCs w:val="18"/>
                          </w:rPr>
                          <w:t>】第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号文件《非金融机 </w:t>
                        </w:r>
                        <w:r>
                          <w:rPr>
                            <w:rFonts w:ascii="宋体" w:hAnsi="宋体" w:cs="宋体" w:eastAsia="宋体" w:hint="default"/>
                            <w:spacing w:val="-6"/>
                            <w:w w:val="100"/>
                            <w:sz w:val="18"/>
                            <w:szCs w:val="18"/>
                          </w:rPr>
                          <w:t>构支付服务管理办法》（以下简称</w:t>
                        </w:r>
                        <w:r>
                          <w:rPr>
                            <w:rFonts w:ascii="Times New Roman" w:hAnsi="Times New Roman" w:cs="Times New Roman" w:eastAsia="Times New Roman" w:hint="default"/>
                            <w:spacing w:val="-6"/>
                            <w:w w:val="100"/>
                            <w:sz w:val="18"/>
                            <w:szCs w:val="18"/>
                          </w:rPr>
                          <w:t>“2</w:t>
                        </w:r>
                        <w:r>
                          <w:rPr>
                            <w:rFonts w:ascii="Times New Roman" w:hAnsi="Times New Roman" w:cs="Times New Roman" w:eastAsia="Times New Roman" w:hint="default"/>
                            <w:spacing w:val="23"/>
                            <w:w w:val="100"/>
                            <w:sz w:val="18"/>
                            <w:szCs w:val="18"/>
                          </w:rPr>
                          <w:t> </w:t>
                        </w:r>
                        <w:r>
                          <w:rPr>
                            <w:rFonts w:ascii="宋体" w:hAnsi="宋体" w:cs="宋体" w:eastAsia="宋体" w:hint="default"/>
                            <w:spacing w:val="-4"/>
                            <w:w w:val="100"/>
                            <w:sz w:val="18"/>
                            <w:szCs w:val="18"/>
                          </w:rPr>
                          <w:t>号令</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），根据该办法规定，国内非金融机构从事网上支付、预</w:t>
                        </w:r>
                        <w:r>
                          <w:rPr>
                            <w:rFonts w:ascii="宋体" w:hAnsi="宋体" w:cs="宋体" w:eastAsia="宋体" w:hint="default"/>
                            <w:spacing w:val="-81"/>
                            <w:w w:val="100"/>
                            <w:sz w:val="18"/>
                            <w:szCs w:val="18"/>
                          </w:rPr>
                          <w:t> </w:t>
                        </w:r>
                        <w:r>
                          <w:rPr>
                            <w:rFonts w:ascii="宋体" w:hAnsi="宋体" w:cs="宋体" w:eastAsia="宋体" w:hint="default"/>
                            <w:spacing w:val="-81"/>
                            <w:w w:val="100"/>
                            <w:sz w:val="18"/>
                            <w:szCs w:val="18"/>
                          </w:rPr>
                        </w:r>
                        <w:r>
                          <w:rPr>
                            <w:rFonts w:ascii="宋体" w:hAnsi="宋体" w:cs="宋体" w:eastAsia="宋体" w:hint="default"/>
                            <w:sz w:val="18"/>
                            <w:szCs w:val="18"/>
                          </w:rPr>
                          <w:t>付卡的发行与受理、银行卡收单服务等业务的，必须通过中国人民银行审批，并获得相关业务许可 证书。电子支付终端设备运营项目的运营内容主要为与广州羊城通有限公司合作开展基于</w:t>
                        </w:r>
                        <w:r>
                          <w:rPr>
                            <w:rFonts w:ascii="Times New Roman" w:hAnsi="Times New Roman" w:cs="Times New Roman" w:eastAsia="Times New Roman" w:hint="default"/>
                            <w:sz w:val="18"/>
                            <w:szCs w:val="18"/>
                          </w:rPr>
                          <w:t>“</w:t>
                        </w:r>
                        <w:r>
                          <w:rPr>
                            <w:rFonts w:ascii="宋体" w:hAnsi="宋体" w:cs="宋体" w:eastAsia="宋体" w:hint="default"/>
                            <w:sz w:val="18"/>
                            <w:szCs w:val="18"/>
                          </w:rPr>
                          <w:t>羊城通</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公交卡的小额支付合作运营业务，以及为商业银行、第三方提供设备租赁服务。由于受到</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号令实 施和审批进度的影响，以及广州羊城通有限公司在申领预付卡发行与受理牌照的进度限制，本项目 的实施进度缓慢，项目一直未能达到预计收益。截止至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日，广州羊城通有限公司仍 </w:t>
                        </w:r>
                        <w:r>
                          <w:rPr>
                            <w:rFonts w:ascii="宋体" w:hAnsi="宋体" w:cs="宋体" w:eastAsia="宋体" w:hint="default"/>
                            <w:spacing w:val="-3"/>
                            <w:sz w:val="18"/>
                            <w:szCs w:val="18"/>
                          </w:rPr>
                          <w:t>未能取得预付卡发行与受理牌照，对公司电子支付终端设备运营项目产生直接影响。鉴于上述情况</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日召开第三届董事会第七次会议，审议通过了《关于终止部分募投项目并 </w:t>
                        </w:r>
                        <w:r>
                          <w:rPr>
                            <w:rFonts w:ascii="宋体" w:hAnsi="宋体" w:cs="宋体" w:eastAsia="宋体" w:hint="default"/>
                            <w:spacing w:val="-3"/>
                            <w:w w:val="100"/>
                            <w:sz w:val="18"/>
                            <w:szCs w:val="18"/>
                          </w:rPr>
                          <w:t>将剩余募集资金永久补充流动资金的议案》，同意终止募投项目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电子支付终端设备运营项目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的实</w:t>
                        </w:r>
                        <w:r>
                          <w:rPr>
                            <w:rFonts w:ascii="宋体" w:hAnsi="宋体" w:cs="宋体" w:eastAsia="宋体" w:hint="default"/>
                            <w:spacing w:val="-49"/>
                            <w:w w:val="100"/>
                            <w:sz w:val="18"/>
                            <w:szCs w:val="18"/>
                          </w:rPr>
                          <w:t> </w:t>
                        </w:r>
                        <w:r>
                          <w:rPr>
                            <w:rFonts w:ascii="宋体" w:hAnsi="宋体" w:cs="宋体" w:eastAsia="宋体" w:hint="default"/>
                            <w:spacing w:val="-3"/>
                            <w:sz w:val="18"/>
                            <w:szCs w:val="18"/>
                          </w:rPr>
                          <w:t>施，并将该项目剩余资金（含利息收入）（资金转出当日银行结息余额为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3,123.16</w:t>
                        </w:r>
                        <w:r>
                          <w:rPr>
                            <w:rFonts w:ascii="Times New Roman" w:hAnsi="Times New Roman" w:cs="Times New Roman" w:eastAsia="Times New Roman" w:hint="default"/>
                            <w:spacing w:val="3"/>
                            <w:sz w:val="18"/>
                            <w:szCs w:val="18"/>
                          </w:rPr>
                          <w:t> </w:t>
                        </w:r>
                        <w:r>
                          <w:rPr>
                            <w:rFonts w:ascii="宋体" w:hAnsi="宋体" w:cs="宋体" w:eastAsia="宋体" w:hint="default"/>
                            <w:spacing w:val="-12"/>
                            <w:sz w:val="18"/>
                            <w:szCs w:val="18"/>
                          </w:rPr>
                          <w:t>万元（含利息））</w:t>
                        </w:r>
                        <w:r>
                          <w:rPr>
                            <w:rFonts w:ascii="宋体" w:hAnsi="宋体" w:cs="宋体" w:eastAsia="宋体" w:hint="default"/>
                            <w:sz w:val="18"/>
                            <w:szCs w:val="18"/>
                          </w:rPr>
                          <w:t> 永久补充流动资金。</w:t>
                        </w:r>
                      </w:p>
                      <w:p>
                        <w:pPr>
                          <w:pStyle w:val="TableParagraph"/>
                          <w:spacing w:line="300" w:lineRule="auto" w:before="67"/>
                          <w:ind w:left="22" w:right="2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、经中国证券监督管理委员会证监发行字</w:t>
                        </w:r>
                        <w:r>
                          <w:rPr>
                            <w:rFonts w:ascii="Times New Roman" w:hAnsi="Times New Roman" w:cs="Times New Roman" w:eastAsia="Times New Roman" w:hint="default"/>
                            <w:spacing w:val="-2"/>
                            <w:sz w:val="18"/>
                            <w:szCs w:val="18"/>
                          </w:rPr>
                          <w:t>[2017]1146</w:t>
                        </w:r>
                        <w:r>
                          <w:rPr>
                            <w:rFonts w:ascii="Times New Roman" w:hAnsi="Times New Roman" w:cs="Times New Roman" w:eastAsia="Times New Roman" w:hint="default"/>
                            <w:spacing w:val="15"/>
                            <w:sz w:val="18"/>
                            <w:szCs w:val="18"/>
                          </w:rPr>
                          <w:t> </w:t>
                        </w:r>
                        <w:r>
                          <w:rPr>
                            <w:rFonts w:ascii="宋体" w:hAnsi="宋体" w:cs="宋体" w:eastAsia="宋体" w:hint="default"/>
                            <w:spacing w:val="-2"/>
                            <w:sz w:val="18"/>
                            <w:szCs w:val="18"/>
                          </w:rPr>
                          <w:t>号《关于核准深圳市新国都技术股份有限公司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非公开发行</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股的批复》文件核准，本公司由主承销商中信证券股份有限公司向泰达宏利基金管理 有限公司、鹏华资产管理有限公司、财通证券资产管理有限公司共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位对象非公开发行普通股（</w:t>
                        </w:r>
                        <w:r>
                          <w:rPr>
                            <w:rFonts w:ascii="Times New Roman" w:hAnsi="Times New Roman" w:cs="Times New Roman" w:eastAsia="Times New Roman" w:hint="default"/>
                            <w:sz w:val="18"/>
                            <w:szCs w:val="18"/>
                          </w:rPr>
                          <w:t>A</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pacing w:val="-4"/>
                            <w:sz w:val="18"/>
                            <w:szCs w:val="18"/>
                          </w:rPr>
                          <w:t>股）</w:t>
                        </w:r>
                        <w:r>
                          <w:rPr>
                            <w:rFonts w:ascii="Times New Roman" w:hAnsi="Times New Roman" w:cs="Times New Roman" w:eastAsia="Times New Roman" w:hint="default"/>
                            <w:spacing w:val="-4"/>
                            <w:sz w:val="18"/>
                            <w:szCs w:val="18"/>
                          </w:rPr>
                          <w:t>2500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万股，每股发行价格为人民币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18.22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元，股款共计人民币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455,500,000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元，扣除与发行有关</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的费用总额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10,880,000</w:t>
                        </w:r>
                        <w:r>
                          <w:rPr>
                            <w:rFonts w:ascii="Times New Roman" w:hAnsi="Times New Roman" w:cs="Times New Roman" w:eastAsia="Times New Roman" w:hint="default"/>
                            <w:spacing w:val="-1"/>
                            <w:sz w:val="18"/>
                            <w:szCs w:val="18"/>
                          </w:rPr>
                          <w:t> </w:t>
                        </w:r>
                        <w:r>
                          <w:rPr>
                            <w:rFonts w:ascii="宋体" w:hAnsi="宋体" w:cs="宋体" w:eastAsia="宋体" w:hint="default"/>
                            <w:spacing w:val="-22"/>
                            <w:sz w:val="18"/>
                            <w:szCs w:val="18"/>
                          </w:rPr>
                          <w:t>元</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募集资金净额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444,620,0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22"/>
                            <w:sz w:val="18"/>
                            <w:szCs w:val="18"/>
                          </w:rPr>
                          <w:t>，</w:t>
                        </w: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pacing w:val="-22"/>
                            <w:sz w:val="18"/>
                            <w:szCs w:val="18"/>
                          </w:rPr>
                          <w:t>，</w:t>
                        </w:r>
                        <w:r>
                          <w:rPr>
                            <w:rFonts w:ascii="宋体" w:hAnsi="宋体" w:cs="宋体" w:eastAsia="宋体" w:hint="default"/>
                            <w:sz w:val="18"/>
                            <w:szCs w:val="18"/>
                          </w:rPr>
                          <w:t>募集资</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金账户利息净收入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641,314.34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元，累计支出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445,166,941.60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元，结余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94,372.74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尚未使用的募集资金均存放在公司的募集资金专户</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5"/>
        <w:spacing w:line="240" w:lineRule="auto" w:before="35"/>
        <w:ind w:left="1134" w:right="994"/>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电子支付 技术产研基 地建设项目</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电子支付技 术产研基地 建设项目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15,306</w:t>
            </w: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16,001.82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104.55%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270.13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2" w:right="6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该项目终 止</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增资易联技 术开展电子 支付服务项 目</w:t>
            </w:r>
          </w:p>
        </w:tc>
        <w:tc>
          <w:tcPr>
            <w:tcW w:w="956"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暂时性补 充流动资金</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收购瑞柏泰 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股 权</w:t>
            </w:r>
          </w:p>
        </w:tc>
        <w:tc>
          <w:tcPr>
            <w:tcW w:w="956"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958"/>
        <w:gridCol w:w="958"/>
        <w:gridCol w:w="968"/>
        <w:gridCol w:w="947"/>
        <w:gridCol w:w="956"/>
        <w:gridCol w:w="956"/>
        <w:gridCol w:w="956"/>
        <w:gridCol w:w="957"/>
        <w:gridCol w:w="958"/>
        <w:gridCol w:w="945"/>
      </w:tblGrid>
      <w:tr>
        <w:trPr>
          <w:trHeight w:val="1026" w:hRule="exact"/>
        </w:trPr>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电子支付 技术苏州研 发基地项目</w:t>
            </w:r>
          </w:p>
        </w:tc>
        <w:tc>
          <w:tcPr>
            <w:tcW w:w="9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电子支付技 术苏州研发 基地项目</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32"/>
              <w:jc w:val="right"/>
              <w:rPr>
                <w:rFonts w:ascii="Times New Roman" w:hAnsi="Times New Roman" w:cs="Times New Roman" w:eastAsia="Times New Roman" w:hint="default"/>
                <w:sz w:val="18"/>
                <w:szCs w:val="18"/>
              </w:rPr>
            </w:pPr>
            <w:r>
              <w:rPr>
                <w:rFonts w:ascii="Times New Roman"/>
                <w:sz w:val="18"/>
              </w:rPr>
              <w:t>25,684.61</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3,364.66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24,874.69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96.85%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453.3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40,990.61</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3,364.66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42,876.51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723.43</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12291" w:hRule="exact"/>
        </w:trPr>
        <w:tc>
          <w:tcPr>
            <w:tcW w:w="2884" w:type="dxa"/>
            <w:gridSpan w:val="3"/>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76" w:type="dxa"/>
            <w:gridSpan w:val="7"/>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34"/>
              <w:ind w:left="1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、公司分别于</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日，经第二届董事会第五次会议、第二届监事会第四</w:t>
            </w:r>
          </w:p>
          <w:p>
            <w:pPr>
              <w:pStyle w:val="TableParagraph"/>
              <w:spacing w:line="379" w:lineRule="auto" w:before="130"/>
              <w:ind w:left="11" w:right="8"/>
              <w:jc w:val="both"/>
              <w:rPr>
                <w:rFonts w:ascii="Times New Roman" w:hAnsi="Times New Roman" w:cs="Times New Roman" w:eastAsia="Times New Roman" w:hint="default"/>
                <w:sz w:val="18"/>
                <w:szCs w:val="18"/>
              </w:rPr>
            </w:pPr>
            <w:r>
              <w:rPr>
                <w:rFonts w:ascii="宋体" w:hAnsi="宋体" w:cs="宋体" w:eastAsia="宋体" w:hint="default"/>
                <w:sz w:val="18"/>
                <w:szCs w:val="18"/>
              </w:rPr>
              <w:t>次会议审议通过，于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日召开</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年度股东大会，审议通过了《关于 </w:t>
            </w:r>
            <w:r>
              <w:rPr>
                <w:rFonts w:ascii="宋体" w:hAnsi="宋体" w:cs="宋体" w:eastAsia="宋体" w:hint="default"/>
                <w:spacing w:val="9"/>
                <w:sz w:val="18"/>
                <w:szCs w:val="18"/>
              </w:rPr>
              <w:t>审议变更募投项目电子支付技术产研基地建设项目实施地址及部分实施方式的议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w w:val="100"/>
                <w:sz w:val="18"/>
                <w:szCs w:val="18"/>
              </w:rPr>
              <w:t>案》，决定将原计划投入南京的</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电子支付技术产研基地项目</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中规划的研发中心、客服</w:t>
            </w:r>
            <w:r>
              <w:rPr>
                <w:rFonts w:ascii="宋体" w:hAnsi="宋体" w:cs="宋体" w:eastAsia="宋体" w:hint="default"/>
                <w:spacing w:val="-76"/>
                <w:w w:val="100"/>
                <w:sz w:val="18"/>
                <w:szCs w:val="18"/>
              </w:rPr>
              <w:t> </w:t>
            </w:r>
            <w:r>
              <w:rPr>
                <w:rFonts w:ascii="宋体" w:hAnsi="宋体" w:cs="宋体" w:eastAsia="宋体" w:hint="default"/>
                <w:spacing w:val="-76"/>
                <w:w w:val="100"/>
                <w:sz w:val="18"/>
                <w:szCs w:val="18"/>
              </w:rPr>
            </w:r>
            <w:r>
              <w:rPr>
                <w:rFonts w:ascii="宋体" w:hAnsi="宋体" w:cs="宋体" w:eastAsia="宋体" w:hint="default"/>
                <w:spacing w:val="-1"/>
                <w:sz w:val="18"/>
                <w:szCs w:val="18"/>
              </w:rPr>
              <w:t>中心迁移到苏州实施，项目规划的生产中心迁移到深圳宝安区实施。其中，公司目前</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未在深圳获得自有土地使用权，项目规划的生产中心由自建变更为租赁房屋建设。同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意将原位于南京的</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电子支付技术产研基地项目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中规划的研发中心、客服中心迁移到 </w:t>
            </w:r>
            <w:r>
              <w:rPr>
                <w:rFonts w:ascii="宋体" w:hAnsi="宋体" w:cs="宋体" w:eastAsia="宋体" w:hint="default"/>
                <w:spacing w:val="-1"/>
                <w:sz w:val="18"/>
                <w:szCs w:val="18"/>
              </w:rPr>
              <w:t>苏州实施，项目规划的生产中心迁移到深圳宝安区以租赁房屋的方式实施。原投入南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w w:val="100"/>
                <w:sz w:val="18"/>
                <w:szCs w:val="18"/>
              </w:rPr>
              <w:t>京的</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电子支付技术产研基地项目</w:t>
            </w:r>
            <w:r>
              <w:rPr>
                <w:rFonts w:ascii="Times New Roman" w:hAnsi="Times New Roman" w:cs="Times New Roman" w:eastAsia="Times New Roman" w:hint="default"/>
                <w:w w:val="100"/>
                <w:sz w:val="18"/>
                <w:szCs w:val="18"/>
              </w:rPr>
              <w:t>”</w:t>
            </w:r>
            <w:r>
              <w:rPr>
                <w:rFonts w:ascii="宋体" w:hAnsi="宋体" w:cs="宋体" w:eastAsia="宋体" w:hint="default"/>
                <w:w w:val="100"/>
                <w:sz w:val="18"/>
                <w:szCs w:val="18"/>
              </w:rPr>
              <w:t>总投资</w:t>
            </w:r>
            <w:r>
              <w:rPr>
                <w:rFonts w:ascii="宋体" w:hAnsi="宋体" w:cs="宋体" w:eastAsia="宋体" w:hint="default"/>
                <w:spacing w:val="-56"/>
                <w:w w:val="100"/>
                <w:sz w:val="18"/>
                <w:szCs w:val="18"/>
              </w:rPr>
              <w:t> </w:t>
            </w:r>
            <w:r>
              <w:rPr>
                <w:rFonts w:ascii="Times New Roman" w:hAnsi="Times New Roman" w:cs="Times New Roman" w:eastAsia="Times New Roman" w:hint="default"/>
                <w:spacing w:val="-1"/>
                <w:sz w:val="18"/>
                <w:szCs w:val="18"/>
              </w:rPr>
              <w:t>15,306</w:t>
            </w:r>
            <w:r>
              <w:rPr>
                <w:rFonts w:ascii="Times New Roman" w:hAnsi="Times New Roman" w:cs="Times New Roman" w:eastAsia="Times New Roman" w:hint="default"/>
                <w:spacing w:val="-11"/>
                <w:sz w:val="18"/>
                <w:szCs w:val="18"/>
              </w:rPr>
              <w:t> </w:t>
            </w:r>
            <w:r>
              <w:rPr>
                <w:rFonts w:ascii="宋体" w:hAnsi="宋体" w:cs="宋体" w:eastAsia="宋体" w:hint="default"/>
                <w:spacing w:val="-7"/>
                <w:sz w:val="18"/>
                <w:szCs w:val="18"/>
              </w:rPr>
              <w:t>万元，扣除投入深圳生产中心的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2,500</w:t>
            </w:r>
          </w:p>
          <w:p>
            <w:pPr>
              <w:pStyle w:val="TableParagraph"/>
              <w:spacing w:line="240" w:lineRule="auto" w:before="15"/>
              <w:ind w:left="11" w:right="0"/>
              <w:jc w:val="both"/>
              <w:rPr>
                <w:rFonts w:ascii="宋体" w:hAnsi="宋体" w:cs="宋体" w:eastAsia="宋体" w:hint="default"/>
                <w:sz w:val="18"/>
                <w:szCs w:val="18"/>
              </w:rPr>
            </w:pPr>
            <w:r>
              <w:rPr>
                <w:rFonts w:ascii="宋体" w:hAnsi="宋体" w:cs="宋体" w:eastAsia="宋体" w:hint="default"/>
                <w:spacing w:val="-6"/>
                <w:sz w:val="18"/>
                <w:szCs w:val="18"/>
              </w:rPr>
              <w:t>万元，剩余的</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12,806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万元全部投入苏州项目。公司通过募集资金专户向原募投项目支</w:t>
            </w:r>
          </w:p>
          <w:p>
            <w:pPr>
              <w:pStyle w:val="TableParagraph"/>
              <w:spacing w:line="367" w:lineRule="auto" w:before="130"/>
              <w:ind w:left="11" w:right="8"/>
              <w:jc w:val="both"/>
              <w:rPr>
                <w:rFonts w:ascii="宋体" w:hAnsi="宋体" w:cs="宋体" w:eastAsia="宋体" w:hint="default"/>
                <w:sz w:val="18"/>
                <w:szCs w:val="18"/>
              </w:rPr>
            </w:pPr>
            <w:r>
              <w:rPr>
                <w:rFonts w:ascii="宋体" w:hAnsi="宋体" w:cs="宋体" w:eastAsia="宋体" w:hint="default"/>
                <w:sz w:val="18"/>
                <w:szCs w:val="18"/>
              </w:rPr>
              <w:t>付的人民币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1,475.71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万元（主要用于土地使用权出让金、土地交易税费、建筑方案设 </w:t>
            </w:r>
            <w:r>
              <w:rPr>
                <w:rFonts w:ascii="宋体" w:hAnsi="宋体" w:cs="宋体" w:eastAsia="宋体" w:hint="default"/>
                <w:spacing w:val="-5"/>
                <w:sz w:val="18"/>
                <w:szCs w:val="18"/>
              </w:rPr>
              <w:t>计费），已全部用公司自有资金予以置换。</w:t>
            </w:r>
          </w:p>
          <w:p>
            <w:pPr>
              <w:pStyle w:val="TableParagraph"/>
              <w:spacing w:line="372" w:lineRule="auto" w:before="88"/>
              <w:ind w:left="11" w:right="8"/>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、增资易联技术开展电子支付服务项目，项目可行性发生重大变化，具体情况为：</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随着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号令的推行，国内第三方支付市场发生重大变化，且市场竞争不断加剧。易联 </w:t>
            </w:r>
            <w:r>
              <w:rPr>
                <w:rFonts w:ascii="宋体" w:hAnsi="宋体" w:cs="宋体" w:eastAsia="宋体" w:hint="default"/>
                <w:spacing w:val="-1"/>
                <w:sz w:val="18"/>
                <w:szCs w:val="18"/>
              </w:rPr>
              <w:t>技术开展电子支付服务项目，主要是为了推进小额支付运营业务的进展，计划申领预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付卡发行和受理业务。由于公司的小额支付运营业务受到阻碍，导致本项目无法实际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开展，造成项目可行性发生重大变化。</w:t>
            </w:r>
            <w:r>
              <w:rPr>
                <w:rFonts w:ascii="Times New Roman" w:hAnsi="Times New Roman" w:cs="Times New Roman" w:eastAsia="Times New Roman" w:hint="default"/>
                <w:spacing w:val="-3"/>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日，经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 大会审议通过了《审议终止深圳市易联技术有限公司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电子支付服务项目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并退回其他 与主营业务相关的营运资金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0"/>
                <w:sz w:val="18"/>
                <w:szCs w:val="18"/>
              </w:rPr>
              <w:t> </w:t>
            </w:r>
            <w:r>
              <w:rPr>
                <w:rFonts w:ascii="宋体" w:hAnsi="宋体" w:cs="宋体" w:eastAsia="宋体" w:hint="default"/>
                <w:spacing w:val="-4"/>
                <w:sz w:val="18"/>
                <w:szCs w:val="18"/>
              </w:rPr>
              <w:t>亿元的议案》，终止该项目的实施，以提高超募资金的</w:t>
            </w:r>
            <w:r>
              <w:rPr>
                <w:rFonts w:ascii="宋体" w:hAnsi="宋体" w:cs="宋体" w:eastAsia="宋体" w:hint="default"/>
                <w:sz w:val="18"/>
                <w:szCs w:val="18"/>
              </w:rPr>
              <w:t> 使用效率。</w:t>
            </w:r>
          </w:p>
          <w:p>
            <w:pPr>
              <w:pStyle w:val="TableParagraph"/>
              <w:spacing w:line="379" w:lineRule="auto" w:before="84"/>
              <w:ind w:left="11" w:right="8"/>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宋体" w:hAnsi="宋体" w:cs="宋体" w:eastAsia="宋体" w:hint="default"/>
                <w:spacing w:val="-6"/>
                <w:sz w:val="18"/>
                <w:szCs w:val="18"/>
              </w:rPr>
              <w:t>2016</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6</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27</w:t>
            </w:r>
            <w:r>
              <w:rPr>
                <w:rFonts w:ascii="宋体" w:hAnsi="宋体" w:cs="宋体" w:eastAsia="宋体" w:hint="default"/>
                <w:spacing w:val="-51"/>
                <w:sz w:val="18"/>
                <w:szCs w:val="18"/>
              </w:rPr>
              <w:t> </w:t>
            </w:r>
            <w:r>
              <w:rPr>
                <w:rFonts w:ascii="宋体" w:hAnsi="宋体" w:cs="宋体" w:eastAsia="宋体" w:hint="default"/>
                <w:sz w:val="18"/>
                <w:szCs w:val="18"/>
              </w:rPr>
              <w:t>日公司与深圳市瑞柏泰电子有限公司股东签署《深圳市新国都技术 </w:t>
            </w:r>
            <w:r>
              <w:rPr>
                <w:rFonts w:ascii="宋体" w:hAnsi="宋体" w:cs="宋体" w:eastAsia="宋体" w:hint="default"/>
                <w:spacing w:val="3"/>
                <w:sz w:val="18"/>
                <w:szCs w:val="18"/>
              </w:rPr>
              <w:t>股份有限公司与蔡敏及深圳市柏士泰科技有限公司关于深圳市瑞柏泰电子有限公司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之股权回购协议》，该事项已经公司第三届监事会第二十九次会议及第三届董事会第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三十次会议审议通过，考虑到自公司受让瑞柏泰</w:t>
            </w:r>
            <w:r>
              <w:rPr>
                <w:rFonts w:ascii="宋体" w:hAnsi="宋体" w:cs="宋体" w:eastAsia="宋体" w:hint="default"/>
                <w:spacing w:val="-18"/>
                <w:sz w:val="18"/>
                <w:szCs w:val="18"/>
              </w:rPr>
              <w:t> </w:t>
            </w:r>
            <w:r>
              <w:rPr>
                <w:rFonts w:ascii="宋体" w:hAnsi="宋体" w:cs="宋体" w:eastAsia="宋体" w:hint="default"/>
                <w:sz w:val="18"/>
                <w:szCs w:val="18"/>
              </w:rPr>
              <w:t>20%</w:t>
            </w:r>
            <w:r>
              <w:rPr>
                <w:rFonts w:ascii="宋体" w:hAnsi="宋体" w:cs="宋体" w:eastAsia="宋体" w:hint="default"/>
                <w:sz w:val="18"/>
                <w:szCs w:val="18"/>
              </w:rPr>
              <w:t>股权后，公司和瑞柏泰的业务合 </w:t>
            </w:r>
            <w:r>
              <w:rPr>
                <w:rFonts w:ascii="宋体" w:hAnsi="宋体" w:cs="宋体" w:eastAsia="宋体" w:hint="default"/>
                <w:spacing w:val="-1"/>
                <w:sz w:val="18"/>
                <w:szCs w:val="18"/>
              </w:rPr>
              <w:t>作、团队整合等方面未达预期，同时公司和瑞柏泰的业务模式和未来发展战略存在差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异，经公司、蔡敏女士及柏士泰友好协商，各方一致同意，由柏士泰受让公司持有瑞</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柏泰的全部股权，包括公司根据《股权受让合同》受让的瑞柏泰</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的股权及柏士泰 依据相关合同及协议应无偿转让给公司的瑞柏泰的</w:t>
            </w:r>
            <w:r>
              <w:rPr>
                <w:rFonts w:ascii="宋体" w:hAnsi="宋体" w:cs="宋体" w:eastAsia="宋体" w:hint="default"/>
                <w:spacing w:val="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股权，终止此超募资金项目， 股权转让价格为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2,860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万元，本次股权转让已于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日办理完成工商变更手 </w:t>
            </w:r>
            <w:r>
              <w:rPr>
                <w:rFonts w:ascii="宋体" w:hAnsi="宋体" w:cs="宋体" w:eastAsia="宋体" w:hint="default"/>
                <w:spacing w:val="-1"/>
                <w:sz w:val="18"/>
                <w:szCs w:val="18"/>
              </w:rPr>
              <w:t>续。根据《股权回购协议》约定：柏士泰应于本次股权转让事项工商手续变更完毕之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日起三个自然月内，向新国都支付回购款 </w:t>
            </w:r>
            <w:r>
              <w:rPr>
                <w:rFonts w:ascii="Times New Roman" w:hAnsi="Times New Roman" w:cs="Times New Roman" w:eastAsia="Times New Roman" w:hint="default"/>
                <w:sz w:val="18"/>
                <w:szCs w:val="18"/>
              </w:rPr>
              <w:t>2,360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万元；《股权回购协议》之补充协议</w:t>
            </w:r>
          </w:p>
          <w:p>
            <w:pPr>
              <w:pStyle w:val="TableParagraph"/>
              <w:spacing w:line="240" w:lineRule="auto" w:before="15"/>
              <w:ind w:left="11" w:right="0"/>
              <w:jc w:val="both"/>
              <w:rPr>
                <w:rFonts w:ascii="宋体" w:hAnsi="宋体" w:cs="宋体" w:eastAsia="宋体" w:hint="default"/>
                <w:sz w:val="18"/>
                <w:szCs w:val="18"/>
              </w:rPr>
            </w:pPr>
            <w:r>
              <w:rPr>
                <w:rFonts w:ascii="宋体" w:hAnsi="宋体" w:cs="宋体" w:eastAsia="宋体" w:hint="default"/>
                <w:spacing w:val="-1"/>
                <w:sz w:val="18"/>
                <w:szCs w:val="18"/>
              </w:rPr>
              <w:t>（二）将上述支付条款变更为：本次股权转让的工商变更手续办理完毕之日起七个自</w:t>
            </w:r>
          </w:p>
        </w:tc>
      </w:tr>
    </w:tbl>
    <w:p>
      <w:pPr>
        <w:spacing w:after="0" w:line="240"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73"/>
        <w:gridCol w:w="6699"/>
      </w:tblGrid>
      <w:tr>
        <w:trPr>
          <w:trHeight w:val="5031"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both"/>
              <w:rPr>
                <w:rFonts w:ascii="宋体" w:hAnsi="宋体" w:cs="宋体" w:eastAsia="宋体" w:hint="default"/>
                <w:sz w:val="18"/>
                <w:szCs w:val="18"/>
              </w:rPr>
            </w:pPr>
            <w:r>
              <w:rPr>
                <w:rFonts w:ascii="宋体" w:hAnsi="宋体" w:cs="宋体" w:eastAsia="宋体" w:hint="default"/>
                <w:sz w:val="18"/>
                <w:szCs w:val="18"/>
              </w:rPr>
              <w:t>然月内，丙方向甲方指定银行账户支付回购款 </w:t>
            </w:r>
            <w:r>
              <w:rPr>
                <w:rFonts w:ascii="Times New Roman" w:hAnsi="Times New Roman" w:cs="Times New Roman" w:eastAsia="Times New Roman" w:hint="default"/>
                <w:sz w:val="18"/>
                <w:szCs w:val="18"/>
              </w:rPr>
              <w:t>2,360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万元。经本公司第三届董事会第</w:t>
            </w:r>
          </w:p>
          <w:p>
            <w:pPr>
              <w:pStyle w:val="TableParagraph"/>
              <w:spacing w:line="386" w:lineRule="auto" w:before="131"/>
              <w:ind w:left="23" w:right="20"/>
              <w:jc w:val="both"/>
              <w:rPr>
                <w:rFonts w:ascii="宋体" w:hAnsi="宋体" w:cs="宋体" w:eastAsia="宋体" w:hint="default"/>
                <w:sz w:val="18"/>
                <w:szCs w:val="18"/>
              </w:rPr>
            </w:pPr>
            <w:r>
              <w:rPr>
                <w:rFonts w:ascii="宋体" w:hAnsi="宋体" w:cs="宋体" w:eastAsia="宋体" w:hint="default"/>
                <w:sz w:val="18"/>
                <w:szCs w:val="18"/>
              </w:rPr>
              <w:t>三十一次会议和第三届监事会第三十次会议审议通过，及公司 </w:t>
            </w:r>
            <w:r>
              <w:rPr>
                <w:rFonts w:ascii="宋体" w:hAnsi="宋体" w:cs="宋体" w:eastAsia="宋体" w:hint="default"/>
                <w:sz w:val="18"/>
                <w:szCs w:val="18"/>
              </w:rPr>
              <w:t>2016</w:t>
            </w:r>
            <w:r>
              <w:rPr>
                <w:rFonts w:ascii="宋体" w:hAnsi="宋体" w:cs="宋体" w:eastAsia="宋体" w:hint="default"/>
                <w:spacing w:val="-18"/>
                <w:sz w:val="18"/>
                <w:szCs w:val="18"/>
              </w:rPr>
              <w:t> </w:t>
            </w:r>
            <w:r>
              <w:rPr>
                <w:rFonts w:ascii="宋体" w:hAnsi="宋体" w:cs="宋体" w:eastAsia="宋体" w:hint="default"/>
                <w:sz w:val="18"/>
                <w:szCs w:val="18"/>
              </w:rPr>
              <w:t>年第四次临时股 </w:t>
            </w:r>
            <w:r>
              <w:rPr>
                <w:rFonts w:ascii="宋体" w:hAnsi="宋体" w:cs="宋体" w:eastAsia="宋体" w:hint="default"/>
                <w:spacing w:val="-1"/>
                <w:sz w:val="18"/>
                <w:szCs w:val="18"/>
              </w:rPr>
              <w:t>东大会批准，本次股权转让交易所得款项将用于暂时性补充流动资金。本公司招商银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行车公庙支行账户于</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日和</w:t>
            </w:r>
            <w:r>
              <w:rPr>
                <w:rFonts w:ascii="宋体" w:hAnsi="宋体" w:cs="宋体" w:eastAsia="宋体" w:hint="default"/>
                <w:spacing w:val="-47"/>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28</w:t>
            </w:r>
            <w:r>
              <w:rPr>
                <w:rFonts w:ascii="宋体" w:hAnsi="宋体" w:cs="宋体" w:eastAsia="宋体" w:hint="default"/>
                <w:spacing w:val="-47"/>
                <w:sz w:val="18"/>
                <w:szCs w:val="18"/>
              </w:rPr>
              <w:t> </w:t>
            </w:r>
            <w:r>
              <w:rPr>
                <w:rFonts w:ascii="宋体" w:hAnsi="宋体" w:cs="宋体" w:eastAsia="宋体" w:hint="default"/>
                <w:sz w:val="18"/>
                <w:szCs w:val="18"/>
              </w:rPr>
              <w:t>日分别收到瑞柏泰回购股权</w:t>
            </w:r>
          </w:p>
          <w:p>
            <w:pPr>
              <w:pStyle w:val="TableParagraph"/>
              <w:spacing w:line="240" w:lineRule="auto" w:before="35"/>
              <w:ind w:left="23" w:right="0"/>
              <w:jc w:val="both"/>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39"/>
                <w:sz w:val="18"/>
                <w:szCs w:val="18"/>
              </w:rPr>
              <w:t> </w:t>
            </w:r>
            <w:r>
              <w:rPr>
                <w:rFonts w:ascii="宋体" w:hAnsi="宋体" w:cs="宋体" w:eastAsia="宋体" w:hint="default"/>
                <w:sz w:val="18"/>
                <w:szCs w:val="18"/>
              </w:rPr>
              <w:t>2,000</w:t>
            </w:r>
            <w:r>
              <w:rPr>
                <w:rFonts w:ascii="宋体" w:hAnsi="宋体" w:cs="宋体" w:eastAsia="宋体" w:hint="default"/>
                <w:spacing w:val="-39"/>
                <w:sz w:val="18"/>
                <w:szCs w:val="18"/>
              </w:rPr>
              <w:t> </w:t>
            </w:r>
            <w:r>
              <w:rPr>
                <w:rFonts w:ascii="宋体" w:hAnsi="宋体" w:cs="宋体" w:eastAsia="宋体" w:hint="default"/>
                <w:sz w:val="18"/>
                <w:szCs w:val="18"/>
              </w:rPr>
              <w:t>万元和</w:t>
            </w:r>
            <w:r>
              <w:rPr>
                <w:rFonts w:ascii="宋体" w:hAnsi="宋体" w:cs="宋体" w:eastAsia="宋体" w:hint="default"/>
                <w:spacing w:val="-38"/>
                <w:sz w:val="18"/>
                <w:szCs w:val="18"/>
              </w:rPr>
              <w:t> </w:t>
            </w:r>
            <w:r>
              <w:rPr>
                <w:rFonts w:ascii="宋体" w:hAnsi="宋体" w:cs="宋体" w:eastAsia="宋体" w:hint="default"/>
                <w:sz w:val="18"/>
                <w:szCs w:val="18"/>
              </w:rPr>
              <w:t>360.00</w:t>
            </w:r>
            <w:r>
              <w:rPr>
                <w:rFonts w:ascii="宋体" w:hAnsi="宋体" w:cs="宋体" w:eastAsia="宋体" w:hint="default"/>
                <w:spacing w:val="-39"/>
                <w:sz w:val="18"/>
                <w:szCs w:val="18"/>
              </w:rPr>
              <w:t> </w:t>
            </w:r>
            <w:r>
              <w:rPr>
                <w:rFonts w:ascii="宋体" w:hAnsi="宋体" w:cs="宋体" w:eastAsia="宋体" w:hint="default"/>
                <w:sz w:val="18"/>
                <w:szCs w:val="18"/>
              </w:rPr>
              <w:t>万元，并于</w:t>
            </w:r>
            <w:r>
              <w:rPr>
                <w:rFonts w:ascii="宋体" w:hAnsi="宋体" w:cs="宋体" w:eastAsia="宋体" w:hint="default"/>
                <w:spacing w:val="-38"/>
                <w:sz w:val="18"/>
                <w:szCs w:val="18"/>
              </w:rPr>
              <w:t> </w:t>
            </w:r>
            <w:r>
              <w:rPr>
                <w:rFonts w:ascii="宋体" w:hAnsi="宋体" w:cs="宋体" w:eastAsia="宋体" w:hint="default"/>
                <w:sz w:val="18"/>
                <w:szCs w:val="18"/>
              </w:rPr>
              <w:t>2018</w:t>
            </w:r>
            <w:r>
              <w:rPr>
                <w:rFonts w:ascii="宋体" w:hAnsi="宋体" w:cs="宋体" w:eastAsia="宋体"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宋体" w:hAnsi="宋体" w:cs="宋体" w:eastAsia="宋体" w:hint="default"/>
                <w:sz w:val="18"/>
                <w:szCs w:val="18"/>
              </w:rPr>
              <w:t>3</w:t>
            </w:r>
            <w:r>
              <w:rPr>
                <w:rFonts w:ascii="宋体" w:hAnsi="宋体" w:cs="宋体" w:eastAsia="宋体" w:hint="default"/>
                <w:spacing w:val="-39"/>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宋体" w:hAnsi="宋体" w:cs="宋体" w:eastAsia="宋体" w:hint="default"/>
                <w:sz w:val="18"/>
                <w:szCs w:val="18"/>
              </w:rPr>
              <w:t>19</w:t>
            </w:r>
            <w:r>
              <w:rPr>
                <w:rFonts w:ascii="宋体" w:hAnsi="宋体" w:cs="宋体" w:eastAsia="宋体" w:hint="default"/>
                <w:spacing w:val="-37"/>
                <w:sz w:val="18"/>
                <w:szCs w:val="18"/>
              </w:rPr>
              <w:t> </w:t>
            </w:r>
            <w:r>
              <w:rPr>
                <w:rFonts w:ascii="宋体" w:hAnsi="宋体" w:cs="宋体" w:eastAsia="宋体" w:hint="default"/>
                <w:sz w:val="18"/>
                <w:szCs w:val="18"/>
              </w:rPr>
              <w:t>日将实际用于暂时补充流动资金</w:t>
            </w:r>
          </w:p>
          <w:p>
            <w:pPr>
              <w:pStyle w:val="TableParagraph"/>
              <w:spacing w:line="240" w:lineRule="auto" w:before="146"/>
              <w:ind w:left="23" w:right="0"/>
              <w:jc w:val="both"/>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宋体" w:hAnsi="宋体" w:cs="宋体" w:eastAsia="宋体" w:hint="default"/>
                <w:sz w:val="18"/>
                <w:szCs w:val="18"/>
              </w:rPr>
              <w:t>2,360</w:t>
            </w:r>
            <w:r>
              <w:rPr>
                <w:rFonts w:ascii="宋体" w:hAnsi="宋体" w:cs="宋体" w:eastAsia="宋体" w:hint="default"/>
                <w:spacing w:val="-44"/>
                <w:sz w:val="18"/>
                <w:szCs w:val="18"/>
              </w:rPr>
              <w:t> </w:t>
            </w:r>
            <w:r>
              <w:rPr>
                <w:rFonts w:ascii="宋体" w:hAnsi="宋体" w:cs="宋体" w:eastAsia="宋体" w:hint="default"/>
                <w:sz w:val="18"/>
                <w:szCs w:val="18"/>
              </w:rPr>
              <w:t>万元归还至公司募集资金专用账户。</w:t>
            </w: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374" w:lineRule="auto"/>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日，深圳市新国都技术股份有限公司第四届董事会第六次会议决 </w:t>
            </w:r>
            <w:r>
              <w:rPr>
                <w:rFonts w:ascii="宋体" w:hAnsi="宋体" w:cs="宋体" w:eastAsia="宋体" w:hint="default"/>
                <w:spacing w:val="-23"/>
                <w:sz w:val="18"/>
                <w:szCs w:val="18"/>
              </w:rPr>
              <w:t>议（公告</w:t>
            </w:r>
            <w:r>
              <w:rPr>
                <w:rFonts w:ascii="宋体" w:hAnsi="宋体" w:cs="宋体" w:eastAsia="宋体" w:hint="default"/>
                <w:spacing w:val="-33"/>
                <w:sz w:val="18"/>
                <w:szCs w:val="18"/>
              </w:rPr>
              <w:t> </w:t>
            </w:r>
            <w:r>
              <w:rPr>
                <w:rFonts w:ascii="Times New Roman" w:hAnsi="Times New Roman" w:cs="Times New Roman" w:eastAsia="Times New Roman" w:hint="default"/>
                <w:spacing w:val="-5"/>
                <w:w w:val="100"/>
                <w:sz w:val="18"/>
                <w:szCs w:val="18"/>
              </w:rPr>
              <w:t>2017-125</w:t>
            </w:r>
            <w:r>
              <w:rPr>
                <w:rFonts w:ascii="宋体" w:hAnsi="宋体" w:cs="宋体" w:eastAsia="宋体" w:hint="default"/>
                <w:spacing w:val="-5"/>
                <w:w w:val="100"/>
                <w:sz w:val="18"/>
                <w:szCs w:val="18"/>
              </w:rPr>
              <w:t>），为提高募集资金投资项目</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电子支付技术产研基地建设项目</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电</w:t>
            </w:r>
            <w:r>
              <w:rPr>
                <w:rFonts w:ascii="宋体" w:hAnsi="宋体" w:cs="宋体" w:eastAsia="宋体" w:hint="default"/>
                <w:spacing w:val="-85"/>
                <w:w w:val="100"/>
                <w:sz w:val="18"/>
                <w:szCs w:val="18"/>
              </w:rPr>
              <w:t> </w:t>
            </w:r>
            <w:r>
              <w:rPr>
                <w:rFonts w:ascii="宋体" w:hAnsi="宋体" w:cs="宋体" w:eastAsia="宋体" w:hint="default"/>
                <w:sz w:val="18"/>
                <w:szCs w:val="18"/>
              </w:rPr>
              <w:t>子支付技术苏州研发基地项目</w:t>
            </w:r>
            <w:r>
              <w:rPr>
                <w:rFonts w:ascii="Times New Roman" w:hAnsi="Times New Roman" w:cs="Times New Roman" w:eastAsia="Times New Roman" w:hint="default"/>
                <w:sz w:val="18"/>
                <w:szCs w:val="18"/>
              </w:rPr>
              <w:t>”</w:t>
            </w:r>
            <w:r>
              <w:rPr>
                <w:rFonts w:ascii="宋体" w:hAnsi="宋体" w:cs="宋体" w:eastAsia="宋体" w:hint="default"/>
                <w:sz w:val="18"/>
                <w:szCs w:val="18"/>
              </w:rPr>
              <w:t>整体的经济收益，经慎重研究，公司拟将募集资金投</w:t>
            </w:r>
            <w:r>
              <w:rPr>
                <w:rFonts w:ascii="宋体" w:hAnsi="宋体" w:cs="宋体" w:eastAsia="宋体" w:hint="default"/>
                <w:spacing w:val="-17"/>
                <w:sz w:val="18"/>
                <w:szCs w:val="18"/>
              </w:rPr>
              <w:t> </w:t>
            </w:r>
            <w:r>
              <w:rPr>
                <w:rFonts w:ascii="宋体" w:hAnsi="宋体" w:cs="宋体" w:eastAsia="宋体" w:hint="default"/>
                <w:spacing w:val="-17"/>
                <w:sz w:val="18"/>
                <w:szCs w:val="18"/>
              </w:rPr>
            </w:r>
            <w:r>
              <w:rPr>
                <w:rFonts w:ascii="宋体" w:hAnsi="宋体" w:cs="宋体" w:eastAsia="宋体" w:hint="default"/>
                <w:sz w:val="18"/>
                <w:szCs w:val="18"/>
              </w:rPr>
              <w:t>资项目的实施地点由苏州市变更为深圳市。</w:t>
            </w:r>
            <w:r>
              <w:rPr>
                <w:rFonts w:ascii="宋体" w:hAnsi="宋体" w:cs="宋体" w:eastAsia="宋体" w:hint="default"/>
                <w:spacing w:val="54"/>
                <w:sz w:val="18"/>
                <w:szCs w:val="18"/>
              </w:rPr>
              <w:t> </w:t>
            </w:r>
            <w:r>
              <w:rPr>
                <w:rFonts w:ascii="宋体" w:hAnsi="宋体" w:cs="宋体" w:eastAsia="宋体" w:hint="default"/>
                <w:sz w:val="18"/>
                <w:szCs w:val="18"/>
              </w:rPr>
              <w:t>公司变更部分募集资金投资项目的实施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地点是公司经营管理和经济效益的需要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本次变更部分募集资金投资项目实施地点对</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1"/>
                <w:sz w:val="18"/>
                <w:szCs w:val="18"/>
              </w:rPr>
              <w:t>项目实施方案和实施计划并未产生重大影响，不会导致募集资金投资项目发生实质性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变更。</w:t>
            </w:r>
          </w:p>
        </w:tc>
      </w:tr>
      <w:tr>
        <w:trPr>
          <w:trHeight w:val="714"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8"/>
        <w:rPr>
          <w:rFonts w:ascii="Times New Roman" w:hAnsi="Times New Roman" w:cs="Times New Roman" w:eastAsia="Times New Roman" w:hint="default"/>
          <w:sz w:val="20"/>
          <w:szCs w:val="20"/>
        </w:rPr>
      </w:pPr>
    </w:p>
    <w:p>
      <w:pPr>
        <w:pStyle w:val="Heading4"/>
        <w:spacing w:line="240" w:lineRule="auto" w:before="26"/>
        <w:ind w:left="1134" w:right="994"/>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640"/>
        <w:gridCol w:w="640"/>
        <w:gridCol w:w="640"/>
        <w:gridCol w:w="641"/>
        <w:gridCol w:w="638"/>
        <w:gridCol w:w="640"/>
        <w:gridCol w:w="638"/>
        <w:gridCol w:w="640"/>
        <w:gridCol w:w="637"/>
        <w:gridCol w:w="638"/>
        <w:gridCol w:w="639"/>
        <w:gridCol w:w="637"/>
        <w:gridCol w:w="638"/>
        <w:gridCol w:w="638"/>
        <w:gridCol w:w="630"/>
      </w:tblGrid>
      <w:tr>
        <w:trPr>
          <w:trHeight w:val="3829" w:hRule="exact"/>
        </w:trPr>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4" w:right="45"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34" w:right="43"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44"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44" w:right="44"/>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44" w:right="42"/>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44" w:right="45"/>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2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4" w:right="42"/>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w:t>
            </w:r>
          </w:p>
          <w:p>
            <w:pPr>
              <w:pStyle w:val="TableParagraph"/>
              <w:spacing w:line="316" w:lineRule="auto" w:before="20"/>
              <w:ind w:left="44" w:right="42" w:hanging="169"/>
              <w:jc w:val="both"/>
              <w:rPr>
                <w:rFonts w:ascii="宋体" w:hAnsi="宋体" w:cs="宋体" w:eastAsia="宋体" w:hint="default"/>
                <w:sz w:val="18"/>
                <w:szCs w:val="18"/>
              </w:rPr>
            </w:pPr>
            <w:r>
              <w:rPr>
                <w:rFonts w:ascii="宋体" w:hAnsi="宋体" w:cs="宋体" w:eastAsia="宋体" w:hint="default"/>
                <w:spacing w:val="-3"/>
                <w:sz w:val="18"/>
                <w:szCs w:val="18"/>
              </w:rPr>
              <w:t>）占净利</w:t>
            </w:r>
            <w:r>
              <w:rPr>
                <w:rFonts w:ascii="宋体" w:hAnsi="宋体" w:cs="宋体" w:eastAsia="宋体" w:hint="default"/>
                <w:sz w:val="18"/>
                <w:szCs w:val="18"/>
              </w:rPr>
              <w:t> 润总额 的比例</w:t>
            </w:r>
          </w:p>
        </w:tc>
        <w:tc>
          <w:tcPr>
            <w:tcW w:w="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43" w:right="4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 w:right="43"/>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43" w:right="45"/>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 w:right="43"/>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19" w:right="38"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16" w:hRule="exact"/>
        </w:trPr>
        <w:tc>
          <w:tcPr>
            <w:tcW w:w="6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余承富</w:t>
            </w:r>
          </w:p>
        </w:tc>
        <w:tc>
          <w:tcPr>
            <w:tcW w:w="6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7"/>
              <w:ind w:left="22" w:right="65"/>
              <w:jc w:val="both"/>
              <w:rPr>
                <w:rFonts w:ascii="宋体" w:hAnsi="宋体" w:cs="宋体" w:eastAsia="宋体" w:hint="default"/>
                <w:sz w:val="18"/>
                <w:szCs w:val="18"/>
              </w:rPr>
            </w:pPr>
            <w:r>
              <w:rPr>
                <w:rFonts w:ascii="宋体" w:hAnsi="宋体" w:cs="宋体" w:eastAsia="宋体" w:hint="default"/>
                <w:sz w:val="18"/>
                <w:szCs w:val="18"/>
              </w:rPr>
              <w:t>公司持 有的深 圳市大 拿科技 有限公</w:t>
            </w:r>
          </w:p>
        </w:tc>
        <w:tc>
          <w:tcPr>
            <w:tcW w:w="640"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337" w:right="0"/>
              <w:jc w:val="left"/>
              <w:rPr>
                <w:rFonts w:ascii="Times New Roman" w:hAnsi="Times New Roman" w:cs="Times New Roman" w:eastAsia="Times New Roman" w:hint="default"/>
                <w:sz w:val="18"/>
                <w:szCs w:val="18"/>
              </w:rPr>
            </w:pPr>
            <w:r>
              <w:rPr>
                <w:rFonts w:ascii="Times New Roman"/>
                <w:sz w:val="18"/>
              </w:rPr>
              <w:t>410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-425.92</w:t>
            </w:r>
          </w:p>
        </w:tc>
        <w:tc>
          <w:tcPr>
            <w:tcW w:w="6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7"/>
              <w:ind w:left="22" w:right="65"/>
              <w:jc w:val="both"/>
              <w:rPr>
                <w:rFonts w:ascii="宋体" w:hAnsi="宋体" w:cs="宋体" w:eastAsia="宋体" w:hint="default"/>
                <w:sz w:val="18"/>
                <w:szCs w:val="18"/>
              </w:rPr>
            </w:pPr>
            <w:r>
              <w:rPr>
                <w:rFonts w:ascii="宋体" w:hAnsi="宋体" w:cs="宋体" w:eastAsia="宋体" w:hint="default"/>
                <w:sz w:val="18"/>
                <w:szCs w:val="18"/>
              </w:rPr>
              <w:t>本次股 权转让 有利于 优化公 司资产</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0.66%</w:t>
            </w:r>
          </w:p>
        </w:tc>
        <w:tc>
          <w:tcPr>
            <w:tcW w:w="6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协商确 定</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按计划 实行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7"/>
              <w:ind w:left="22" w:right="55"/>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6" w:lineRule="auto" w:before="19"/>
              <w:ind w:left="22" w:right="55"/>
              <w:jc w:val="both"/>
              <w:rPr>
                <w:rFonts w:ascii="宋体" w:hAnsi="宋体" w:cs="宋体" w:eastAsia="宋体" w:hint="default"/>
                <w:sz w:val="18"/>
                <w:szCs w:val="18"/>
              </w:rPr>
            </w:pPr>
            <w:r>
              <w:rPr>
                <w:rFonts w:ascii="宋体" w:hAnsi="宋体" w:cs="宋体" w:eastAsia="宋体" w:hint="default"/>
                <w:sz w:val="18"/>
                <w:szCs w:val="18"/>
              </w:rPr>
              <w:t>《关于 转让深 圳市大</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40"/>
        <w:gridCol w:w="640"/>
        <w:gridCol w:w="640"/>
        <w:gridCol w:w="641"/>
        <w:gridCol w:w="638"/>
        <w:gridCol w:w="639"/>
        <w:gridCol w:w="639"/>
        <w:gridCol w:w="639"/>
        <w:gridCol w:w="638"/>
        <w:gridCol w:w="638"/>
        <w:gridCol w:w="639"/>
        <w:gridCol w:w="637"/>
        <w:gridCol w:w="638"/>
        <w:gridCol w:w="638"/>
        <w:gridCol w:w="630"/>
      </w:tblGrid>
      <w:tr>
        <w:trPr>
          <w:trHeight w:val="2859" w:hRule="exact"/>
        </w:trPr>
        <w:tc>
          <w:tcPr>
            <w:tcW w:w="64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6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司股权</w:t>
            </w:r>
          </w:p>
        </w:tc>
        <w:tc>
          <w:tcPr>
            <w:tcW w:w="640"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0"/>
              <w:ind w:left="22" w:right="66"/>
              <w:jc w:val="left"/>
              <w:rPr>
                <w:rFonts w:ascii="宋体" w:hAnsi="宋体" w:cs="宋体" w:eastAsia="宋体" w:hint="default"/>
                <w:sz w:val="18"/>
                <w:szCs w:val="18"/>
              </w:rPr>
            </w:pPr>
            <w:r>
              <w:rPr>
                <w:rFonts w:ascii="宋体" w:hAnsi="宋体" w:cs="宋体" w:eastAsia="宋体" w:hint="default"/>
                <w:sz w:val="18"/>
                <w:szCs w:val="18"/>
              </w:rPr>
              <w:t>结构， 降低经 营风 险，提 高公司 资产变 现能力</w:t>
            </w:r>
          </w:p>
        </w:tc>
        <w:tc>
          <w:tcPr>
            <w:tcW w:w="639"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0"/>
              <w:ind w:left="22" w:right="55"/>
              <w:jc w:val="both"/>
              <w:rPr>
                <w:rFonts w:ascii="宋体" w:hAnsi="宋体" w:cs="宋体" w:eastAsia="宋体" w:hint="default"/>
                <w:sz w:val="18"/>
                <w:szCs w:val="18"/>
              </w:rPr>
            </w:pPr>
            <w:r>
              <w:rPr>
                <w:rFonts w:ascii="宋体" w:hAnsi="宋体" w:cs="宋体" w:eastAsia="宋体" w:hint="default"/>
                <w:sz w:val="18"/>
                <w:szCs w:val="18"/>
              </w:rPr>
              <w:t>拿科技 有限公 司股权 的公</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告 》</w:t>
            </w:r>
          </w:p>
          <w:p>
            <w:pPr>
              <w:pStyle w:val="TableParagraph"/>
              <w:spacing w:line="338" w:lineRule="auto" w:before="76"/>
              <w:ind w:left="22" w:right="5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2017-1</w:t>
            </w:r>
          </w:p>
          <w:p>
            <w:pPr>
              <w:pStyle w:val="TableParagraph"/>
              <w:spacing w:line="234"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33</w:t>
            </w:r>
            <w:r>
              <w:rPr>
                <w:rFonts w:ascii="宋体" w:hAnsi="宋体" w:cs="宋体" w:eastAsia="宋体" w:hint="default"/>
                <w:sz w:val="18"/>
                <w:szCs w:val="18"/>
              </w:rPr>
              <w:t>）</w:t>
            </w:r>
          </w:p>
        </w:tc>
      </w:tr>
      <w:tr>
        <w:trPr>
          <w:trHeight w:val="5082" w:hRule="exact"/>
        </w:trPr>
        <w:tc>
          <w:tcPr>
            <w:tcW w:w="6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深圳大 岩科技 有限公 司</w:t>
            </w:r>
          </w:p>
        </w:tc>
        <w:tc>
          <w:tcPr>
            <w:tcW w:w="6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公司持 有的深 圳嘉石 大岩资 本管理 有限公 司股权</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357.65</w:t>
            </w:r>
          </w:p>
        </w:tc>
        <w:tc>
          <w:tcPr>
            <w:tcW w:w="63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6"/>
              <w:jc w:val="both"/>
              <w:rPr>
                <w:rFonts w:ascii="宋体" w:hAnsi="宋体" w:cs="宋体" w:eastAsia="宋体" w:hint="default"/>
                <w:sz w:val="18"/>
                <w:szCs w:val="18"/>
              </w:rPr>
            </w:pPr>
            <w:r>
              <w:rPr>
                <w:rFonts w:ascii="宋体" w:hAnsi="宋体" w:cs="宋体" w:eastAsia="宋体" w:hint="default"/>
                <w:sz w:val="18"/>
                <w:szCs w:val="18"/>
              </w:rPr>
              <w:t>有利于 增加公 司自有 运营资 金，提 升资源 利用效 率，推 进公司 主营业 务的发 展，促 进公司 整体发 展战略 的实现</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0.00%</w:t>
            </w:r>
          </w:p>
        </w:tc>
        <w:tc>
          <w:tcPr>
            <w:tcW w:w="63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64"/>
              <w:jc w:val="left"/>
              <w:rPr>
                <w:rFonts w:ascii="宋体" w:hAnsi="宋体" w:cs="宋体" w:eastAsia="宋体" w:hint="default"/>
                <w:sz w:val="18"/>
                <w:szCs w:val="18"/>
              </w:rPr>
            </w:pPr>
            <w:r>
              <w:rPr>
                <w:rFonts w:ascii="宋体" w:hAnsi="宋体" w:cs="宋体" w:eastAsia="宋体" w:hint="default"/>
                <w:sz w:val="18"/>
                <w:szCs w:val="18"/>
              </w:rPr>
              <w:t>由评估 报告作 为依 据，交 易双方 协商确 定</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both"/>
              <w:rPr>
                <w:rFonts w:ascii="宋体" w:hAnsi="宋体" w:cs="宋体" w:eastAsia="宋体" w:hint="default"/>
                <w:sz w:val="18"/>
                <w:szCs w:val="18"/>
              </w:rPr>
            </w:pPr>
            <w:r>
              <w:rPr>
                <w:rFonts w:ascii="宋体" w:hAnsi="宋体" w:cs="宋体" w:eastAsia="宋体" w:hint="default"/>
                <w:sz w:val="18"/>
                <w:szCs w:val="18"/>
              </w:rPr>
              <w:t>截止至</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6" w:lineRule="auto" w:before="63"/>
              <w:ind w:left="22"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本事项 尚未完 成股权 交割； 截止至 本公告 日，该 事项已 经完成 交割</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6"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《关于 转让深 圳嘉石 大岩资 本管理 有限公 司股权 的公 </w:t>
            </w:r>
            <w:r>
              <w:rPr>
                <w:rFonts w:ascii="宋体" w:hAnsi="宋体" w:cs="宋体" w:eastAsia="宋体" w:hint="default"/>
                <w:spacing w:val="-37"/>
                <w:sz w:val="18"/>
                <w:szCs w:val="18"/>
              </w:rPr>
              <w:t>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2017-1</w:t>
            </w:r>
          </w:p>
          <w:p>
            <w:pPr>
              <w:pStyle w:val="TableParagraph"/>
              <w:spacing w:line="240" w:lineRule="auto" w:before="6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682"/>
        <w:gridCol w:w="683"/>
        <w:gridCol w:w="684"/>
        <w:gridCol w:w="684"/>
        <w:gridCol w:w="683"/>
        <w:gridCol w:w="683"/>
        <w:gridCol w:w="683"/>
        <w:gridCol w:w="686"/>
        <w:gridCol w:w="684"/>
        <w:gridCol w:w="684"/>
        <w:gridCol w:w="684"/>
        <w:gridCol w:w="684"/>
        <w:gridCol w:w="684"/>
        <w:gridCol w:w="677"/>
      </w:tblGrid>
      <w:tr>
        <w:trPr>
          <w:trHeight w:val="3829" w:hRule="exact"/>
        </w:trPr>
        <w:tc>
          <w:tcPr>
            <w:tcW w:w="682" w:type="dxa"/>
            <w:tcBorders>
              <w:top w:val="single" w:sz="4" w:space="0" w:color="000000"/>
              <w:left w:val="single" w:sz="4" w:space="0" w:color="000000"/>
              <w:bottom w:val="single" w:sz="12" w:space="0" w:color="CCE8C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5" w:right="64"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12" w:space="0" w:color="CCE8C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57"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12" w:space="0" w:color="CCE8C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6" w:type="dxa"/>
            <w:tcBorders>
              <w:top w:val="single" w:sz="4" w:space="0" w:color="000000"/>
              <w:left w:val="single" w:sz="4" w:space="0" w:color="000000"/>
              <w:bottom w:val="single" w:sz="12" w:space="0" w:color="CCE8C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7" w:right="67"/>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5" w:right="66"/>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5" w:right="66"/>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66" w:right="66"/>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4" w:type="dxa"/>
            <w:tcBorders>
              <w:top w:val="single" w:sz="4" w:space="0" w:color="000000"/>
              <w:left w:val="single" w:sz="4" w:space="0" w:color="000000"/>
              <w:bottom w:val="single" w:sz="12" w:space="0" w:color="CCE8CF"/>
              <w:right w:val="single" w:sz="4" w:space="0" w:color="000000"/>
            </w:tcBorders>
            <w:shd w:val="clear" w:color="auto" w:fill="D2D2D2"/>
          </w:tcPr>
          <w:p>
            <w:pPr>
              <w:pStyle w:val="TableParagraph"/>
              <w:spacing w:line="316" w:lineRule="auto" w:before="52"/>
              <w:ind w:left="65" w:right="66"/>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12" w:space="0" w:color="CCE8C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720" w:hRule="exact"/>
        </w:trPr>
        <w:tc>
          <w:tcPr>
            <w:tcW w:w="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76"/>
              <w:ind w:left="22" w:right="107"/>
              <w:jc w:val="left"/>
              <w:rPr>
                <w:rFonts w:ascii="宋体" w:hAnsi="宋体" w:cs="宋体" w:eastAsia="宋体" w:hint="default"/>
                <w:sz w:val="18"/>
                <w:szCs w:val="18"/>
              </w:rPr>
            </w:pPr>
            <w:r>
              <w:rPr>
                <w:rFonts w:ascii="宋体" w:hAnsi="宋体" w:cs="宋体" w:eastAsia="宋体" w:hint="default"/>
                <w:sz w:val="18"/>
                <w:szCs w:val="18"/>
              </w:rPr>
              <w:t>深圳大 岩科技</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76"/>
              <w:ind w:left="23" w:right="107"/>
              <w:jc w:val="left"/>
              <w:rPr>
                <w:rFonts w:ascii="宋体" w:hAnsi="宋体" w:cs="宋体" w:eastAsia="宋体" w:hint="default"/>
                <w:sz w:val="18"/>
                <w:szCs w:val="18"/>
              </w:rPr>
            </w:pPr>
            <w:r>
              <w:rPr>
                <w:rFonts w:ascii="宋体" w:hAnsi="宋体" w:cs="宋体" w:eastAsia="宋体" w:hint="default"/>
                <w:sz w:val="18"/>
                <w:szCs w:val="18"/>
              </w:rPr>
              <w:t>公司持 有的深</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50,000</w:t>
            </w:r>
          </w:p>
        </w:tc>
        <w:tc>
          <w:tcPr>
            <w:tcW w:w="683" w:type="dxa"/>
            <w:tcBorders>
              <w:top w:val="single" w:sz="4" w:space="0" w:color="000000"/>
              <w:left w:val="single" w:sz="4" w:space="0" w:color="000000"/>
              <w:bottom w:val="single" w:sz="4" w:space="0" w:color="000000"/>
              <w:right w:val="single" w:sz="9" w:space="0" w:color="CCE8CF"/>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357.65</w:t>
            </w:r>
          </w:p>
        </w:tc>
        <w:tc>
          <w:tcPr>
            <w:tcW w:w="6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76"/>
              <w:ind w:left="22" w:right="108"/>
              <w:jc w:val="left"/>
              <w:rPr>
                <w:rFonts w:ascii="宋体" w:hAnsi="宋体" w:cs="宋体" w:eastAsia="宋体" w:hint="default"/>
                <w:sz w:val="18"/>
                <w:szCs w:val="18"/>
              </w:rPr>
            </w:pPr>
            <w:r>
              <w:rPr>
                <w:rFonts w:ascii="宋体" w:hAnsi="宋体" w:cs="宋体" w:eastAsia="宋体" w:hint="default"/>
                <w:sz w:val="18"/>
                <w:szCs w:val="18"/>
              </w:rPr>
              <w:t>有利于 增加公</w:t>
            </w:r>
          </w:p>
        </w:tc>
        <w:tc>
          <w:tcPr>
            <w:tcW w:w="683" w:type="dxa"/>
            <w:tcBorders>
              <w:top w:val="single" w:sz="4" w:space="0" w:color="000000"/>
              <w:left w:val="single" w:sz="4" w:space="0" w:color="000000"/>
              <w:bottom w:val="single" w:sz="4" w:space="0" w:color="000000"/>
              <w:right w:val="single" w:sz="9" w:space="0" w:color="CCE8CF"/>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86"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76"/>
              <w:ind w:left="22" w:right="113"/>
              <w:jc w:val="left"/>
              <w:rPr>
                <w:rFonts w:ascii="宋体" w:hAnsi="宋体" w:cs="宋体" w:eastAsia="宋体" w:hint="default"/>
                <w:sz w:val="18"/>
                <w:szCs w:val="18"/>
              </w:rPr>
            </w:pPr>
            <w:r>
              <w:rPr>
                <w:rFonts w:ascii="宋体" w:hAnsi="宋体" w:cs="宋体" w:eastAsia="宋体" w:hint="default"/>
                <w:sz w:val="18"/>
                <w:szCs w:val="18"/>
              </w:rPr>
              <w:t>由评估 报告作</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7"/>
              <w:ind w:left="22" w:right="109"/>
              <w:jc w:val="left"/>
              <w:rPr>
                <w:rFonts w:ascii="宋体" w:hAnsi="宋体" w:cs="宋体" w:eastAsia="宋体" w:hint="default"/>
                <w:sz w:val="18"/>
                <w:szCs w:val="18"/>
              </w:rPr>
            </w:pPr>
            <w:r>
              <w:rPr>
                <w:rFonts w:ascii="宋体" w:hAnsi="宋体" w:cs="宋体" w:eastAsia="宋体" w:hint="default"/>
                <w:sz w:val="18"/>
                <w:szCs w:val="18"/>
              </w:rPr>
              <w:t>非关联 方</w:t>
            </w:r>
          </w:p>
        </w:tc>
        <w:tc>
          <w:tcPr>
            <w:tcW w:w="684" w:type="dxa"/>
            <w:tcBorders>
              <w:top w:val="single" w:sz="4" w:space="0" w:color="000000"/>
              <w:left w:val="single" w:sz="4" w:space="0" w:color="000000"/>
              <w:bottom w:val="single" w:sz="4" w:space="0" w:color="000000"/>
              <w:right w:val="single" w:sz="9" w:space="0" w:color="CCE8CF"/>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截止至</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tc>
        <w:tc>
          <w:tcPr>
            <w:tcW w:w="6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76"/>
              <w:ind w:left="22" w:right="102"/>
              <w:jc w:val="left"/>
              <w:rPr>
                <w:rFonts w:ascii="宋体" w:hAnsi="宋体" w:cs="宋体" w:eastAsia="宋体" w:hint="default"/>
                <w:sz w:val="18"/>
                <w:szCs w:val="18"/>
              </w:rPr>
            </w:pPr>
            <w:r>
              <w:rPr>
                <w:rFonts w:ascii="宋体" w:hAnsi="宋体" w:cs="宋体" w:eastAsia="宋体" w:hint="default"/>
                <w:sz w:val="18"/>
                <w:szCs w:val="18"/>
              </w:rPr>
              <w:t>巨潮资 讯网</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682"/>
        <w:gridCol w:w="683"/>
        <w:gridCol w:w="684"/>
        <w:gridCol w:w="684"/>
        <w:gridCol w:w="694"/>
        <w:gridCol w:w="672"/>
        <w:gridCol w:w="683"/>
        <w:gridCol w:w="686"/>
        <w:gridCol w:w="684"/>
        <w:gridCol w:w="684"/>
        <w:gridCol w:w="684"/>
        <w:gridCol w:w="684"/>
        <w:gridCol w:w="684"/>
        <w:gridCol w:w="677"/>
      </w:tblGrid>
      <w:tr>
        <w:trPr>
          <w:trHeight w:val="322" w:hRule="exact"/>
        </w:trPr>
        <w:tc>
          <w:tcPr>
            <w:tcW w:w="682"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683"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圳嘉石</w:t>
            </w: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vMerge w:val="restart"/>
            <w:tcBorders>
              <w:top w:val="single" w:sz="4" w:space="0" w:color="000000"/>
              <w:left w:val="single" w:sz="4" w:space="0" w:color="000000"/>
              <w:right w:val="single" w:sz="4" w:space="0" w:color="000000"/>
            </w:tcBorders>
          </w:tcPr>
          <w:p>
            <w:pPr/>
          </w:p>
        </w:tc>
        <w:tc>
          <w:tcPr>
            <w:tcW w:w="694" w:type="dxa"/>
            <w:vMerge w:val="restart"/>
            <w:tcBorders>
              <w:top w:val="single" w:sz="4" w:space="0" w:color="000000"/>
              <w:left w:val="single" w:sz="4" w:space="0" w:color="000000"/>
              <w:right w:val="single" w:sz="9" w:space="0" w:color="CCE8CF"/>
            </w:tcBorders>
          </w:tcPr>
          <w:p>
            <w:pPr/>
          </w:p>
        </w:tc>
        <w:tc>
          <w:tcPr>
            <w:tcW w:w="672"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司自有</w:t>
            </w:r>
          </w:p>
        </w:tc>
        <w:tc>
          <w:tcPr>
            <w:tcW w:w="683" w:type="dxa"/>
            <w:vMerge w:val="restart"/>
            <w:tcBorders>
              <w:top w:val="single" w:sz="4" w:space="0" w:color="000000"/>
              <w:left w:val="single" w:sz="4" w:space="0" w:color="000000"/>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shd w:val="clear" w:color="auto" w:fill="CCE8CF"/>
          </w:tcPr>
          <w:p>
            <w:pPr/>
          </w:p>
        </w:tc>
        <w:tc>
          <w:tcPr>
            <w:tcW w:w="684" w:type="dxa"/>
            <w:vMerge w:val="restart"/>
            <w:tcBorders>
              <w:top w:val="single" w:sz="4" w:space="0" w:color="000000"/>
              <w:left w:val="single" w:sz="4" w:space="0" w:color="000000"/>
              <w:right w:val="single" w:sz="4" w:space="0" w:color="000000"/>
            </w:tcBorders>
          </w:tcPr>
          <w:p>
            <w:pPr>
              <w:pStyle w:val="TableParagraph"/>
              <w:spacing w:line="4409" w:lineRule="exact"/>
              <w:ind w:right="-51"/>
              <w:jc w:val="left"/>
              <w:rPr>
                <w:rFonts w:ascii="宋体" w:hAnsi="宋体" w:cs="宋体" w:eastAsia="宋体" w:hint="default"/>
                <w:sz w:val="20"/>
                <w:szCs w:val="20"/>
              </w:rPr>
            </w:pPr>
            <w:r>
              <w:rPr>
                <w:rFonts w:ascii="宋体" w:hAnsi="宋体" w:cs="宋体" w:eastAsia="宋体" w:hint="default"/>
                <w:position w:val="-87"/>
                <w:sz w:val="20"/>
                <w:szCs w:val="20"/>
              </w:rPr>
              <w:pict>
                <v:group style="width:33.75pt;height:220.5pt;mso-position-horizontal-relative:char;mso-position-vertical-relative:line" coordorigin="0,0" coordsize="675,4410">
                  <v:group style="position:absolute;left:0;top:0;width:675;height:4410" coordorigin="0,0" coordsize="675,4410">
                    <v:shape style="position:absolute;left:0;top:0;width:675;height:4410" coordorigin="0,0" coordsize="675,4410" path="m0,4409l674,4409,674,0,0,0,0,4409xe" filled="true" fillcolor="#ffffff" stroked="false">
                      <v:path arrowok="t"/>
                      <v:fill type="solid"/>
                    </v:shape>
                  </v:group>
                </v:group>
              </w:pict>
            </w:r>
            <w:r>
              <w:rPr>
                <w:rFonts w:ascii="宋体" w:hAnsi="宋体" w:cs="宋体" w:eastAsia="宋体" w:hint="default"/>
                <w:position w:val="-87"/>
                <w:sz w:val="20"/>
                <w:szCs w:val="20"/>
              </w:rPr>
            </w:r>
          </w:p>
        </w:tc>
        <w:tc>
          <w:tcPr>
            <w:tcW w:w="684" w:type="dxa"/>
            <w:vMerge w:val="restart"/>
            <w:tcBorders>
              <w:top w:val="single" w:sz="4" w:space="0" w:color="000000"/>
              <w:left w:val="single" w:sz="4" w:space="0" w:color="000000"/>
              <w:right w:val="single" w:sz="4" w:space="0" w:color="000000"/>
            </w:tcBorders>
            <w:shd w:val="clear" w:color="auto" w:fill="CCE8CF"/>
          </w:tcPr>
          <w:p>
            <w:pPr/>
          </w:p>
        </w:tc>
        <w:tc>
          <w:tcPr>
            <w:tcW w:w="684" w:type="dxa"/>
            <w:vMerge w:val="restart"/>
            <w:tcBorders>
              <w:top w:val="single" w:sz="4" w:space="0" w:color="000000"/>
              <w:left w:val="single" w:sz="4" w:space="0" w:color="000000"/>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6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w:t>
            </w:r>
          </w:p>
        </w:tc>
      </w:tr>
      <w:tr>
        <w:trPr>
          <w:trHeight w:val="308" w:hRule="exact"/>
        </w:trPr>
        <w:tc>
          <w:tcPr>
            <w:tcW w:w="68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大岩资</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94" w:type="dxa"/>
            <w:vMerge/>
            <w:tcBorders>
              <w:left w:val="single" w:sz="4" w:space="0" w:color="000000"/>
              <w:right w:val="single" w:sz="9" w:space="0" w:color="CCE8CF"/>
            </w:tcBorders>
          </w:tcPr>
          <w:p>
            <w:pPr/>
          </w:p>
        </w:tc>
        <w:tc>
          <w:tcPr>
            <w:tcW w:w="67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运营资</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交易双</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684"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转让深</w:t>
            </w:r>
          </w:p>
        </w:tc>
      </w:tr>
      <w:tr>
        <w:trPr>
          <w:trHeight w:val="311" w:hRule="exact"/>
        </w:trPr>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本管理</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94" w:type="dxa"/>
            <w:vMerge/>
            <w:tcBorders>
              <w:left w:val="single" w:sz="4" w:space="0" w:color="000000"/>
              <w:right w:val="single" w:sz="9" w:space="0" w:color="CCE8CF"/>
            </w:tcBorders>
          </w:tcPr>
          <w:p>
            <w:pPr/>
          </w:p>
        </w:tc>
        <w:tc>
          <w:tcPr>
            <w:tcW w:w="67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金，提</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方协商</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事项尚</w:t>
            </w:r>
          </w:p>
        </w:tc>
        <w:tc>
          <w:tcPr>
            <w:tcW w:w="684"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圳嘉石</w:t>
            </w:r>
          </w:p>
        </w:tc>
      </w:tr>
      <w:tr>
        <w:trPr>
          <w:trHeight w:val="313" w:hRule="exact"/>
        </w:trPr>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94" w:type="dxa"/>
            <w:vMerge/>
            <w:tcBorders>
              <w:left w:val="single" w:sz="4" w:space="0" w:color="000000"/>
              <w:right w:val="single" w:sz="9" w:space="0" w:color="CCE8CF"/>
            </w:tcBorders>
          </w:tcPr>
          <w:p>
            <w:pPr/>
          </w:p>
        </w:tc>
        <w:tc>
          <w:tcPr>
            <w:tcW w:w="67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升资源</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确定</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未完成</w:t>
            </w:r>
          </w:p>
        </w:tc>
        <w:tc>
          <w:tcPr>
            <w:tcW w:w="684"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大岩资</w:t>
            </w:r>
          </w:p>
        </w:tc>
      </w:tr>
      <w:tr>
        <w:trPr>
          <w:trHeight w:val="312" w:hRule="exact"/>
        </w:trPr>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司的股</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94" w:type="dxa"/>
            <w:vMerge/>
            <w:tcBorders>
              <w:left w:val="single" w:sz="4" w:space="0" w:color="000000"/>
              <w:right w:val="single" w:sz="9" w:space="0" w:color="CCE8CF"/>
            </w:tcBorders>
          </w:tcPr>
          <w:p>
            <w:pPr/>
          </w:p>
        </w:tc>
        <w:tc>
          <w:tcPr>
            <w:tcW w:w="67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利用效</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股权交</w:t>
            </w:r>
          </w:p>
        </w:tc>
        <w:tc>
          <w:tcPr>
            <w:tcW w:w="684"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本管理</w:t>
            </w:r>
          </w:p>
        </w:tc>
      </w:tr>
      <w:tr>
        <w:trPr>
          <w:trHeight w:val="313" w:hRule="exact"/>
        </w:trPr>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权</w:t>
            </w: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94" w:type="dxa"/>
            <w:vMerge/>
            <w:tcBorders>
              <w:left w:val="single" w:sz="4" w:space="0" w:color="000000"/>
              <w:right w:val="single" w:sz="9" w:space="0" w:color="CCE8CF"/>
            </w:tcBorders>
          </w:tcPr>
          <w:p>
            <w:pPr/>
          </w:p>
        </w:tc>
        <w:tc>
          <w:tcPr>
            <w:tcW w:w="67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率，推</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割；截</w:t>
            </w:r>
          </w:p>
        </w:tc>
        <w:tc>
          <w:tcPr>
            <w:tcW w:w="684"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r>
      <w:tr>
        <w:trPr>
          <w:trHeight w:val="311" w:hRule="exact"/>
        </w:trPr>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94" w:type="dxa"/>
            <w:vMerge/>
            <w:tcBorders>
              <w:left w:val="single" w:sz="4" w:space="0" w:color="000000"/>
              <w:right w:val="single" w:sz="9" w:space="0" w:color="CCE8CF"/>
            </w:tcBorders>
          </w:tcPr>
          <w:p>
            <w:pPr/>
          </w:p>
        </w:tc>
        <w:tc>
          <w:tcPr>
            <w:tcW w:w="67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进公司</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止至本</w:t>
            </w:r>
          </w:p>
        </w:tc>
        <w:tc>
          <w:tcPr>
            <w:tcW w:w="684"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司股权</w:t>
            </w:r>
          </w:p>
        </w:tc>
      </w:tr>
      <w:tr>
        <w:trPr>
          <w:trHeight w:val="312" w:hRule="exact"/>
        </w:trPr>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94" w:type="dxa"/>
            <w:vMerge/>
            <w:tcBorders>
              <w:left w:val="single" w:sz="4" w:space="0" w:color="000000"/>
              <w:right w:val="single" w:sz="9" w:space="0" w:color="CCE8CF"/>
            </w:tcBorders>
          </w:tcPr>
          <w:p>
            <w:pPr/>
          </w:p>
        </w:tc>
        <w:tc>
          <w:tcPr>
            <w:tcW w:w="67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主营业</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684"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w:t>
            </w:r>
          </w:p>
        </w:tc>
      </w:tr>
      <w:tr>
        <w:trPr>
          <w:trHeight w:val="312" w:hRule="exact"/>
        </w:trPr>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94" w:type="dxa"/>
            <w:vMerge/>
            <w:tcBorders>
              <w:left w:val="single" w:sz="4" w:space="0" w:color="000000"/>
              <w:right w:val="single" w:sz="9" w:space="0" w:color="CCE8CF"/>
            </w:tcBorders>
          </w:tcPr>
          <w:p>
            <w:pPr/>
          </w:p>
        </w:tc>
        <w:tc>
          <w:tcPr>
            <w:tcW w:w="67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务的发</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日，该</w:t>
            </w:r>
          </w:p>
        </w:tc>
        <w:tc>
          <w:tcPr>
            <w:tcW w:w="684"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99"/>
                <w:sz w:val="18"/>
                <w:szCs w:val="18"/>
              </w:rPr>
              <w:t>》</w:t>
            </w:r>
            <w:r>
              <w:rPr>
                <w:rFonts w:ascii="宋体" w:hAnsi="宋体" w:cs="宋体" w:eastAsia="宋体" w:hint="default"/>
                <w:sz w:val="18"/>
                <w:szCs w:val="18"/>
              </w:rPr>
              <w:t>（公</w:t>
            </w:r>
          </w:p>
        </w:tc>
      </w:tr>
      <w:tr>
        <w:trPr>
          <w:trHeight w:val="312" w:hRule="exact"/>
        </w:trPr>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94" w:type="dxa"/>
            <w:vMerge/>
            <w:tcBorders>
              <w:left w:val="single" w:sz="4" w:space="0" w:color="000000"/>
              <w:right w:val="single" w:sz="9" w:space="0" w:color="CCE8CF"/>
            </w:tcBorders>
          </w:tcPr>
          <w:p>
            <w:pPr/>
          </w:p>
        </w:tc>
        <w:tc>
          <w:tcPr>
            <w:tcW w:w="67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展，促</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事项已</w:t>
            </w:r>
          </w:p>
        </w:tc>
        <w:tc>
          <w:tcPr>
            <w:tcW w:w="684"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告编</w:t>
            </w:r>
          </w:p>
        </w:tc>
      </w:tr>
      <w:tr>
        <w:trPr>
          <w:trHeight w:val="312" w:hRule="exact"/>
        </w:trPr>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94" w:type="dxa"/>
            <w:vMerge/>
            <w:tcBorders>
              <w:left w:val="single" w:sz="4" w:space="0" w:color="000000"/>
              <w:right w:val="single" w:sz="9" w:space="0" w:color="CCE8CF"/>
            </w:tcBorders>
          </w:tcPr>
          <w:p>
            <w:pPr/>
          </w:p>
        </w:tc>
        <w:tc>
          <w:tcPr>
            <w:tcW w:w="67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进公司</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经完成</w:t>
            </w:r>
          </w:p>
        </w:tc>
        <w:tc>
          <w:tcPr>
            <w:tcW w:w="684"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号：</w:t>
            </w:r>
          </w:p>
        </w:tc>
      </w:tr>
      <w:tr>
        <w:trPr>
          <w:trHeight w:val="316" w:hRule="exact"/>
        </w:trPr>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94" w:type="dxa"/>
            <w:vMerge/>
            <w:tcBorders>
              <w:left w:val="single" w:sz="4" w:space="0" w:color="000000"/>
              <w:right w:val="single" w:sz="9" w:space="0" w:color="CCE8CF"/>
            </w:tcBorders>
          </w:tcPr>
          <w:p>
            <w:pPr/>
          </w:p>
        </w:tc>
        <w:tc>
          <w:tcPr>
            <w:tcW w:w="67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整体发</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交割。</w:t>
            </w:r>
          </w:p>
        </w:tc>
        <w:tc>
          <w:tcPr>
            <w:tcW w:w="684"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Times New Roman"/>
                <w:sz w:val="18"/>
              </w:rPr>
              <w:t>2017-13</w:t>
            </w:r>
          </w:p>
        </w:tc>
      </w:tr>
      <w:tr>
        <w:trPr>
          <w:trHeight w:val="314" w:hRule="exact"/>
        </w:trPr>
        <w:tc>
          <w:tcPr>
            <w:tcW w:w="682" w:type="dxa"/>
            <w:tcBorders>
              <w:top w:val="nil" w:sz="6" w:space="0" w:color="auto"/>
              <w:left w:val="single" w:sz="4" w:space="0" w:color="000000"/>
              <w:bottom w:val="nil" w:sz="6" w:space="0" w:color="auto"/>
              <w:right w:val="single" w:sz="4" w:space="0" w:color="000000"/>
            </w:tcBorders>
            <w:shd w:val="clear" w:color="auto" w:fill="CCE8CF"/>
          </w:tcPr>
          <w:p>
            <w:pPr/>
          </w:p>
        </w:tc>
        <w:tc>
          <w:tcPr>
            <w:tcW w:w="683"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84" w:type="dxa"/>
            <w:vMerge/>
            <w:tcBorders>
              <w:left w:val="single" w:sz="4" w:space="0" w:color="000000"/>
              <w:right w:val="single" w:sz="4" w:space="0" w:color="000000"/>
            </w:tcBorders>
          </w:tcPr>
          <w:p>
            <w:pPr/>
          </w:p>
        </w:tc>
        <w:tc>
          <w:tcPr>
            <w:tcW w:w="694" w:type="dxa"/>
            <w:vMerge/>
            <w:tcBorders>
              <w:left w:val="single" w:sz="4" w:space="0" w:color="000000"/>
              <w:right w:val="single" w:sz="9" w:space="0" w:color="CCE8CF"/>
            </w:tcBorders>
          </w:tcPr>
          <w:p>
            <w:pPr/>
          </w:p>
        </w:tc>
        <w:tc>
          <w:tcPr>
            <w:tcW w:w="67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展战略</w:t>
            </w:r>
          </w:p>
        </w:tc>
        <w:tc>
          <w:tcPr>
            <w:tcW w:w="683"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shd w:val="clear" w:color="auto" w:fill="CCE8CF"/>
          </w:tcPr>
          <w:p>
            <w:pPr/>
          </w:p>
        </w:tc>
        <w:tc>
          <w:tcPr>
            <w:tcW w:w="684" w:type="dxa"/>
            <w:vMerge/>
            <w:tcBorders>
              <w:left w:val="single" w:sz="4" w:space="0" w:color="000000"/>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shd w:val="clear" w:color="auto" w:fill="CCE8CF"/>
          </w:tcPr>
          <w:p>
            <w:pPr/>
          </w:p>
        </w:tc>
        <w:tc>
          <w:tcPr>
            <w:tcW w:w="684"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351" w:hRule="exact"/>
        </w:trPr>
        <w:tc>
          <w:tcPr>
            <w:tcW w:w="682" w:type="dxa"/>
            <w:tcBorders>
              <w:top w:val="nil" w:sz="6" w:space="0" w:color="auto"/>
              <w:left w:val="single" w:sz="4" w:space="0" w:color="000000"/>
              <w:bottom w:val="single" w:sz="4" w:space="0" w:color="000000"/>
              <w:right w:val="single" w:sz="4" w:space="0" w:color="000000"/>
            </w:tcBorders>
            <w:shd w:val="clear" w:color="auto" w:fill="CCE8CF"/>
          </w:tcPr>
          <w:p>
            <w:pPr/>
          </w:p>
        </w:tc>
        <w:tc>
          <w:tcPr>
            <w:tcW w:w="683" w:type="dxa"/>
            <w:tcBorders>
              <w:top w:val="nil" w:sz="6" w:space="0" w:color="auto"/>
              <w:left w:val="single" w:sz="4" w:space="0" w:color="000000"/>
              <w:bottom w:val="single" w:sz="4" w:space="0" w:color="000000"/>
              <w:right w:val="single" w:sz="4" w:space="0" w:color="000000"/>
            </w:tcBorders>
            <w:shd w:val="clear" w:color="auto" w:fill="CCE8CF"/>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9" w:space="0" w:color="CCE8CF"/>
            </w:tcBorders>
          </w:tcPr>
          <w:p>
            <w:pPr/>
          </w:p>
        </w:tc>
        <w:tc>
          <w:tcPr>
            <w:tcW w:w="672"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的实现</w:t>
            </w:r>
          </w:p>
        </w:tc>
        <w:tc>
          <w:tcPr>
            <w:tcW w:w="683" w:type="dxa"/>
            <w:vMerge/>
            <w:tcBorders>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shd w:val="clear" w:color="auto" w:fill="CCE8CF"/>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shd w:val="clear" w:color="auto" w:fill="CCE8CF"/>
          </w:tcPr>
          <w:p>
            <w:pPr/>
          </w:p>
        </w:tc>
        <w:tc>
          <w:tcPr>
            <w:tcW w:w="684" w:type="dxa"/>
            <w:vMerge/>
            <w:tcBorders>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shd w:val="clear" w:color="auto" w:fill="CCE8CF"/>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shd w:val="clear" w:color="auto" w:fill="CCE8CF"/>
          </w:tcPr>
          <w:p>
            <w:pPr/>
          </w:p>
        </w:tc>
      </w:tr>
    </w:tbl>
    <w:p>
      <w:pPr>
        <w:spacing w:line="240" w:lineRule="auto" w:before="2"/>
        <w:rPr>
          <w:rFonts w:ascii="宋体" w:hAnsi="宋体" w:cs="宋体" w:eastAsia="宋体" w:hint="default"/>
          <w:sz w:val="18"/>
          <w:szCs w:val="18"/>
        </w:rPr>
      </w:pPr>
    </w:p>
    <w:p>
      <w:pPr>
        <w:pStyle w:val="Heading4"/>
        <w:spacing w:line="240" w:lineRule="auto" w:before="26"/>
        <w:ind w:left="1134" w:right="994"/>
        <w:jc w:val="left"/>
        <w:rPr>
          <w:b w:val="0"/>
          <w:bCs w:val="0"/>
        </w:rPr>
      </w:pPr>
      <w:r>
        <w:rPr/>
        <w:pict>
          <v:shape style="position:absolute;margin-left:297.160004pt;margin-top:-232.804367pt;width:66.9pt;height:220.5pt;mso-position-horizontal-relative:page;mso-position-vertical-relative:paragraph;z-index:-1159360" type="#_x0000_t202" filled="false" stroked="false">
            <v:textbox inset="0,0,0,0">
              <w:txbxContent>
                <w:p>
                  <w:pPr>
                    <w:pStyle w:val="BodyText"/>
                    <w:spacing w:line="240" w:lineRule="auto" w:before="10"/>
                    <w:ind w:left="0" w:right="0"/>
                    <w:jc w:val="left"/>
                  </w:pPr>
                  <w:r>
                    <w:rPr/>
                    <w:t>为依据，</w:t>
                  </w:r>
                </w:p>
              </w:txbxContent>
            </v:textbox>
            <w10:wrap type="none"/>
          </v:shape>
        </w:pict>
      </w:r>
      <w:bookmarkStart w:name="七、主要控股参股公司分析" w:id="55"/>
      <w:bookmarkEnd w:id="55"/>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单位：元</w:t>
      </w:r>
    </w:p>
    <w:p>
      <w:pPr>
        <w:spacing w:after="0" w:line="240" w:lineRule="auto"/>
        <w:jc w:val="center"/>
        <w:sectPr>
          <w:type w:val="continuous"/>
          <w:pgSz w:w="11910" w:h="16840"/>
          <w:pgMar w:top="1060" w:bottom="1160" w:left="0" w:right="0"/>
          <w:cols w:num="2" w:equalWidth="0">
            <w:col w:w="5829" w:space="3090"/>
            <w:col w:w="299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43"/>
        <w:gridCol w:w="1208"/>
        <w:gridCol w:w="1045"/>
        <w:gridCol w:w="1045"/>
        <w:gridCol w:w="1046"/>
        <w:gridCol w:w="1045"/>
        <w:gridCol w:w="1046"/>
        <w:gridCol w:w="1045"/>
        <w:gridCol w:w="1046"/>
      </w:tblGrid>
      <w:tr>
        <w:trPr>
          <w:trHeight w:val="397" w:hRule="exact"/>
        </w:trPr>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31" w:hRule="exact"/>
        </w:trPr>
        <w:tc>
          <w:tcPr>
            <w:tcW w:w="10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6"/>
              <w:ind w:left="22" w:right="108"/>
              <w:jc w:val="both"/>
              <w:rPr>
                <w:rFonts w:ascii="宋体" w:hAnsi="宋体" w:cs="宋体" w:eastAsia="宋体" w:hint="default"/>
                <w:sz w:val="18"/>
                <w:szCs w:val="18"/>
              </w:rPr>
            </w:pPr>
            <w:r>
              <w:rPr>
                <w:rFonts w:ascii="宋体" w:hAnsi="宋体" w:cs="宋体" w:eastAsia="宋体" w:hint="default"/>
                <w:sz w:val="18"/>
                <w:szCs w:val="18"/>
              </w:rPr>
              <w:t>深圳市新国 都金服软件 有限公司</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软件的技术 开发、销售</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188,918,536.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87,267,338.5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82,886,153.5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77,025,032.5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77,025,032.5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0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浙江中正智 能科技有限 公司</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网络安全认 证、防伪、 加密</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31,332,600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142,413,334.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109,671,533.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114,078,557.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26,651,077.1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23,462,874.5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1338" w:hRule="exact"/>
        </w:trPr>
        <w:tc>
          <w:tcPr>
            <w:tcW w:w="104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长沙公信诚 丰信息技术 服务有限公 司</w:t>
            </w:r>
          </w:p>
        </w:tc>
        <w:tc>
          <w:tcPr>
            <w:tcW w:w="120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both"/>
              <w:rPr>
                <w:rFonts w:ascii="宋体" w:hAnsi="宋体" w:cs="宋体" w:eastAsia="宋体" w:hint="default"/>
                <w:sz w:val="18"/>
                <w:szCs w:val="18"/>
              </w:rPr>
            </w:pPr>
            <w:r>
              <w:rPr>
                <w:rFonts w:ascii="宋体" w:hAnsi="宋体" w:cs="宋体" w:eastAsia="宋体" w:hint="default"/>
                <w:sz w:val="18"/>
                <w:szCs w:val="18"/>
              </w:rPr>
              <w:t>信息技术咨 询服务、软 件开发</w:t>
            </w:r>
          </w:p>
        </w:tc>
        <w:tc>
          <w:tcPr>
            <w:tcW w:w="104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97,967,959.6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83,545,029.0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92,535,050.4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53,912,476.7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46,433,922.9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51"/>
        <w:ind w:left="1134" w:right="994"/>
        <w:jc w:val="left"/>
      </w:pPr>
      <w:r>
        <w:rPr/>
        <w:t>报告期内取得和处置子公司的情况</w:t>
      </w:r>
    </w:p>
    <w:p>
      <w:pPr>
        <w:pStyle w:val="BodyText"/>
        <w:spacing w:line="240" w:lineRule="auto" w:before="117"/>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深圳市大拿科技有限公司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w:t>
            </w:r>
          </w:p>
        </w:tc>
        <w:tc>
          <w:tcPr>
            <w:tcW w:w="31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对净利润影响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深圳嘉石大岩资本管理有限公司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w:t>
            </w:r>
          </w:p>
        </w:tc>
        <w:tc>
          <w:tcPr>
            <w:tcW w:w="31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52"/>
        <w:ind w:left="1134" w:right="994"/>
        <w:jc w:val="left"/>
      </w:pPr>
      <w:r>
        <w:rPr/>
        <w:t>主要控股参股公司情况说明</w:t>
      </w:r>
    </w:p>
    <w:p>
      <w:pPr>
        <w:spacing w:line="240" w:lineRule="auto" w:before="0"/>
        <w:rPr>
          <w:rFonts w:ascii="宋体" w:hAnsi="宋体" w:cs="宋体" w:eastAsia="宋体" w:hint="default"/>
          <w:sz w:val="25"/>
          <w:szCs w:val="25"/>
        </w:rPr>
      </w:pPr>
    </w:p>
    <w:p>
      <w:pPr>
        <w:pStyle w:val="Heading4"/>
        <w:spacing w:line="240" w:lineRule="auto"/>
        <w:ind w:left="1134" w:right="994"/>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0" w:right="0"/>
        </w:sectPr>
      </w:pPr>
    </w:p>
    <w:p>
      <w:pPr>
        <w:spacing w:line="240" w:lineRule="auto" w:before="8"/>
        <w:rPr>
          <w:rFonts w:ascii="宋体" w:hAnsi="宋体" w:cs="宋体" w:eastAsia="宋体" w:hint="default"/>
          <w:sz w:val="23"/>
          <w:szCs w:val="23"/>
        </w:rPr>
      </w:pPr>
    </w:p>
    <w:p>
      <w:pPr>
        <w:pStyle w:val="Heading4"/>
        <w:spacing w:line="240" w:lineRule="auto" w:before="26"/>
        <w:ind w:right="994"/>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493" w:right="994"/>
        <w:jc w:val="left"/>
      </w:pPr>
      <w:r>
        <w:rPr>
          <w:rFonts w:ascii="Times New Roman" w:hAnsi="Times New Roman" w:cs="Times New Roman" w:eastAsia="Times New Roman" w:hint="default"/>
        </w:rPr>
        <w:t>1</w:t>
      </w:r>
      <w:r>
        <w:rPr/>
        <w:t>、行业介绍</w:t>
      </w:r>
    </w:p>
    <w:p>
      <w:pPr>
        <w:pStyle w:val="BodyText"/>
        <w:spacing w:line="300" w:lineRule="auto" w:before="63"/>
        <w:ind w:left="1493" w:right="994"/>
        <w:jc w:val="left"/>
      </w:pPr>
      <w:r>
        <w:rPr/>
        <w:t>（</w:t>
      </w:r>
      <w:r>
        <w:rPr>
          <w:rFonts w:ascii="Times New Roman" w:hAnsi="Times New Roman" w:cs="Times New Roman" w:eastAsia="Times New Roman" w:hint="default"/>
        </w:rPr>
        <w:t>1</w:t>
      </w:r>
      <w:r>
        <w:rPr/>
        <w:t>）电子支付行业的核心参与方 </w:t>
      </w:r>
      <w:r>
        <w:rPr>
          <w:spacing w:val="-2"/>
        </w:rPr>
        <w:t>据中国人民银行发布的《中国支付体系发展报告</w:t>
      </w:r>
      <w:r>
        <w:rPr>
          <w:rFonts w:ascii="Times New Roman" w:hAnsi="Times New Roman" w:cs="Times New Roman" w:eastAsia="Times New Roman" w:hint="default"/>
          <w:spacing w:val="-2"/>
        </w:rPr>
        <w:t>2015</w:t>
      </w:r>
      <w:r>
        <w:rPr>
          <w:spacing w:val="-2"/>
        </w:rPr>
        <w:t>》描述，我国支付服务组织是以中国人民银行为核心、银行业金融</w:t>
      </w:r>
    </w:p>
    <w:p>
      <w:pPr>
        <w:pStyle w:val="BodyText"/>
        <w:spacing w:line="316" w:lineRule="auto" w:before="13"/>
        <w:ind w:left="1134" w:right="994"/>
        <w:jc w:val="left"/>
      </w:pPr>
      <w:r>
        <w:rPr>
          <w:spacing w:val="-2"/>
        </w:rPr>
        <w:t>机构（含财务公司）为基础、特许清算机构和支付机构为补充，该多元化服务组织不断丰富，支付服务市场的专业化分工不</w:t>
      </w:r>
      <w:r>
        <w:rPr>
          <w:spacing w:val="-66"/>
        </w:rPr>
        <w:t> </w:t>
      </w:r>
      <w:r>
        <w:rPr>
          <w:spacing w:val="-66"/>
        </w:rPr>
      </w:r>
      <w:r>
        <w:rPr/>
        <w:t>断细化，支付服务的能力、效率和质量不断提升。</w:t>
      </w:r>
    </w:p>
    <w:p>
      <w:pPr>
        <w:pStyle w:val="BodyText"/>
        <w:spacing w:line="307" w:lineRule="auto" w:before="19"/>
        <w:ind w:right="1130" w:firstLine="360"/>
        <w:jc w:val="both"/>
      </w:pPr>
      <w:r>
        <w:rPr/>
        <w:t>中国人民银行：中国人民银行作为中国支付体系建设的组织者、推动者、监督者，中国人民银行肩负</w:t>
      </w:r>
      <w:r>
        <w:rPr>
          <w:rFonts w:ascii="Times New Roman" w:hAnsi="Times New Roman" w:cs="Times New Roman" w:eastAsia="Times New Roman" w:hint="default"/>
        </w:rPr>
        <w:t>“</w:t>
      </w:r>
      <w:r>
        <w:rPr/>
        <w:t>维护支付、清算 系统正常运行</w:t>
      </w:r>
      <w:r>
        <w:rPr>
          <w:rFonts w:ascii="Times New Roman" w:hAnsi="Times New Roman" w:cs="Times New Roman" w:eastAsia="Times New Roman" w:hint="default"/>
        </w:rPr>
        <w:t>”</w:t>
      </w:r>
      <w:r>
        <w:rPr/>
        <w:t>等法定职责，建设运行了第二代支付系统、中央银行会计核算数据集中系统、全国支票影像交换系统、境内 </w:t>
      </w:r>
      <w:r>
        <w:rPr>
          <w:spacing w:val="-2"/>
        </w:rPr>
        <w:t>外币支付系统等重要业务系统，为金融机构和金融市场提供低成本、高效率的公共清算平台，加速了社会资金周转，推动了</w:t>
      </w:r>
      <w:r>
        <w:rPr>
          <w:spacing w:val="-65"/>
        </w:rPr>
        <w:t> </w:t>
      </w:r>
      <w:r>
        <w:rPr>
          <w:spacing w:val="-65"/>
        </w:rPr>
      </w:r>
      <w:r>
        <w:rPr/>
        <w:t>经济金融较快发展。</w:t>
      </w:r>
    </w:p>
    <w:p>
      <w:pPr>
        <w:pStyle w:val="BodyText"/>
        <w:spacing w:line="316" w:lineRule="auto" w:before="26"/>
        <w:ind w:right="1133" w:firstLine="360"/>
        <w:jc w:val="both"/>
      </w:pPr>
      <w:r>
        <w:rPr>
          <w:spacing w:val="-2"/>
        </w:rPr>
        <w:t>银行业金融机构：银行业金融机构（以下简称银行）是支付服务的提供主体。银行大力推进金融服务创新，不断提高支</w:t>
      </w:r>
      <w:r>
        <w:rPr/>
        <w:t> </w:t>
      </w:r>
      <w:r>
        <w:rPr>
          <w:spacing w:val="-2"/>
        </w:rPr>
        <w:t>付服务水平，在服务实体经济、守住风险底线、深化改革开放等方面取得明显成效。我国形成了多种类、广覆盖的银行机构</w:t>
      </w:r>
      <w:r>
        <w:rPr>
          <w:spacing w:val="-66"/>
        </w:rPr>
        <w:t> </w:t>
      </w:r>
      <w:r>
        <w:rPr>
          <w:spacing w:val="-66"/>
        </w:rPr>
      </w:r>
      <w:r>
        <w:rPr>
          <w:spacing w:val="-2"/>
        </w:rPr>
        <w:t>体系，它们通过后台完善业务系统、前台提供和受理各种支付工具（或支付工具受理机具）的形式，向广大单位和个人提供</w:t>
      </w:r>
      <w:r>
        <w:rPr>
          <w:spacing w:val="-66"/>
        </w:rPr>
        <w:t> </w:t>
      </w:r>
      <w:r>
        <w:rPr>
          <w:spacing w:val="-66"/>
        </w:rPr>
      </w:r>
      <w:r>
        <w:rPr/>
        <w:t>多层次、差异化、个性化的支付服务。</w:t>
      </w:r>
    </w:p>
    <w:p>
      <w:pPr>
        <w:pStyle w:val="BodyText"/>
        <w:spacing w:line="314" w:lineRule="auto" w:before="19"/>
        <w:ind w:right="1130" w:firstLine="360"/>
        <w:jc w:val="both"/>
      </w:pPr>
      <w:r>
        <w:rPr>
          <w:spacing w:val="-2"/>
        </w:rPr>
        <w:t>特许清算机构：清算机构积极参与中国支付服务市场，在特定领域提供专项支付服务。中国银联股份有限公司（以下简</w:t>
      </w:r>
      <w:r>
        <w:rPr/>
        <w:t> </w:t>
      </w:r>
      <w:r>
        <w:rPr>
          <w:spacing w:val="-2"/>
        </w:rPr>
        <w:t>称中国银联）是中国银行卡联合组织，通过银联跨行交易清算系统，实现商业银行系统间的互联互通和资源共享，保证银行</w:t>
      </w:r>
      <w:r>
        <w:rPr>
          <w:spacing w:val="-66"/>
        </w:rPr>
        <w:t> </w:t>
      </w:r>
      <w:r>
        <w:rPr>
          <w:spacing w:val="-66"/>
        </w:rPr>
      </w:r>
      <w:r>
        <w:rPr>
          <w:spacing w:val="-2"/>
        </w:rPr>
        <w:t>卡跨行、跨地区和跨境的使用。城市商业银行资金清算中心主要办理城市商业银行等中小金融机构的银行汇票等异地资金清</w:t>
      </w:r>
      <w:r>
        <w:rPr>
          <w:spacing w:val="-64"/>
        </w:rPr>
        <w:t> </w:t>
      </w:r>
      <w:r>
        <w:rPr>
          <w:spacing w:val="-64"/>
        </w:rPr>
      </w:r>
      <w:r>
        <w:rPr>
          <w:spacing w:val="-2"/>
        </w:rPr>
        <w:t>算业务。农信银资金清算中心借助农信银支付清算系统等渠道畅通汇路，支持农信社等中小金融机构发展网络支付、移动支</w:t>
      </w:r>
      <w:r>
        <w:rPr>
          <w:spacing w:val="-66"/>
        </w:rPr>
        <w:t> </w:t>
      </w:r>
      <w:r>
        <w:rPr>
          <w:spacing w:val="-66"/>
        </w:rPr>
      </w:r>
      <w:r>
        <w:rPr>
          <w:spacing w:val="-2"/>
        </w:rPr>
        <w:t>付等新兴支付。</w:t>
      </w:r>
      <w:r>
        <w:rPr>
          <w:rFonts w:ascii="Times New Roman" w:hAnsi="Times New Roman" w:cs="Times New Roman" w:eastAsia="Times New Roman" w:hint="default"/>
          <w:spacing w:val="-2"/>
        </w:rPr>
        <w:t>2016</w:t>
      </w:r>
      <w:r>
        <w:rPr>
          <w:spacing w:val="-2"/>
        </w:rPr>
        <w:t>年中国人民银行批准成立非银行支付机构网络支付清算平台的运营机构，非银行支付机构网络支付清算</w:t>
      </w:r>
      <w:r>
        <w:rPr>
          <w:spacing w:val="-60"/>
        </w:rPr>
        <w:t> </w:t>
      </w:r>
      <w:r>
        <w:rPr>
          <w:spacing w:val="-60"/>
        </w:rPr>
      </w:r>
      <w:r>
        <w:rPr>
          <w:spacing w:val="-2"/>
        </w:rPr>
        <w:t>平台作为全国统一的清算系统，主要处理非银行支付机构发起的涉及银行账户的网络支付业务，实现非银行支付机构及商业</w:t>
      </w:r>
      <w:r>
        <w:rPr>
          <w:spacing w:val="-63"/>
        </w:rPr>
        <w:t> </w:t>
      </w:r>
      <w:r>
        <w:rPr>
          <w:spacing w:val="-63"/>
        </w:rPr>
      </w:r>
      <w:r>
        <w:rPr>
          <w:spacing w:val="-2"/>
        </w:rPr>
        <w:t>银行一点接入，提供公共、安全、高效、经济的交易信息转接和资金清算服务，组织制定并推行平台系统及网络支付市场相</w:t>
      </w:r>
      <w:r>
        <w:rPr>
          <w:spacing w:val="-65"/>
        </w:rPr>
        <w:t> </w:t>
      </w:r>
      <w:r>
        <w:rPr>
          <w:spacing w:val="-65"/>
        </w:rPr>
      </w:r>
      <w:r>
        <w:rPr/>
        <w:t>关的统一标准规范，协调和仲裁业务纠纷，并将提供风险防控等专业化的配套及延展服务。</w:t>
      </w:r>
    </w:p>
    <w:p>
      <w:pPr>
        <w:pStyle w:val="BodyText"/>
        <w:spacing w:line="300" w:lineRule="auto" w:before="20"/>
        <w:ind w:right="1188" w:firstLine="360"/>
        <w:jc w:val="both"/>
      </w:pPr>
      <w:r>
        <w:rPr>
          <w:rFonts w:ascii="Times New Roman" w:hAnsi="Times New Roman" w:cs="Times New Roman" w:eastAsia="Times New Roman" w:hint="default"/>
        </w:rPr>
        <w:t>CIPS</w:t>
      </w:r>
      <w:r>
        <w:rPr/>
        <w:t>运营机构：跨境银行间支付清算（上海）有限责任公司是经中国人民银行批准设立的</w:t>
      </w:r>
      <w:r>
        <w:rPr>
          <w:rFonts w:ascii="Times New Roman" w:hAnsi="Times New Roman" w:cs="Times New Roman" w:eastAsia="Times New Roman" w:hint="default"/>
        </w:rPr>
        <w:t>CIPS</w:t>
      </w:r>
      <w:r>
        <w:rPr/>
        <w:t>运营机构，该机构是公 司制企业法人，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日在上海注册成立，负责</w:t>
      </w:r>
      <w:r>
        <w:rPr>
          <w:spacing w:val="-19"/>
        </w:rPr>
        <w:t> </w:t>
      </w:r>
      <w:r>
        <w:rPr>
          <w:rFonts w:ascii="Times New Roman" w:hAnsi="Times New Roman" w:cs="Times New Roman" w:eastAsia="Times New Roman" w:hint="default"/>
        </w:rPr>
        <w:t>CIPS</w:t>
      </w:r>
      <w:r>
        <w:rPr/>
        <w:t>运营维护、参与者服务、业务拓展等工作。</w:t>
      </w:r>
      <w:r>
        <w:rPr>
          <w:rFonts w:ascii="Times New Roman" w:hAnsi="Times New Roman" w:cs="Times New Roman" w:eastAsia="Times New Roman" w:hint="default"/>
        </w:rPr>
        <w:t>CIPS</w:t>
      </w:r>
      <w:r>
        <w:rPr/>
        <w:t>首批共有</w:t>
      </w:r>
      <w:r>
        <w:rPr>
          <w:rFonts w:ascii="Times New Roman" w:hAnsi="Times New Roman" w:cs="Times New Roman" w:eastAsia="Times New Roman" w:hint="default"/>
        </w:rPr>
        <w:t>19</w:t>
      </w:r>
      <w:r>
        <w:rPr/>
        <w:t>家 直接参与者，</w:t>
      </w:r>
      <w:r>
        <w:rPr>
          <w:rFonts w:ascii="Times New Roman" w:hAnsi="Times New Roman" w:cs="Times New Roman" w:eastAsia="Times New Roman" w:hint="default"/>
        </w:rPr>
        <w:t>176</w:t>
      </w:r>
      <w:r>
        <w:rPr/>
        <w:t>家间接参与者，有效满足各类金融机构和企业的人民币跨境结算需求。</w:t>
      </w:r>
    </w:p>
    <w:p>
      <w:pPr>
        <w:pStyle w:val="BodyText"/>
        <w:spacing w:line="316" w:lineRule="auto" w:before="13"/>
        <w:ind w:right="1133" w:firstLine="360"/>
        <w:jc w:val="both"/>
      </w:pPr>
      <w:r>
        <w:rPr>
          <w:spacing w:val="-2"/>
        </w:rPr>
        <w:t>支付机构：支付机构在中国零售支付中发挥着重要作用。近年来，借助电子商务的兴起，支付机构运用互联网、移动通</w:t>
      </w:r>
      <w:r>
        <w:rPr/>
        <w:t> </w:t>
      </w:r>
      <w:r>
        <w:rPr>
          <w:spacing w:val="-2"/>
        </w:rPr>
        <w:t>信等新型信息技术，充分发挥自身机制灵活的优势，为社会公众提供小额、快捷、便民的零售支付服务。支付机构从事的支</w:t>
      </w:r>
      <w:r>
        <w:rPr>
          <w:spacing w:val="-66"/>
        </w:rPr>
        <w:t> </w:t>
      </w:r>
      <w:r>
        <w:rPr>
          <w:spacing w:val="-66"/>
        </w:rPr>
      </w:r>
      <w:r>
        <w:rPr/>
        <w:t>付业务模式又分为网络支付业务、预付卡发行与受理业务、银行卡收单业务。</w:t>
      </w:r>
    </w:p>
    <w:p>
      <w:pPr>
        <w:pStyle w:val="BodyText"/>
        <w:spacing w:line="316" w:lineRule="auto" w:before="19"/>
        <w:ind w:right="1132" w:firstLine="360"/>
        <w:jc w:val="both"/>
      </w:pPr>
      <w:r>
        <w:rPr>
          <w:spacing w:val="-2"/>
        </w:rPr>
        <w:t>在支付体系中除了有主要服务主体外，还有起着辅助作用的支付软硬件提供商和收单代理商等主体，新国都就是一家以</w:t>
      </w:r>
      <w:r>
        <w:rPr/>
        <w:t> </w:t>
      </w:r>
      <w:r>
        <w:rPr>
          <w:spacing w:val="-2"/>
        </w:rPr>
        <w:t>支付软件硬件研发、生产和销售为核心业务的支付服务供应商，在日常的业务开展中，公司严格遵守国家相关监管法规以及</w:t>
      </w:r>
      <w:r>
        <w:rPr>
          <w:spacing w:val="-66"/>
        </w:rPr>
        <w:t> </w:t>
      </w:r>
      <w:r>
        <w:rPr>
          <w:spacing w:val="-66"/>
        </w:rPr>
      </w:r>
      <w:r>
        <w:rPr/>
        <w:t>行业准则，力争为支付行业提供最优产品和技术服务。</w:t>
      </w:r>
    </w:p>
    <w:p>
      <w:pPr>
        <w:pStyle w:val="BodyText"/>
        <w:spacing w:line="300" w:lineRule="auto" w:before="19"/>
        <w:ind w:left="1493" w:right="994"/>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年的电子支付体系整体运营状况 </w:t>
      </w:r>
      <w:r>
        <w:rPr>
          <w:spacing w:val="-2"/>
        </w:rPr>
        <w:t>根据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日中国人民银行发布的《</w:t>
      </w:r>
      <w:r>
        <w:rPr>
          <w:rFonts w:ascii="Times New Roman" w:hAnsi="Times New Roman" w:cs="Times New Roman" w:eastAsia="Times New Roman" w:hint="default"/>
          <w:spacing w:val="-2"/>
        </w:rPr>
        <w:t>2017</w:t>
      </w:r>
      <w:r>
        <w:rPr>
          <w:spacing w:val="-2"/>
        </w:rPr>
        <w:t>年支付体系运行总体情况》显示，全国支付体系运行平稳，社会资金交易</w:t>
      </w:r>
    </w:p>
    <w:p>
      <w:pPr>
        <w:pStyle w:val="BodyText"/>
        <w:spacing w:line="240" w:lineRule="auto" w:before="13"/>
        <w:ind w:right="994"/>
        <w:jc w:val="left"/>
      </w:pPr>
      <w:r>
        <w:rPr/>
        <w:t>规模持续扩大，支付业务量稳步增长，我们主要关注：</w:t>
      </w:r>
    </w:p>
    <w:p>
      <w:pPr>
        <w:pStyle w:val="BodyText"/>
        <w:spacing w:line="300" w:lineRule="auto" w:before="76"/>
        <w:ind w:right="1131" w:firstLine="360"/>
        <w:jc w:val="both"/>
      </w:pPr>
      <w:r>
        <w:rPr>
          <w:rFonts w:ascii="Times New Roman" w:hAnsi="Times New Roman" w:cs="Times New Roman" w:eastAsia="Times New Roman" w:hint="default"/>
        </w:rPr>
        <w:t>1</w:t>
      </w:r>
      <w:r>
        <w:rPr/>
        <w:t>）银行卡发卡量保持稳步增长。截至</w:t>
      </w:r>
      <w:r>
        <w:rPr>
          <w:rFonts w:ascii="Times New Roman" w:hAnsi="Times New Roman" w:cs="Times New Roman" w:eastAsia="Times New Roman" w:hint="default"/>
        </w:rPr>
        <w:t>2017</w:t>
      </w:r>
      <w:r>
        <w:rPr/>
        <w:t>年末，全国银行卡在用发卡数量</w:t>
      </w:r>
      <w:r>
        <w:rPr>
          <w:rFonts w:ascii="Times New Roman" w:hAnsi="Times New Roman" w:cs="Times New Roman" w:eastAsia="Times New Roman" w:hint="default"/>
        </w:rPr>
        <w:t>66.93</w:t>
      </w:r>
      <w:r>
        <w:rPr/>
        <w:t>亿张，同比增长</w:t>
      </w:r>
      <w:r>
        <w:rPr>
          <w:rFonts w:ascii="Times New Roman" w:hAnsi="Times New Roman" w:cs="Times New Roman" w:eastAsia="Times New Roman" w:hint="default"/>
        </w:rPr>
        <w:t>9.27%</w:t>
      </w:r>
      <w:r>
        <w:rPr/>
        <w:t>。其中，借记卡 </w:t>
      </w:r>
      <w:r>
        <w:rPr>
          <w:spacing w:val="-1"/>
        </w:rPr>
        <w:t>在用发卡数量</w:t>
      </w:r>
      <w:r>
        <w:rPr>
          <w:rFonts w:ascii="Times New Roman" w:hAnsi="Times New Roman" w:cs="Times New Roman" w:eastAsia="Times New Roman" w:hint="default"/>
          <w:spacing w:val="-1"/>
        </w:rPr>
        <w:t>61.05</w:t>
      </w:r>
      <w:r>
        <w:rPr>
          <w:spacing w:val="-1"/>
        </w:rPr>
        <w:t>亿张，同比增长</w:t>
      </w:r>
      <w:r>
        <w:rPr>
          <w:rFonts w:ascii="Times New Roman" w:hAnsi="Times New Roman" w:cs="Times New Roman" w:eastAsia="Times New Roman" w:hint="default"/>
          <w:spacing w:val="-1"/>
        </w:rPr>
        <w:t>7.87%</w:t>
      </w:r>
      <w:r>
        <w:rPr>
          <w:spacing w:val="-1"/>
        </w:rPr>
        <w:t>；信用卡和借贷合一卡在用发卡数量共计</w:t>
      </w:r>
      <w:r>
        <w:rPr>
          <w:rFonts w:ascii="Times New Roman" w:hAnsi="Times New Roman" w:cs="Times New Roman" w:eastAsia="Times New Roman" w:hint="default"/>
          <w:spacing w:val="-1"/>
        </w:rPr>
        <w:t>5.88</w:t>
      </w:r>
      <w:r>
        <w:rPr>
          <w:spacing w:val="-1"/>
        </w:rPr>
        <w:t>亿张，同比增长</w:t>
      </w:r>
      <w:r>
        <w:rPr>
          <w:rFonts w:ascii="Times New Roman" w:hAnsi="Times New Roman" w:cs="Times New Roman" w:eastAsia="Times New Roman" w:hint="default"/>
          <w:spacing w:val="-1"/>
        </w:rPr>
        <w:t>26.35%</w:t>
      </w:r>
      <w:r>
        <w:rPr>
          <w:spacing w:val="-1"/>
        </w:rPr>
        <w:t>。借记卡在用</w:t>
      </w:r>
      <w:r>
        <w:rPr>
          <w:spacing w:val="-52"/>
        </w:rPr>
        <w:t> </w:t>
      </w:r>
      <w:r>
        <w:rPr>
          <w:spacing w:val="-52"/>
        </w:rPr>
      </w:r>
      <w:r>
        <w:rPr/>
        <w:t>发卡数量占银行卡在用发卡数量的</w:t>
      </w:r>
      <w:r>
        <w:rPr>
          <w:rFonts w:ascii="Times New Roman" w:hAnsi="Times New Roman" w:cs="Times New Roman" w:eastAsia="Times New Roman" w:hint="default"/>
        </w:rPr>
        <w:t>91.22%</w:t>
      </w:r>
      <w:r>
        <w:rPr/>
        <w:t>，较上年末有所下降。全国人均持有银行卡</w:t>
      </w:r>
      <w:r>
        <w:rPr>
          <w:rFonts w:ascii="Times New Roman" w:hAnsi="Times New Roman" w:cs="Times New Roman" w:eastAsia="Times New Roman" w:hint="default"/>
        </w:rPr>
        <w:t>4.84</w:t>
      </w:r>
      <w:r>
        <w:rPr/>
        <w:t>张，同比增长</w:t>
      </w:r>
      <w:r>
        <w:rPr>
          <w:rFonts w:ascii="Times New Roman" w:hAnsi="Times New Roman" w:cs="Times New Roman" w:eastAsia="Times New Roman" w:hint="default"/>
        </w:rPr>
        <w:t>8.35%</w:t>
      </w:r>
      <w:r>
        <w:rPr/>
        <w:t>。其中，人均 持有信用卡</w:t>
      </w:r>
      <w:r>
        <w:rPr>
          <w:rFonts w:ascii="Times New Roman" w:hAnsi="Times New Roman" w:cs="Times New Roman" w:eastAsia="Times New Roman" w:hint="default"/>
        </w:rPr>
        <w:t>0.39</w:t>
      </w:r>
      <w:r>
        <w:rPr/>
        <w:t>张，同比增长</w:t>
      </w:r>
      <w:r>
        <w:rPr>
          <w:rFonts w:ascii="Times New Roman" w:hAnsi="Times New Roman" w:cs="Times New Roman" w:eastAsia="Times New Roman" w:hint="default"/>
        </w:rPr>
        <w:t>25.82%</w:t>
      </w:r>
      <w:r>
        <w:rPr/>
        <w:t>。</w:t>
      </w:r>
    </w:p>
    <w:p>
      <w:pPr>
        <w:pStyle w:val="BodyText"/>
        <w:spacing w:line="319" w:lineRule="auto" w:before="13"/>
        <w:ind w:right="1131" w:firstLine="360"/>
        <w:jc w:val="both"/>
      </w:pPr>
      <w:r>
        <w:rPr>
          <w:spacing w:val="-2"/>
        </w:rPr>
        <w:t>银行卡的发卡总量以及增长率数据可以说明，全国的发卡量仍在快速增长，且增长的主要来源为信用卡发卡数量的高速</w:t>
      </w:r>
      <w:r>
        <w:rPr/>
        <w:t> </w:t>
      </w:r>
      <w:r>
        <w:rPr>
          <w:spacing w:val="-2"/>
        </w:rPr>
        <w:t>增长，无论是信用卡发卡数量总量还是人均持有信用卡数量都远远低于借记卡相应数量，我们认为未来信用卡增长空间依然</w:t>
      </w:r>
      <w:r>
        <w:rPr>
          <w:spacing w:val="-64"/>
        </w:rPr>
        <w:t> </w:t>
      </w:r>
      <w:r>
        <w:rPr>
          <w:spacing w:val="-64"/>
        </w:rPr>
      </w:r>
      <w:r>
        <w:rPr>
          <w:spacing w:val="-2"/>
        </w:rPr>
        <w:t>很大且相关应用增值服务也会越来越丰富，随着国内个人信用体系的建立和完善，借助大数据、人工智能等前沿技术可以逐</w:t>
      </w:r>
      <w:r>
        <w:rPr>
          <w:spacing w:val="-66"/>
        </w:rPr>
        <w:t> </w:t>
      </w:r>
      <w:r>
        <w:rPr>
          <w:spacing w:val="-66"/>
        </w:rPr>
      </w:r>
      <w:r>
        <w:rPr>
          <w:spacing w:val="-2"/>
        </w:rPr>
        <w:t>步消除主体间的信息不对称问题以及提升金融机构风控效率，基于银行卡的电子支付业务以及其他增值服务在未来几年内仍</w:t>
      </w:r>
      <w:r>
        <w:rPr>
          <w:spacing w:val="-64"/>
        </w:rPr>
        <w:t> </w:t>
      </w:r>
      <w:r>
        <w:rPr>
          <w:spacing w:val="-64"/>
        </w:rPr>
      </w:r>
      <w:r>
        <w:rPr/>
        <w:t>将保持较好的发展趋势。</w:t>
      </w:r>
    </w:p>
    <w:p>
      <w:pPr>
        <w:spacing w:after="0" w:line="319"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ind w:right="994" w:firstLine="360"/>
        <w:jc w:val="left"/>
      </w:pPr>
      <w:r>
        <w:rPr>
          <w:rFonts w:ascii="Times New Roman" w:hAnsi="Times New Roman" w:cs="Times New Roman" w:eastAsia="Times New Roman" w:hint="default"/>
        </w:rPr>
        <w:t>2</w:t>
      </w:r>
      <w:r>
        <w:rPr/>
        <w:t>）受理市场环境不断改善。截至</w:t>
      </w:r>
      <w:r>
        <w:rPr>
          <w:rFonts w:ascii="Times New Roman" w:hAnsi="Times New Roman" w:cs="Times New Roman" w:eastAsia="Times New Roman" w:hint="default"/>
        </w:rPr>
        <w:t>2017</w:t>
      </w:r>
      <w:r>
        <w:rPr/>
        <w:t>年末，银行卡跨行支付系统联网特约商户</w:t>
      </w:r>
      <w:r>
        <w:rPr>
          <w:rFonts w:ascii="Times New Roman" w:hAnsi="Times New Roman" w:cs="Times New Roman" w:eastAsia="Times New Roman" w:hint="default"/>
        </w:rPr>
        <w:t>2,592.60</w:t>
      </w:r>
      <w:r>
        <w:rPr/>
        <w:t>万户，联网</w:t>
      </w:r>
      <w:r>
        <w:rPr>
          <w:rFonts w:ascii="Times New Roman" w:hAnsi="Times New Roman" w:cs="Times New Roman" w:eastAsia="Times New Roman" w:hint="default"/>
        </w:rPr>
        <w:t>POS</w:t>
      </w:r>
      <w:r>
        <w:rPr/>
        <w:t>机具</w:t>
      </w:r>
      <w:r>
        <w:rPr>
          <w:rFonts w:ascii="Times New Roman" w:hAnsi="Times New Roman" w:cs="Times New Roman" w:eastAsia="Times New Roman" w:hint="default"/>
        </w:rPr>
        <w:t>3,118.86</w:t>
      </w:r>
      <w:r>
        <w:rPr/>
        <w:t>万 </w:t>
      </w:r>
      <w:r>
        <w:rPr>
          <w:spacing w:val="-1"/>
        </w:rPr>
        <w:t>台，</w:t>
      </w:r>
      <w:r>
        <w:rPr>
          <w:rFonts w:ascii="Times New Roman" w:hAnsi="Times New Roman" w:cs="Times New Roman" w:eastAsia="Times New Roman" w:hint="default"/>
          <w:spacing w:val="-1"/>
        </w:rPr>
        <w:t>ATM</w:t>
      </w:r>
      <w:r>
        <w:rPr>
          <w:spacing w:val="-1"/>
        </w:rPr>
        <w:t>机具</w:t>
      </w:r>
      <w:r>
        <w:rPr>
          <w:rFonts w:ascii="Times New Roman" w:hAnsi="Times New Roman" w:cs="Times New Roman" w:eastAsia="Times New Roman" w:hint="default"/>
          <w:spacing w:val="-1"/>
        </w:rPr>
        <w:t>96.06</w:t>
      </w:r>
      <w:r>
        <w:rPr>
          <w:spacing w:val="-1"/>
        </w:rPr>
        <w:t>万台，较上年末分别增加</w:t>
      </w:r>
      <w:r>
        <w:rPr>
          <w:rFonts w:ascii="Times New Roman" w:hAnsi="Times New Roman" w:cs="Times New Roman" w:eastAsia="Times New Roman" w:hint="default"/>
          <w:spacing w:val="-1"/>
        </w:rPr>
        <w:t>525.40</w:t>
      </w:r>
      <w:r>
        <w:rPr>
          <w:spacing w:val="-1"/>
        </w:rPr>
        <w:t>万户、</w:t>
      </w:r>
      <w:r>
        <w:rPr>
          <w:rFonts w:ascii="Times New Roman" w:hAnsi="Times New Roman" w:cs="Times New Roman" w:eastAsia="Times New Roman" w:hint="default"/>
          <w:spacing w:val="-1"/>
        </w:rPr>
        <w:t>665.36</w:t>
      </w:r>
      <w:r>
        <w:rPr>
          <w:spacing w:val="-1"/>
        </w:rPr>
        <w:t>万台和</w:t>
      </w:r>
      <w:r>
        <w:rPr>
          <w:rFonts w:ascii="Times New Roman" w:hAnsi="Times New Roman" w:cs="Times New Roman" w:eastAsia="Times New Roman" w:hint="default"/>
          <w:spacing w:val="-1"/>
        </w:rPr>
        <w:t>3.64</w:t>
      </w:r>
      <w:r>
        <w:rPr>
          <w:spacing w:val="-1"/>
        </w:rPr>
        <w:t>万台。全国每万人对应的</w:t>
      </w:r>
      <w:r>
        <w:rPr>
          <w:rFonts w:ascii="Times New Roman" w:hAnsi="Times New Roman" w:cs="Times New Roman" w:eastAsia="Times New Roman" w:hint="default"/>
          <w:spacing w:val="-1"/>
        </w:rPr>
        <w:t>POS</w:t>
      </w:r>
      <w:r>
        <w:rPr>
          <w:spacing w:val="-1"/>
        </w:rPr>
        <w:t>机具数量</w:t>
      </w:r>
      <w:r>
        <w:rPr>
          <w:rFonts w:ascii="Times New Roman" w:hAnsi="Times New Roman" w:cs="Times New Roman" w:eastAsia="Times New Roman" w:hint="default"/>
          <w:spacing w:val="-1"/>
        </w:rPr>
        <w:t>225.56</w:t>
      </w:r>
      <w:r>
        <w:rPr>
          <w:spacing w:val="-1"/>
        </w:rPr>
        <w:t>台，</w:t>
      </w:r>
      <w:r>
        <w:rPr>
          <w:spacing w:val="-72"/>
        </w:rPr>
        <w:t> </w:t>
      </w:r>
      <w:r>
        <w:rPr/>
        <w:t>同比增长</w:t>
      </w:r>
      <w:r>
        <w:rPr>
          <w:rFonts w:ascii="Times New Roman" w:hAnsi="Times New Roman" w:cs="Times New Roman" w:eastAsia="Times New Roman" w:hint="default"/>
        </w:rPr>
        <w:t>26.04%</w:t>
      </w:r>
      <w:r>
        <w:rPr/>
        <w:t>，每万人对应的</w:t>
      </w:r>
      <w:r>
        <w:rPr>
          <w:rFonts w:ascii="Times New Roman" w:hAnsi="Times New Roman" w:cs="Times New Roman" w:eastAsia="Times New Roman" w:hint="default"/>
        </w:rPr>
        <w:t>ATM</w:t>
      </w:r>
      <w:r>
        <w:rPr/>
        <w:t>数量</w:t>
      </w:r>
      <w:r>
        <w:rPr>
          <w:rFonts w:ascii="Times New Roman" w:hAnsi="Times New Roman" w:cs="Times New Roman" w:eastAsia="Times New Roman" w:hint="default"/>
        </w:rPr>
        <w:t>6.95</w:t>
      </w:r>
      <w:r>
        <w:rPr/>
        <w:t>台，同比增长</w:t>
      </w:r>
      <w:r>
        <w:rPr>
          <w:rFonts w:ascii="Times New Roman" w:hAnsi="Times New Roman" w:cs="Times New Roman" w:eastAsia="Times New Roman" w:hint="default"/>
        </w:rPr>
        <w:t>3.06%</w:t>
      </w:r>
      <w:r>
        <w:rPr/>
        <w:t>。</w:t>
      </w:r>
    </w:p>
    <w:p>
      <w:pPr>
        <w:pStyle w:val="BodyText"/>
        <w:spacing w:line="300" w:lineRule="auto" w:before="13"/>
        <w:ind w:right="1063" w:firstLine="360"/>
        <w:jc w:val="left"/>
      </w:pPr>
      <w:r>
        <w:rPr/>
        <w:t>截止</w:t>
      </w:r>
      <w:r>
        <w:rPr>
          <w:rFonts w:ascii="Times New Roman" w:hAnsi="Times New Roman" w:cs="Times New Roman" w:eastAsia="Times New Roman" w:hint="default"/>
        </w:rPr>
        <w:t>2017</w:t>
      </w:r>
      <w:r>
        <w:rPr/>
        <w:t>年末，我国每台</w:t>
      </w:r>
      <w:r>
        <w:rPr>
          <w:rFonts w:ascii="Times New Roman" w:hAnsi="Times New Roman" w:cs="Times New Roman" w:eastAsia="Times New Roman" w:hint="default"/>
        </w:rPr>
        <w:t>POS</w:t>
      </w:r>
      <w:r>
        <w:rPr/>
        <w:t>终端对应银行卡数量约为</w:t>
      </w:r>
      <w:r>
        <w:rPr>
          <w:rFonts w:ascii="Times New Roman" w:hAnsi="Times New Roman" w:cs="Times New Roman" w:eastAsia="Times New Roman" w:hint="default"/>
        </w:rPr>
        <w:t>214</w:t>
      </w:r>
      <w:r>
        <w:rPr/>
        <w:t>张，与意大利、巴西、瑞典、美国等发达国家每台</w:t>
      </w:r>
      <w:r>
        <w:rPr>
          <w:rFonts w:ascii="Times New Roman" w:hAnsi="Times New Roman" w:cs="Times New Roman" w:eastAsia="Times New Roman" w:hint="default"/>
        </w:rPr>
        <w:t>POS</w:t>
      </w:r>
      <w:r>
        <w:rPr/>
        <w:t>终端 对应银行卡数量相比仍然处于较高水平，随着我国移动支付方式的普及，支付受理终端</w:t>
      </w:r>
      <w:r>
        <w:rPr>
          <w:rFonts w:ascii="Times New Roman" w:hAnsi="Times New Roman" w:cs="Times New Roman" w:eastAsia="Times New Roman" w:hint="default"/>
        </w:rPr>
        <w:t>POS</w:t>
      </w:r>
      <w:r>
        <w:rPr/>
        <w:t>机具形态和功能也越来越丰富， 以及</w:t>
      </w:r>
      <w:r>
        <w:rPr>
          <w:rFonts w:ascii="Times New Roman" w:hAnsi="Times New Roman" w:cs="Times New Roman" w:eastAsia="Times New Roman" w:hint="default"/>
        </w:rPr>
        <w:t>POS</w:t>
      </w:r>
      <w:r>
        <w:rPr/>
        <w:t>相关产品售价的下降，联网</w:t>
      </w:r>
      <w:r>
        <w:rPr>
          <w:rFonts w:ascii="Times New Roman" w:hAnsi="Times New Roman" w:cs="Times New Roman" w:eastAsia="Times New Roman" w:hint="default"/>
        </w:rPr>
        <w:t>POS</w:t>
      </w:r>
      <w:r>
        <w:rPr/>
        <w:t>机具数量的增长依然保持较快速度，预计未来</w:t>
      </w:r>
      <w:r>
        <w:rPr>
          <w:rFonts w:ascii="Times New Roman" w:hAnsi="Times New Roman" w:cs="Times New Roman" w:eastAsia="Times New Roman" w:hint="default"/>
        </w:rPr>
        <w:t>POS</w:t>
      </w:r>
      <w:r>
        <w:rPr/>
        <w:t>机具会向市场进一步渗透。借着 移动支付兴起和生物识别等高新技术广泛应用的机遇，</w:t>
      </w:r>
      <w:r>
        <w:rPr>
          <w:rFonts w:ascii="Times New Roman" w:hAnsi="Times New Roman" w:cs="Times New Roman" w:eastAsia="Times New Roman" w:hint="default"/>
        </w:rPr>
        <w:t>POS</w:t>
      </w:r>
      <w:r>
        <w:rPr/>
        <w:t>机具行业也发生了积极变化，</w:t>
      </w:r>
      <w:r>
        <w:rPr>
          <w:rFonts w:ascii="Times New Roman" w:hAnsi="Times New Roman" w:cs="Times New Roman" w:eastAsia="Times New Roman" w:hint="default"/>
        </w:rPr>
        <w:t>POS</w:t>
      </w:r>
      <w:r>
        <w:rPr/>
        <w:t>机具从过去只能受理银行卡物 </w:t>
      </w:r>
      <w:r>
        <w:rPr>
          <w:spacing w:val="-2"/>
          <w:w w:val="99"/>
        </w:rPr>
        <w:t>理刷卡支付方式升级为即可以接受二维码支付又可以接受</w:t>
      </w:r>
      <w:r>
        <w:rPr>
          <w:rFonts w:ascii="Times New Roman" w:hAnsi="Times New Roman" w:cs="Times New Roman" w:eastAsia="Times New Roman" w:hint="default"/>
          <w:spacing w:val="-2"/>
          <w:w w:val="99"/>
        </w:rPr>
        <w:t>NFC</w:t>
      </w:r>
      <w:r>
        <w:rPr>
          <w:spacing w:val="-2"/>
          <w:w w:val="99"/>
        </w:rPr>
        <w:t>方式等全渠道支付方式。未来随着支付环境进一步的改善以及</w:t>
      </w:r>
      <w:r>
        <w:rPr>
          <w:spacing w:val="-54"/>
          <w:w w:val="99"/>
        </w:rPr>
        <w:t> </w:t>
      </w:r>
      <w:r>
        <w:rPr>
          <w:spacing w:val="-54"/>
          <w:w w:val="99"/>
        </w:rPr>
      </w:r>
      <w:r>
        <w:rPr/>
        <w:t>相关技术的应用，电子支付行业增长空间依然很大。</w:t>
      </w:r>
    </w:p>
    <w:p>
      <w:pPr>
        <w:pStyle w:val="BodyText"/>
        <w:spacing w:line="240" w:lineRule="auto" w:before="31"/>
        <w:ind w:left="1493" w:right="994"/>
        <w:jc w:val="left"/>
      </w:pPr>
      <w:r>
        <w:rPr>
          <w:rFonts w:ascii="Times New Roman" w:hAnsi="Times New Roman" w:cs="Times New Roman" w:eastAsia="Times New Roman" w:hint="default"/>
        </w:rPr>
        <w:t>3</w:t>
      </w:r>
      <w:r>
        <w:rPr/>
        <w:t>）银行卡交易量保持增长。</w:t>
      </w:r>
      <w:r>
        <w:rPr>
          <w:rFonts w:ascii="Times New Roman" w:hAnsi="Times New Roman" w:cs="Times New Roman" w:eastAsia="Times New Roman" w:hint="default"/>
        </w:rPr>
        <w:t>2017</w:t>
      </w:r>
      <w:r>
        <w:rPr/>
        <w:t>年，全国共发生银行卡交易</w:t>
      </w:r>
      <w:r>
        <w:rPr>
          <w:rFonts w:ascii="Times New Roman" w:hAnsi="Times New Roman" w:cs="Times New Roman" w:eastAsia="Times New Roman" w:hint="default"/>
        </w:rPr>
        <w:t>1494.31</w:t>
      </w:r>
      <w:r>
        <w:rPr/>
        <w:t>亿笔，金额</w:t>
      </w:r>
      <w:r>
        <w:rPr>
          <w:rFonts w:ascii="Times New Roman" w:hAnsi="Times New Roman" w:cs="Times New Roman" w:eastAsia="Times New Roman" w:hint="default"/>
        </w:rPr>
        <w:t>761.65</w:t>
      </w:r>
      <w:r>
        <w:rPr/>
        <w:t>万亿元，同比分别增长</w:t>
      </w:r>
      <w:r>
        <w:rPr>
          <w:rFonts w:ascii="Times New Roman" w:hAnsi="Times New Roman" w:cs="Times New Roman" w:eastAsia="Times New Roman" w:hint="default"/>
        </w:rPr>
        <w:t>29.41%</w:t>
      </w:r>
      <w:r>
        <w:rPr/>
        <w:t>和</w:t>
      </w:r>
    </w:p>
    <w:p>
      <w:pPr>
        <w:pStyle w:val="BodyText"/>
        <w:spacing w:line="300" w:lineRule="auto" w:before="63"/>
        <w:ind w:right="994"/>
        <w:jc w:val="left"/>
      </w:pPr>
      <w:r>
        <w:rPr>
          <w:rFonts w:ascii="Times New Roman" w:hAnsi="Times New Roman" w:cs="Times New Roman" w:eastAsia="Times New Roman" w:hint="default"/>
          <w:spacing w:val="-4"/>
        </w:rPr>
        <w:t>2.67%</w:t>
      </w:r>
      <w:r>
        <w:rPr>
          <w:spacing w:val="-4"/>
        </w:rPr>
        <w:t>，日均</w:t>
      </w:r>
      <w:r>
        <w:rPr>
          <w:rFonts w:ascii="Times New Roman" w:hAnsi="Times New Roman" w:cs="Times New Roman" w:eastAsia="Times New Roman" w:hint="default"/>
          <w:spacing w:val="-4"/>
        </w:rPr>
        <w:t>4.09</w:t>
      </w:r>
      <w:r>
        <w:rPr>
          <w:spacing w:val="-4"/>
        </w:rPr>
        <w:t>亿笔，金额</w:t>
      </w:r>
      <w:r>
        <w:rPr>
          <w:rFonts w:ascii="Times New Roman" w:hAnsi="Times New Roman" w:cs="Times New Roman" w:eastAsia="Times New Roman" w:hint="default"/>
          <w:spacing w:val="-4"/>
        </w:rPr>
        <w:t>2.09</w:t>
      </w:r>
      <w:r>
        <w:rPr>
          <w:spacing w:val="-4"/>
        </w:rPr>
        <w:t>万亿元。其中，银行卡存现业务</w:t>
      </w:r>
      <w:r>
        <w:rPr>
          <w:rFonts w:ascii="Times New Roman" w:hAnsi="Times New Roman" w:cs="Times New Roman" w:eastAsia="Times New Roman" w:hint="default"/>
          <w:spacing w:val="-4"/>
        </w:rPr>
        <w:t>96.41</w:t>
      </w:r>
      <w:r>
        <w:rPr>
          <w:spacing w:val="-4"/>
        </w:rPr>
        <w:t>亿笔，金额</w:t>
      </w:r>
      <w:r>
        <w:rPr>
          <w:rFonts w:ascii="Times New Roman" w:hAnsi="Times New Roman" w:cs="Times New Roman" w:eastAsia="Times New Roman" w:hint="default"/>
          <w:spacing w:val="-4"/>
        </w:rPr>
        <w:t>67.92</w:t>
      </w:r>
      <w:r>
        <w:rPr>
          <w:spacing w:val="-4"/>
        </w:rPr>
        <w:t>万亿元，同比分别下降</w:t>
      </w:r>
      <w:r>
        <w:rPr>
          <w:rFonts w:ascii="Times New Roman" w:hAnsi="Times New Roman" w:cs="Times New Roman" w:eastAsia="Times New Roman" w:hint="default"/>
          <w:spacing w:val="-4"/>
        </w:rPr>
        <w:t>7.95%</w:t>
      </w:r>
      <w:r>
        <w:rPr>
          <w:spacing w:val="-4"/>
        </w:rPr>
        <w:t>和</w:t>
      </w:r>
      <w:r>
        <w:rPr>
          <w:rFonts w:ascii="Times New Roman" w:hAnsi="Times New Roman" w:cs="Times New Roman" w:eastAsia="Times New Roman" w:hint="default"/>
          <w:spacing w:val="-4"/>
        </w:rPr>
        <w:t>11.99%</w:t>
      </w:r>
      <w:r>
        <w:rPr>
          <w:spacing w:val="-4"/>
        </w:rPr>
        <w:t>；</w:t>
      </w:r>
      <w:r>
        <w:rPr>
          <w:spacing w:val="-24"/>
        </w:rPr>
        <w:t> </w:t>
      </w:r>
      <w:r>
        <w:rPr/>
        <w:t>取现业务</w:t>
      </w:r>
      <w:r>
        <w:rPr>
          <w:rFonts w:ascii="Times New Roman" w:hAnsi="Times New Roman" w:cs="Times New Roman" w:eastAsia="Times New Roman" w:hint="default"/>
        </w:rPr>
        <w:t>173.17</w:t>
      </w:r>
      <w:r>
        <w:rPr/>
        <w:t>亿笔，金额</w:t>
      </w:r>
      <w:r>
        <w:rPr>
          <w:rFonts w:ascii="Times New Roman" w:hAnsi="Times New Roman" w:cs="Times New Roman" w:eastAsia="Times New Roman" w:hint="default"/>
        </w:rPr>
        <w:t>65.07</w:t>
      </w:r>
      <w:r>
        <w:rPr/>
        <w:t>万亿元，同比分别下降</w:t>
      </w:r>
      <w:r>
        <w:rPr>
          <w:rFonts w:ascii="Times New Roman" w:hAnsi="Times New Roman" w:cs="Times New Roman" w:eastAsia="Times New Roman" w:hint="default"/>
        </w:rPr>
        <w:t>3.78%</w:t>
      </w:r>
      <w:r>
        <w:rPr/>
        <w:t>和</w:t>
      </w:r>
      <w:r>
        <w:rPr>
          <w:rFonts w:ascii="Times New Roman" w:hAnsi="Times New Roman" w:cs="Times New Roman" w:eastAsia="Times New Roman" w:hint="default"/>
        </w:rPr>
        <w:t>0.65%</w:t>
      </w:r>
      <w:r>
        <w:rPr/>
        <w:t>；消费业务</w:t>
      </w:r>
      <w:r>
        <w:rPr>
          <w:rFonts w:ascii="Times New Roman" w:hAnsi="Times New Roman" w:cs="Times New Roman" w:eastAsia="Times New Roman" w:hint="default"/>
        </w:rPr>
        <w:t>586.27</w:t>
      </w:r>
      <w:r>
        <w:rPr/>
        <w:t>亿笔，金额</w:t>
      </w:r>
      <w:r>
        <w:rPr>
          <w:rFonts w:ascii="Times New Roman" w:hAnsi="Times New Roman" w:cs="Times New Roman" w:eastAsia="Times New Roman" w:hint="default"/>
        </w:rPr>
        <w:t>68.67</w:t>
      </w:r>
      <w:r>
        <w:rPr/>
        <w:t>万亿元，同比分别 </w:t>
      </w:r>
      <w:r>
        <w:rPr>
          <w:spacing w:val="-4"/>
        </w:rPr>
        <w:t>增长</w:t>
      </w:r>
      <w:r>
        <w:rPr>
          <w:rFonts w:ascii="Times New Roman" w:hAnsi="Times New Roman" w:cs="Times New Roman" w:eastAsia="Times New Roman" w:hint="default"/>
          <w:spacing w:val="-4"/>
        </w:rPr>
        <w:t>52.96%</w:t>
      </w:r>
      <w:r>
        <w:rPr>
          <w:spacing w:val="-4"/>
        </w:rPr>
        <w:t>和</w:t>
      </w:r>
      <w:r>
        <w:rPr>
          <w:rFonts w:ascii="Times New Roman" w:hAnsi="Times New Roman" w:cs="Times New Roman" w:eastAsia="Times New Roman" w:hint="default"/>
          <w:spacing w:val="-4"/>
        </w:rPr>
        <w:t>21.54%</w:t>
      </w:r>
      <w:r>
        <w:rPr>
          <w:spacing w:val="-4"/>
        </w:rPr>
        <w:t>；转账业务</w:t>
      </w:r>
      <w:r>
        <w:rPr>
          <w:rFonts w:ascii="Times New Roman" w:hAnsi="Times New Roman" w:cs="Times New Roman" w:eastAsia="Times New Roman" w:hint="default"/>
          <w:spacing w:val="-4"/>
        </w:rPr>
        <w:t>638.46</w:t>
      </w:r>
      <w:r>
        <w:rPr>
          <w:spacing w:val="-4"/>
        </w:rPr>
        <w:t>亿笔，金额</w:t>
      </w:r>
      <w:r>
        <w:rPr>
          <w:rFonts w:ascii="Times New Roman" w:hAnsi="Times New Roman" w:cs="Times New Roman" w:eastAsia="Times New Roman" w:hint="default"/>
          <w:spacing w:val="-4"/>
        </w:rPr>
        <w:t>559.99</w:t>
      </w:r>
      <w:r>
        <w:rPr>
          <w:spacing w:val="-4"/>
        </w:rPr>
        <w:t>万亿元，同比分别增长</w:t>
      </w:r>
      <w:r>
        <w:rPr>
          <w:rFonts w:ascii="Times New Roman" w:hAnsi="Times New Roman" w:cs="Times New Roman" w:eastAsia="Times New Roman" w:hint="default"/>
          <w:spacing w:val="-4"/>
        </w:rPr>
        <w:t>31.17%</w:t>
      </w:r>
      <w:r>
        <w:rPr>
          <w:spacing w:val="-4"/>
        </w:rPr>
        <w:t>和</w:t>
      </w:r>
      <w:r>
        <w:rPr>
          <w:rFonts w:ascii="Times New Roman" w:hAnsi="Times New Roman" w:cs="Times New Roman" w:eastAsia="Times New Roman" w:hint="default"/>
          <w:spacing w:val="-4"/>
        </w:rPr>
        <w:t>3.20%</w:t>
      </w:r>
      <w:r>
        <w:rPr>
          <w:spacing w:val="-4"/>
        </w:rPr>
        <w:t>。全年银行卡渗透率达</w:t>
      </w:r>
      <w:r>
        <w:rPr>
          <w:rFonts w:ascii="Times New Roman" w:hAnsi="Times New Roman" w:cs="Times New Roman" w:eastAsia="Times New Roman" w:hint="default"/>
          <w:spacing w:val="-4"/>
        </w:rPr>
        <w:t>48.71%</w:t>
      </w:r>
      <w:r>
        <w:rPr>
          <w:spacing w:val="-4"/>
        </w:rPr>
        <w:t>，</w:t>
      </w:r>
      <w:r>
        <w:rPr>
          <w:spacing w:val="-45"/>
        </w:rPr>
        <w:t> </w:t>
      </w:r>
      <w:r>
        <w:rPr/>
        <w:t>比去年上升</w:t>
      </w:r>
      <w:r>
        <w:rPr>
          <w:rFonts w:ascii="Times New Roman" w:hAnsi="Times New Roman" w:cs="Times New Roman" w:eastAsia="Times New Roman" w:hint="default"/>
        </w:rPr>
        <w:t>0.24</w:t>
      </w:r>
      <w:r>
        <w:rPr/>
        <w:t>个百分点。银行卡卡均消费金额达</w:t>
      </w:r>
      <w:r>
        <w:rPr>
          <w:rFonts w:ascii="Times New Roman" w:hAnsi="Times New Roman" w:cs="Times New Roman" w:eastAsia="Times New Roman" w:hint="default"/>
        </w:rPr>
        <w:t>1.03</w:t>
      </w:r>
      <w:r>
        <w:rPr/>
        <w:t>万元，同比上升</w:t>
      </w:r>
      <w:r>
        <w:rPr>
          <w:rFonts w:ascii="Times New Roman" w:hAnsi="Times New Roman" w:cs="Times New Roman" w:eastAsia="Times New Roman" w:hint="default"/>
        </w:rPr>
        <w:t>11.22%</w:t>
      </w:r>
      <w:r>
        <w:rPr/>
        <w:t>；银行卡笔均消费金额</w:t>
      </w:r>
      <w:r>
        <w:rPr>
          <w:rFonts w:ascii="Times New Roman" w:hAnsi="Times New Roman" w:cs="Times New Roman" w:eastAsia="Times New Roman" w:hint="default"/>
        </w:rPr>
        <w:t>1171.24</w:t>
      </w:r>
      <w:r>
        <w:rPr/>
        <w:t>元，同比下降 </w:t>
      </w:r>
      <w:r>
        <w:rPr>
          <w:rFonts w:ascii="Times New Roman" w:hAnsi="Times New Roman" w:cs="Times New Roman" w:eastAsia="Times New Roman" w:hint="default"/>
        </w:rPr>
        <w:t>20.54%</w:t>
      </w:r>
      <w:r>
        <w:rPr/>
        <w:t>。</w:t>
      </w:r>
    </w:p>
    <w:p>
      <w:pPr>
        <w:pStyle w:val="BodyText"/>
        <w:spacing w:line="307" w:lineRule="auto" w:before="13"/>
        <w:ind w:right="1033" w:firstLine="360"/>
        <w:jc w:val="left"/>
      </w:pPr>
      <w:r>
        <w:rPr>
          <w:spacing w:val="-2"/>
        </w:rPr>
        <w:t>上述数据显示，银行卡交易笔数依然保持较高增长速度，其中，与现金相关的存取业务笔数呈现下降趋势然而转账和消</w:t>
      </w:r>
      <w:r>
        <w:rPr/>
        <w:t> 费业务笔数进一步提高，体现出电子支付在人们日常生活中进一步的融入，另外随着互联网移动及</w:t>
      </w:r>
      <w:r>
        <w:rPr>
          <w:rFonts w:ascii="Times New Roman" w:hAnsi="Times New Roman" w:cs="Times New Roman" w:eastAsia="Times New Roman" w:hint="default"/>
        </w:rPr>
        <w:t>AI</w:t>
      </w:r>
      <w:r>
        <w:rPr/>
        <w:t>、生物识别等高兴技 </w:t>
      </w:r>
      <w:r>
        <w:rPr>
          <w:spacing w:val="-2"/>
        </w:rPr>
        <w:t>术在金融领域的应用，</w:t>
      </w:r>
      <w:r>
        <w:rPr>
          <w:rFonts w:ascii="Times New Roman" w:hAnsi="Times New Roman" w:cs="Times New Roman" w:eastAsia="Times New Roman" w:hint="default"/>
          <w:spacing w:val="-2"/>
        </w:rPr>
        <w:t>“</w:t>
      </w:r>
      <w:r>
        <w:rPr>
          <w:spacing w:val="-2"/>
        </w:rPr>
        <w:t>无钱包、无纸币</w:t>
      </w:r>
      <w:r>
        <w:rPr>
          <w:rFonts w:ascii="Times New Roman" w:hAnsi="Times New Roman" w:cs="Times New Roman" w:eastAsia="Times New Roman" w:hint="default"/>
          <w:spacing w:val="-2"/>
        </w:rPr>
        <w:t>”</w:t>
      </w:r>
      <w:r>
        <w:rPr>
          <w:spacing w:val="-2"/>
        </w:rPr>
        <w:t>的时代已经到来，电子支付在人们日常消费中结算环节的使用也越来越频繁，从根</w:t>
      </w:r>
      <w:r>
        <w:rPr>
          <w:spacing w:val="-44"/>
        </w:rPr>
        <w:t> </w:t>
      </w:r>
      <w:r>
        <w:rPr>
          <w:spacing w:val="-44"/>
        </w:rPr>
      </w:r>
      <w:r>
        <w:rPr/>
        <w:t>本上颠覆了纸币交易的支付习惯，人们去银行柜台或者</w:t>
      </w:r>
      <w:r>
        <w:rPr>
          <w:rFonts w:ascii="Times New Roman" w:hAnsi="Times New Roman" w:cs="Times New Roman" w:eastAsia="Times New Roman" w:hint="default"/>
        </w:rPr>
        <w:t>ATM</w:t>
      </w:r>
      <w:r>
        <w:rPr/>
        <w:t>机进行现金存取的情况也越来越少。近几年随着类似红包与支 付相关的互联网产品在人们生活的流行，转账业务变得越来越活跃，另外，银行卡卡均消费金额上升、笔均消费金额下降， 可以看出电子支付方式在消费中的使用量增长速度快且呈现出小额高频的态势。</w:t>
      </w:r>
    </w:p>
    <w:p>
      <w:pPr>
        <w:pStyle w:val="BodyText"/>
        <w:spacing w:line="300" w:lineRule="auto" w:before="26"/>
        <w:ind w:right="994" w:firstLine="360"/>
        <w:jc w:val="left"/>
      </w:pPr>
      <w:r>
        <w:rPr>
          <w:rFonts w:ascii="Times New Roman" w:hAnsi="Times New Roman" w:cs="Times New Roman" w:eastAsia="Times New Roman" w:hint="default"/>
        </w:rPr>
        <w:t>4</w:t>
      </w:r>
      <w:r>
        <w:rPr/>
        <w:t>）移动支付业务量保持较快增长。</w:t>
      </w:r>
      <w:r>
        <w:rPr>
          <w:rFonts w:ascii="Times New Roman" w:hAnsi="Times New Roman" w:cs="Times New Roman" w:eastAsia="Times New Roman" w:hint="default"/>
        </w:rPr>
        <w:t>2017</w:t>
      </w:r>
      <w:r>
        <w:rPr/>
        <w:t>年，银行业金融机构共处理电子支付业务（注释：电子支付是指客户通过网上 银行、电话银行、手机银行、</w:t>
      </w:r>
      <w:r>
        <w:rPr>
          <w:rFonts w:ascii="Times New Roman" w:hAnsi="Times New Roman" w:cs="Times New Roman" w:eastAsia="Times New Roman" w:hint="default"/>
        </w:rPr>
        <w:t>ATM</w:t>
      </w:r>
      <w:r>
        <w:rPr/>
        <w:t>、</w:t>
      </w:r>
      <w:r>
        <w:rPr>
          <w:rFonts w:ascii="Times New Roman" w:hAnsi="Times New Roman" w:cs="Times New Roman" w:eastAsia="Times New Roman" w:hint="default"/>
        </w:rPr>
        <w:t>POS</w:t>
      </w:r>
      <w:r>
        <w:rPr/>
        <w:t>和其他电子渠道，从结算类账户发起的账务变动类业务笔数和金额。包括网上支 付、电话支付、移动支付、</w:t>
      </w:r>
      <w:r>
        <w:rPr>
          <w:rFonts w:ascii="Times New Roman" w:hAnsi="Times New Roman" w:cs="Times New Roman" w:eastAsia="Times New Roman" w:hint="default"/>
        </w:rPr>
        <w:t>ATM</w:t>
      </w:r>
      <w:r>
        <w:rPr/>
        <w:t>业务、</w:t>
      </w:r>
      <w:r>
        <w:rPr>
          <w:rFonts w:ascii="Times New Roman" w:hAnsi="Times New Roman" w:cs="Times New Roman" w:eastAsia="Times New Roman" w:hint="default"/>
        </w:rPr>
        <w:t>POS</w:t>
      </w:r>
      <w:r>
        <w:rPr/>
        <w:t>业务和其他电子支付等六种业务类型。）</w:t>
      </w:r>
      <w:r>
        <w:rPr>
          <w:rFonts w:ascii="Times New Roman" w:hAnsi="Times New Roman" w:cs="Times New Roman" w:eastAsia="Times New Roman" w:hint="default"/>
        </w:rPr>
        <w:t>1,525.80</w:t>
      </w:r>
      <w:r>
        <w:rPr/>
        <w:t>亿笔，金额</w:t>
      </w:r>
      <w:r>
        <w:rPr>
          <w:rFonts w:ascii="Times New Roman" w:hAnsi="Times New Roman" w:cs="Times New Roman" w:eastAsia="Times New Roman" w:hint="default"/>
        </w:rPr>
        <w:t>2,419.20</w:t>
      </w:r>
      <w:r>
        <w:rPr/>
        <w:t>万亿元。 </w:t>
      </w:r>
      <w:r>
        <w:rPr>
          <w:spacing w:val="-1"/>
        </w:rPr>
        <w:t>其中，网上支付业务</w:t>
      </w:r>
      <w:r>
        <w:rPr>
          <w:rFonts w:ascii="Times New Roman" w:hAnsi="Times New Roman" w:cs="Times New Roman" w:eastAsia="Times New Roman" w:hint="default"/>
          <w:spacing w:val="-1"/>
        </w:rPr>
        <w:t>485.78</w:t>
      </w:r>
      <w:r>
        <w:rPr>
          <w:spacing w:val="-1"/>
        </w:rPr>
        <w:t>亿笔，金额</w:t>
      </w:r>
      <w:r>
        <w:rPr>
          <w:rFonts w:ascii="Times New Roman" w:hAnsi="Times New Roman" w:cs="Times New Roman" w:eastAsia="Times New Roman" w:hint="default"/>
          <w:spacing w:val="-1"/>
        </w:rPr>
        <w:t>2,075.09</w:t>
      </w:r>
      <w:r>
        <w:rPr>
          <w:spacing w:val="-1"/>
        </w:rPr>
        <w:t>万亿元，笔数同比增长</w:t>
      </w:r>
      <w:r>
        <w:rPr>
          <w:rFonts w:ascii="Times New Roman" w:hAnsi="Times New Roman" w:cs="Times New Roman" w:eastAsia="Times New Roman" w:hint="default"/>
          <w:spacing w:val="-1"/>
        </w:rPr>
        <w:t>5.20%</w:t>
      </w:r>
      <w:r>
        <w:rPr>
          <w:spacing w:val="-1"/>
        </w:rPr>
        <w:t>，金额同比下降</w:t>
      </w:r>
      <w:r>
        <w:rPr>
          <w:rFonts w:ascii="Times New Roman" w:hAnsi="Times New Roman" w:cs="Times New Roman" w:eastAsia="Times New Roman" w:hint="default"/>
          <w:spacing w:val="-1"/>
        </w:rPr>
        <w:t>0.47%</w:t>
      </w:r>
      <w:r>
        <w:rPr>
          <w:spacing w:val="-1"/>
        </w:rPr>
        <w:t>；电话支付业务</w:t>
      </w:r>
      <w:r>
        <w:rPr>
          <w:rFonts w:ascii="Times New Roman" w:hAnsi="Times New Roman" w:cs="Times New Roman" w:eastAsia="Times New Roman" w:hint="default"/>
          <w:spacing w:val="-1"/>
        </w:rPr>
        <w:t>1.60</w:t>
      </w:r>
      <w:r>
        <w:rPr>
          <w:spacing w:val="-1"/>
        </w:rPr>
        <w:t>亿笔，</w:t>
      </w:r>
      <w:r>
        <w:rPr>
          <w:spacing w:val="-50"/>
        </w:rPr>
        <w:t> </w:t>
      </w:r>
      <w:r>
        <w:rPr>
          <w:spacing w:val="-50"/>
        </w:rPr>
      </w:r>
      <w:r>
        <w:rPr/>
        <w:t>金额</w:t>
      </w:r>
      <w:r>
        <w:rPr>
          <w:rFonts w:ascii="Times New Roman" w:hAnsi="Times New Roman" w:cs="Times New Roman" w:eastAsia="Times New Roman" w:hint="default"/>
        </w:rPr>
        <w:t>8.78</w:t>
      </w:r>
      <w:r>
        <w:rPr/>
        <w:t>万亿元，同比分别下降</w:t>
      </w:r>
      <w:r>
        <w:rPr>
          <w:rFonts w:ascii="Times New Roman" w:hAnsi="Times New Roman" w:cs="Times New Roman" w:eastAsia="Times New Roman" w:hint="default"/>
        </w:rPr>
        <w:t>42.58%</w:t>
      </w:r>
      <w:r>
        <w:rPr/>
        <w:t>和</w:t>
      </w:r>
      <w:r>
        <w:rPr>
          <w:rFonts w:ascii="Times New Roman" w:hAnsi="Times New Roman" w:cs="Times New Roman" w:eastAsia="Times New Roman" w:hint="default"/>
        </w:rPr>
        <w:t>48.56%</w:t>
      </w:r>
      <w:r>
        <w:rPr/>
        <w:t>；移动支付业务</w:t>
      </w:r>
      <w:r>
        <w:rPr>
          <w:rFonts w:ascii="Times New Roman" w:hAnsi="Times New Roman" w:cs="Times New Roman" w:eastAsia="Times New Roman" w:hint="default"/>
        </w:rPr>
        <w:t>375.52</w:t>
      </w:r>
      <w:r>
        <w:rPr/>
        <w:t>亿笔，金额</w:t>
      </w:r>
      <w:r>
        <w:rPr>
          <w:rFonts w:ascii="Times New Roman" w:hAnsi="Times New Roman" w:cs="Times New Roman" w:eastAsia="Times New Roman" w:hint="default"/>
        </w:rPr>
        <w:t>202.93</w:t>
      </w:r>
      <w:r>
        <w:rPr/>
        <w:t>万亿元，同比分别增长</w:t>
      </w:r>
      <w:r>
        <w:rPr>
          <w:rFonts w:ascii="Times New Roman" w:hAnsi="Times New Roman" w:cs="Times New Roman" w:eastAsia="Times New Roman" w:hint="default"/>
        </w:rPr>
        <w:t>46.06%</w:t>
      </w:r>
      <w:r>
        <w:rPr/>
        <w:t>和 </w:t>
      </w:r>
      <w:r>
        <w:rPr>
          <w:rFonts w:ascii="Times New Roman" w:hAnsi="Times New Roman" w:cs="Times New Roman" w:eastAsia="Times New Roman" w:hint="default"/>
        </w:rPr>
        <w:t>28.80%</w:t>
      </w:r>
      <w:r>
        <w:rPr/>
        <w:t>。</w:t>
      </w:r>
    </w:p>
    <w:p>
      <w:pPr>
        <w:pStyle w:val="BodyText"/>
        <w:spacing w:line="300" w:lineRule="auto" w:before="13"/>
        <w:ind w:left="1493" w:right="994"/>
        <w:jc w:val="left"/>
      </w:pPr>
      <w:r>
        <w:rPr>
          <w:rFonts w:ascii="Times New Roman" w:hAnsi="Times New Roman" w:cs="Times New Roman" w:eastAsia="Times New Roman" w:hint="default"/>
        </w:rPr>
        <w:t>2017</w:t>
      </w:r>
      <w:r>
        <w:rPr/>
        <w:t>年，非银行支付机构发生网络支付业务</w:t>
      </w:r>
      <w:r>
        <w:rPr>
          <w:rFonts w:ascii="Times New Roman" w:hAnsi="Times New Roman" w:cs="Times New Roman" w:eastAsia="Times New Roman" w:hint="default"/>
        </w:rPr>
        <w:t>2,867.47</w:t>
      </w:r>
      <w:r>
        <w:rPr/>
        <w:t>亿笔，金额</w:t>
      </w:r>
      <w:r>
        <w:rPr>
          <w:rFonts w:ascii="Times New Roman" w:hAnsi="Times New Roman" w:cs="Times New Roman" w:eastAsia="Times New Roman" w:hint="default"/>
        </w:rPr>
        <w:t>143.26</w:t>
      </w:r>
      <w:r>
        <w:rPr/>
        <w:t>万亿元，同比分别增长</w:t>
      </w:r>
      <w:r>
        <w:rPr>
          <w:rFonts w:ascii="Times New Roman" w:hAnsi="Times New Roman" w:cs="Times New Roman" w:eastAsia="Times New Roman" w:hint="default"/>
        </w:rPr>
        <w:t>74.95%</w:t>
      </w:r>
      <w:r>
        <w:rPr/>
        <w:t>和</w:t>
      </w:r>
      <w:r>
        <w:rPr>
          <w:rFonts w:ascii="Times New Roman" w:hAnsi="Times New Roman" w:cs="Times New Roman" w:eastAsia="Times New Roman" w:hint="default"/>
        </w:rPr>
        <w:t>44.32%</w:t>
      </w:r>
      <w:r>
        <w:rPr/>
        <w:t>。 </w:t>
      </w:r>
      <w:r>
        <w:rPr>
          <w:spacing w:val="-2"/>
        </w:rPr>
        <w:t>上述数据显示，</w:t>
      </w:r>
      <w:r>
        <w:rPr>
          <w:rFonts w:ascii="Times New Roman" w:hAnsi="Times New Roman" w:cs="Times New Roman" w:eastAsia="Times New Roman" w:hint="default"/>
          <w:spacing w:val="-2"/>
        </w:rPr>
        <w:t>2017</w:t>
      </w:r>
      <w:r>
        <w:rPr>
          <w:spacing w:val="-2"/>
        </w:rPr>
        <w:t>年全年移动支付交易笔数和交易金额增长速度明显，电话支付业务下降较快，这说明随着人们生活</w:t>
      </w:r>
    </w:p>
    <w:p>
      <w:pPr>
        <w:pStyle w:val="BodyText"/>
        <w:spacing w:line="309" w:lineRule="auto" w:before="13"/>
        <w:ind w:right="1043"/>
        <w:jc w:val="left"/>
      </w:pPr>
      <w:r>
        <w:rPr>
          <w:spacing w:val="-2"/>
        </w:rPr>
        <w:t>习惯的改变以及相应消费场景的转移，移动支付已经成为人们日常消费结算中最常选用结算方式之一，未来我们还是持续看</w:t>
      </w:r>
      <w:r>
        <w:rPr>
          <w:spacing w:val="-64"/>
        </w:rPr>
        <w:t> </w:t>
      </w:r>
      <w:r>
        <w:rPr>
          <w:spacing w:val="-64"/>
        </w:rPr>
      </w:r>
      <w:r>
        <w:rPr/>
        <w:t>好移动支付的增长空间，移动支付不仅带来消费体验的升级</w:t>
      </w:r>
      <w:r>
        <w:rPr>
          <w:rFonts w:ascii="Times New Roman" w:hAnsi="Times New Roman" w:cs="Times New Roman" w:eastAsia="Times New Roman" w:hint="default"/>
        </w:rPr>
        <w:t>,</w:t>
      </w:r>
      <w:r>
        <w:rPr/>
        <w:t>同时也催生出新的经济形态。移动支付除了有二维码支付的模 式，随着苹果支付入华，也兴起了</w:t>
      </w:r>
      <w:r>
        <w:rPr>
          <w:rFonts w:ascii="Times New Roman" w:hAnsi="Times New Roman" w:cs="Times New Roman" w:eastAsia="Times New Roman" w:hint="default"/>
        </w:rPr>
        <w:t>NFC</w:t>
      </w:r>
      <w:r>
        <w:rPr/>
        <w:t>支付模式的移动支付，华为、小米等手机厂商借机也纷纷加入了移动支付的生态圈。 </w:t>
      </w:r>
      <w:r>
        <w:rPr>
          <w:spacing w:val="-2"/>
        </w:rPr>
        <w:t>我们预计未来几年，电子支付行业会继续保持活跃性，随着生物识别技术的完善和精准度的提高、人工智能技术的成熟，支</w:t>
      </w:r>
      <w:r>
        <w:rPr>
          <w:spacing w:val="-66"/>
        </w:rPr>
        <w:t> </w:t>
      </w:r>
      <w:r>
        <w:rPr>
          <w:spacing w:val="-66"/>
        </w:rPr>
      </w:r>
      <w:r>
        <w:rPr/>
        <w:t>付行业未来仍具有较多发展机遇与革新的可能。</w:t>
      </w:r>
    </w:p>
    <w:p>
      <w:pPr>
        <w:pStyle w:val="BodyText"/>
        <w:spacing w:line="300" w:lineRule="auto" w:before="24"/>
        <w:ind w:right="994" w:firstLine="360"/>
        <w:jc w:val="left"/>
      </w:pPr>
      <w:r>
        <w:rPr>
          <w:rFonts w:ascii="Times New Roman" w:hAnsi="Times New Roman" w:cs="Times New Roman" w:eastAsia="Times New Roman" w:hint="default"/>
          <w:spacing w:val="-2"/>
        </w:rPr>
        <w:t>5</w:t>
      </w:r>
      <w:r>
        <w:rPr>
          <w:spacing w:val="-2"/>
        </w:rPr>
        <w:t>）农信银支付清算系统业务笔数保持快速增长。</w:t>
      </w:r>
      <w:r>
        <w:rPr>
          <w:rFonts w:ascii="Times New Roman" w:hAnsi="Times New Roman" w:cs="Times New Roman" w:eastAsia="Times New Roman" w:hint="default"/>
          <w:spacing w:val="-2"/>
        </w:rPr>
        <w:t>2017</w:t>
      </w:r>
      <w:r>
        <w:rPr>
          <w:spacing w:val="-2"/>
        </w:rPr>
        <w:t>年，农信银支付清算系统共处理业务</w:t>
      </w:r>
      <w:r>
        <w:rPr>
          <w:rFonts w:ascii="Times New Roman" w:hAnsi="Times New Roman" w:cs="Times New Roman" w:eastAsia="Times New Roman" w:hint="default"/>
          <w:spacing w:val="-2"/>
        </w:rPr>
        <w:t>33.49</w:t>
      </w:r>
      <w:r>
        <w:rPr>
          <w:spacing w:val="-2"/>
        </w:rPr>
        <w:t>亿笔，金额</w:t>
      </w:r>
      <w:r>
        <w:rPr>
          <w:rFonts w:ascii="Times New Roman" w:hAnsi="Times New Roman" w:cs="Times New Roman" w:eastAsia="Times New Roman" w:hint="default"/>
          <w:spacing w:val="-2"/>
        </w:rPr>
        <w:t>6.67</w:t>
      </w:r>
      <w:r>
        <w:rPr>
          <w:spacing w:val="-2"/>
        </w:rPr>
        <w:t>万亿元，</w:t>
      </w:r>
      <w:r>
        <w:rPr/>
        <w:t> 同比分别增长</w:t>
      </w:r>
      <w:r>
        <w:rPr>
          <w:rFonts w:ascii="Times New Roman" w:hAnsi="Times New Roman" w:cs="Times New Roman" w:eastAsia="Times New Roman" w:hint="default"/>
        </w:rPr>
        <w:t>99.23%</w:t>
      </w:r>
      <w:r>
        <w:rPr/>
        <w:t>和</w:t>
      </w:r>
      <w:r>
        <w:rPr>
          <w:rFonts w:ascii="Times New Roman" w:hAnsi="Times New Roman" w:cs="Times New Roman" w:eastAsia="Times New Roman" w:hint="default"/>
        </w:rPr>
        <w:t>22.99%</w:t>
      </w:r>
      <w:r>
        <w:rPr/>
        <w:t>。日均处理业务</w:t>
      </w:r>
      <w:r>
        <w:rPr>
          <w:rFonts w:ascii="Times New Roman" w:hAnsi="Times New Roman" w:cs="Times New Roman" w:eastAsia="Times New Roman" w:hint="default"/>
        </w:rPr>
        <w:t>917.54</w:t>
      </w:r>
      <w:r>
        <w:rPr/>
        <w:t>万笔，金额</w:t>
      </w:r>
      <w:r>
        <w:rPr>
          <w:rFonts w:ascii="Times New Roman" w:hAnsi="Times New Roman" w:cs="Times New Roman" w:eastAsia="Times New Roman" w:hint="default"/>
        </w:rPr>
        <w:t>182.87</w:t>
      </w:r>
      <w:r>
        <w:rPr/>
        <w:t>亿元。</w:t>
      </w:r>
    </w:p>
    <w:p>
      <w:pPr>
        <w:pStyle w:val="BodyText"/>
        <w:spacing w:line="316" w:lineRule="auto" w:before="13"/>
        <w:ind w:right="1132" w:firstLine="360"/>
        <w:jc w:val="both"/>
      </w:pPr>
      <w:r>
        <w:rPr>
          <w:spacing w:val="-2"/>
        </w:rPr>
        <w:t>上述数据显示，随着互联网支付与移动支付的普及，农村支付产品和场景不断丰富，农村中小金融机构金融服务水平持</w:t>
      </w:r>
      <w:r>
        <w:rPr/>
        <w:t> </w:t>
      </w:r>
      <w:r>
        <w:rPr>
          <w:spacing w:val="-2"/>
        </w:rPr>
        <w:t>续提升，从而带动农信银支付清算业务量快速增长，我们认为电子支付推广在农村市场仍有很大的空间，预计未来农村电子</w:t>
      </w:r>
      <w:r>
        <w:rPr>
          <w:spacing w:val="-66"/>
        </w:rPr>
        <w:t> </w:t>
      </w:r>
      <w:r>
        <w:rPr>
          <w:spacing w:val="-66"/>
        </w:rPr>
      </w:r>
      <w:r>
        <w:rPr/>
        <w:t>支付及相关服务会保持较高增长率，我国农村电子支付服务市场值得持续关注。</w:t>
      </w:r>
    </w:p>
    <w:p>
      <w:pPr>
        <w:pStyle w:val="BodyText"/>
        <w:spacing w:line="300" w:lineRule="auto" w:before="19"/>
        <w:ind w:left="1134" w:right="1122" w:firstLine="360"/>
        <w:jc w:val="left"/>
      </w:pPr>
      <w:r>
        <w:rPr>
          <w:rFonts w:ascii="Times New Roman" w:hAnsi="Times New Roman" w:cs="Times New Roman" w:eastAsia="Times New Roman" w:hint="default"/>
        </w:rPr>
        <w:t>6</w:t>
      </w:r>
      <w:r>
        <w:rPr/>
        <w:t>）人民币跨境支付系统业务量快速增长。</w:t>
      </w:r>
      <w:r>
        <w:rPr>
          <w:rFonts w:ascii="Times New Roman" w:hAnsi="Times New Roman" w:cs="Times New Roman" w:eastAsia="Times New Roman" w:hint="default"/>
        </w:rPr>
        <w:t>2017</w:t>
      </w:r>
      <w:r>
        <w:rPr/>
        <w:t>年，人民币跨境支付系统处理业务</w:t>
      </w:r>
      <w:r>
        <w:rPr>
          <w:rFonts w:ascii="Times New Roman" w:hAnsi="Times New Roman" w:cs="Times New Roman" w:eastAsia="Times New Roman" w:hint="default"/>
        </w:rPr>
        <w:t>125.90</w:t>
      </w:r>
      <w:r>
        <w:rPr/>
        <w:t>万笔，金额</w:t>
      </w:r>
      <w:r>
        <w:rPr>
          <w:rFonts w:ascii="Times New Roman" w:hAnsi="Times New Roman" w:cs="Times New Roman" w:eastAsia="Times New Roman" w:hint="default"/>
        </w:rPr>
        <w:t>14.55</w:t>
      </w:r>
      <w:r>
        <w:rPr/>
        <w:t>万亿元，同比 分别增长</w:t>
      </w:r>
      <w:r>
        <w:rPr>
          <w:rFonts w:ascii="Times New Roman" w:hAnsi="Times New Roman" w:cs="Times New Roman" w:eastAsia="Times New Roman" w:hint="default"/>
        </w:rPr>
        <w:t>97.92%</w:t>
      </w:r>
      <w:r>
        <w:rPr/>
        <w:t>和</w:t>
      </w:r>
      <w:r>
        <w:rPr>
          <w:rFonts w:ascii="Times New Roman" w:hAnsi="Times New Roman" w:cs="Times New Roman" w:eastAsia="Times New Roman" w:hint="default"/>
        </w:rPr>
        <w:t>233.67%</w:t>
      </w:r>
      <w:r>
        <w:rPr/>
        <w:t>。日均处理业务</w:t>
      </w:r>
      <w:r>
        <w:rPr>
          <w:rFonts w:ascii="Times New Roman" w:hAnsi="Times New Roman" w:cs="Times New Roman" w:eastAsia="Times New Roman" w:hint="default"/>
        </w:rPr>
        <w:t>5056.22</w:t>
      </w:r>
      <w:r>
        <w:rPr/>
        <w:t>笔，金额</w:t>
      </w:r>
      <w:r>
        <w:rPr>
          <w:rFonts w:ascii="Times New Roman" w:hAnsi="Times New Roman" w:cs="Times New Roman" w:eastAsia="Times New Roman" w:hint="default"/>
        </w:rPr>
        <w:t>584.50</w:t>
      </w:r>
      <w:r>
        <w:rPr/>
        <w:t>亿元。</w:t>
      </w:r>
    </w:p>
    <w:p>
      <w:pPr>
        <w:pStyle w:val="BodyText"/>
        <w:spacing w:line="309" w:lineRule="auto" w:before="13"/>
        <w:ind w:right="1132" w:firstLine="360"/>
        <w:jc w:val="both"/>
      </w:pPr>
      <w:r>
        <w:rPr/>
        <w:t>人民币跨境支付系统由中国人民银行组织建设</w:t>
      </w:r>
      <w:r>
        <w:rPr>
          <w:rFonts w:ascii="Times New Roman" w:hAnsi="Times New Roman" w:cs="Times New Roman" w:eastAsia="Times New Roman" w:hint="default"/>
        </w:rPr>
        <w:t>,</w:t>
      </w:r>
      <w:r>
        <w:rPr/>
        <w:t>是为全球金融机构人民币跨境和离岸业务提供资金清算、结算服务的清 </w:t>
      </w:r>
      <w:r>
        <w:rPr>
          <w:spacing w:val="-2"/>
        </w:rPr>
        <w:t>算系统，对支付结算效率的提高与安全保障等各个方面提供了重要支撑。由于该系统上线时限不长，且跨境人民币的流动和</w:t>
      </w:r>
      <w:r>
        <w:rPr>
          <w:spacing w:val="-66"/>
        </w:rPr>
        <w:t> </w:t>
      </w:r>
      <w:r>
        <w:rPr>
          <w:spacing w:val="-66"/>
        </w:rPr>
      </w:r>
      <w:r>
        <w:rPr/>
        <w:t>使用需求旺盛，所以该系统处理业务量增长快速。</w:t>
      </w:r>
    </w:p>
    <w:p>
      <w:pPr>
        <w:spacing w:after="0" w:line="309"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ind w:right="1131" w:firstLine="360"/>
        <w:jc w:val="both"/>
      </w:pPr>
      <w:r>
        <w:rPr>
          <w:rFonts w:ascii="Times New Roman" w:hAnsi="Times New Roman" w:cs="Times New Roman" w:eastAsia="Times New Roman" w:hint="default"/>
          <w:spacing w:val="-2"/>
        </w:rPr>
        <w:t>7</w:t>
      </w:r>
      <w:r>
        <w:rPr>
          <w:spacing w:val="-2"/>
        </w:rPr>
        <w:t>）网联平台试运行平稳。截至</w:t>
      </w:r>
      <w:r>
        <w:rPr>
          <w:rFonts w:ascii="Times New Roman" w:hAnsi="Times New Roman" w:cs="Times New Roman" w:eastAsia="Times New Roman" w:hint="default"/>
          <w:spacing w:val="-2"/>
        </w:rPr>
        <w:t>2017</w:t>
      </w:r>
      <w:r>
        <w:rPr>
          <w:spacing w:val="-2"/>
        </w:rPr>
        <w:t>年末，共有</w:t>
      </w:r>
      <w:r>
        <w:rPr>
          <w:rFonts w:ascii="Times New Roman" w:hAnsi="Times New Roman" w:cs="Times New Roman" w:eastAsia="Times New Roman" w:hint="default"/>
          <w:spacing w:val="-2"/>
        </w:rPr>
        <w:t>248</w:t>
      </w:r>
      <w:r>
        <w:rPr>
          <w:spacing w:val="-2"/>
        </w:rPr>
        <w:t>家商业银行和</w:t>
      </w:r>
      <w:r>
        <w:rPr>
          <w:rFonts w:ascii="Times New Roman" w:hAnsi="Times New Roman" w:cs="Times New Roman" w:eastAsia="Times New Roman" w:hint="default"/>
          <w:spacing w:val="-2"/>
        </w:rPr>
        <w:t>65</w:t>
      </w:r>
      <w:r>
        <w:rPr>
          <w:spacing w:val="-2"/>
        </w:rPr>
        <w:t>家支付机构接入网联平台，各支付机构有序将涉及银</w:t>
      </w:r>
      <w:r>
        <w:rPr/>
        <w:t> 行账户的网络支付业务从直连通道切换至网联平台。</w:t>
      </w:r>
    </w:p>
    <w:p>
      <w:pPr>
        <w:pStyle w:val="BodyText"/>
        <w:spacing w:line="319" w:lineRule="auto" w:before="31"/>
        <w:ind w:left="1134" w:right="1131" w:firstLine="360"/>
        <w:jc w:val="both"/>
      </w:pPr>
      <w:r>
        <w:rPr>
          <w:spacing w:val="-2"/>
        </w:rPr>
        <w:t>网联平台可以帮助第三方支付机构接入所有银行的接口，有助于第三方支付市场持续稳定地发展以及打造更加健康的支</w:t>
      </w:r>
      <w:r>
        <w:rPr/>
        <w:t> </w:t>
      </w:r>
      <w:r>
        <w:rPr>
          <w:spacing w:val="-2"/>
        </w:rPr>
        <w:t>付行业生态，所有第三方支付机构将在更加公平的竞争环境里将重心回归支付业务和相关增值服务，更注重可持续地发展核</w:t>
      </w:r>
      <w:r>
        <w:rPr>
          <w:spacing w:val="-64"/>
        </w:rPr>
        <w:t> </w:t>
      </w:r>
      <w:r>
        <w:rPr>
          <w:spacing w:val="-64"/>
        </w:rPr>
      </w:r>
      <w:r>
        <w:rPr/>
        <w:t>心竞争力，改善用户体验，提升支付效率。</w:t>
      </w:r>
    </w:p>
    <w:p>
      <w:pPr>
        <w:pStyle w:val="BodyText"/>
        <w:spacing w:line="240" w:lineRule="auto" w:before="17"/>
        <w:ind w:left="1494" w:right="994"/>
        <w:jc w:val="left"/>
      </w:pPr>
      <w:r>
        <w:rPr/>
        <w:t>（</w:t>
      </w:r>
      <w:r>
        <w:rPr>
          <w:rFonts w:ascii="Times New Roman" w:hAnsi="Times New Roman" w:cs="Times New Roman" w:eastAsia="Times New Roman" w:hint="default"/>
        </w:rPr>
        <w:t>3</w:t>
      </w:r>
      <w:r>
        <w:rPr/>
        <w:t>）电子支付产业发展趋势</w:t>
      </w:r>
    </w:p>
    <w:p>
      <w:pPr>
        <w:pStyle w:val="BodyText"/>
        <w:spacing w:line="300" w:lineRule="auto" w:before="63"/>
        <w:ind w:left="1494" w:right="1169"/>
        <w:jc w:val="left"/>
      </w:pPr>
      <w:r>
        <w:rPr>
          <w:rFonts w:ascii="Times New Roman" w:hAnsi="Times New Roman" w:cs="Times New Roman" w:eastAsia="Times New Roman" w:hint="default"/>
        </w:rPr>
        <w:t>1</w:t>
      </w:r>
      <w:r>
        <w:rPr/>
        <w:t>）非现金交易高速增长，推进智能</w:t>
      </w:r>
      <w:r>
        <w:rPr>
          <w:rFonts w:ascii="Times New Roman" w:hAnsi="Times New Roman" w:cs="Times New Roman" w:eastAsia="Times New Roman" w:hint="default"/>
        </w:rPr>
        <w:t>POS</w:t>
      </w:r>
      <w:r>
        <w:rPr/>
        <w:t>技术发展 近年来，全球非现金支付取得高速发展。根据《</w:t>
      </w:r>
      <w:r>
        <w:rPr>
          <w:rFonts w:ascii="Times New Roman" w:hAnsi="Times New Roman" w:cs="Times New Roman" w:eastAsia="Times New Roman" w:hint="default"/>
        </w:rPr>
        <w:t>2017</w:t>
      </w:r>
      <w:r>
        <w:rPr/>
        <w:t>年全球支付报告》的预计，</w:t>
      </w:r>
      <w:r>
        <w:rPr>
          <w:rFonts w:ascii="Times New Roman" w:hAnsi="Times New Roman" w:cs="Times New Roman" w:eastAsia="Times New Roman" w:hint="default"/>
        </w:rPr>
        <w:t>2018-2020</w:t>
      </w:r>
      <w:r>
        <w:rPr/>
        <w:t>年全球非现金交易量平均每</w:t>
      </w:r>
    </w:p>
    <w:p>
      <w:pPr>
        <w:pStyle w:val="BodyText"/>
        <w:spacing w:line="300" w:lineRule="auto" w:before="13"/>
        <w:ind w:right="1130"/>
        <w:jc w:val="both"/>
      </w:pPr>
      <w:r>
        <w:rPr>
          <w:spacing w:val="-1"/>
        </w:rPr>
        <w:t>年增长</w:t>
      </w:r>
      <w:r>
        <w:rPr>
          <w:rFonts w:ascii="Times New Roman" w:hAnsi="Times New Roman" w:cs="Times New Roman" w:eastAsia="Times New Roman" w:hint="default"/>
          <w:spacing w:val="-1"/>
        </w:rPr>
        <w:t>12.2%</w:t>
      </w:r>
      <w:r>
        <w:rPr>
          <w:spacing w:val="-1"/>
        </w:rPr>
        <w:t>，</w:t>
      </w:r>
      <w:r>
        <w:rPr>
          <w:rFonts w:ascii="Times New Roman" w:hAnsi="Times New Roman" w:cs="Times New Roman" w:eastAsia="Times New Roman" w:hint="default"/>
          <w:spacing w:val="-1"/>
        </w:rPr>
        <w:t>2020</w:t>
      </w:r>
      <w:r>
        <w:rPr>
          <w:spacing w:val="-1"/>
        </w:rPr>
        <w:t>年将达到近</w:t>
      </w:r>
      <w:r>
        <w:rPr>
          <w:rFonts w:ascii="Times New Roman" w:hAnsi="Times New Roman" w:cs="Times New Roman" w:eastAsia="Times New Roman" w:hint="default"/>
          <w:spacing w:val="-1"/>
        </w:rPr>
        <w:t>7,260</w:t>
      </w:r>
      <w:r>
        <w:rPr>
          <w:spacing w:val="-1"/>
        </w:rPr>
        <w:t>亿笔。未来全球非现金交易的上升趋势主要由新兴市场引领，新兴市场的增幅将会达到</w:t>
      </w:r>
      <w:r>
        <w:rPr>
          <w:spacing w:val="-82"/>
        </w:rPr>
        <w:t> </w:t>
      </w:r>
      <w:r>
        <w:rPr>
          <w:spacing w:val="-82"/>
        </w:rPr>
      </w:r>
      <w:r>
        <w:rPr>
          <w:spacing w:val="-1"/>
        </w:rPr>
        <w:t>成熟经济体的三倍，以中国和印度为首的亚洲新兴市场的非现金交易量预计将增长高达</w:t>
      </w:r>
      <w:r>
        <w:rPr>
          <w:rFonts w:ascii="Times New Roman" w:hAnsi="Times New Roman" w:cs="Times New Roman" w:eastAsia="Times New Roman" w:hint="default"/>
          <w:spacing w:val="-1"/>
        </w:rPr>
        <w:t>30.9%</w:t>
      </w:r>
      <w:r>
        <w:rPr>
          <w:spacing w:val="-1"/>
        </w:rPr>
        <w:t>。据报告显示，未来亚洲新兴</w:t>
      </w:r>
      <w:r>
        <w:rPr>
          <w:spacing w:val="-45"/>
        </w:rPr>
        <w:t> </w:t>
      </w:r>
      <w:r>
        <w:rPr>
          <w:spacing w:val="-45"/>
        </w:rPr>
      </w:r>
      <w:r>
        <w:rPr>
          <w:spacing w:val="-1"/>
        </w:rPr>
        <w:t>市场非现金交易的高速增长源于</w:t>
      </w:r>
      <w:r>
        <w:rPr>
          <w:rFonts w:ascii="Times New Roman" w:hAnsi="Times New Roman" w:cs="Times New Roman" w:eastAsia="Times New Roman" w:hint="default"/>
          <w:spacing w:val="-1"/>
        </w:rPr>
        <w:t>“</w:t>
      </w:r>
      <w:r>
        <w:rPr>
          <w:spacing w:val="-1"/>
        </w:rPr>
        <w:t>手机支付及数字钱包的普及</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信用卡的使用量激增</w:t>
      </w:r>
      <w:r>
        <w:rPr>
          <w:rFonts w:ascii="Times New Roman" w:hAnsi="Times New Roman" w:cs="Times New Roman" w:eastAsia="Times New Roman" w:hint="default"/>
          <w:spacing w:val="-1"/>
        </w:rPr>
        <w:t>”</w:t>
      </w:r>
      <w:r>
        <w:rPr>
          <w:spacing w:val="-1"/>
        </w:rPr>
        <w:t>。同时美国波士顿咨询公司</w:t>
      </w:r>
      <w:r>
        <w:rPr>
          <w:rFonts w:ascii="Times New Roman" w:hAnsi="Times New Roman" w:cs="Times New Roman" w:eastAsia="Times New Roman" w:hint="default"/>
          <w:spacing w:val="-1"/>
        </w:rPr>
        <w:t>2018</w:t>
      </w:r>
      <w:r>
        <w:rPr>
          <w:spacing w:val="-1"/>
        </w:rPr>
        <w:t>年初</w:t>
      </w:r>
      <w:r>
        <w:rPr>
          <w:spacing w:val="-76"/>
        </w:rPr>
        <w:t> </w:t>
      </w:r>
      <w:r>
        <w:rPr>
          <w:spacing w:val="-2"/>
        </w:rPr>
        <w:t>发布的研究成果也认为，全球支付行业的发展在过去两年中已形成分水岭，预计到</w:t>
      </w:r>
      <w:r>
        <w:rPr>
          <w:rFonts w:ascii="Times New Roman" w:hAnsi="Times New Roman" w:cs="Times New Roman" w:eastAsia="Times New Roman" w:hint="default"/>
          <w:spacing w:val="-2"/>
        </w:rPr>
        <w:t>2020</w:t>
      </w:r>
      <w:r>
        <w:rPr>
          <w:spacing w:val="-2"/>
        </w:rPr>
        <w:t>年，以电子支付为代表的非现金支付</w:t>
      </w:r>
      <w:r>
        <w:rPr>
          <w:spacing w:val="-62"/>
        </w:rPr>
        <w:t> </w:t>
      </w:r>
      <w:r>
        <w:rPr>
          <w:spacing w:val="-62"/>
        </w:rPr>
      </w:r>
      <w:r>
        <w:rPr/>
        <w:t>方式将占全球交易总规模的</w:t>
      </w:r>
      <w:r>
        <w:rPr>
          <w:rFonts w:ascii="Times New Roman" w:hAnsi="Times New Roman" w:cs="Times New Roman" w:eastAsia="Times New Roman" w:hint="default"/>
        </w:rPr>
        <w:t>20%</w:t>
      </w:r>
      <w:r>
        <w:rPr/>
        <w:t>。</w:t>
      </w:r>
    </w:p>
    <w:p>
      <w:pPr>
        <w:pStyle w:val="BodyText"/>
        <w:spacing w:line="304" w:lineRule="auto" w:before="13"/>
        <w:ind w:right="1122" w:firstLine="360"/>
        <w:jc w:val="left"/>
      </w:pPr>
      <w:r>
        <w:rPr/>
        <w:t>与非现金交易息息相关的移动支付已广泛应用于线下各场景，市场参与者众多。移动支付的普及以及相关多样化</w:t>
      </w:r>
      <w:r>
        <w:rPr>
          <w:rFonts w:ascii="Times New Roman" w:hAnsi="Times New Roman" w:cs="Times New Roman" w:eastAsia="Times New Roman" w:hint="default"/>
        </w:rPr>
        <w:t>APP</w:t>
      </w:r>
      <w:r>
        <w:rPr>
          <w:rFonts w:ascii="Times New Roman" w:hAnsi="Times New Roman" w:cs="Times New Roman" w:eastAsia="Times New Roman" w:hint="default"/>
          <w:spacing w:val="-1"/>
          <w:w w:val="99"/>
        </w:rPr>
        <w:t> </w:t>
      </w:r>
      <w:r>
        <w:rPr/>
        <w:t>的应用对</w:t>
      </w:r>
      <w:r>
        <w:rPr>
          <w:rFonts w:ascii="Times New Roman" w:hAnsi="Times New Roman" w:cs="Times New Roman" w:eastAsia="Times New Roman" w:hint="default"/>
        </w:rPr>
        <w:t>POS</w:t>
      </w:r>
      <w:r>
        <w:rPr/>
        <w:t>终端提出了更高的要求，从而倒逼了智能</w:t>
      </w:r>
      <w:r>
        <w:rPr>
          <w:rFonts w:ascii="Times New Roman" w:hAnsi="Times New Roman" w:cs="Times New Roman" w:eastAsia="Times New Roman" w:hint="default"/>
        </w:rPr>
        <w:t>POS</w:t>
      </w:r>
      <w:r>
        <w:rPr/>
        <w:t>的发展。智能</w:t>
      </w:r>
      <w:r>
        <w:rPr>
          <w:rFonts w:ascii="Times New Roman" w:hAnsi="Times New Roman" w:cs="Times New Roman" w:eastAsia="Times New Roman" w:hint="default"/>
        </w:rPr>
        <w:t>POS</w:t>
      </w:r>
      <w:r>
        <w:rPr/>
        <w:t>是在传统</w:t>
      </w:r>
      <w:r>
        <w:rPr>
          <w:rFonts w:ascii="Times New Roman" w:hAnsi="Times New Roman" w:cs="Times New Roman" w:eastAsia="Times New Roman" w:hint="default"/>
        </w:rPr>
        <w:t>POS</w:t>
      </w:r>
      <w:r>
        <w:rPr/>
        <w:t>的基础上的升级换代，当原本仅 用于收单的传统</w:t>
      </w:r>
      <w:r>
        <w:rPr>
          <w:rFonts w:ascii="Times New Roman" w:hAnsi="Times New Roman" w:cs="Times New Roman" w:eastAsia="Times New Roman" w:hint="default"/>
        </w:rPr>
        <w:t>POS</w:t>
      </w:r>
      <w:r>
        <w:rPr/>
        <w:t>升级为智能</w:t>
      </w:r>
      <w:r>
        <w:rPr>
          <w:rFonts w:ascii="Times New Roman" w:hAnsi="Times New Roman" w:cs="Times New Roman" w:eastAsia="Times New Roman" w:hint="default"/>
        </w:rPr>
        <w:t>POS</w:t>
      </w:r>
      <w:r>
        <w:rPr/>
        <w:t>后，可同时满足银行卡账户与移动支付账户的支付需求。智能</w:t>
      </w:r>
      <w:r>
        <w:rPr>
          <w:rFonts w:ascii="Times New Roman" w:hAnsi="Times New Roman" w:cs="Times New Roman" w:eastAsia="Times New Roman" w:hint="default"/>
        </w:rPr>
        <w:t>POS</w:t>
      </w:r>
      <w:r>
        <w:rPr/>
        <w:t>丰富的线下布局，成 </w:t>
      </w:r>
      <w:r>
        <w:rPr>
          <w:spacing w:val="-2"/>
        </w:rPr>
        <w:t>为移动支付线下扩张中的良好助力，并为收单业务带来了新的机会，使收单业务与移动支付高度融合，并形成相互促进的态</w:t>
      </w:r>
      <w:r>
        <w:rPr>
          <w:spacing w:val="-66"/>
        </w:rPr>
        <w:t> </w:t>
      </w:r>
      <w:r>
        <w:rPr>
          <w:spacing w:val="-66"/>
        </w:rPr>
      </w:r>
      <w:r>
        <w:rPr/>
        <w:t>势。智能</w:t>
      </w:r>
      <w:r>
        <w:rPr>
          <w:rFonts w:ascii="Times New Roman" w:hAnsi="Times New Roman" w:cs="Times New Roman" w:eastAsia="Times New Roman" w:hint="default"/>
        </w:rPr>
        <w:t>POS</w:t>
      </w:r>
      <w:r>
        <w:rPr/>
        <w:t>在整合兼容各种支付方式之外，更将</w:t>
      </w:r>
      <w:r>
        <w:rPr>
          <w:rFonts w:ascii="Times New Roman" w:hAnsi="Times New Roman" w:cs="Times New Roman" w:eastAsia="Times New Roman" w:hint="default"/>
        </w:rPr>
        <w:t>POS</w:t>
      </w:r>
      <w:r>
        <w:rPr/>
        <w:t>机由一个简单的支付机具升级成为集</w:t>
      </w:r>
      <w:r>
        <w:rPr>
          <w:rFonts w:ascii="Times New Roman" w:hAnsi="Times New Roman" w:cs="Times New Roman" w:eastAsia="Times New Roman" w:hint="default"/>
        </w:rPr>
        <w:t>“</w:t>
      </w:r>
      <w:r>
        <w:rPr/>
        <w:t>支付入口</w:t>
      </w:r>
      <w:r>
        <w:rPr>
          <w:rFonts w:ascii="Times New Roman" w:hAnsi="Times New Roman" w:cs="Times New Roman" w:eastAsia="Times New Roman" w:hint="default"/>
        </w:rPr>
        <w:t>+</w:t>
      </w:r>
      <w:r>
        <w:rPr/>
        <w:t>数据中心</w:t>
      </w:r>
      <w:r>
        <w:rPr>
          <w:rFonts w:ascii="Times New Roman" w:hAnsi="Times New Roman" w:cs="Times New Roman" w:eastAsia="Times New Roman" w:hint="default"/>
        </w:rPr>
        <w:t>+</w:t>
      </w:r>
      <w:r>
        <w:rPr/>
        <w:t>营销管理 平台</w:t>
      </w:r>
      <w:r>
        <w:rPr>
          <w:rFonts w:ascii="Times New Roman" w:hAnsi="Times New Roman" w:cs="Times New Roman" w:eastAsia="Times New Roman" w:hint="default"/>
        </w:rPr>
        <w:t>+</w:t>
      </w:r>
      <w:r>
        <w:rPr/>
        <w:t>金融服务平台</w:t>
      </w:r>
      <w:r>
        <w:rPr>
          <w:rFonts w:ascii="Times New Roman" w:hAnsi="Times New Roman" w:cs="Times New Roman" w:eastAsia="Times New Roman" w:hint="default"/>
        </w:rPr>
        <w:t>”</w:t>
      </w:r>
      <w:r>
        <w:rPr/>
        <w:t>为一体的综合性管理平台，成为新的商业角色。</w:t>
      </w:r>
    </w:p>
    <w:p>
      <w:pPr>
        <w:pStyle w:val="BodyText"/>
        <w:spacing w:line="304" w:lineRule="auto" w:before="9"/>
        <w:ind w:right="1132" w:firstLine="360"/>
        <w:jc w:val="both"/>
      </w:pPr>
      <w:r>
        <w:rPr/>
        <w:t>在移动支付高速发展的同时，国内智能</w:t>
      </w:r>
      <w:r>
        <w:rPr>
          <w:rFonts w:ascii="Times New Roman" w:hAnsi="Times New Roman" w:cs="Times New Roman" w:eastAsia="Times New Roman" w:hint="default"/>
        </w:rPr>
        <w:t>POS</w:t>
      </w:r>
      <w:r>
        <w:rPr/>
        <w:t>机具行业技术日益完善，主流</w:t>
      </w:r>
      <w:r>
        <w:rPr>
          <w:rFonts w:ascii="Times New Roman" w:hAnsi="Times New Roman" w:cs="Times New Roman" w:eastAsia="Times New Roman" w:hint="default"/>
        </w:rPr>
        <w:t>POS</w:t>
      </w:r>
      <w:r>
        <w:rPr/>
        <w:t>生产厂商已具备量产智能</w:t>
      </w:r>
      <w:r>
        <w:rPr>
          <w:rFonts w:ascii="Times New Roman" w:hAnsi="Times New Roman" w:cs="Times New Roman" w:eastAsia="Times New Roman" w:hint="default"/>
        </w:rPr>
        <w:t>POS</w:t>
      </w:r>
      <w:r>
        <w:rPr/>
        <w:t>的能力，在 </w:t>
      </w:r>
      <w:r>
        <w:rPr>
          <w:spacing w:val="-1"/>
        </w:rPr>
        <w:t>技术和安全方面提供了支持和保障。目前市场上的智能</w:t>
      </w:r>
      <w:r>
        <w:rPr>
          <w:rFonts w:ascii="Times New Roman" w:hAnsi="Times New Roman" w:cs="Times New Roman" w:eastAsia="Times New Roman" w:hint="default"/>
          <w:spacing w:val="-1"/>
        </w:rPr>
        <w:t>POS</w:t>
      </w:r>
      <w:r>
        <w:rPr>
          <w:spacing w:val="-1"/>
        </w:rPr>
        <w:t>产品在硬件方面并无明显差异，产品倾于同质化，价格战较为激</w:t>
      </w:r>
      <w:r>
        <w:rPr/>
        <w:t> </w:t>
      </w:r>
      <w:r>
        <w:rPr>
          <w:spacing w:val="-2"/>
        </w:rPr>
        <w:t>烈。在此背景下，规模更大的厂商在资金投入、渠道维护、资质认证等方面都将相对具有优势。目前硬件厂商和支付服务机</w:t>
      </w:r>
      <w:r>
        <w:rPr>
          <w:spacing w:val="-66"/>
        </w:rPr>
        <w:t> </w:t>
      </w:r>
      <w:r>
        <w:rPr>
          <w:spacing w:val="-66"/>
        </w:rPr>
      </w:r>
      <w:r>
        <w:rPr>
          <w:spacing w:val="-1"/>
        </w:rPr>
        <w:t>构存在加速融合的趋势，生产智能</w:t>
      </w:r>
      <w:r>
        <w:rPr>
          <w:rFonts w:ascii="Times New Roman" w:hAnsi="Times New Roman" w:cs="Times New Roman" w:eastAsia="Times New Roman" w:hint="default"/>
          <w:spacing w:val="-1"/>
        </w:rPr>
        <w:t>POS</w:t>
      </w:r>
      <w:r>
        <w:rPr>
          <w:spacing w:val="-1"/>
        </w:rPr>
        <w:t>的制造商整合下游资源后拥有收单牌照，可以产生强大的协同效应，大幅提升行业竞</w:t>
      </w:r>
      <w:r>
        <w:rPr/>
        <w:t> 争力。</w:t>
      </w:r>
    </w:p>
    <w:p>
      <w:pPr>
        <w:pStyle w:val="BodyText"/>
        <w:spacing w:line="300" w:lineRule="auto" w:before="28"/>
        <w:ind w:left="1494" w:right="994"/>
        <w:jc w:val="left"/>
      </w:pPr>
      <w:r>
        <w:rPr>
          <w:rFonts w:ascii="Times New Roman" w:hAnsi="Times New Roman" w:cs="Times New Roman" w:eastAsia="Times New Roman" w:hint="default"/>
        </w:rPr>
        <w:t>2</w:t>
      </w:r>
      <w:r>
        <w:rPr/>
        <w:t>）条码支付业务规范实施，进一步强化支付风险控制 </w:t>
      </w:r>
      <w:r>
        <w:rPr>
          <w:spacing w:val="-2"/>
        </w:rPr>
        <w:t>根据央行发布的《条码支付业务规范（试行）》（银发【</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296</w:t>
      </w:r>
      <w:r>
        <w:rPr>
          <w:spacing w:val="-2"/>
        </w:rPr>
        <w:t>号），条码支付业务规范将于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日起实施，</w:t>
      </w:r>
    </w:p>
    <w:p>
      <w:pPr>
        <w:pStyle w:val="BodyText"/>
        <w:spacing w:line="316" w:lineRule="auto" w:before="13"/>
        <w:ind w:right="1033"/>
        <w:jc w:val="left"/>
      </w:pPr>
      <w:r>
        <w:rPr>
          <w:spacing w:val="-2"/>
        </w:rPr>
        <w:t>并要求在业务规范方面，银行业金融机构、非银行支付机构开展条码支付业务涉及跨行交易时，必须通过人民银行清算系统</w:t>
      </w:r>
      <w:r>
        <w:rPr>
          <w:spacing w:val="-66"/>
        </w:rPr>
        <w:t> </w:t>
      </w:r>
      <w:r>
        <w:rPr>
          <w:spacing w:val="-66"/>
        </w:rPr>
      </w:r>
      <w:r>
        <w:rPr>
          <w:spacing w:val="-2"/>
        </w:rPr>
        <w:t>或者合法清算机构处理，支付机构还应符合相应的业务资质要求。为特约商户提供条码支付收单服务的，应执行银行卡收单</w:t>
      </w:r>
      <w:r>
        <w:rPr>
          <w:spacing w:val="-66"/>
        </w:rPr>
        <w:t> </w:t>
      </w:r>
      <w:r>
        <w:rPr>
          <w:spacing w:val="-66"/>
        </w:rPr>
      </w:r>
      <w:r>
        <w:rPr>
          <w:spacing w:val="-2"/>
        </w:rPr>
        <w:t>业务管理相关要求，切实履行商户管理、交易风险监测等收单主体责任，强化对收单外包机构管理。为消费者提供条码支付</w:t>
      </w:r>
      <w:r>
        <w:rPr>
          <w:spacing w:val="-66"/>
        </w:rPr>
        <w:t> </w:t>
      </w:r>
      <w:r>
        <w:rPr>
          <w:spacing w:val="-66"/>
        </w:rPr>
      </w:r>
      <w:r>
        <w:rPr>
          <w:spacing w:val="-2"/>
        </w:rPr>
        <w:t>付款服务的，应当立足于小额、便民市场定位，按照风险防范能力等级，对条码支付额度进行分级管理，在风险防范和支付</w:t>
      </w:r>
      <w:r>
        <w:rPr>
          <w:spacing w:val="-66"/>
        </w:rPr>
        <w:t> </w:t>
      </w:r>
      <w:r>
        <w:rPr>
          <w:spacing w:val="-66"/>
        </w:rPr>
      </w:r>
      <w:r>
        <w:rPr>
          <w:spacing w:val="-2"/>
        </w:rPr>
        <w:t>便捷中取得有效平衡。在风险防范能力等级规定中，央行通过对静态条码限额等方式，引导用户更多使用安全等级更高的扫</w:t>
      </w:r>
      <w:r>
        <w:rPr>
          <w:spacing w:val="-66"/>
        </w:rPr>
        <w:t> </w:t>
      </w:r>
      <w:r>
        <w:rPr>
          <w:spacing w:val="-66"/>
        </w:rPr>
      </w:r>
      <w:r>
        <w:rPr>
          <w:spacing w:val="-2"/>
        </w:rPr>
        <w:t>码支付模式，很大程度上提高对用户的财产安全保护，从而推动了商家与支付机构签订条码支付受理协议，购买安全的支付</w:t>
      </w:r>
      <w:r>
        <w:rPr>
          <w:spacing w:val="-66"/>
        </w:rPr>
        <w:t> </w:t>
      </w:r>
      <w:r>
        <w:rPr>
          <w:spacing w:val="-66"/>
        </w:rPr>
      </w:r>
      <w:r>
        <w:rPr/>
        <w:t>机具，完善更加安全的支付场景。随着文件的正式实施，央行将加强对无证机构的治理，同时强调持证机构的业务规范性， 进一步提升支付行业集中度，有利于持牌且规范运作的支付机构。</w:t>
      </w:r>
    </w:p>
    <w:p>
      <w:pPr>
        <w:pStyle w:val="BodyText"/>
        <w:spacing w:line="300" w:lineRule="auto" w:before="19"/>
        <w:ind w:left="1494" w:right="994"/>
        <w:jc w:val="left"/>
      </w:pPr>
      <w:r>
        <w:rPr>
          <w:rFonts w:ascii="Times New Roman" w:hAnsi="Times New Roman" w:cs="Times New Roman" w:eastAsia="Times New Roman" w:hint="default"/>
        </w:rPr>
        <w:t>3</w:t>
      </w:r>
      <w:r>
        <w:rPr/>
        <w:t>）基础的支付服务上升到商户运营增值类服务 </w:t>
      </w:r>
      <w:r>
        <w:rPr>
          <w:spacing w:val="-2"/>
        </w:rPr>
        <w:t>消费者在日常生活的支付交易中会产生许多数据，这些数据可被商户合理利用于分析消费者行为，针对其消费特征和偏</w:t>
      </w:r>
    </w:p>
    <w:p>
      <w:pPr>
        <w:pStyle w:val="BodyText"/>
        <w:spacing w:line="309" w:lineRule="auto" w:before="31"/>
        <w:ind w:right="994"/>
        <w:jc w:val="left"/>
      </w:pPr>
      <w:r>
        <w:rPr>
          <w:spacing w:val="-3"/>
        </w:rPr>
        <w:t>好制定或改善营销策略，提高用户粘性或忠诚度，开发用户潜在消费需求，从而为商户产生更多利益。随着智能</w:t>
      </w:r>
      <w:r>
        <w:rPr>
          <w:rFonts w:ascii="Times New Roman" w:hAnsi="Times New Roman" w:cs="Times New Roman" w:eastAsia="Times New Roman" w:hint="default"/>
          <w:spacing w:val="-3"/>
        </w:rPr>
        <w:t>POS</w:t>
      </w:r>
      <w:r>
        <w:rPr>
          <w:spacing w:val="-3"/>
        </w:rPr>
        <w:t>的普及，</w:t>
      </w:r>
      <w:r>
        <w:rPr>
          <w:spacing w:val="-67"/>
        </w:rPr>
        <w:t> </w:t>
      </w:r>
      <w:r>
        <w:rPr>
          <w:spacing w:val="-67"/>
        </w:rPr>
      </w:r>
      <w:r>
        <w:rPr/>
        <w:t>加之其对大数据挖掘技术以及云计算技术的利用</w:t>
      </w:r>
      <w:r>
        <w:rPr>
          <w:spacing w:val="-18"/>
        </w:rPr>
        <w:t> </w:t>
      </w:r>
      <w:r>
        <w:rPr/>
        <w:t>，智能</w:t>
      </w:r>
      <w:r>
        <w:rPr>
          <w:rFonts w:ascii="Times New Roman" w:hAnsi="Times New Roman" w:cs="Times New Roman" w:eastAsia="Times New Roman" w:hint="default"/>
        </w:rPr>
        <w:t>POS</w:t>
      </w:r>
      <w:r>
        <w:rPr/>
        <w:t>能为商户实现商家与消费者的多种互动，例如卡券派发，会员 管理等更多更强大便捷的服务，给商户带来利润上的提升。自央行</w:t>
      </w:r>
      <w:r>
        <w:rPr>
          <w:rFonts w:ascii="Times New Roman" w:hAnsi="Times New Roman" w:cs="Times New Roman" w:eastAsia="Times New Roman" w:hint="default"/>
        </w:rPr>
        <w:t>“96</w:t>
      </w:r>
      <w:r>
        <w:rPr/>
        <w:t>费改</w:t>
      </w:r>
      <w:r>
        <w:rPr>
          <w:rFonts w:ascii="Times New Roman" w:hAnsi="Times New Roman" w:cs="Times New Roman" w:eastAsia="Times New Roman" w:hint="default"/>
        </w:rPr>
        <w:t>”</w:t>
      </w:r>
      <w:r>
        <w:rPr/>
        <w:t>实施后，支付公司从基础支付服务能够获得的收 </w:t>
      </w:r>
      <w:r>
        <w:rPr>
          <w:spacing w:val="-2"/>
        </w:rPr>
        <w:t>入减少，为了摆脱单一利润模式，第三方支付公司逐渐从仅提供基础支付服务的商业模式转型为提供更有竞争力的增值服务</w:t>
      </w:r>
      <w:r>
        <w:rPr>
          <w:spacing w:val="-64"/>
        </w:rPr>
        <w:t> </w:t>
      </w:r>
      <w:r>
        <w:rPr>
          <w:spacing w:val="-64"/>
        </w:rPr>
      </w:r>
      <w:r>
        <w:rPr>
          <w:spacing w:val="-2"/>
        </w:rPr>
        <w:t>模式；另一方面，移动支付市场的迅速发展带动了线下商户的支付需求，但银行及第三方支付等众多接口碎片化严重，商户</w:t>
      </w:r>
      <w:r>
        <w:rPr>
          <w:spacing w:val="-66"/>
        </w:rPr>
        <w:t> </w:t>
      </w:r>
      <w:r>
        <w:rPr>
          <w:spacing w:val="-66"/>
        </w:rPr>
      </w:r>
      <w:r>
        <w:rPr>
          <w:spacing w:val="-2"/>
        </w:rPr>
        <w:t>需要服务机构能够满足支付聚合、预订服务、管理会员管理、后台数据分析等多方面需求。因此第三方支付公司在未来将根</w:t>
      </w:r>
      <w:r>
        <w:rPr>
          <w:spacing w:val="-66"/>
        </w:rPr>
        <w:t> </w:t>
      </w:r>
      <w:r>
        <w:rPr>
          <w:spacing w:val="-66"/>
        </w:rPr>
      </w:r>
      <w:r>
        <w:rPr/>
        <w:t>据支付场景输出更多的行业解决方案及增值服务。</w:t>
      </w:r>
    </w:p>
    <w:p>
      <w:pPr>
        <w:pStyle w:val="BodyText"/>
        <w:spacing w:line="240" w:lineRule="auto" w:before="24"/>
        <w:ind w:left="1493" w:right="994"/>
        <w:jc w:val="left"/>
      </w:pPr>
      <w:r>
        <w:rPr>
          <w:rFonts w:ascii="Times New Roman" w:hAnsi="Times New Roman" w:cs="Times New Roman" w:eastAsia="Times New Roman" w:hint="default"/>
        </w:rPr>
        <w:t>4</w:t>
      </w:r>
      <w:r>
        <w:rPr/>
        <w:t>）支付公司齐聚海外支付市场，海外</w:t>
      </w:r>
      <w:r>
        <w:rPr>
          <w:rFonts w:ascii="Times New Roman" w:hAnsi="Times New Roman" w:cs="Times New Roman" w:eastAsia="Times New Roman" w:hint="default"/>
        </w:rPr>
        <w:t>POS</w:t>
      </w:r>
      <w:r>
        <w:rPr/>
        <w:t>市场仍保持增长态势</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4" w:lineRule="auto"/>
        <w:ind w:right="994" w:firstLine="360"/>
        <w:jc w:val="left"/>
      </w:pPr>
      <w:r>
        <w:rPr>
          <w:spacing w:val="-4"/>
        </w:rPr>
        <w:t>国内移动支付业务发展迅猛，中国已成为全球第一大移动支付市场，相对国内日趋饱和的市场，海外移动支付方兴未艾。</w:t>
      </w:r>
      <w:r>
        <w:rPr/>
        <w:t> </w:t>
      </w:r>
      <w:r>
        <w:rPr>
          <w:spacing w:val="-2"/>
        </w:rPr>
        <w:t>随着中国游客境外旅游的热潮，境外使用移动支付的需求同样高涨。国内第三方支付企业纷纷把目光投向费率高、不打价格</w:t>
      </w:r>
      <w:r>
        <w:rPr>
          <w:spacing w:val="-66"/>
        </w:rPr>
        <w:t> </w:t>
      </w:r>
      <w:r>
        <w:rPr>
          <w:spacing w:val="-66"/>
        </w:rPr>
      </w:r>
      <w:r>
        <w:rPr>
          <w:spacing w:val="-2"/>
        </w:rPr>
        <w:t>战的海外支付市场，开始向全球扩张。支付宝与微信支付在海外的支付战场已硝烟弥漫，巨头们纷纷抢占风口，布局境外消</w:t>
      </w:r>
      <w:r>
        <w:rPr>
          <w:spacing w:val="-66"/>
        </w:rPr>
        <w:t> </w:t>
      </w:r>
      <w:r>
        <w:rPr>
          <w:spacing w:val="-66"/>
        </w:rPr>
      </w:r>
      <w:r>
        <w:rPr>
          <w:spacing w:val="-2"/>
        </w:rPr>
        <w:t>费场景。与此同时，为了吸引中国消费者，全球各地的零售商也渴望接入支付宝、微信支付等中国移动支付服务。中国移动</w:t>
      </w:r>
      <w:r>
        <w:rPr>
          <w:spacing w:val="-66"/>
        </w:rPr>
        <w:t> </w:t>
      </w:r>
      <w:r>
        <w:rPr>
          <w:spacing w:val="-66"/>
        </w:rPr>
      </w:r>
      <w:r>
        <w:rPr>
          <w:spacing w:val="-2"/>
        </w:rPr>
        <w:t>支付业务的发展速度已经快于欧美等发达国家市场，使得第三方支付企业的出海充满想象空间。第三方支付公司的强烈出海</w:t>
      </w:r>
      <w:r>
        <w:rPr>
          <w:spacing w:val="-64"/>
        </w:rPr>
        <w:t> </w:t>
      </w:r>
      <w:r>
        <w:rPr>
          <w:spacing w:val="-64"/>
        </w:rPr>
      </w:r>
      <w:r>
        <w:rPr/>
        <w:t>意愿也带来了更为广阔的海外</w:t>
      </w:r>
      <w:r>
        <w:rPr>
          <w:rFonts w:ascii="Times New Roman" w:hAnsi="Times New Roman" w:cs="Times New Roman" w:eastAsia="Times New Roman" w:hint="default"/>
        </w:rPr>
        <w:t>POS</w:t>
      </w:r>
      <w:r>
        <w:rPr/>
        <w:t>市场，由于在海外销售</w:t>
      </w:r>
      <w:r>
        <w:rPr>
          <w:rFonts w:ascii="Times New Roman" w:hAnsi="Times New Roman" w:cs="Times New Roman" w:eastAsia="Times New Roman" w:hint="default"/>
        </w:rPr>
        <w:t>POS</w:t>
      </w:r>
      <w:r>
        <w:rPr/>
        <w:t>机具毛利润更高，国内大型的</w:t>
      </w:r>
      <w:r>
        <w:rPr>
          <w:rFonts w:ascii="Times New Roman" w:hAnsi="Times New Roman" w:cs="Times New Roman" w:eastAsia="Times New Roman" w:hint="default"/>
        </w:rPr>
        <w:t>POS</w:t>
      </w:r>
      <w:r>
        <w:rPr/>
        <w:t>机具生产厂商都积极拓展海 外市场，且都取得了不错的成绩。因此，未来几年海外</w:t>
      </w:r>
      <w:r>
        <w:rPr>
          <w:rFonts w:ascii="Times New Roman" w:hAnsi="Times New Roman" w:cs="Times New Roman" w:eastAsia="Times New Roman" w:hint="default"/>
        </w:rPr>
        <w:t>POS</w:t>
      </w:r>
      <w:r>
        <w:rPr/>
        <w:t>市场仍将会保持增长态势。</w:t>
      </w:r>
    </w:p>
    <w:p>
      <w:pPr>
        <w:pStyle w:val="BodyText"/>
        <w:spacing w:line="300" w:lineRule="auto" w:before="1"/>
        <w:ind w:left="1493" w:right="1033"/>
        <w:jc w:val="left"/>
      </w:pPr>
      <w:r>
        <w:rPr>
          <w:rFonts w:ascii="Times New Roman" w:hAnsi="Times New Roman" w:cs="Times New Roman" w:eastAsia="Times New Roman" w:hint="default"/>
        </w:rPr>
        <w:t>5</w:t>
      </w:r>
      <w:r>
        <w:rPr/>
        <w:t>）技术变革引领下一轮支付腾飞 中国无现金社会的推进过程中，离不开作为支付行业基础设施的移动设备、二维码技术、指纹识别技术与大数据技术。</w:t>
      </w:r>
    </w:p>
    <w:p>
      <w:pPr>
        <w:pStyle w:val="BodyText"/>
        <w:spacing w:line="316" w:lineRule="auto" w:before="31"/>
        <w:ind w:right="994"/>
        <w:jc w:val="left"/>
      </w:pPr>
      <w:r>
        <w:rPr>
          <w:spacing w:val="-2"/>
        </w:rPr>
        <w:t>移动设备的普及使得移动支付的渗透率更高，二维码和指纹识别技术给支付交易提供安全保障，大数据技术能通过分析用户</w:t>
      </w:r>
      <w:r>
        <w:rPr>
          <w:spacing w:val="-63"/>
        </w:rPr>
        <w:t> </w:t>
      </w:r>
      <w:r>
        <w:rPr>
          <w:spacing w:val="-63"/>
        </w:rPr>
      </w:r>
      <w:r>
        <w:rPr>
          <w:spacing w:val="-2"/>
        </w:rPr>
        <w:t>行为，从而提供满足用户需求的产品；此外，更多的支付相关技术也在持续研究发展中，生物识别能实现远程用户识别，使</w:t>
      </w:r>
      <w:r>
        <w:rPr>
          <w:spacing w:val="-66"/>
        </w:rPr>
        <w:t> </w:t>
      </w:r>
      <w:r>
        <w:rPr>
          <w:spacing w:val="-66"/>
        </w:rPr>
      </w:r>
      <w:r>
        <w:rPr>
          <w:spacing w:val="-4"/>
        </w:rPr>
        <w:t>移动支付突破空间限制，云计算与云存储能提高移动支付的支付交易及数据存取的效率，物联网及人工智能驱动结合的系统，</w:t>
      </w:r>
      <w:r>
        <w:rPr>
          <w:spacing w:val="-44"/>
        </w:rPr>
        <w:t> </w:t>
      </w:r>
      <w:r>
        <w:rPr>
          <w:spacing w:val="-44"/>
        </w:rPr>
      </w:r>
      <w:r>
        <w:rPr>
          <w:spacing w:val="-2"/>
        </w:rPr>
        <w:t>将集中在软件与服务上的升级，不仅对零售、金融等传统支付场景进行改造，未来还将诞生出应对汽车、医疗等全新的支付</w:t>
      </w:r>
      <w:r>
        <w:rPr>
          <w:spacing w:val="-66"/>
        </w:rPr>
        <w:t> </w:t>
      </w:r>
      <w:r>
        <w:rPr>
          <w:spacing w:val="-66"/>
        </w:rPr>
      </w:r>
      <w:r>
        <w:rPr>
          <w:spacing w:val="-2"/>
        </w:rPr>
        <w:t>场景，并且能更高效地完成用户识别和资金转移。物联网在提高支付便利的同时，还能够通过结合人工智能的深度学习，发</w:t>
      </w:r>
      <w:r>
        <w:rPr>
          <w:spacing w:val="-66"/>
        </w:rPr>
        <w:t> </w:t>
      </w:r>
      <w:r>
        <w:rPr>
          <w:spacing w:val="-66"/>
        </w:rPr>
      </w:r>
      <w:r>
        <w:rPr>
          <w:spacing w:val="-2"/>
        </w:rPr>
        <w:t>现支付规律并作出预判，从而提高风险评估和反欺诈能力。区块链技术的发展不仅让移动支付更加安全可信，更有希望提供</w:t>
      </w:r>
      <w:r>
        <w:rPr>
          <w:spacing w:val="-66"/>
        </w:rPr>
        <w:t> </w:t>
      </w:r>
      <w:r>
        <w:rPr>
          <w:spacing w:val="-66"/>
        </w:rPr>
      </w:r>
      <w:r>
        <w:rPr>
          <w:spacing w:val="-2"/>
        </w:rPr>
        <w:t>一个电子支付解决方案，从而解决在跨境支付场景中，由于不同国家之间政治及监管差异，而导致跨境支付成本高效率低的</w:t>
      </w:r>
      <w:r>
        <w:rPr>
          <w:spacing w:val="-66"/>
        </w:rPr>
        <w:t> </w:t>
      </w:r>
      <w:r>
        <w:rPr>
          <w:spacing w:val="-66"/>
        </w:rPr>
      </w:r>
      <w:r>
        <w:rPr/>
        <w:t>问题。这些新兴技术的突破将会推动无现金社会进入一个新的发展进程。</w:t>
      </w:r>
    </w:p>
    <w:p>
      <w:pPr>
        <w:pStyle w:val="BodyText"/>
        <w:spacing w:line="300" w:lineRule="auto" w:before="19"/>
        <w:ind w:left="1494" w:right="994"/>
        <w:jc w:val="left"/>
      </w:pPr>
      <w:r>
        <w:rPr/>
        <w:t>（</w:t>
      </w:r>
      <w:r>
        <w:rPr>
          <w:rFonts w:ascii="Times New Roman" w:hAnsi="Times New Roman" w:cs="Times New Roman" w:eastAsia="Times New Roman" w:hint="default"/>
        </w:rPr>
        <w:t>4</w:t>
      </w:r>
      <w:r>
        <w:rPr/>
        <w:t>）竞争对手情况 </w:t>
      </w:r>
      <w:r>
        <w:rPr>
          <w:spacing w:val="-2"/>
        </w:rPr>
        <w:t>在过去十年里，国内金融</w:t>
      </w:r>
      <w:r>
        <w:rPr>
          <w:rFonts w:ascii="Times New Roman" w:hAnsi="Times New Roman" w:cs="Times New Roman" w:eastAsia="Times New Roman" w:hint="default"/>
          <w:spacing w:val="-2"/>
        </w:rPr>
        <w:t>POS</w:t>
      </w:r>
      <w:r>
        <w:rPr>
          <w:spacing w:val="-2"/>
        </w:rPr>
        <w:t>细分行业市场竞争格局相对稳定，能与公司形成有效市场竞争的电子支付受理终端设备的</w:t>
      </w:r>
    </w:p>
    <w:p>
      <w:pPr>
        <w:pStyle w:val="BodyText"/>
        <w:spacing w:line="304" w:lineRule="auto" w:before="13"/>
        <w:ind w:right="1079"/>
        <w:jc w:val="both"/>
      </w:pPr>
      <w:r>
        <w:rPr/>
        <w:t>主要品牌有百富、联迪、惠尔丰、新大陆等。</w:t>
      </w:r>
      <w:r>
        <w:rPr>
          <w:rFonts w:ascii="Times New Roman" w:hAnsi="Times New Roman" w:cs="Times New Roman" w:eastAsia="Times New Roman" w:hint="default"/>
        </w:rPr>
        <w:t>2017</w:t>
      </w:r>
      <w:r>
        <w:rPr/>
        <w:t>年国内市场各大</w:t>
      </w:r>
      <w:r>
        <w:rPr>
          <w:rFonts w:ascii="Times New Roman" w:hAnsi="Times New Roman" w:cs="Times New Roman" w:eastAsia="Times New Roman" w:hint="default"/>
        </w:rPr>
        <w:t>POS</w:t>
      </w:r>
      <w:r>
        <w:rPr/>
        <w:t>厂商竞争态势依然激烈且</w:t>
      </w:r>
      <w:r>
        <w:rPr>
          <w:rFonts w:ascii="Times New Roman" w:hAnsi="Times New Roman" w:cs="Times New Roman" w:eastAsia="Times New Roman" w:hint="default"/>
        </w:rPr>
        <w:t>POS</w:t>
      </w:r>
      <w:r>
        <w:rPr/>
        <w:t>机具及相关副产品毛利 </w:t>
      </w:r>
      <w:r>
        <w:rPr>
          <w:spacing w:val="-2"/>
        </w:rPr>
        <w:t>逐年下降，在国家</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的发展战略号召背景下，各大厂商逐渐把销售增长重点转向海外市场，据</w:t>
      </w:r>
      <w:r>
        <w:rPr>
          <w:rFonts w:ascii="Times New Roman" w:hAnsi="Times New Roman" w:cs="Times New Roman" w:eastAsia="Times New Roman" w:hint="default"/>
          <w:spacing w:val="-2"/>
        </w:rPr>
        <w:t>2016</w:t>
      </w:r>
      <w:r>
        <w:rPr>
          <w:spacing w:val="-2"/>
        </w:rPr>
        <w:t>年尼尔森报告统</w:t>
      </w:r>
      <w:r>
        <w:rPr>
          <w:spacing w:val="-39"/>
        </w:rPr>
        <w:t> </w:t>
      </w:r>
      <w:r>
        <w:rPr/>
        <w:t>计，新国都、惠尔丰、新大陆都继续保持在海外市场</w:t>
      </w:r>
      <w:r>
        <w:rPr>
          <w:rFonts w:ascii="Times New Roman" w:hAnsi="Times New Roman" w:cs="Times New Roman" w:eastAsia="Times New Roman" w:hint="default"/>
        </w:rPr>
        <w:t>POS</w:t>
      </w:r>
      <w:r>
        <w:rPr/>
        <w:t>出货量的排名中靠前的位置。随着移动支付不断向线下市场渗透， 过去以</w:t>
      </w:r>
      <w:r>
        <w:rPr>
          <w:rFonts w:ascii="Times New Roman" w:hAnsi="Times New Roman" w:cs="Times New Roman" w:eastAsia="Times New Roman" w:hint="default"/>
        </w:rPr>
        <w:t>POS</w:t>
      </w:r>
      <w:r>
        <w:rPr/>
        <w:t>刷卡为主的线下支付市场在近两年逐渐变得支付方式多样化，线下电子支付市场不再只被</w:t>
      </w:r>
      <w:r>
        <w:rPr>
          <w:rFonts w:ascii="Times New Roman" w:hAnsi="Times New Roman" w:cs="Times New Roman" w:eastAsia="Times New Roman" w:hint="default"/>
        </w:rPr>
        <w:t>POS</w:t>
      </w:r>
      <w:r>
        <w:rPr/>
        <w:t>机刷实体卡这一种 </w:t>
      </w:r>
      <w:r>
        <w:rPr>
          <w:spacing w:val="-2"/>
        </w:rPr>
        <w:t>方式垄断，近几年移动支付处理的交易笔数和交易量更是以较快的速度保持增长，就目前的发展态势来看，我们认为未来移</w:t>
      </w:r>
      <w:r>
        <w:rPr>
          <w:spacing w:val="-66"/>
        </w:rPr>
        <w:t> </w:t>
      </w:r>
      <w:r>
        <w:rPr>
          <w:spacing w:val="-66"/>
        </w:rPr>
      </w:r>
      <w:r>
        <w:rPr/>
        <w:t>动支付会成为线下高频小额消费的主要支付方式，同时由于</w:t>
      </w:r>
      <w:r>
        <w:rPr>
          <w:rFonts w:ascii="Times New Roman" w:hAnsi="Times New Roman" w:cs="Times New Roman" w:eastAsia="Times New Roman" w:hint="default"/>
        </w:rPr>
        <w:t>POS</w:t>
      </w:r>
      <w:r>
        <w:rPr/>
        <w:t>机具功能的提升以及支付行业监管新规的出台，金融</w:t>
      </w:r>
      <w:r>
        <w:rPr>
          <w:rFonts w:ascii="Times New Roman" w:hAnsi="Times New Roman" w:cs="Times New Roman" w:eastAsia="Times New Roman" w:hint="default"/>
        </w:rPr>
        <w:t>POS</w:t>
      </w:r>
      <w:r>
        <w:rPr/>
        <w:t>受 </w:t>
      </w:r>
      <w:r>
        <w:rPr>
          <w:spacing w:val="-2"/>
        </w:rPr>
        <w:t>理终端将在线下移动支付消费场景中扮演更加重要的角色。另外，移动支付的普及对支付工具产生新的需求，对电子支付技</w:t>
      </w:r>
      <w:r>
        <w:rPr>
          <w:spacing w:val="-66"/>
        </w:rPr>
        <w:t> </w:t>
      </w:r>
      <w:r>
        <w:rPr>
          <w:spacing w:val="-66"/>
        </w:rPr>
      </w:r>
      <w:r>
        <w:rPr/>
        <w:t>术和服务厂商带来新的服务客户，电子支付技术服务厂商与支付机构的合作越来越多。</w:t>
      </w:r>
    </w:p>
    <w:p>
      <w:pPr>
        <w:pStyle w:val="BodyText"/>
        <w:spacing w:line="316" w:lineRule="auto" w:before="28"/>
        <w:ind w:right="994" w:firstLine="360"/>
        <w:jc w:val="left"/>
      </w:pPr>
      <w:r>
        <w:rPr>
          <w:spacing w:val="-2"/>
        </w:rPr>
        <w:t>随着电子支付行业不断创新演变，电子支付产业链上下游以及相关行业、技术整合趋势加强。新大陆收购国通星驿来切</w:t>
      </w:r>
      <w:r>
        <w:rPr/>
        <w:t> </w:t>
      </w:r>
      <w:r>
        <w:rPr>
          <w:spacing w:val="-2"/>
        </w:rPr>
        <w:t>入进第三方支付收单市场，使其打通了支付产业链，并且享受了第三方支付市场发展带来的红利，从而提升其整体盈利能力</w:t>
      </w:r>
      <w:r>
        <w:rPr>
          <w:spacing w:val="-66"/>
        </w:rPr>
        <w:t> </w:t>
      </w:r>
      <w:r>
        <w:rPr>
          <w:spacing w:val="-66"/>
        </w:rPr>
      </w:r>
      <w:r>
        <w:rPr>
          <w:spacing w:val="-2"/>
        </w:rPr>
        <w:t>和业务持续性。电子支付是一个充满活力的行业，新技术、新产品的研发和创新、服务模式的革新，都将在主流设备厂商之</w:t>
      </w:r>
      <w:r>
        <w:rPr>
          <w:spacing w:val="-66"/>
        </w:rPr>
        <w:t> </w:t>
      </w:r>
      <w:r>
        <w:rPr>
          <w:spacing w:val="-66"/>
        </w:rPr>
      </w:r>
      <w:r>
        <w:rPr>
          <w:spacing w:val="-4"/>
        </w:rPr>
        <w:t>间掀起新一轮的变革。由此可见，电子支付行业主要参与者可以通过不断的整合并购来加强自身的实力、提高抗风险的能力。</w:t>
      </w:r>
      <w:r>
        <w:rPr>
          <w:spacing w:val="-44"/>
        </w:rPr>
        <w:t> </w:t>
      </w:r>
      <w:r>
        <w:rPr>
          <w:spacing w:val="-44"/>
        </w:rPr>
      </w:r>
      <w:r>
        <w:rPr>
          <w:rFonts w:ascii="Times New Roman" w:hAnsi="Times New Roman" w:cs="Times New Roman" w:eastAsia="Times New Roman" w:hint="default"/>
        </w:rPr>
        <w:t>2017</w:t>
      </w:r>
      <w:r>
        <w:rPr/>
        <w:t>年公司对第三方收单公司嘉联支付进行了收购，希望通过整合产业链更好地享受支付行业革新发展的红利。</w:t>
      </w:r>
    </w:p>
    <w:p>
      <w:pPr>
        <w:pStyle w:val="BodyText"/>
        <w:spacing w:line="304" w:lineRule="auto" w:before="0"/>
        <w:ind w:right="994" w:firstLine="360"/>
        <w:jc w:val="left"/>
      </w:pPr>
      <w:r>
        <w:rPr/>
        <w:t>至于</w:t>
      </w:r>
      <w:r>
        <w:rPr>
          <w:rFonts w:ascii="Times New Roman" w:hAnsi="Times New Roman" w:cs="Times New Roman" w:eastAsia="Times New Roman" w:hint="default"/>
        </w:rPr>
        <w:t>POS</w:t>
      </w:r>
      <w:r>
        <w:rPr/>
        <w:t>海外市场竞争格局，目前惠尔丰、安智世界两大</w:t>
      </w:r>
      <w:r>
        <w:rPr>
          <w:rFonts w:ascii="Times New Roman" w:hAnsi="Times New Roman" w:cs="Times New Roman" w:eastAsia="Times New Roman" w:hint="default"/>
        </w:rPr>
        <w:t>POS</w:t>
      </w:r>
      <w:r>
        <w:rPr/>
        <w:t>生产商巨头仍然占据绝对优势。由于其占据进入海外市场 之先机，且在</w:t>
      </w:r>
      <w:r>
        <w:rPr>
          <w:rFonts w:ascii="Times New Roman" w:hAnsi="Times New Roman" w:cs="Times New Roman" w:eastAsia="Times New Roman" w:hint="default"/>
        </w:rPr>
        <w:t>POS</w:t>
      </w:r>
      <w:r>
        <w:rPr/>
        <w:t>机产品之基础上叠加软件服务，以及为客户定制开发运行</w:t>
      </w:r>
      <w:r>
        <w:rPr>
          <w:rFonts w:ascii="Times New Roman" w:hAnsi="Times New Roman" w:cs="Times New Roman" w:eastAsia="Times New Roman" w:hint="default"/>
        </w:rPr>
        <w:t>POS</w:t>
      </w:r>
      <w:r>
        <w:rPr/>
        <w:t>、处理支付交易等一系列系统开发服务，不 </w:t>
      </w:r>
      <w:r>
        <w:rPr>
          <w:spacing w:val="-2"/>
        </w:rPr>
        <w:t>断增强其与客户之间的粘性，从而牢牢巩固其在海外市场的地位。对海外其他国家的市场以及商业文化的不了解，以及海外</w:t>
      </w:r>
      <w:r>
        <w:rPr>
          <w:spacing w:val="-65"/>
        </w:rPr>
        <w:t> </w:t>
      </w:r>
      <w:r>
        <w:rPr>
          <w:spacing w:val="-65"/>
        </w:rPr>
      </w:r>
      <w:r>
        <w:rPr/>
        <w:t>客户对国内厂商的认知不足，成为了国内</w:t>
      </w:r>
      <w:r>
        <w:rPr>
          <w:rFonts w:ascii="Times New Roman" w:hAnsi="Times New Roman" w:cs="Times New Roman" w:eastAsia="Times New Roman" w:hint="default"/>
        </w:rPr>
        <w:t>POS</w:t>
      </w:r>
      <w:r>
        <w:rPr/>
        <w:t>厂商开拓海外市场的障碍。继</w:t>
      </w:r>
      <w:r>
        <w:rPr>
          <w:rFonts w:ascii="Times New Roman" w:hAnsi="Times New Roman" w:cs="Times New Roman" w:eastAsia="Times New Roman" w:hint="default"/>
        </w:rPr>
        <w:t>2014</w:t>
      </w:r>
      <w:r>
        <w:rPr/>
        <w:t>年新国都海外市场订单取得突破后，</w:t>
      </w:r>
      <w:r>
        <w:rPr>
          <w:rFonts w:ascii="Times New Roman" w:hAnsi="Times New Roman" w:cs="Times New Roman" w:eastAsia="Times New Roman" w:hint="default"/>
        </w:rPr>
        <w:t>2015 </w:t>
      </w:r>
      <w:r>
        <w:rPr>
          <w:spacing w:val="-3"/>
        </w:rPr>
        <w:t>年新国都收购美国</w:t>
      </w:r>
      <w:r>
        <w:rPr>
          <w:rFonts w:ascii="Times New Roman" w:hAnsi="Times New Roman" w:cs="Times New Roman" w:eastAsia="Times New Roman" w:hint="default"/>
          <w:spacing w:val="-3"/>
        </w:rPr>
        <w:t>ExaDigm</w:t>
      </w:r>
      <w:r>
        <w:rPr>
          <w:spacing w:val="-3"/>
        </w:rPr>
        <w:t>，进一步加强海外市场的战略布局，而新国都完整的电子支付产业链布局和中国制造的成本优势，</w:t>
      </w:r>
      <w:r>
        <w:rPr>
          <w:spacing w:val="-59"/>
        </w:rPr>
        <w:t> </w:t>
      </w:r>
      <w:r>
        <w:rPr>
          <w:spacing w:val="-59"/>
        </w:rPr>
      </w:r>
      <w:r>
        <w:rPr/>
        <w:t>将成为其在国际市场上的综合竞争力。</w:t>
      </w:r>
    </w:p>
    <w:p>
      <w:pPr>
        <w:pStyle w:val="BodyText"/>
        <w:spacing w:line="309" w:lineRule="auto" w:before="28"/>
        <w:ind w:right="1132" w:firstLine="360"/>
        <w:jc w:val="both"/>
      </w:pPr>
      <w:r>
        <w:rPr>
          <w:spacing w:val="-1"/>
        </w:rPr>
        <w:t>终上所述，国内电子支付服务行业正面对机会和挑战共存的局面，无论是对于传统的</w:t>
      </w:r>
      <w:r>
        <w:rPr>
          <w:rFonts w:ascii="Times New Roman" w:hAnsi="Times New Roman" w:cs="Times New Roman" w:eastAsia="Times New Roman" w:hint="default"/>
          <w:spacing w:val="-1"/>
        </w:rPr>
        <w:t>POS</w:t>
      </w:r>
      <w:r>
        <w:rPr>
          <w:spacing w:val="-1"/>
        </w:rPr>
        <w:t>终端设备生产厂商，还是对于</w:t>
      </w:r>
      <w:r>
        <w:rPr/>
        <w:t> </w:t>
      </w:r>
      <w:r>
        <w:rPr>
          <w:spacing w:val="-2"/>
        </w:rPr>
        <w:t>代表新型支付技术与设备的互联网移动支付参与者，如何把握住市场的变化，抓住未来市场发展的主流趋势，是所有市场参</w:t>
      </w:r>
      <w:r>
        <w:rPr>
          <w:spacing w:val="-66"/>
        </w:rPr>
        <w:t> </w:t>
      </w:r>
      <w:r>
        <w:rPr>
          <w:spacing w:val="-66"/>
        </w:rPr>
      </w:r>
      <w:r>
        <w:rPr/>
        <w:t>与者共同面对的挑战与机会。</w:t>
      </w:r>
    </w:p>
    <w:p>
      <w:pPr>
        <w:pStyle w:val="BodyText"/>
        <w:spacing w:line="240" w:lineRule="auto" w:before="24"/>
        <w:ind w:left="1494" w:right="994"/>
        <w:jc w:val="left"/>
      </w:pPr>
      <w:r>
        <w:rPr>
          <w:rFonts w:ascii="Times New Roman" w:hAnsi="Times New Roman" w:cs="Times New Roman" w:eastAsia="Times New Roman" w:hint="default"/>
        </w:rPr>
        <w:t>2</w:t>
      </w:r>
      <w:r>
        <w:rPr/>
        <w:t>、公司的主要优势与困难</w:t>
      </w:r>
    </w:p>
    <w:p>
      <w:pPr>
        <w:pStyle w:val="BodyText"/>
        <w:spacing w:line="300" w:lineRule="auto" w:before="63"/>
        <w:ind w:left="1494" w:right="994"/>
        <w:jc w:val="left"/>
      </w:pPr>
      <w:r>
        <w:rPr/>
        <w:t>（</w:t>
      </w:r>
      <w:r>
        <w:rPr>
          <w:rFonts w:ascii="Times New Roman" w:hAnsi="Times New Roman" w:cs="Times New Roman" w:eastAsia="Times New Roman" w:hint="default"/>
        </w:rPr>
        <w:t>1</w:t>
      </w:r>
      <w:r>
        <w:rPr/>
        <w:t>）公司的主要优势 </w:t>
      </w:r>
      <w:r>
        <w:rPr>
          <w:spacing w:val="-2"/>
        </w:rPr>
        <w:t>在移动互联网、物联网、人工智能、生物识别等新兴技术应用发展浪潮中，电子支付行业已发生了巨大的变化并且该变</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ind w:left="1493" w:right="1213" w:hanging="360"/>
        <w:jc w:val="left"/>
      </w:pPr>
      <w:r>
        <w:rPr/>
        <w:t>化还在继续演变，充满不确定性，在这种情况背景下，新国都的主要竞争优势体现在以下几个方面： </w:t>
      </w:r>
      <w:r>
        <w:rPr>
          <w:rFonts w:ascii="Times New Roman" w:hAnsi="Times New Roman" w:cs="Times New Roman" w:eastAsia="Times New Roman" w:hint="default"/>
        </w:rPr>
        <w:t>1</w:t>
      </w:r>
      <w:r>
        <w:rPr/>
        <w:t>）核心业务布局优势 公司自</w:t>
      </w:r>
      <w:r>
        <w:rPr>
          <w:rFonts w:ascii="Times New Roman" w:hAnsi="Times New Roman" w:cs="Times New Roman" w:eastAsia="Times New Roman" w:hint="default"/>
        </w:rPr>
        <w:t>2001</w:t>
      </w:r>
      <w:r>
        <w:rPr/>
        <w:t>年成立起即专注于电子支付领域，拥有专业的电子支付技术综合解决方案提供能力。新国都传统优势领域</w:t>
      </w:r>
    </w:p>
    <w:p>
      <w:pPr>
        <w:pStyle w:val="BodyText"/>
        <w:spacing w:line="304" w:lineRule="auto" w:before="5"/>
        <w:ind w:right="1033"/>
        <w:jc w:val="left"/>
      </w:pPr>
      <w:r>
        <w:rPr>
          <w:rFonts w:ascii="Times New Roman" w:hAnsi="Times New Roman" w:cs="Times New Roman" w:eastAsia="Times New Roman" w:hint="default"/>
          <w:spacing w:val="-2"/>
        </w:rPr>
        <w:t>——</w:t>
      </w:r>
      <w:r>
        <w:rPr>
          <w:spacing w:val="-2"/>
        </w:rPr>
        <w:t>电子支付作为移动互联网和智能化时代下，经济活动中的核心环节，在经济活动和商业生态圈里开始扮演越来越重要的</w:t>
      </w:r>
      <w:r>
        <w:rPr>
          <w:spacing w:val="-64"/>
        </w:rPr>
        <w:t> </w:t>
      </w:r>
      <w:r>
        <w:rPr>
          <w:spacing w:val="-64"/>
        </w:rPr>
      </w:r>
      <w:r>
        <w:rPr/>
        <w:t>角色，它将成为线上线下结合的商业模式中核心的一环，电子支付受理终端设备日益成为抢占新商业机会的重要运营端口。 新国都专注于电子支付领域十几年，积累了非常丰富的行业经验和商业资源，新国都将借助自身多年积累的行业经验和</w:t>
      </w:r>
      <w:r>
        <w:rPr>
          <w:rFonts w:ascii="Times New Roman" w:hAnsi="Times New Roman" w:cs="Times New Roman" w:eastAsia="Times New Roman" w:hint="default"/>
        </w:rPr>
        <w:t>IT </w:t>
      </w:r>
      <w:r>
        <w:rPr>
          <w:spacing w:val="-3"/>
        </w:rPr>
        <w:t>软硬件综合能力，基于金融</w:t>
      </w:r>
      <w:r>
        <w:rPr>
          <w:rFonts w:ascii="Times New Roman" w:hAnsi="Times New Roman" w:cs="Times New Roman" w:eastAsia="Times New Roman" w:hint="default"/>
          <w:spacing w:val="-3"/>
        </w:rPr>
        <w:t>POS</w:t>
      </w:r>
      <w:r>
        <w:rPr>
          <w:spacing w:val="-3"/>
        </w:rPr>
        <w:t>机的线上线下支付入口优势，增强数据分析处理能力和应用服务，整合产业上下游核心资源，</w:t>
      </w:r>
      <w:r>
        <w:rPr>
          <w:spacing w:val="-70"/>
        </w:rPr>
        <w:t> </w:t>
      </w:r>
      <w:r>
        <w:rPr>
          <w:spacing w:val="-70"/>
        </w:rPr>
      </w:r>
      <w:r>
        <w:rPr/>
        <w:t>使公司获得持续、稳健的盈利能力。</w:t>
      </w:r>
    </w:p>
    <w:p>
      <w:pPr>
        <w:pStyle w:val="BodyText"/>
        <w:spacing w:line="300" w:lineRule="auto" w:before="28"/>
        <w:ind w:left="1494" w:right="994"/>
        <w:jc w:val="left"/>
      </w:pPr>
      <w:r>
        <w:rPr>
          <w:rFonts w:ascii="Times New Roman" w:hAnsi="Times New Roman" w:cs="Times New Roman" w:eastAsia="Times New Roman" w:hint="default"/>
        </w:rPr>
        <w:t>2</w:t>
      </w:r>
      <w:r>
        <w:rPr/>
        <w:t>）供应链管理体系和产业资源优势 </w:t>
      </w:r>
      <w:r>
        <w:rPr>
          <w:spacing w:val="-2"/>
        </w:rPr>
        <w:t>公司拥有完善的产品研发体系、市场营销体系、生产制造体系、质量管控体系、人力资源体系，有利于整合各个业务链</w:t>
      </w:r>
    </w:p>
    <w:p>
      <w:pPr>
        <w:pStyle w:val="BodyText"/>
        <w:spacing w:line="240" w:lineRule="auto" w:before="31"/>
        <w:ind w:left="1134" w:right="994"/>
        <w:jc w:val="left"/>
      </w:pPr>
      <w:r>
        <w:rPr/>
        <w:t>之资源，实现核心资源的优化配置，控制生产成本和产品质量的同时进行产品和商业模式创新。</w:t>
      </w:r>
    </w:p>
    <w:p>
      <w:pPr>
        <w:pStyle w:val="BodyText"/>
        <w:spacing w:line="300" w:lineRule="auto" w:before="76"/>
        <w:ind w:left="1494" w:right="994"/>
        <w:jc w:val="left"/>
      </w:pPr>
      <w:r>
        <w:rPr>
          <w:rFonts w:ascii="Times New Roman" w:hAnsi="Times New Roman" w:cs="Times New Roman" w:eastAsia="Times New Roman" w:hint="default"/>
        </w:rPr>
        <w:t>3</w:t>
      </w:r>
      <w:r>
        <w:rPr/>
        <w:t>）产品和服务的质量优势 </w:t>
      </w:r>
      <w:r>
        <w:rPr>
          <w:spacing w:val="-2"/>
        </w:rPr>
        <w:t>自公司成立以来，对产品质量精益求精，以打造低成本、高质量、快速响应的供应链管理体系为核心价值，公司一方面</w:t>
      </w:r>
    </w:p>
    <w:p>
      <w:pPr>
        <w:pStyle w:val="BodyText"/>
        <w:spacing w:line="316" w:lineRule="auto" w:before="31"/>
        <w:ind w:left="1134" w:right="994"/>
        <w:jc w:val="left"/>
      </w:pPr>
      <w:r>
        <w:rPr>
          <w:spacing w:val="-4"/>
        </w:rPr>
        <w:t>通过生产效率提升、生产直通率提升、工艺优化等活动与项目，在保障产品高效安全的前提下，进一步提升整体工效与品质；</w:t>
      </w:r>
      <w:r>
        <w:rPr>
          <w:spacing w:val="-46"/>
        </w:rPr>
        <w:t> </w:t>
      </w:r>
      <w:r>
        <w:rPr>
          <w:spacing w:val="-46"/>
        </w:rPr>
      </w:r>
      <w:r>
        <w:rPr/>
        <w:t>另一方面，通过不断推动研发创新，持续优化产品成本，确保产品开发能够如期高质量的实现交付。</w:t>
      </w:r>
    </w:p>
    <w:p>
      <w:pPr>
        <w:pStyle w:val="BodyText"/>
        <w:spacing w:line="300" w:lineRule="auto" w:before="19"/>
        <w:ind w:left="1493" w:right="994"/>
        <w:jc w:val="left"/>
      </w:pPr>
      <w:r>
        <w:rPr>
          <w:rFonts w:ascii="Times New Roman" w:hAnsi="Times New Roman" w:cs="Times New Roman" w:eastAsia="Times New Roman" w:hint="default"/>
        </w:rPr>
        <w:t>4</w:t>
      </w:r>
      <w:r>
        <w:rPr/>
        <w:t>）管理优势 </w:t>
      </w:r>
      <w:r>
        <w:rPr>
          <w:spacing w:val="-4"/>
        </w:rPr>
        <w:t>公司在自身管理能力建设方面取得了长足的进展，主要体现在战略梳理、业绩与考核、预算管理、经营计划拆解与落实、</w:t>
      </w:r>
    </w:p>
    <w:p>
      <w:pPr>
        <w:pStyle w:val="BodyText"/>
        <w:spacing w:line="316" w:lineRule="auto" w:before="31"/>
        <w:ind w:right="994"/>
        <w:jc w:val="left"/>
      </w:pPr>
      <w:r>
        <w:rPr>
          <w:spacing w:val="-2"/>
        </w:rPr>
        <w:t>流程化管理、信息化管理、精细化管理等方面，公司已经初步具备了对外输出管理的能力。管理能力的提升和公司制度的优</w:t>
      </w:r>
      <w:r>
        <w:rPr>
          <w:spacing w:val="-66"/>
        </w:rPr>
        <w:t> </w:t>
      </w:r>
      <w:r>
        <w:rPr>
          <w:spacing w:val="-66"/>
        </w:rPr>
      </w:r>
      <w:r>
        <w:rPr/>
        <w:t>化也保障了公司主营业务的稳健增长，以及外延式扩张的稳步推进。</w:t>
      </w:r>
    </w:p>
    <w:p>
      <w:pPr>
        <w:pStyle w:val="BodyText"/>
        <w:spacing w:line="300" w:lineRule="auto" w:before="19"/>
        <w:ind w:left="1494" w:right="994"/>
        <w:jc w:val="left"/>
      </w:pPr>
      <w:r>
        <w:rPr>
          <w:rFonts w:ascii="Times New Roman" w:hAnsi="Times New Roman" w:cs="Times New Roman" w:eastAsia="Times New Roman" w:hint="default"/>
        </w:rPr>
        <w:t>5</w:t>
      </w:r>
      <w:r>
        <w:rPr/>
        <w:t>）资本市场优势 </w:t>
      </w:r>
      <w:r>
        <w:rPr>
          <w:spacing w:val="-2"/>
        </w:rPr>
        <w:t>公司在创业板成功上市后，目前仍是国内电子支付行业少数拥有资本市场支持的公司之一。国内资本市场的改革，尤其</w:t>
      </w:r>
    </w:p>
    <w:p>
      <w:pPr>
        <w:pStyle w:val="BodyText"/>
        <w:spacing w:line="309" w:lineRule="auto" w:before="31"/>
        <w:ind w:left="1134" w:right="1131"/>
        <w:jc w:val="both"/>
      </w:pPr>
      <w:r>
        <w:rPr>
          <w:spacing w:val="-1"/>
        </w:rPr>
        <w:t>是</w:t>
      </w:r>
      <w:r>
        <w:rPr>
          <w:rFonts w:ascii="Times New Roman" w:hAnsi="Times New Roman" w:cs="Times New Roman" w:eastAsia="Times New Roman" w:hint="default"/>
          <w:spacing w:val="-1"/>
        </w:rPr>
        <w:t>A</w:t>
      </w:r>
      <w:r>
        <w:rPr>
          <w:spacing w:val="-1"/>
        </w:rPr>
        <w:t>股上市公司融资制度的不断完善，融资方式的持续创新，为公司未来的业务发展和战略实施提供了保障。公司将围绕未</w:t>
      </w:r>
      <w:r>
        <w:rPr>
          <w:spacing w:val="-70"/>
        </w:rPr>
        <w:t> </w:t>
      </w:r>
      <w:r>
        <w:rPr>
          <w:spacing w:val="-70"/>
        </w:rPr>
      </w:r>
      <w:r>
        <w:rPr>
          <w:spacing w:val="-2"/>
        </w:rPr>
        <w:t>来战略发展规划，充分发挥公司资本市场优势，以市值促进产业发展，以产业发展夯实市值基础的方式，将公司推入一个产</w:t>
      </w:r>
      <w:r>
        <w:rPr>
          <w:spacing w:val="-66"/>
        </w:rPr>
        <w:t> </w:t>
      </w:r>
      <w:r>
        <w:rPr>
          <w:spacing w:val="-66"/>
        </w:rPr>
      </w:r>
      <w:r>
        <w:rPr/>
        <w:t>融结合、快速扩张的良性发展通道。</w:t>
      </w:r>
    </w:p>
    <w:p>
      <w:pPr>
        <w:pStyle w:val="BodyText"/>
        <w:spacing w:line="300" w:lineRule="auto" w:before="24"/>
        <w:ind w:left="1494" w:right="1027"/>
        <w:jc w:val="left"/>
      </w:pPr>
      <w:r>
        <w:rPr>
          <w:rFonts w:ascii="Times New Roman" w:hAnsi="Times New Roman" w:cs="Times New Roman" w:eastAsia="Times New Roman" w:hint="default"/>
        </w:rPr>
        <w:t>6</w:t>
      </w:r>
      <w:r>
        <w:rPr/>
        <w:t>）知识产权及技术优势 </w:t>
      </w:r>
      <w:r>
        <w:rPr>
          <w:spacing w:val="-1"/>
        </w:rPr>
        <w:t>公司始终坚持自主研发道路，在产品和技术研发方面持续加大投入，报告期内，公司研发费用投入占营业收入</w:t>
      </w:r>
      <w:r>
        <w:rPr>
          <w:rFonts w:ascii="宋体" w:hAnsi="宋体" w:cs="宋体" w:eastAsia="宋体" w:hint="default"/>
          <w:spacing w:val="-1"/>
        </w:rPr>
        <w:t>12.52</w:t>
      </w:r>
      <w:r>
        <w:rPr>
          <w:rFonts w:ascii="Times New Roman" w:hAnsi="Times New Roman" w:cs="Times New Roman" w:eastAsia="Times New Roman" w:hint="default"/>
          <w:spacing w:val="-1"/>
        </w:rPr>
        <w:t>%</w:t>
      </w:r>
      <w:r>
        <w:rPr>
          <w:spacing w:val="-1"/>
        </w:rPr>
        <w:t>。</w:t>
      </w:r>
    </w:p>
    <w:p>
      <w:pPr>
        <w:pStyle w:val="BodyText"/>
        <w:spacing w:line="300" w:lineRule="auto" w:before="13"/>
        <w:ind w:right="1033"/>
        <w:jc w:val="left"/>
      </w:pPr>
      <w:r>
        <w:rPr/>
        <w:t>截止报告期末，公司取得专利、计算机软件著作权及软件产品等研发成果如下：</w:t>
      </w:r>
      <w:r>
        <w:rPr>
          <w:rFonts w:ascii="Times New Roman" w:hAnsi="Times New Roman" w:cs="Times New Roman" w:eastAsia="Times New Roman" w:hint="default"/>
        </w:rPr>
        <w:t>262</w:t>
      </w:r>
      <w:r>
        <w:rPr/>
        <w:t>项国家专利，其中发明专利</w:t>
      </w:r>
      <w:r>
        <w:rPr>
          <w:rFonts w:ascii="Times New Roman" w:hAnsi="Times New Roman" w:cs="Times New Roman" w:eastAsia="Times New Roman" w:hint="default"/>
        </w:rPr>
        <w:t>65</w:t>
      </w:r>
      <w:r>
        <w:rPr/>
        <w:t>项，国际 </w:t>
      </w:r>
      <w:r>
        <w:rPr>
          <w:spacing w:val="-3"/>
        </w:rPr>
        <w:t>专利</w:t>
      </w:r>
      <w:r>
        <w:rPr>
          <w:rFonts w:ascii="Times New Roman" w:hAnsi="Times New Roman" w:cs="Times New Roman" w:eastAsia="Times New Roman" w:hint="default"/>
          <w:spacing w:val="-3"/>
        </w:rPr>
        <w:t>2</w:t>
      </w:r>
      <w:r>
        <w:rPr>
          <w:spacing w:val="-3"/>
        </w:rPr>
        <w:t>项；获得软件著作权证书</w:t>
      </w:r>
      <w:r>
        <w:rPr>
          <w:rFonts w:ascii="Times New Roman" w:hAnsi="Times New Roman" w:cs="Times New Roman" w:eastAsia="Times New Roman" w:hint="default"/>
          <w:spacing w:val="-3"/>
        </w:rPr>
        <w:t>229</w:t>
      </w:r>
      <w:r>
        <w:rPr>
          <w:spacing w:val="-3"/>
        </w:rPr>
        <w:t>项，完成软件产品登记</w:t>
      </w:r>
      <w:r>
        <w:rPr>
          <w:rFonts w:ascii="Times New Roman" w:hAnsi="Times New Roman" w:cs="Times New Roman" w:eastAsia="Times New Roman" w:hint="default"/>
          <w:spacing w:val="-3"/>
        </w:rPr>
        <w:t>106</w:t>
      </w:r>
      <w:r>
        <w:rPr>
          <w:spacing w:val="-3"/>
        </w:rPr>
        <w:t>项，拥有商标</w:t>
      </w:r>
      <w:r>
        <w:rPr>
          <w:rFonts w:ascii="Times New Roman" w:hAnsi="Times New Roman" w:cs="Times New Roman" w:eastAsia="Times New Roman" w:hint="default"/>
          <w:spacing w:val="-3"/>
        </w:rPr>
        <w:t>103</w:t>
      </w:r>
      <w:r>
        <w:rPr>
          <w:spacing w:val="-3"/>
        </w:rPr>
        <w:t>项。上述科研成果为公司的持续发展保驾护航，</w:t>
      </w:r>
      <w:r>
        <w:rPr>
          <w:spacing w:val="-86"/>
        </w:rPr>
        <w:t> </w:t>
      </w:r>
      <w:r>
        <w:rPr>
          <w:spacing w:val="-86"/>
        </w:rPr>
      </w:r>
      <w:r>
        <w:rPr/>
        <w:t>成为公司的核心竞争力之一。</w:t>
      </w:r>
    </w:p>
    <w:p>
      <w:pPr>
        <w:pStyle w:val="BodyText"/>
        <w:spacing w:line="300" w:lineRule="auto" w:before="31"/>
        <w:ind w:left="1494" w:right="994"/>
        <w:jc w:val="left"/>
      </w:pPr>
      <w:r>
        <w:rPr>
          <w:rFonts w:ascii="Times New Roman" w:hAnsi="Times New Roman" w:cs="Times New Roman" w:eastAsia="Times New Roman" w:hint="default"/>
        </w:rPr>
        <w:t>7</w:t>
      </w:r>
      <w:r>
        <w:rPr/>
        <w:t>）收购嘉联支付完善支付产业链布局优势 </w:t>
      </w:r>
      <w:r>
        <w:rPr>
          <w:spacing w:val="-2"/>
        </w:rPr>
        <w:t>新国都和嘉联支付同在支付产业链上，具有天然的协同性，鉴于双方具有长期的合作基础，收购完成后能较好的进行快</w:t>
      </w:r>
    </w:p>
    <w:p>
      <w:pPr>
        <w:pStyle w:val="BodyText"/>
        <w:spacing w:line="316" w:lineRule="auto" w:before="31"/>
        <w:ind w:left="1134" w:right="994"/>
        <w:jc w:val="left"/>
      </w:pPr>
      <w:r>
        <w:rPr>
          <w:spacing w:val="-2"/>
        </w:rPr>
        <w:t>速整合；其次，公司可以利用多年在电子支付行业积累的经验，以电子支付为抓手，向电子支付产业链下游拓展，加强支付</w:t>
      </w:r>
      <w:r>
        <w:rPr>
          <w:spacing w:val="-66"/>
        </w:rPr>
        <w:t> </w:t>
      </w:r>
      <w:r>
        <w:rPr>
          <w:spacing w:val="-66"/>
        </w:rPr>
      </w:r>
      <w:r>
        <w:rPr/>
        <w:t>产业链的资源整合，从而突显出一加一大于二的协同效应，充分享受第三方支付行业带来的发展红利。</w:t>
      </w:r>
    </w:p>
    <w:p>
      <w:pPr>
        <w:pStyle w:val="BodyText"/>
        <w:spacing w:line="300" w:lineRule="auto" w:before="19"/>
        <w:ind w:left="1494" w:right="8232"/>
        <w:jc w:val="left"/>
      </w:pPr>
      <w:r>
        <w:rPr/>
        <w:t>（</w:t>
      </w:r>
      <w:r>
        <w:rPr>
          <w:rFonts w:ascii="Times New Roman" w:hAnsi="Times New Roman" w:cs="Times New Roman" w:eastAsia="Times New Roman" w:hint="default"/>
        </w:rPr>
        <w:t>2</w:t>
      </w:r>
      <w:r>
        <w:rPr/>
        <w:t>）公司的主要困难 公司目前的主要困难在于：</w:t>
      </w:r>
    </w:p>
    <w:p>
      <w:pPr>
        <w:pStyle w:val="BodyText"/>
        <w:spacing w:line="312" w:lineRule="auto" w:before="31"/>
        <w:ind w:left="1134" w:right="1132" w:firstLine="360"/>
        <w:jc w:val="both"/>
      </w:pPr>
      <w:r>
        <w:rPr>
          <w:rFonts w:ascii="Times New Roman" w:hAnsi="Times New Roman" w:cs="Times New Roman" w:eastAsia="Times New Roman" w:hint="default"/>
        </w:rPr>
        <w:t>1</w:t>
      </w:r>
      <w:r>
        <w:rPr/>
        <w:t>）资金相对紧缺，长期需储备资金以支持公司业务战略转型发展。公司在技术和产品研发投入、市场拓展、服务模式 </w:t>
      </w:r>
      <w:r>
        <w:rPr>
          <w:spacing w:val="-2"/>
        </w:rPr>
        <w:t>创新、外延扩张并购等方面都需要加大资金投入，但公司账上自有资金不足以支撑公司快速发展，公司需要结合不同融资手</w:t>
      </w:r>
      <w:r>
        <w:rPr>
          <w:spacing w:val="-66"/>
        </w:rPr>
        <w:t> </w:t>
      </w:r>
      <w:r>
        <w:rPr>
          <w:spacing w:val="-66"/>
        </w:rPr>
      </w:r>
      <w:r>
        <w:rPr>
          <w:spacing w:val="-2"/>
        </w:rPr>
        <w:t>段、通过优化资本结构合理进行融资规划，以支持公司业务快速发展，唯有如此，才能使公司抓住市场机会，完成业务的跨</w:t>
      </w:r>
      <w:r>
        <w:rPr>
          <w:spacing w:val="-66"/>
        </w:rPr>
        <w:t> </w:t>
      </w:r>
      <w:r>
        <w:rPr>
          <w:spacing w:val="-66"/>
        </w:rPr>
      </w:r>
      <w:r>
        <w:rPr/>
        <w:t>越式大发展。</w:t>
      </w:r>
    </w:p>
    <w:p>
      <w:pPr>
        <w:pStyle w:val="BodyText"/>
        <w:spacing w:line="300" w:lineRule="auto" w:before="22"/>
        <w:ind w:left="1134" w:right="1140" w:firstLine="360"/>
        <w:jc w:val="both"/>
      </w:pPr>
      <w:r>
        <w:rPr>
          <w:rFonts w:ascii="Times New Roman" w:hAnsi="Times New Roman" w:cs="Times New Roman" w:eastAsia="Times New Roman" w:hint="default"/>
        </w:rPr>
        <w:t>2</w:t>
      </w:r>
      <w:r>
        <w:rPr/>
        <w:t>）海外市场资源不足，需要进一步加大海外市场的投入。由于专注于国内市场而海外市场的开拓时间较晚，海外市场 业务的经验仍然是短板，公司将计划在未来两年加大海外市场的投入，建设相对完善的海外营销服务体系。</w:t>
      </w:r>
    </w:p>
    <w:p>
      <w:pPr>
        <w:pStyle w:val="BodyText"/>
        <w:spacing w:line="309" w:lineRule="auto" w:before="31"/>
        <w:ind w:left="1134" w:right="1130" w:firstLine="360"/>
        <w:jc w:val="both"/>
      </w:pPr>
      <w:r>
        <w:rPr>
          <w:rFonts w:ascii="Times New Roman" w:hAnsi="Times New Roman" w:cs="Times New Roman" w:eastAsia="Times New Roman" w:hint="default"/>
        </w:rPr>
        <w:t>3</w:t>
      </w:r>
      <w:r>
        <w:rPr/>
        <w:t>）高端专业人才不足，限制公司业务发展。随着电子支付行业与互联网行业等其他行业的融合加快，电子支付技术更 </w:t>
      </w:r>
      <w:r>
        <w:rPr>
          <w:spacing w:val="-2"/>
        </w:rPr>
        <w:t>新换代的速度加快，公司需要深刻理解和把握行业变化趋势、互联网市场机会的技术、市场和管理人才团队，尤其是优秀的</w:t>
      </w:r>
      <w:r>
        <w:rPr>
          <w:spacing w:val="-66"/>
        </w:rPr>
        <w:t> </w:t>
      </w:r>
      <w:r>
        <w:rPr>
          <w:spacing w:val="-66"/>
        </w:rPr>
      </w:r>
      <w:r>
        <w:rPr/>
        <w:t>运营人才和团队。高端人才的短缺，成为制约公司市场创新、产品和技术创新、管理创新的关键因素。</w:t>
      </w:r>
    </w:p>
    <w:p>
      <w:pPr>
        <w:spacing w:after="0" w:line="309"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2" w:lineRule="auto"/>
        <w:ind w:left="1134" w:right="1032" w:firstLine="360"/>
        <w:jc w:val="left"/>
      </w:pPr>
      <w:r>
        <w:rPr>
          <w:rFonts w:ascii="Times New Roman" w:hAnsi="Times New Roman" w:cs="Times New Roman" w:eastAsia="Times New Roman" w:hint="default"/>
        </w:rPr>
        <w:t>4</w:t>
      </w:r>
      <w:r>
        <w:rPr/>
        <w:t>）管理能力不足成为制约公司发展的重要因素。在企业管理方面，虽然公司在企业管理升级方面投入了大量资金，但 是随着电子支付行业的变化日新月异，尤其是新业务与传统生产制造业的业务流程存在明显差异，如何快速响应市场变化， </w:t>
      </w:r>
      <w:r>
        <w:rPr>
          <w:spacing w:val="-2"/>
        </w:rPr>
        <w:t>是摆在公司管理层面前的一个难题。随着公司外延扩张的进行，如何在完成并购交割后，做好并购后整合管理，都成为考验</w:t>
      </w:r>
      <w:r>
        <w:rPr>
          <w:spacing w:val="-66"/>
        </w:rPr>
        <w:t> </w:t>
      </w:r>
      <w:r>
        <w:rPr>
          <w:spacing w:val="-66"/>
        </w:rPr>
      </w:r>
      <w:r>
        <w:rPr/>
        <w:t>公司综合管理能力和管理输出能力的关键所在，这已经成为公司未来发展过程中不可忽视的制约因素。</w:t>
      </w:r>
    </w:p>
    <w:p>
      <w:pPr>
        <w:pStyle w:val="BodyText"/>
        <w:spacing w:line="309" w:lineRule="auto" w:before="23"/>
        <w:ind w:left="1134" w:right="1050" w:firstLine="360"/>
        <w:jc w:val="both"/>
      </w:pPr>
      <w:r>
        <w:rPr>
          <w:rFonts w:ascii="Times New Roman" w:hAnsi="Times New Roman" w:cs="Times New Roman" w:eastAsia="Times New Roman" w:hint="default"/>
        </w:rPr>
        <w:t>5</w:t>
      </w:r>
      <w:r>
        <w:rPr/>
        <w:t>）围绕企业发展和投融资服务的综合财务管理能力亟待升级。随着公司业务和战略落地，将增大对于资金的需求，对 </w:t>
      </w:r>
      <w:r>
        <w:rPr>
          <w:spacing w:val="-2"/>
        </w:rPr>
        <w:t>新国都的财务管理和风险控制提出了全新的挑战。新国都会在合理安排自有资金基础上，利用多层次的资本市场，开展全方</w:t>
      </w:r>
      <w:r>
        <w:rPr>
          <w:spacing w:val="-66"/>
        </w:rPr>
        <w:t> </w:t>
      </w:r>
      <w:r>
        <w:rPr>
          <w:spacing w:val="-66"/>
        </w:rPr>
      </w:r>
      <w:r>
        <w:rPr/>
        <w:t>位的融资规划，控制公司的财务风险，以确保公司未来发展资金需求，为公司的长远发展奠定基础，为股东创造最大效益。</w:t>
      </w:r>
    </w:p>
    <w:p>
      <w:pPr>
        <w:pStyle w:val="BodyText"/>
        <w:spacing w:line="300" w:lineRule="auto" w:before="24"/>
        <w:ind w:left="1494" w:right="994"/>
        <w:jc w:val="left"/>
      </w:pPr>
      <w:r>
        <w:rPr>
          <w:rFonts w:ascii="Times New Roman" w:hAnsi="Times New Roman" w:cs="Times New Roman" w:eastAsia="Times New Roman" w:hint="default"/>
        </w:rPr>
        <w:t>3</w:t>
      </w:r>
      <w:r>
        <w:rPr/>
        <w:t>、公司未来发展战略 </w:t>
      </w:r>
      <w:r>
        <w:rPr>
          <w:spacing w:val="-2"/>
        </w:rPr>
        <w:t>公司未来发展战略是作为公司长远业务发展以及核心资源布局的方向指南针，公司未来几年的经营计划都将围绕着该战</w:t>
      </w:r>
    </w:p>
    <w:p>
      <w:pPr>
        <w:pStyle w:val="BodyText"/>
        <w:spacing w:line="312" w:lineRule="auto" w:before="31"/>
        <w:ind w:right="1033"/>
        <w:jc w:val="left"/>
      </w:pPr>
      <w:r>
        <w:rPr/>
        <w:t>略来进行规划和实施，</w:t>
      </w:r>
      <w:r>
        <w:rPr>
          <w:rFonts w:ascii="Times New Roman" w:hAnsi="Times New Roman" w:cs="Times New Roman" w:eastAsia="Times New Roman" w:hint="default"/>
        </w:rPr>
        <w:t>2016</w:t>
      </w:r>
      <w:r>
        <w:rPr/>
        <w:t>年新国都制定了</w:t>
      </w:r>
      <w:r>
        <w:rPr>
          <w:rFonts w:ascii="Times New Roman" w:hAnsi="Times New Roman" w:cs="Times New Roman" w:eastAsia="Times New Roman" w:hint="default"/>
        </w:rPr>
        <w:t>“</w:t>
      </w:r>
      <w:r>
        <w:rPr/>
        <w:t>实体经济结合虚拟经济，以实体经济为本，虚拟经济为变现方式</w:t>
      </w:r>
      <w:r>
        <w:rPr>
          <w:rFonts w:ascii="Times New Roman" w:hAnsi="Times New Roman" w:cs="Times New Roman" w:eastAsia="Times New Roman" w:hint="default"/>
        </w:rPr>
        <w:t>”</w:t>
      </w:r>
      <w:r>
        <w:rPr/>
        <w:t>的战略框架， </w:t>
      </w:r>
      <w:r>
        <w:rPr>
          <w:rFonts w:ascii="Times New Roman" w:hAnsi="Times New Roman" w:cs="Times New Roman" w:eastAsia="Times New Roman" w:hint="default"/>
          <w:spacing w:val="-3"/>
        </w:rPr>
        <w:t>2017</w:t>
      </w:r>
      <w:r>
        <w:rPr>
          <w:spacing w:val="-3"/>
        </w:rPr>
        <w:t>年结合实际情况的变化进一步将公司战略框架深化为：</w:t>
      </w:r>
      <w:r>
        <w:rPr>
          <w:rFonts w:ascii="Times New Roman" w:hAnsi="Times New Roman" w:cs="Times New Roman" w:eastAsia="Times New Roman" w:hint="default"/>
          <w:spacing w:val="-3"/>
        </w:rPr>
        <w:t>“</w:t>
      </w:r>
      <w:r>
        <w:rPr>
          <w:spacing w:val="-3"/>
        </w:rPr>
        <w:t>整合电子支付产业链，抓住行业变革潮流，开拓创新盈利模式</w:t>
      </w:r>
      <w:r>
        <w:rPr>
          <w:rFonts w:ascii="Times New Roman" w:hAnsi="Times New Roman" w:cs="Times New Roman" w:eastAsia="Times New Roman" w:hint="default"/>
          <w:spacing w:val="-3"/>
        </w:rPr>
        <w:t>”</w:t>
      </w:r>
      <w:r>
        <w:rPr>
          <w:spacing w:val="-3"/>
        </w:rPr>
        <w:t>。</w:t>
      </w:r>
      <w:r>
        <w:rPr>
          <w:spacing w:val="-69"/>
        </w:rPr>
        <w:t> </w:t>
      </w:r>
      <w:r>
        <w:rPr>
          <w:spacing w:val="-2"/>
        </w:rPr>
        <w:t>该战略框架主要从三个方面继续深化推进：一，利用公司多年的电子支付行业经验，以电子支付为抓手，向电子支付产业链</w:t>
      </w:r>
      <w:r>
        <w:rPr>
          <w:spacing w:val="-66"/>
        </w:rPr>
        <w:t> </w:t>
      </w:r>
      <w:r>
        <w:rPr>
          <w:spacing w:val="-66"/>
        </w:rPr>
      </w:r>
      <w:r>
        <w:rPr/>
        <w:t>上下游拓展，向海外市场拓展，从而提升公司的综合盈利能力和抗风险能力，实现核心资源有效变现；二，围绕交易环节， </w:t>
      </w:r>
      <w:r>
        <w:rPr>
          <w:spacing w:val="-2"/>
        </w:rPr>
        <w:t>从征信、支付运营切入，进行战略布局，加强征信服务的投入，以电子支付服务行业的健康发展为己任，建设电子支付安全</w:t>
      </w:r>
      <w:r>
        <w:rPr>
          <w:spacing w:val="-66"/>
        </w:rPr>
        <w:t> </w:t>
      </w:r>
      <w:r>
        <w:rPr>
          <w:spacing w:val="-66"/>
        </w:rPr>
      </w:r>
      <w:r>
        <w:rPr/>
        <w:t>受理环境；三，依托</w:t>
      </w:r>
      <w:r>
        <w:rPr>
          <w:rFonts w:ascii="Times New Roman" w:hAnsi="Times New Roman" w:cs="Times New Roman" w:eastAsia="Times New Roman" w:hint="default"/>
        </w:rPr>
        <w:t>IT</w:t>
      </w:r>
      <w:r>
        <w:rPr/>
        <w:t>软硬件技术能力，投入智能领域的研发与运营，在未来全民智能化的大发展时代获得一席之地。</w:t>
      </w:r>
    </w:p>
    <w:p>
      <w:pPr>
        <w:pStyle w:val="BodyText"/>
        <w:spacing w:line="316" w:lineRule="auto" w:before="3"/>
        <w:ind w:right="994" w:firstLine="360"/>
        <w:jc w:val="left"/>
      </w:pPr>
      <w:r>
        <w:rPr>
          <w:spacing w:val="-2"/>
        </w:rPr>
        <w:t>公司以电子支付为聚焦点，布局融合生物识别、大数据、人工智能等前沿技术，在以增强自身电子支付主营业务以及抓</w:t>
      </w:r>
      <w:r>
        <w:rPr/>
        <w:t> </w:t>
      </w:r>
      <w:r>
        <w:rPr>
          <w:spacing w:val="-2"/>
        </w:rPr>
        <w:t>住支付市场发展新机遇的基础上，衍生发展前沿技术</w:t>
      </w:r>
      <w:r>
        <w:rPr>
          <w:rFonts w:ascii="Times New Roman" w:hAnsi="Times New Roman" w:cs="Times New Roman" w:eastAsia="Times New Roman" w:hint="default"/>
          <w:spacing w:val="-2"/>
        </w:rPr>
        <w:t>+</w:t>
      </w:r>
      <w:r>
        <w:rPr>
          <w:spacing w:val="-2"/>
        </w:rPr>
        <w:t>支付的外围新业务，增加公司未来盈利点，提高公司的持续盈利能力。</w:t>
      </w:r>
    </w:p>
    <w:p>
      <w:pPr>
        <w:pStyle w:val="BodyText"/>
        <w:spacing w:line="300" w:lineRule="auto" w:before="0"/>
        <w:ind w:left="1493" w:right="994"/>
        <w:jc w:val="left"/>
      </w:pPr>
      <w:r>
        <w:rPr/>
        <w:t>（</w:t>
      </w:r>
      <w:r>
        <w:rPr>
          <w:rFonts w:ascii="Times New Roman" w:hAnsi="Times New Roman" w:cs="Times New Roman" w:eastAsia="Times New Roman" w:hint="default"/>
        </w:rPr>
        <w:t>1</w:t>
      </w:r>
      <w:r>
        <w:rPr/>
        <w:t>）行业整合并购，打通产业链上下游 </w:t>
      </w:r>
      <w:r>
        <w:rPr>
          <w:spacing w:val="-2"/>
        </w:rPr>
        <w:t>电子支付行业近年来不断创新演变，仍然在高速发展时期，产业链上下游以及相关行业、技术的整合趋势加强。为了抓</w:t>
      </w:r>
    </w:p>
    <w:p>
      <w:pPr>
        <w:pStyle w:val="BodyText"/>
        <w:spacing w:line="316" w:lineRule="auto" w:before="31"/>
        <w:ind w:right="1033"/>
        <w:jc w:val="left"/>
      </w:pPr>
      <w:r>
        <w:rPr>
          <w:spacing w:val="-2"/>
        </w:rPr>
        <w:t>住支付市场发展新机遇、增加公司未来盈利增长点，公司在增强自身主营业务的同时，积极推进围绕自身行业领域的整合并</w:t>
      </w:r>
      <w:r>
        <w:rPr>
          <w:spacing w:val="-66"/>
        </w:rPr>
        <w:t> </w:t>
      </w:r>
      <w:r>
        <w:rPr>
          <w:spacing w:val="-66"/>
        </w:rPr>
      </w:r>
      <w:r>
        <w:rPr/>
        <w:t>购，打通产业链上下游。基于支付产业链的整合并购，并购双方具有天然的协同性，并购完成后能够更快更好地进行业务、 人员、财务的整合，从而突显出一加一大于二的协同效应。</w:t>
      </w:r>
    </w:p>
    <w:p>
      <w:pPr>
        <w:pStyle w:val="BodyText"/>
        <w:spacing w:line="300" w:lineRule="auto" w:before="19"/>
        <w:ind w:left="1493" w:right="994"/>
        <w:jc w:val="left"/>
      </w:pPr>
      <w:r>
        <w:rPr/>
        <w:t>（</w:t>
      </w:r>
      <w:r>
        <w:rPr>
          <w:rFonts w:ascii="Times New Roman" w:hAnsi="Times New Roman" w:cs="Times New Roman" w:eastAsia="Times New Roman" w:hint="default"/>
        </w:rPr>
        <w:t>2</w:t>
      </w:r>
      <w:r>
        <w:rPr/>
        <w:t>）夯实海外市场，积极布局新增市场 </w:t>
      </w:r>
      <w:r>
        <w:rPr>
          <w:spacing w:val="-2"/>
        </w:rPr>
        <w:t>由于国内市场趋于稳定和饱和，加大力度开拓海外市场已经成为了新国都在传统业务方面的拓展方向和新的盈利点。经</w:t>
      </w:r>
    </w:p>
    <w:p>
      <w:pPr>
        <w:pStyle w:val="BodyText"/>
        <w:spacing w:line="300" w:lineRule="auto" w:before="31"/>
        <w:ind w:right="994"/>
        <w:jc w:val="left"/>
      </w:pPr>
      <w:r>
        <w:rPr>
          <w:spacing w:val="-3"/>
        </w:rPr>
        <w:t>过几年的布局，新国都已初步成功打入国际市场，借助国家</w:t>
      </w:r>
      <w:r>
        <w:rPr>
          <w:rFonts w:ascii="Times New Roman" w:hAnsi="Times New Roman" w:cs="Times New Roman" w:eastAsia="Times New Roman" w:hint="default"/>
          <w:spacing w:val="-3"/>
        </w:rPr>
        <w:t>“</w:t>
      </w:r>
      <w:r>
        <w:rPr>
          <w:spacing w:val="-3"/>
        </w:rPr>
        <w:t>一带一路</w:t>
      </w:r>
      <w:r>
        <w:rPr>
          <w:rFonts w:ascii="Times New Roman" w:hAnsi="Times New Roman" w:cs="Times New Roman" w:eastAsia="Times New Roman" w:hint="default"/>
          <w:spacing w:val="-3"/>
        </w:rPr>
        <w:t>”</w:t>
      </w:r>
      <w:r>
        <w:rPr>
          <w:spacing w:val="-3"/>
        </w:rPr>
        <w:t>政策，公司已经将业务拓展到印度、独联体、东南亚、</w:t>
      </w:r>
      <w:r>
        <w:rPr>
          <w:spacing w:val="-79"/>
        </w:rPr>
        <w:t> </w:t>
      </w:r>
      <w:r>
        <w:rPr>
          <w:spacing w:val="-79"/>
        </w:rPr>
      </w:r>
      <w:r>
        <w:rPr>
          <w:spacing w:val="-2"/>
        </w:rPr>
        <w:t>中东、非洲、欧洲、美洲等区域的众多国家，</w:t>
      </w:r>
      <w:r>
        <w:rPr>
          <w:rFonts w:ascii="Times New Roman" w:hAnsi="Times New Roman" w:cs="Times New Roman" w:eastAsia="Times New Roman" w:hint="default"/>
          <w:spacing w:val="-2"/>
        </w:rPr>
        <w:t>2018</w:t>
      </w:r>
      <w:r>
        <w:rPr>
          <w:spacing w:val="-2"/>
        </w:rPr>
        <w:t>年公司海外业务团队将会巩固并深耕美洲、非洲、中东、东南亚市场，争</w:t>
      </w:r>
      <w:r>
        <w:rPr>
          <w:spacing w:val="-63"/>
        </w:rPr>
        <w:t> </w:t>
      </w:r>
      <w:r>
        <w:rPr>
          <w:spacing w:val="-63"/>
        </w:rPr>
      </w:r>
      <w:r>
        <w:rPr/>
        <w:t>取做大做强。</w:t>
      </w:r>
    </w:p>
    <w:p>
      <w:pPr>
        <w:pStyle w:val="BodyText"/>
        <w:spacing w:line="316" w:lineRule="auto" w:before="31"/>
        <w:ind w:right="994" w:firstLine="360"/>
        <w:jc w:val="left"/>
      </w:pPr>
      <w:r>
        <w:rPr>
          <w:spacing w:val="-4"/>
        </w:rPr>
        <w:t>由于海外市场具有不同于国内市场的环境，公司根据不同海外市场的当地特点，研发适应市场需求的产品，在区域市场、</w:t>
      </w:r>
      <w:r>
        <w:rPr/>
        <w:t> </w:t>
      </w:r>
      <w:r>
        <w:rPr>
          <w:spacing w:val="-2"/>
        </w:rPr>
        <w:t>目标客户、销售渠道、产品策略和营销组织方面进行优化组合选择，以增大新国都海外市场开拓的成功几率，最终为公司的</w:t>
      </w:r>
      <w:r>
        <w:rPr>
          <w:spacing w:val="-66"/>
        </w:rPr>
        <w:t> </w:t>
      </w:r>
      <w:r>
        <w:rPr>
          <w:spacing w:val="-66"/>
        </w:rPr>
      </w:r>
      <w:r>
        <w:rPr/>
        <w:t>股东创造价值。</w:t>
      </w:r>
    </w:p>
    <w:p>
      <w:pPr>
        <w:pStyle w:val="BodyText"/>
        <w:spacing w:line="300" w:lineRule="auto" w:before="19"/>
        <w:ind w:left="1493" w:right="1033"/>
        <w:jc w:val="left"/>
      </w:pPr>
      <w:r>
        <w:rPr/>
        <w:t>（</w:t>
      </w:r>
      <w:r>
        <w:rPr>
          <w:rFonts w:ascii="Times New Roman" w:hAnsi="Times New Roman" w:cs="Times New Roman" w:eastAsia="Times New Roman" w:hint="default"/>
        </w:rPr>
        <w:t>3</w:t>
      </w:r>
      <w:r>
        <w:rPr/>
        <w:t>）搭建征信体系，打造征信服务能力 征信体系的搭建解决了互联网时代各种交易场景中各交易对手之间的信任问题。征信机构提供的信用报告、信用评估、</w:t>
      </w:r>
    </w:p>
    <w:p>
      <w:pPr>
        <w:pStyle w:val="BodyText"/>
        <w:spacing w:line="316" w:lineRule="auto" w:before="31"/>
        <w:ind w:right="1132"/>
        <w:jc w:val="both"/>
      </w:pPr>
      <w:r>
        <w:rPr>
          <w:spacing w:val="-2"/>
        </w:rPr>
        <w:t>信用信息咨询等服务，能够辅助判断和控制交易的信用风险。但传统金融对用户的信用定价的成本过于高昂，征信服务要拓</w:t>
      </w:r>
      <w:r>
        <w:rPr>
          <w:spacing w:val="-66"/>
        </w:rPr>
        <w:t> </w:t>
      </w:r>
      <w:r>
        <w:rPr>
          <w:spacing w:val="-66"/>
        </w:rPr>
      </w:r>
      <w:r>
        <w:rPr>
          <w:spacing w:val="-2"/>
        </w:rPr>
        <w:t>展利用各种场景中的交易数据、生产生活数据，从多维角度，实时、立体地评价和刻画交易对手的信用全景状况，从而有效</w:t>
      </w:r>
      <w:r>
        <w:rPr>
          <w:spacing w:val="-66"/>
        </w:rPr>
        <w:t> </w:t>
      </w:r>
      <w:r>
        <w:rPr>
          <w:spacing w:val="-66"/>
        </w:rPr>
      </w:r>
      <w:r>
        <w:rPr/>
        <w:t>的提高交易效率，降低风险管理成本。</w:t>
      </w:r>
    </w:p>
    <w:p>
      <w:pPr>
        <w:pStyle w:val="BodyText"/>
        <w:spacing w:line="316" w:lineRule="auto" w:before="19"/>
        <w:ind w:right="994" w:firstLine="360"/>
        <w:jc w:val="left"/>
      </w:pPr>
      <w:r>
        <w:rPr>
          <w:spacing w:val="-2"/>
        </w:rPr>
        <w:t>新国都将重点加强征信服务能力建设，提高公司在产业快速发展过程的风控服务能力，以电子支付服务行业的健康发展</w:t>
      </w:r>
      <w:r>
        <w:rPr/>
        <w:t> 为己任，积极建设电子支付安全受理环境。</w:t>
      </w:r>
    </w:p>
    <w:p>
      <w:pPr>
        <w:pStyle w:val="BodyText"/>
        <w:spacing w:line="300" w:lineRule="auto" w:before="19"/>
        <w:ind w:left="1493" w:right="994"/>
        <w:jc w:val="left"/>
      </w:pPr>
      <w:r>
        <w:rPr/>
        <w:t>（</w:t>
      </w:r>
      <w:r>
        <w:rPr>
          <w:rFonts w:ascii="Times New Roman" w:hAnsi="Times New Roman" w:cs="Times New Roman" w:eastAsia="Times New Roman" w:hint="default"/>
        </w:rPr>
        <w:t>4</w:t>
      </w:r>
      <w:r>
        <w:rPr/>
        <w:t>）步入智能化时代，更加关注安全性 </w:t>
      </w:r>
      <w:r>
        <w:rPr>
          <w:spacing w:val="-2"/>
        </w:rPr>
        <w:t>随着新兴技术的快速发展和迭代，智能化技术、设备、操作系统生态体系都在逐步完善，新国都作为传统电子支付技术</w:t>
      </w:r>
    </w:p>
    <w:p>
      <w:pPr>
        <w:pStyle w:val="BodyText"/>
        <w:spacing w:line="319" w:lineRule="auto" w:before="31"/>
        <w:ind w:right="1033"/>
        <w:jc w:val="left"/>
      </w:pPr>
      <w:r>
        <w:rPr/>
        <w:t>受理终端设备的供应商，将借助自身资源、大数据技术、渠道和品牌影响力等优势，建立智能设备或硬件的生态系统平台， </w:t>
      </w:r>
      <w:r>
        <w:rPr>
          <w:spacing w:val="-2"/>
        </w:rPr>
        <w:t>增强操作系统的扩展性，优化用户体验，提升服务的智能化和个性化。未来，公司的智能化产品和服务会在新兴技术的不断</w:t>
      </w:r>
      <w:r>
        <w:rPr>
          <w:spacing w:val="-66"/>
        </w:rPr>
        <w:t> </w:t>
      </w:r>
      <w:r>
        <w:rPr>
          <w:spacing w:val="-66"/>
        </w:rPr>
      </w:r>
      <w:r>
        <w:rPr/>
        <w:t>叠加中逐步横向延展、孵化和成长。</w:t>
      </w:r>
    </w:p>
    <w:p>
      <w:pPr>
        <w:pStyle w:val="BodyText"/>
        <w:spacing w:line="316" w:lineRule="auto" w:before="17"/>
        <w:ind w:left="1134" w:right="994" w:firstLine="360"/>
        <w:jc w:val="left"/>
      </w:pPr>
      <w:r>
        <w:rPr>
          <w:spacing w:val="-2"/>
        </w:rPr>
        <w:t>支付是实现价值创造和价值交换的最后一个环节，离开安全支付将无法确保企业的价值创造和消费者利益。作为当今全</w:t>
      </w:r>
      <w:r>
        <w:rPr/>
        <w:t> </w:t>
      </w:r>
      <w:r>
        <w:rPr>
          <w:spacing w:val="-2"/>
        </w:rPr>
        <w:t>球电子商务和移动支付发展最迅速的市场，支付安全的重要性远远超过了以往任何时候。作为支付领域的终端设备供应商在</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ind w:right="0"/>
        <w:jc w:val="both"/>
      </w:pPr>
      <w:r>
        <w:rPr/>
        <w:t>不断提升便捷程度和扩展服务范畴的同时，更要保证支付的安全，保障使用者的利益。</w:t>
      </w:r>
    </w:p>
    <w:p>
      <w:pPr>
        <w:pStyle w:val="BodyText"/>
        <w:spacing w:line="240" w:lineRule="auto" w:before="76"/>
        <w:ind w:left="1493" w:right="994"/>
        <w:jc w:val="left"/>
      </w:pPr>
      <w:r>
        <w:rPr>
          <w:rFonts w:ascii="Times New Roman" w:hAnsi="Times New Roman" w:cs="Times New Roman" w:eastAsia="Times New Roman" w:hint="default"/>
        </w:rPr>
        <w:t>4</w:t>
      </w:r>
      <w:r>
        <w:rPr/>
        <w:t>、公司未来经营计划</w:t>
      </w:r>
    </w:p>
    <w:p>
      <w:pPr>
        <w:pStyle w:val="BodyText"/>
        <w:spacing w:line="300" w:lineRule="auto" w:before="63"/>
        <w:ind w:right="994" w:firstLine="360"/>
        <w:jc w:val="left"/>
      </w:pPr>
      <w:r>
        <w:rPr>
          <w:rFonts w:ascii="Times New Roman" w:hAnsi="Times New Roman" w:cs="Times New Roman" w:eastAsia="Times New Roman" w:hint="default"/>
          <w:spacing w:val="-2"/>
        </w:rPr>
        <w:t>2018</w:t>
      </w:r>
      <w:r>
        <w:rPr>
          <w:spacing w:val="-2"/>
        </w:rPr>
        <w:t>年，公司将充分把握电子支付市场新机会，加强对国内市场的跟踪和把握，进一步拓展和深入海外市场，同时继续</w:t>
      </w:r>
      <w:r>
        <w:rPr/>
        <w:t> 实施集团战略规划，力争产业链上下游整合并购尽快落地。</w:t>
      </w:r>
    </w:p>
    <w:p>
      <w:pPr>
        <w:pStyle w:val="BodyText"/>
        <w:spacing w:line="240" w:lineRule="auto" w:before="32"/>
        <w:ind w:left="1494" w:right="994"/>
        <w:jc w:val="left"/>
      </w:pPr>
      <w:r>
        <w:rPr>
          <w:rFonts w:ascii="Times New Roman" w:hAnsi="Times New Roman" w:cs="Times New Roman" w:eastAsia="Times New Roman" w:hint="default"/>
        </w:rPr>
        <w:t>2018</w:t>
      </w:r>
      <w:r>
        <w:rPr/>
        <w:t>年公司的经营将主要围绕以下几个方面展开：</w:t>
      </w:r>
    </w:p>
    <w:p>
      <w:pPr>
        <w:pStyle w:val="BodyText"/>
        <w:spacing w:line="240" w:lineRule="auto" w:before="63"/>
        <w:ind w:left="1494" w:right="994"/>
        <w:jc w:val="left"/>
      </w:pPr>
      <w:r>
        <w:rPr/>
        <w:t>（</w:t>
      </w:r>
      <w:r>
        <w:rPr>
          <w:rFonts w:ascii="Times New Roman" w:hAnsi="Times New Roman" w:cs="Times New Roman" w:eastAsia="Times New Roman" w:hint="default"/>
        </w:rPr>
        <w:t>1</w:t>
      </w:r>
      <w:r>
        <w:rPr/>
        <w:t>）聚焦主营业务、保持主营收入稳健</w:t>
      </w:r>
    </w:p>
    <w:p>
      <w:pPr>
        <w:pStyle w:val="BodyText"/>
        <w:spacing w:line="314" w:lineRule="auto" w:before="63"/>
        <w:ind w:right="1033" w:firstLine="360"/>
        <w:jc w:val="left"/>
      </w:pPr>
      <w:r>
        <w:rPr>
          <w:rFonts w:ascii="Times New Roman" w:hAnsi="Times New Roman" w:cs="Times New Roman" w:eastAsia="Times New Roman" w:hint="default"/>
        </w:rPr>
        <w:t>2018</w:t>
      </w:r>
      <w:r>
        <w:rPr/>
        <w:t>年公司主营业务的重点是深入开拓海外电子支付市场，公司将在海外产品技术支持及维护、海外市场新产品研发、 </w:t>
      </w:r>
      <w:r>
        <w:rPr>
          <w:spacing w:val="-2"/>
        </w:rPr>
        <w:t>海外产品国际测试认证、准入和海外市场拓展这几个方面增加投入，同时加强海外市场售后服务体系建设投入，加大力度巩</w:t>
      </w:r>
      <w:r>
        <w:rPr>
          <w:spacing w:val="-66"/>
        </w:rPr>
        <w:t> </w:t>
      </w:r>
      <w:r>
        <w:rPr>
          <w:spacing w:val="-66"/>
        </w:rPr>
      </w:r>
      <w:r>
        <w:rPr>
          <w:spacing w:val="-2"/>
        </w:rPr>
        <w:t>固已有市场并开拓新市场业务，布局海外销售渠道和品牌，加快进入步伐，加大品牌宣传力度，重点提高订单覆盖区域售后</w:t>
      </w:r>
      <w:r>
        <w:rPr>
          <w:spacing w:val="-66"/>
        </w:rPr>
        <w:t> </w:t>
      </w:r>
      <w:r>
        <w:rPr>
          <w:spacing w:val="-66"/>
        </w:rPr>
      </w:r>
      <w:r>
        <w:rPr>
          <w:spacing w:val="-2"/>
        </w:rPr>
        <w:t>服务水平。凭借国内领先的支付技术优势为海外国家在支付收单领域提供系统搭建服务及收单运维体系指导，为客户提供满</w:t>
      </w:r>
      <w:r>
        <w:rPr>
          <w:spacing w:val="-64"/>
        </w:rPr>
        <w:t> </w:t>
      </w:r>
      <w:r>
        <w:rPr>
          <w:spacing w:val="-64"/>
        </w:rPr>
      </w:r>
      <w:r>
        <w:rPr/>
        <w:t>足多种支付方式的机具。</w:t>
      </w:r>
    </w:p>
    <w:p>
      <w:pPr>
        <w:pStyle w:val="BodyText"/>
        <w:spacing w:line="240" w:lineRule="auto" w:before="20"/>
        <w:ind w:left="1493" w:right="994"/>
        <w:jc w:val="left"/>
      </w:pPr>
      <w:r>
        <w:rPr/>
        <w:t>（</w:t>
      </w:r>
      <w:r>
        <w:rPr>
          <w:rFonts w:ascii="Times New Roman" w:hAnsi="Times New Roman" w:cs="Times New Roman" w:eastAsia="Times New Roman" w:hint="default"/>
        </w:rPr>
        <w:t>2</w:t>
      </w:r>
      <w:r>
        <w:rPr/>
        <w:t>）继续整合电子支付产业链上下游核心资源</w:t>
      </w:r>
    </w:p>
    <w:p>
      <w:pPr>
        <w:pStyle w:val="BodyText"/>
        <w:spacing w:line="309" w:lineRule="auto" w:before="63"/>
        <w:ind w:right="1131" w:firstLine="360"/>
        <w:jc w:val="both"/>
      </w:pPr>
      <w:r>
        <w:rPr>
          <w:rFonts w:ascii="Times New Roman" w:hAnsi="Times New Roman" w:cs="Times New Roman" w:eastAsia="Times New Roman" w:hint="default"/>
          <w:spacing w:val="-2"/>
        </w:rPr>
        <w:t>2017</w:t>
      </w:r>
      <w:r>
        <w:rPr>
          <w:spacing w:val="-2"/>
        </w:rPr>
        <w:t>年，公司向支付产业链下游延伸战略已经迈出了关键性的步伐，</w:t>
      </w:r>
      <w:r>
        <w:rPr>
          <w:rFonts w:ascii="Times New Roman" w:hAnsi="Times New Roman" w:cs="Times New Roman" w:eastAsia="Times New Roman" w:hint="default"/>
          <w:spacing w:val="-2"/>
        </w:rPr>
        <w:t>2018</w:t>
      </w:r>
      <w:r>
        <w:rPr>
          <w:spacing w:val="-2"/>
        </w:rPr>
        <w:t>年会尽快推进并购事宜的完成，并购完成后的</w:t>
      </w:r>
      <w:r>
        <w:rPr/>
        <w:t> </w:t>
      </w:r>
      <w:r>
        <w:rPr>
          <w:spacing w:val="-2"/>
        </w:rPr>
        <w:t>整合工作也会积极落实，以实现更好的协同效应。公司在已有技术和商业资源基础上，会继续探寻技术变现的商业机会，对</w:t>
      </w:r>
      <w:r>
        <w:rPr>
          <w:spacing w:val="-66"/>
        </w:rPr>
        <w:t> </w:t>
      </w:r>
      <w:r>
        <w:rPr>
          <w:spacing w:val="-66"/>
        </w:rPr>
      </w:r>
      <w:r>
        <w:rPr>
          <w:spacing w:val="-2"/>
        </w:rPr>
        <w:t>已有相关技术进行整合，并与主营业务相结合。</w:t>
      </w:r>
      <w:r>
        <w:rPr>
          <w:rFonts w:ascii="Times New Roman" w:hAnsi="Times New Roman" w:cs="Times New Roman" w:eastAsia="Times New Roman" w:hint="default"/>
          <w:spacing w:val="-2"/>
        </w:rPr>
        <w:t>2018</w:t>
      </w:r>
      <w:r>
        <w:rPr>
          <w:spacing w:val="-2"/>
        </w:rPr>
        <w:t>年，公司仍然会密切跟踪支付技术和市场需求的创新和发展，做好相关</w:t>
      </w:r>
      <w:r>
        <w:rPr>
          <w:spacing w:val="-61"/>
        </w:rPr>
        <w:t> </w:t>
      </w:r>
      <w:r>
        <w:rPr>
          <w:spacing w:val="-61"/>
        </w:rPr>
      </w:r>
      <w:r>
        <w:rPr>
          <w:spacing w:val="-2"/>
        </w:rPr>
        <w:t>技术的研发和储备工作。在技术领域方面，本年度公司计划继续重点关注智能硬件、大数据分析及人工智能、生物识别等相</w:t>
      </w:r>
      <w:r>
        <w:rPr>
          <w:spacing w:val="-66"/>
        </w:rPr>
        <w:t> </w:t>
      </w:r>
      <w:r>
        <w:rPr>
          <w:spacing w:val="-66"/>
        </w:rPr>
      </w:r>
      <w:r>
        <w:rPr/>
        <w:t>关领域的技术。</w:t>
      </w:r>
    </w:p>
    <w:p>
      <w:pPr>
        <w:pStyle w:val="BodyText"/>
        <w:spacing w:line="300" w:lineRule="auto" w:before="24"/>
        <w:ind w:left="1494" w:right="1032"/>
        <w:jc w:val="left"/>
      </w:pPr>
      <w:r>
        <w:rPr/>
        <w:t>（</w:t>
      </w:r>
      <w:r>
        <w:rPr>
          <w:rFonts w:ascii="Times New Roman" w:hAnsi="Times New Roman" w:cs="Times New Roman" w:eastAsia="Times New Roman" w:hint="default"/>
        </w:rPr>
        <w:t>3</w:t>
      </w:r>
      <w:r>
        <w:rPr/>
        <w:t>）加强投后管理工作、突显各板块业务之间的协同性 在新国都集团战略转型计划中，产业兼并收购以及新兴技术和业务孵化对集团战略落地有着积极促进和重大推动作用，</w:t>
      </w:r>
    </w:p>
    <w:p>
      <w:pPr>
        <w:pStyle w:val="BodyText"/>
        <w:spacing w:line="309" w:lineRule="auto" w:before="31"/>
        <w:ind w:right="1130"/>
        <w:jc w:val="both"/>
      </w:pPr>
      <w:r>
        <w:rPr>
          <w:spacing w:val="-2"/>
        </w:rPr>
        <w:t>为了更好地与被并购公司业务达到战略合作、资源协同的效果，投后管理的工作越来越关键。在</w:t>
      </w:r>
      <w:r>
        <w:rPr>
          <w:rFonts w:ascii="Times New Roman" w:hAnsi="Times New Roman" w:cs="Times New Roman" w:eastAsia="Times New Roman" w:hint="default"/>
          <w:spacing w:val="-2"/>
        </w:rPr>
        <w:t>2018</w:t>
      </w:r>
      <w:r>
        <w:rPr>
          <w:spacing w:val="-2"/>
        </w:rPr>
        <w:t>年，公司形成高效的投</w:t>
      </w:r>
      <w:r>
        <w:rPr>
          <w:spacing w:val="-61"/>
        </w:rPr>
        <w:t> </w:t>
      </w:r>
      <w:r>
        <w:rPr>
          <w:spacing w:val="-61"/>
        </w:rPr>
      </w:r>
      <w:r>
        <w:rPr>
          <w:spacing w:val="-2"/>
        </w:rPr>
        <w:t>后管理团队，计划通过更有效的投后管理，使并入业务和原有板块之间实现协同发展、共荣共生、相互促进，更好地突显协</w:t>
      </w:r>
      <w:r>
        <w:rPr>
          <w:spacing w:val="-66"/>
        </w:rPr>
        <w:t> </w:t>
      </w:r>
      <w:r>
        <w:rPr>
          <w:spacing w:val="-66"/>
        </w:rPr>
      </w:r>
      <w:r>
        <w:rPr/>
        <w:t>同效应。</w:t>
      </w:r>
    </w:p>
    <w:p>
      <w:pPr>
        <w:pStyle w:val="BodyText"/>
        <w:spacing w:line="300" w:lineRule="auto" w:before="24"/>
        <w:ind w:left="1494" w:right="994"/>
        <w:jc w:val="left"/>
      </w:pPr>
      <w:r>
        <w:rPr/>
        <w:t>（</w:t>
      </w:r>
      <w:r>
        <w:rPr>
          <w:rFonts w:ascii="Times New Roman" w:hAnsi="Times New Roman" w:cs="Times New Roman" w:eastAsia="Times New Roman" w:hint="default"/>
        </w:rPr>
        <w:t>4</w:t>
      </w:r>
      <w:r>
        <w:rPr/>
        <w:t>）完善集团化进程，继续加强集团体系建设 </w:t>
      </w:r>
      <w:r>
        <w:rPr>
          <w:spacing w:val="-4"/>
        </w:rPr>
        <w:t>在</w:t>
      </w:r>
      <w:r>
        <w:rPr>
          <w:rFonts w:ascii="Times New Roman" w:hAnsi="Times New Roman" w:cs="Times New Roman" w:eastAsia="Times New Roman" w:hint="default"/>
          <w:spacing w:val="-4"/>
        </w:rPr>
        <w:t>2017</w:t>
      </w:r>
      <w:r>
        <w:rPr>
          <w:spacing w:val="-4"/>
        </w:rPr>
        <w:t>年里，公司已经完成公司平台化、集团化建设，目前，母公司下面各个业务板块并驾齐驱、业务协同、战略融合。</w:t>
      </w:r>
    </w:p>
    <w:p>
      <w:pPr>
        <w:pStyle w:val="BodyText"/>
        <w:spacing w:line="300" w:lineRule="auto" w:before="13"/>
        <w:ind w:left="1134" w:right="1131"/>
        <w:jc w:val="both"/>
      </w:pPr>
      <w:r>
        <w:rPr>
          <w:rFonts w:ascii="Times New Roman" w:hAnsi="Times New Roman" w:cs="Times New Roman" w:eastAsia="Times New Roman" w:hint="default"/>
          <w:spacing w:val="-2"/>
        </w:rPr>
        <w:t>2018</w:t>
      </w:r>
      <w:r>
        <w:rPr>
          <w:spacing w:val="-2"/>
        </w:rPr>
        <w:t>年公司将会持续优化组织架构以适应新的业务体系和市场环境，优化内部管理，进一步完善集团业务、文化、品牌体系</w:t>
      </w:r>
      <w:r>
        <w:rPr>
          <w:spacing w:val="-62"/>
        </w:rPr>
        <w:t> </w:t>
      </w:r>
      <w:r>
        <w:rPr>
          <w:spacing w:val="-62"/>
        </w:rPr>
      </w:r>
      <w:r>
        <w:rPr/>
        <w:t>的建设工作。</w:t>
      </w:r>
    </w:p>
    <w:p>
      <w:pPr>
        <w:pStyle w:val="BodyText"/>
        <w:spacing w:line="300" w:lineRule="auto" w:before="31"/>
        <w:ind w:left="1493" w:right="994"/>
        <w:jc w:val="left"/>
      </w:pPr>
      <w:r>
        <w:rPr/>
        <w:t>（</w:t>
      </w:r>
      <w:r>
        <w:rPr>
          <w:rFonts w:ascii="Times New Roman" w:hAnsi="Times New Roman" w:cs="Times New Roman" w:eastAsia="Times New Roman" w:hint="default"/>
        </w:rPr>
        <w:t>5</w:t>
      </w:r>
      <w:r>
        <w:rPr/>
        <w:t>）继续加强管理团队能力建设，在员工里树立属于新国都的特色文化 </w:t>
      </w:r>
      <w:r>
        <w:rPr>
          <w:spacing w:val="-2"/>
        </w:rPr>
        <w:t>集团公司的业务正在快速的发展，战略转型逐渐落地，已布局多个业务领域，集团生态体系雏形显现，在这过程中对管</w:t>
      </w:r>
    </w:p>
    <w:p>
      <w:pPr>
        <w:pStyle w:val="BodyText"/>
        <w:spacing w:line="316" w:lineRule="auto" w:before="31"/>
        <w:ind w:right="1033"/>
        <w:jc w:val="left"/>
      </w:pPr>
      <w:r>
        <w:rPr/>
        <w:t>理团队的能力提出了更高要求。集团公司计划为了配合公司多元化战略业务布局的发展，在相关领域培养和招募专业人才， </w:t>
      </w:r>
      <w:r>
        <w:rPr>
          <w:spacing w:val="-2"/>
        </w:rPr>
        <w:t>确保公司的战略发展顺利进行。公司会根据实际情况，制定与时俱进的奖惩机制，对业绩有贡献的团队进行积极激励，充分</w:t>
      </w:r>
      <w:r>
        <w:rPr>
          <w:spacing w:val="-66"/>
        </w:rPr>
        <w:t> </w:t>
      </w:r>
      <w:r>
        <w:rPr>
          <w:spacing w:val="-66"/>
        </w:rPr>
      </w:r>
      <w:r>
        <w:rPr/>
        <w:t>调动员工的积极性，实实在在地把员工的利益和集团公司利益一致化。</w:t>
      </w:r>
    </w:p>
    <w:p>
      <w:pPr>
        <w:pStyle w:val="BodyText"/>
        <w:spacing w:line="240" w:lineRule="auto" w:before="19"/>
        <w:ind w:left="1493" w:right="994"/>
        <w:jc w:val="left"/>
      </w:pPr>
      <w:r>
        <w:rPr>
          <w:rFonts w:ascii="Times New Roman" w:hAnsi="Times New Roman" w:cs="Times New Roman" w:eastAsia="Times New Roman" w:hint="default"/>
        </w:rPr>
        <w:t>5</w:t>
      </w:r>
      <w:r>
        <w:rPr/>
        <w:t>、公司可能面对的风险因素分析</w:t>
      </w:r>
    </w:p>
    <w:p>
      <w:pPr>
        <w:pStyle w:val="BodyText"/>
        <w:spacing w:line="300" w:lineRule="auto" w:before="63"/>
        <w:ind w:left="1494" w:right="1032"/>
        <w:jc w:val="left"/>
      </w:pPr>
      <w:r>
        <w:rPr/>
        <w:t>（</w:t>
      </w:r>
      <w:r>
        <w:rPr>
          <w:rFonts w:ascii="Times New Roman" w:hAnsi="Times New Roman" w:cs="Times New Roman" w:eastAsia="Times New Roman" w:hint="default"/>
        </w:rPr>
        <w:t>1</w:t>
      </w:r>
      <w:r>
        <w:rPr/>
        <w:t>）政策法规及行业风险 随着信息技术在支付领域得到广泛的应用，支付基础设施建设取得了重大发展，非现金支付工具日益普及且创新不断，</w:t>
      </w:r>
    </w:p>
    <w:p>
      <w:pPr>
        <w:pStyle w:val="BodyText"/>
        <w:spacing w:line="314" w:lineRule="auto" w:before="31"/>
        <w:ind w:left="1134" w:right="1130"/>
        <w:jc w:val="both"/>
      </w:pPr>
      <w:r>
        <w:rPr>
          <w:spacing w:val="-2"/>
        </w:rPr>
        <w:t>支付服务环境大幅改善，有效支持了实体经济的发展。由于电子支付业务的类金融属性，其合法合规合理开展，对我国金融</w:t>
      </w:r>
      <w:r>
        <w:rPr>
          <w:spacing w:val="-66"/>
        </w:rPr>
        <w:t> </w:t>
      </w:r>
      <w:r>
        <w:rPr>
          <w:spacing w:val="-66"/>
        </w:rPr>
      </w:r>
      <w:r>
        <w:rPr>
          <w:spacing w:val="-5"/>
        </w:rPr>
        <w:t>体系的安全有着重要影响，因此，电子支付服务业务主体、业务全流程一直以来都是金融监管机构重点监控的范围。回顾</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spacing w:val="-2"/>
        </w:rPr>
        <w:t>年支付行业，严监管成为市场的主旋律，对电子支付行业从参与主体、业务流程、交易权限等方面进行了全方位的规定，对</w:t>
      </w:r>
      <w:r>
        <w:rPr>
          <w:spacing w:val="-66"/>
        </w:rPr>
        <w:t> </w:t>
      </w:r>
      <w:r>
        <w:rPr>
          <w:spacing w:val="-66"/>
        </w:rPr>
      </w:r>
      <w:r>
        <w:rPr>
          <w:spacing w:val="-2"/>
        </w:rPr>
        <w:t>行业产生了深远影响。针对该风险，公司也在把握行业政策，研究行业发展趋势，坚持电子支付安全、金融体系安全，加强</w:t>
      </w:r>
      <w:r>
        <w:rPr>
          <w:spacing w:val="-68"/>
        </w:rPr>
        <w:t> </w:t>
      </w:r>
      <w:r>
        <w:rPr>
          <w:spacing w:val="-68"/>
        </w:rPr>
      </w:r>
      <w:r>
        <w:rPr/>
        <w:t>公司相关业务的流程控制的业务原则，积极应对行业监管给行业发展带来的新变化、新机遇和新挑战。</w:t>
      </w:r>
    </w:p>
    <w:p>
      <w:pPr>
        <w:pStyle w:val="BodyText"/>
        <w:spacing w:line="300" w:lineRule="auto" w:before="20"/>
        <w:ind w:left="1494" w:right="994"/>
        <w:jc w:val="left"/>
      </w:pPr>
      <w:r>
        <w:rPr/>
        <w:t>（</w:t>
      </w:r>
      <w:r>
        <w:rPr>
          <w:rFonts w:ascii="Times New Roman" w:hAnsi="Times New Roman" w:cs="Times New Roman" w:eastAsia="Times New Roman" w:hint="default"/>
        </w:rPr>
        <w:t>2</w:t>
      </w:r>
      <w:r>
        <w:rPr/>
        <w:t>）兼并收购带来的财务风险、商誉减值风险 </w:t>
      </w:r>
      <w:r>
        <w:rPr>
          <w:spacing w:val="-2"/>
        </w:rPr>
        <w:t>公司因为战略发展需要，通过兼并收购等方式，获得新业务和新市场的同时，也会增大财务压力和增加财务风险，这对</w:t>
      </w:r>
    </w:p>
    <w:p>
      <w:pPr>
        <w:pStyle w:val="BodyText"/>
        <w:spacing w:line="316" w:lineRule="auto" w:before="31"/>
        <w:ind w:left="1134" w:right="1050"/>
        <w:jc w:val="both"/>
      </w:pPr>
      <w:r>
        <w:rPr>
          <w:spacing w:val="-2"/>
        </w:rPr>
        <w:t>公司财务管理和风险控制提出了更高的要求。兼并收购的财务风险主要有：对被并购企业价值评估不当的定价风险，能否足</w:t>
      </w:r>
      <w:r>
        <w:rPr>
          <w:spacing w:val="-66"/>
        </w:rPr>
        <w:t> </w:t>
      </w:r>
      <w:r>
        <w:rPr>
          <w:spacing w:val="-66"/>
        </w:rPr>
      </w:r>
      <w:r>
        <w:rPr/>
        <w:t>额筹集并购资金的融资风险，在现金支付方式的收购中会尤其突出的偿债风险和交易完成后对被并购企业的业务整合风险。</w:t>
      </w:r>
    </w:p>
    <w:p>
      <w:pPr>
        <w:pStyle w:val="BodyText"/>
        <w:spacing w:line="240" w:lineRule="auto" w:before="19"/>
        <w:ind w:left="1494" w:right="994"/>
        <w:jc w:val="left"/>
      </w:pPr>
      <w:r>
        <w:rPr/>
        <w:t>而在整体经济相对疲弱的大环境下，被并购企业经营及盈利状况不达预期风险也相应增大，这会对上市公司盈利增速造</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1130"/>
        <w:jc w:val="both"/>
      </w:pPr>
      <w:r>
        <w:rPr>
          <w:spacing w:val="-2"/>
        </w:rPr>
        <w:t>成拖累，兼并收购中产生的商誉也将面临计提减值的压力。针对该风险，公司将增强财务管理团队，建立更加严格的风险控</w:t>
      </w:r>
      <w:r>
        <w:rPr>
          <w:spacing w:val="-66"/>
        </w:rPr>
        <w:t> </w:t>
      </w:r>
      <w:r>
        <w:rPr>
          <w:spacing w:val="-66"/>
        </w:rPr>
      </w:r>
      <w:r>
        <w:rPr>
          <w:spacing w:val="-2"/>
        </w:rPr>
        <w:t>制体系；审慎选择并购标的，加强对其尽职调查降低定价风险；及时采取多种方式融资以获得所需资金，避免过度负债，根</w:t>
      </w:r>
      <w:r>
        <w:rPr>
          <w:spacing w:val="-66"/>
        </w:rPr>
        <w:t> </w:t>
      </w:r>
      <w:r>
        <w:rPr>
          <w:spacing w:val="-66"/>
        </w:rPr>
      </w:r>
      <w:r>
        <w:rPr>
          <w:spacing w:val="-2"/>
        </w:rPr>
        <w:t>据实际情况选择自有资本、权益资本和债务资本，降低融资风险，合理选择支付方式、时间及数量降低偿债风险；对于被并</w:t>
      </w:r>
      <w:r>
        <w:rPr>
          <w:spacing w:val="-66"/>
        </w:rPr>
        <w:t> </w:t>
      </w:r>
      <w:r>
        <w:rPr>
          <w:spacing w:val="-66"/>
        </w:rPr>
      </w:r>
      <w:r>
        <w:rPr/>
        <w:t>购企业实现战略整合、人力资源整合、文化整合和财务管理体系的整合，达到整合后企业价值最大化的目标。</w:t>
      </w:r>
    </w:p>
    <w:p>
      <w:pPr>
        <w:pStyle w:val="BodyText"/>
        <w:spacing w:line="300" w:lineRule="auto" w:before="19"/>
        <w:ind w:left="1494" w:right="994"/>
        <w:jc w:val="left"/>
      </w:pPr>
      <w:r>
        <w:rPr/>
        <w:t>（</w:t>
      </w:r>
      <w:r>
        <w:rPr>
          <w:rFonts w:ascii="Times New Roman" w:hAnsi="Times New Roman" w:cs="Times New Roman" w:eastAsia="Times New Roman" w:hint="default"/>
        </w:rPr>
        <w:t>3</w:t>
      </w:r>
      <w:r>
        <w:rPr/>
        <w:t>）产品、技术和服务等不能满足市场需求的风险 </w:t>
      </w:r>
      <w:r>
        <w:rPr>
          <w:spacing w:val="-2"/>
        </w:rPr>
        <w:t>公司已经积极开展基于移动互联网的产品、技术和服务的创新探索，但由于电子支付行业、征信服务等业务本身具备的</w:t>
      </w:r>
    </w:p>
    <w:p>
      <w:pPr>
        <w:pStyle w:val="BodyText"/>
        <w:spacing w:line="316" w:lineRule="auto" w:before="31"/>
        <w:ind w:left="1134" w:right="1131"/>
        <w:jc w:val="both"/>
      </w:pPr>
      <w:r>
        <w:rPr>
          <w:spacing w:val="-2"/>
        </w:rPr>
        <w:t>复杂程度，以及行业发展带来的行业变化加速，业务需求及发展的试错成本越来越高，且这些业务目前都面临着商业模式上</w:t>
      </w:r>
      <w:r>
        <w:rPr>
          <w:spacing w:val="-66"/>
        </w:rPr>
        <w:t> </w:t>
      </w:r>
      <w:r>
        <w:rPr>
          <w:spacing w:val="-66"/>
        </w:rPr>
      </w:r>
      <w:r>
        <w:rPr>
          <w:spacing w:val="-2"/>
        </w:rPr>
        <w:t>的创新，需要公司进行不断的探讨和研究，这导致公司现有产品、技术和服务的创新速度可能跟不上市场的变化，不能满足</w:t>
      </w:r>
      <w:r>
        <w:rPr>
          <w:spacing w:val="-66"/>
        </w:rPr>
        <w:t> </w:t>
      </w:r>
      <w:r>
        <w:rPr>
          <w:spacing w:val="-66"/>
        </w:rPr>
      </w:r>
      <w:r>
        <w:rPr>
          <w:spacing w:val="-2"/>
        </w:rPr>
        <w:t>市场需求，导致公司的盈利能力低于预期。针对该风险，公司将采取积极引进高端人才的策略，尤其是引进有过成功的基于</w:t>
      </w:r>
      <w:r>
        <w:rPr>
          <w:spacing w:val="-66"/>
        </w:rPr>
        <w:t> </w:t>
      </w:r>
      <w:r>
        <w:rPr>
          <w:spacing w:val="-66"/>
        </w:rPr>
      </w:r>
      <w:r>
        <w:rPr>
          <w:spacing w:val="-2"/>
        </w:rPr>
        <w:t>案例的高端人才，积极并购在公司战略布局领域拥有较高市场份额，商业模式已获得市场验证的公司，以提高公司对未来业</w:t>
      </w:r>
      <w:r>
        <w:rPr>
          <w:spacing w:val="-66"/>
        </w:rPr>
        <w:t> </w:t>
      </w:r>
      <w:r>
        <w:rPr>
          <w:spacing w:val="-66"/>
        </w:rPr>
      </w:r>
      <w:r>
        <w:rPr/>
        <w:t>务的把握能力。</w:t>
      </w:r>
    </w:p>
    <w:p>
      <w:pPr>
        <w:pStyle w:val="BodyText"/>
        <w:spacing w:line="300" w:lineRule="auto" w:before="19"/>
        <w:ind w:left="1494" w:right="1132"/>
        <w:jc w:val="left"/>
      </w:pPr>
      <w:r>
        <w:rPr/>
        <w:t>（</w:t>
      </w:r>
      <w:r>
        <w:rPr>
          <w:rFonts w:ascii="Times New Roman" w:hAnsi="Times New Roman" w:cs="Times New Roman" w:eastAsia="Times New Roman" w:hint="default"/>
        </w:rPr>
        <w:t>4</w:t>
      </w:r>
      <w:r>
        <w:rPr/>
        <w:t>）战略转型进度低于预期甚至失败的风险 公司原有业务以电子支付终端制造业务为主，</w:t>
      </w:r>
      <w:r>
        <w:rPr>
          <w:rFonts w:ascii="Times New Roman" w:hAnsi="Times New Roman" w:cs="Times New Roman" w:eastAsia="Times New Roman" w:hint="default"/>
        </w:rPr>
        <w:t>2017</w:t>
      </w:r>
      <w:r>
        <w:rPr/>
        <w:t>年结合实际情况公司进一步将战略框架深化为：</w:t>
      </w:r>
      <w:r>
        <w:rPr>
          <w:rFonts w:ascii="Times New Roman" w:hAnsi="Times New Roman" w:cs="Times New Roman" w:eastAsia="Times New Roman" w:hint="default"/>
        </w:rPr>
        <w:t>“</w:t>
      </w:r>
      <w:r>
        <w:rPr/>
        <w:t>整合电子支付产业</w:t>
      </w:r>
    </w:p>
    <w:p>
      <w:pPr>
        <w:pStyle w:val="BodyText"/>
        <w:spacing w:line="300" w:lineRule="auto" w:before="13"/>
        <w:ind w:left="1134" w:right="1149"/>
        <w:jc w:val="both"/>
      </w:pPr>
      <w:r>
        <w:rPr/>
        <w:t>链，抓住行业变革潮流，开拓创新盈利模式</w:t>
      </w:r>
      <w:r>
        <w:rPr>
          <w:rFonts w:ascii="Times New Roman" w:hAnsi="Times New Roman" w:cs="Times New Roman" w:eastAsia="Times New Roman" w:hint="default"/>
        </w:rPr>
        <w:t>”</w:t>
      </w:r>
      <w:r>
        <w:rPr/>
        <w:t>。在各种因素影响下，公司存在战略落地速度、效率和质量可能低于预期，甚 至战略转型失败的风险。</w:t>
      </w:r>
    </w:p>
    <w:p>
      <w:pPr>
        <w:pStyle w:val="BodyText"/>
        <w:spacing w:line="316" w:lineRule="auto" w:before="31"/>
        <w:ind w:left="1134" w:right="1131" w:firstLine="360"/>
        <w:jc w:val="both"/>
      </w:pPr>
      <w:r>
        <w:rPr>
          <w:spacing w:val="-2"/>
        </w:rPr>
        <w:t>对于传统企业而言，开拓创新盈利模式是一条切实可行但并不好走的转型路径。而开创新盈利模式需要充分利用公司已</w:t>
      </w:r>
      <w:r>
        <w:rPr/>
        <w:t> </w:t>
      </w:r>
      <w:r>
        <w:rPr>
          <w:spacing w:val="-2"/>
        </w:rPr>
        <w:t>积累的行业经验和资源，围绕产业链相关环节与领域延伸布局。在产业发展革新的大环境中，只有通过积极研发且有效应用</w:t>
      </w:r>
      <w:r>
        <w:rPr>
          <w:spacing w:val="-66"/>
        </w:rPr>
        <w:t> </w:t>
      </w:r>
      <w:r>
        <w:rPr>
          <w:spacing w:val="-66"/>
        </w:rPr>
      </w:r>
      <w:r>
        <w:rPr>
          <w:spacing w:val="-2"/>
        </w:rPr>
        <w:t>新兴技术，公司才能抓住行业变革所带来的机会，提升商业模式，降低企业管理成本。对企业原有的生产、研发和工作流程</w:t>
      </w:r>
      <w:r>
        <w:rPr>
          <w:spacing w:val="-66"/>
        </w:rPr>
        <w:t> </w:t>
      </w:r>
      <w:r>
        <w:rPr>
          <w:spacing w:val="-66"/>
        </w:rPr>
      </w:r>
      <w:r>
        <w:rPr>
          <w:spacing w:val="-2"/>
        </w:rPr>
        <w:t>进行系统化的改造，这不仅需要时间来沉淀，也需要企业的管理层具备过人的胆识和智慧，才能顺利完成企业的提升。针对</w:t>
      </w:r>
      <w:r>
        <w:rPr>
          <w:spacing w:val="-66"/>
        </w:rPr>
        <w:t> </w:t>
      </w:r>
      <w:r>
        <w:rPr>
          <w:spacing w:val="-66"/>
        </w:rPr>
      </w:r>
      <w:r>
        <w:rPr>
          <w:spacing w:val="-2"/>
        </w:rPr>
        <w:t>此风险，公司管理层深知战略转型并不能一蹴而就，做好了长期的准备，已经在着手管理架构的重建，新经济新模式下相关</w:t>
      </w:r>
      <w:r>
        <w:rPr>
          <w:spacing w:val="-66"/>
        </w:rPr>
        <w:t> </w:t>
      </w:r>
      <w:r>
        <w:rPr>
          <w:spacing w:val="-66"/>
        </w:rPr>
      </w:r>
      <w:r>
        <w:rPr/>
        <w:t>人力资源的储备，保持稳步战略布局的耐心和节奏，以及进行资金实力储备。</w:t>
      </w:r>
    </w:p>
    <w:p>
      <w:pPr>
        <w:pStyle w:val="BodyText"/>
        <w:spacing w:line="300" w:lineRule="auto" w:before="19"/>
        <w:ind w:left="1494" w:right="994"/>
        <w:jc w:val="left"/>
      </w:pPr>
      <w:r>
        <w:rPr/>
        <w:t>（</w:t>
      </w:r>
      <w:r>
        <w:rPr>
          <w:rFonts w:ascii="Times New Roman" w:hAnsi="Times New Roman" w:cs="Times New Roman" w:eastAsia="Times New Roman" w:hint="default"/>
        </w:rPr>
        <w:t>5</w:t>
      </w:r>
      <w:r>
        <w:rPr/>
        <w:t>）管理团队不能适应公司发展需求的风险 </w:t>
      </w:r>
      <w:r>
        <w:rPr>
          <w:spacing w:val="-2"/>
        </w:rPr>
        <w:t>公司未来的战略规划和业务发展将主要围绕新业务、新服务和新技术开展，但公司现有中高层管理人员、员工团队在这</w:t>
      </w:r>
    </w:p>
    <w:p>
      <w:pPr>
        <w:pStyle w:val="BodyText"/>
        <w:spacing w:line="316" w:lineRule="auto" w:before="31"/>
        <w:ind w:right="1132"/>
        <w:jc w:val="both"/>
      </w:pPr>
      <w:r>
        <w:rPr>
          <w:spacing w:val="-2"/>
        </w:rPr>
        <w:t>方面的储备和经验尚有不足。人才是公司未来战略实施的核心要素，因此，公司如果不能迅速培养或成功引入更多优秀的管</w:t>
      </w:r>
      <w:r>
        <w:rPr>
          <w:spacing w:val="-66"/>
        </w:rPr>
        <w:t> </w:t>
      </w:r>
      <w:r>
        <w:rPr>
          <w:spacing w:val="-66"/>
        </w:rPr>
      </w:r>
      <w:r>
        <w:rPr/>
        <w:t>理人才，则有可能导致公司业务发展无法突破现有瓶颈。</w:t>
      </w:r>
    </w:p>
    <w:p>
      <w:pPr>
        <w:pStyle w:val="BodyText"/>
        <w:spacing w:line="316" w:lineRule="auto" w:before="19"/>
        <w:ind w:left="1134" w:right="1032" w:firstLine="360"/>
        <w:jc w:val="left"/>
      </w:pPr>
      <w:r>
        <w:rPr/>
        <w:t>针对该风险，公司已经开始根据业务需求，有意识的进行人才结构优化工作，调整岗位，裁汰冗员，并通过主动收购， </w:t>
      </w:r>
      <w:r>
        <w:rPr>
          <w:spacing w:val="-2"/>
        </w:rPr>
        <w:t>吸收优秀的业务团队加入，逐步为公司的管理团队引入适当的人才队伍。针对该风险，公司已经开始根据业务需求，有意识</w:t>
      </w:r>
      <w:r>
        <w:rPr>
          <w:spacing w:val="-66"/>
        </w:rPr>
        <w:t> </w:t>
      </w:r>
      <w:r>
        <w:rPr>
          <w:spacing w:val="-66"/>
        </w:rPr>
      </w:r>
      <w:r>
        <w:rPr>
          <w:spacing w:val="-2"/>
        </w:rPr>
        <w:t>的进行人才结构优化工作，调整岗位，裁汰冗员，并通过主动收购，吸收优秀的业务团队加入，逐步为公司的管理团队引入</w:t>
      </w:r>
      <w:r>
        <w:rPr>
          <w:spacing w:val="-66"/>
        </w:rPr>
        <w:t> </w:t>
      </w:r>
      <w:r>
        <w:rPr>
          <w:spacing w:val="-66"/>
        </w:rPr>
      </w:r>
      <w:r>
        <w:rPr/>
        <w:t>经营人才队伍。</w:t>
      </w:r>
    </w:p>
    <w:p>
      <w:pPr>
        <w:pStyle w:val="BodyText"/>
        <w:spacing w:line="240" w:lineRule="auto" w:before="19"/>
        <w:ind w:left="1494" w:right="994"/>
        <w:jc w:val="left"/>
      </w:pPr>
      <w:r>
        <w:rPr/>
        <w:t>（</w:t>
      </w:r>
      <w:r>
        <w:rPr>
          <w:rFonts w:ascii="Times New Roman" w:hAnsi="Times New Roman" w:cs="Times New Roman" w:eastAsia="Times New Roman" w:hint="default"/>
        </w:rPr>
        <w:t>6</w:t>
      </w:r>
      <w:r>
        <w:rPr/>
        <w:t>）关于发起设立保险公司的运营风险</w:t>
      </w:r>
    </w:p>
    <w:p>
      <w:pPr>
        <w:pStyle w:val="BodyText"/>
        <w:spacing w:line="300" w:lineRule="auto" w:before="63"/>
        <w:ind w:right="1131"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日，公司召开第三届董事会第十二次（临时）会议及第三届监事会第十二次会议审议通过《审议参与发起 设立相互人寿保险公司（或组织）的议案》，公司出借自有资金</w:t>
      </w:r>
      <w:r>
        <w:rPr>
          <w:rFonts w:ascii="Times New Roman" w:hAnsi="Times New Roman" w:cs="Times New Roman" w:eastAsia="Times New Roman" w:hint="default"/>
        </w:rPr>
        <w:t>5,000</w:t>
      </w:r>
      <w:r>
        <w:rPr/>
        <w:t>万元，参与发起设立相互人寿保险公司（或组织）， </w:t>
      </w:r>
      <w:r>
        <w:rPr>
          <w:spacing w:val="-1"/>
        </w:rPr>
        <w:t>出借资金后公司拟占相互人寿保险公司（或组织）初始运营资金的</w:t>
      </w:r>
      <w:r>
        <w:rPr>
          <w:rFonts w:ascii="Times New Roman" w:hAnsi="Times New Roman" w:cs="Times New Roman" w:eastAsia="Times New Roman" w:hint="default"/>
          <w:spacing w:val="-1"/>
        </w:rPr>
        <w:t>5%</w:t>
      </w:r>
      <w:r>
        <w:rPr>
          <w:spacing w:val="-1"/>
        </w:rPr>
        <w:t>。</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22</w:t>
      </w:r>
      <w:r>
        <w:rPr>
          <w:spacing w:val="-1"/>
        </w:rPr>
        <w:t>日收到中国保险监督管理委员会《关于</w:t>
      </w:r>
      <w:r>
        <w:rPr>
          <w:spacing w:val="-88"/>
        </w:rPr>
        <w:t> </w:t>
      </w:r>
      <w:r>
        <w:rPr>
          <w:spacing w:val="-88"/>
        </w:rPr>
      </w:r>
      <w:r>
        <w:rPr>
          <w:spacing w:val="-1"/>
        </w:rPr>
        <w:t>筹建信美人寿相互保险社的批复》（保监许可</w:t>
      </w:r>
      <w:r>
        <w:rPr>
          <w:rFonts w:ascii="Times New Roman" w:hAnsi="Times New Roman" w:cs="Times New Roman" w:eastAsia="Times New Roman" w:hint="default"/>
          <w:spacing w:val="-1"/>
        </w:rPr>
        <w:t>[2016]551</w:t>
      </w:r>
      <w:r>
        <w:rPr>
          <w:spacing w:val="-1"/>
        </w:rPr>
        <w:t>号），该保险公司于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月完成工商注册登记手续并取得营业执</w:t>
      </w:r>
      <w:r>
        <w:rPr>
          <w:spacing w:val="-53"/>
        </w:rPr>
        <w:t> </w:t>
      </w:r>
      <w:r>
        <w:rPr/>
        <w:t>照。由于在金融强监管背景下相关法律或监管规定发生变化，可能影响保险公司的正常运营，或消弱其投资收益的风险。</w:t>
      </w:r>
    </w:p>
    <w:p>
      <w:pPr>
        <w:pStyle w:val="BodyText"/>
        <w:spacing w:line="300" w:lineRule="auto" w:before="31"/>
        <w:ind w:left="1493" w:right="1033"/>
        <w:jc w:val="left"/>
      </w:pPr>
      <w:r>
        <w:rPr/>
        <w:t>（</w:t>
      </w:r>
      <w:r>
        <w:rPr>
          <w:rFonts w:ascii="Times New Roman" w:hAnsi="Times New Roman" w:cs="Times New Roman" w:eastAsia="Times New Roman" w:hint="default"/>
        </w:rPr>
        <w:t>7</w:t>
      </w:r>
      <w:r>
        <w:rPr/>
        <w:t>）收购长沙公信诚丰</w:t>
      </w:r>
      <w:r>
        <w:rPr>
          <w:rFonts w:ascii="Times New Roman" w:hAnsi="Times New Roman" w:cs="Times New Roman" w:eastAsia="Times New Roman" w:hint="default"/>
        </w:rPr>
        <w:t>100%</w:t>
      </w:r>
      <w:r>
        <w:rPr/>
        <w:t>股权的风险 公信诚丰专注于提供基于大数据技术的社会征信数据服务，行业政策的变化、新客户的拓展及其经营税务均存在风险，</w:t>
      </w:r>
    </w:p>
    <w:p>
      <w:pPr>
        <w:pStyle w:val="BodyText"/>
        <w:spacing w:line="314" w:lineRule="auto" w:before="31"/>
        <w:ind w:right="1131"/>
        <w:jc w:val="both"/>
      </w:pPr>
      <w:r>
        <w:rPr>
          <w:spacing w:val="-1"/>
        </w:rPr>
        <w:t>公信诚丰于</w:t>
      </w:r>
      <w:r>
        <w:rPr>
          <w:rFonts w:ascii="Times New Roman" w:hAnsi="Times New Roman" w:cs="Times New Roman" w:eastAsia="Times New Roman" w:hint="default"/>
          <w:spacing w:val="-1"/>
        </w:rPr>
        <w:t>2015</w:t>
      </w:r>
      <w:r>
        <w:rPr>
          <w:spacing w:val="-1"/>
        </w:rPr>
        <w:t>年取得国家级高新技术企业证书，按</w:t>
      </w:r>
      <w:r>
        <w:rPr>
          <w:rFonts w:ascii="Times New Roman" w:hAnsi="Times New Roman" w:cs="Times New Roman" w:eastAsia="Times New Roman" w:hint="default"/>
          <w:spacing w:val="-1"/>
        </w:rPr>
        <w:t>15%</w:t>
      </w:r>
      <w:r>
        <w:rPr>
          <w:spacing w:val="-1"/>
        </w:rPr>
        <w:t>的税率缴纳企业所得税，如果公信诚丰享受的所得税优惠政策发生</w:t>
      </w:r>
      <w:r>
        <w:rPr>
          <w:spacing w:val="-87"/>
        </w:rPr>
        <w:t> </w:t>
      </w:r>
      <w:r>
        <w:rPr>
          <w:spacing w:val="-87"/>
        </w:rPr>
      </w:r>
      <w:r>
        <w:rPr>
          <w:spacing w:val="-2"/>
        </w:rPr>
        <w:t>变化、不能通过高新技术企业复审或发生其他与税收相关的不利事件，将对其经营业绩产生不利影响。公信诚丰存在客户集</w:t>
      </w:r>
      <w:r>
        <w:rPr>
          <w:spacing w:val="-66"/>
        </w:rPr>
        <w:t> </w:t>
      </w:r>
      <w:r>
        <w:rPr>
          <w:spacing w:val="-66"/>
        </w:rPr>
      </w:r>
      <w:r>
        <w:rPr>
          <w:spacing w:val="-2"/>
        </w:rPr>
        <w:t>中度高、核心技术人员依赖性高、交易标的增值率较高的风险，同时存在股权收购交易形成的商誉减值、公信诚丰业绩未达</w:t>
      </w:r>
      <w:r>
        <w:rPr>
          <w:spacing w:val="-66"/>
        </w:rPr>
        <w:t> </w:t>
      </w:r>
      <w:r>
        <w:rPr>
          <w:spacing w:val="-66"/>
        </w:rPr>
      </w:r>
      <w:r>
        <w:rPr>
          <w:spacing w:val="-2"/>
        </w:rPr>
        <w:t>预期及业绩补偿实施的违约风险、整合风险。针对此风险，公司通过向公信诚丰派立董事、管理人员及财务人员，设立共管</w:t>
      </w:r>
      <w:r>
        <w:rPr>
          <w:spacing w:val="-66"/>
        </w:rPr>
        <w:t> </w:t>
      </w:r>
      <w:r>
        <w:rPr>
          <w:spacing w:val="-66"/>
        </w:rPr>
      </w:r>
      <w:r>
        <w:rPr/>
        <w:t>账户，针对核心技术人员签订保密协议及竞业禁止协议等，设置业绩承诺指标等方式降低风险。</w:t>
      </w:r>
    </w:p>
    <w:p>
      <w:pPr>
        <w:pStyle w:val="BodyText"/>
        <w:spacing w:line="300" w:lineRule="auto" w:before="20"/>
        <w:ind w:left="1493" w:right="1153"/>
        <w:jc w:val="left"/>
      </w:pPr>
      <w:r>
        <w:rPr/>
        <w:t>（</w:t>
      </w:r>
      <w:r>
        <w:rPr>
          <w:rFonts w:ascii="Times New Roman" w:hAnsi="Times New Roman" w:cs="Times New Roman" w:eastAsia="Times New Roman" w:hint="default"/>
        </w:rPr>
        <w:t>8</w:t>
      </w:r>
      <w:r>
        <w:rPr/>
        <w:t>）收购嘉联支付</w:t>
      </w:r>
      <w:r>
        <w:rPr>
          <w:rFonts w:ascii="Times New Roman" w:hAnsi="Times New Roman" w:cs="Times New Roman" w:eastAsia="Times New Roman" w:hint="default"/>
        </w:rPr>
        <w:t>100%</w:t>
      </w:r>
      <w:r>
        <w:rPr/>
        <w:t>股权的风险 收购嘉联支付</w:t>
      </w:r>
      <w:r>
        <w:rPr>
          <w:rFonts w:ascii="Times New Roman" w:hAnsi="Times New Roman" w:cs="Times New Roman" w:eastAsia="Times New Roman" w:hint="default"/>
        </w:rPr>
        <w:t>100%</w:t>
      </w:r>
      <w:r>
        <w:rPr/>
        <w:t>股权存在审批风险、《支付业务许可证》不能续期的风险、市场竞争风险、业务风险、公司估值过</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1131"/>
        <w:jc w:val="both"/>
      </w:pPr>
      <w:r>
        <w:rPr>
          <w:spacing w:val="-2"/>
        </w:rPr>
        <w:t>高对现有支付终端业务产生负面影响风险及商誉减值风险、后期整合未到预期效果风险、人才流失风险、政策监管风险和对</w:t>
      </w:r>
      <w:r>
        <w:rPr>
          <w:spacing w:val="-66"/>
        </w:rPr>
        <w:t> </w:t>
      </w:r>
      <w:r>
        <w:rPr>
          <w:spacing w:val="-66"/>
        </w:rPr>
      </w:r>
      <w:r>
        <w:rPr>
          <w:spacing w:val="-2"/>
        </w:rPr>
        <w:t>现有支付终端业务产生负面影响等风险。对于并购嘉联支付的相关风险，公司会加强投后整合管理工作，为嘉联支付管理层</w:t>
      </w:r>
      <w:r>
        <w:rPr>
          <w:spacing w:val="-65"/>
        </w:rPr>
        <w:t> </w:t>
      </w:r>
      <w:r>
        <w:rPr>
          <w:spacing w:val="-65"/>
        </w:rPr>
      </w:r>
      <w:r>
        <w:rPr>
          <w:spacing w:val="-2"/>
        </w:rPr>
        <w:t>及核心骨干提供有效激励方案，并且把合规运营放在首位，及时认真学习及积极落实监管政策；在业务上加强双方主体在产</w:t>
      </w:r>
      <w:r>
        <w:rPr>
          <w:spacing w:val="-66"/>
        </w:rPr>
        <w:t> </w:t>
      </w:r>
      <w:r>
        <w:rPr>
          <w:spacing w:val="-66"/>
        </w:rPr>
      </w:r>
      <w:r>
        <w:rPr/>
        <w:t>业链上协同效应从而真正突显出产业链整合的红利、增强公司的盈利能力和抗风险能力。</w:t>
      </w:r>
    </w:p>
    <w:p>
      <w:pPr>
        <w:spacing w:line="240" w:lineRule="auto" w:before="10"/>
        <w:rPr>
          <w:rFonts w:ascii="宋体" w:hAnsi="宋体" w:cs="宋体" w:eastAsia="宋体" w:hint="default"/>
          <w:sz w:val="20"/>
          <w:szCs w:val="20"/>
        </w:rPr>
      </w:pPr>
    </w:p>
    <w:p>
      <w:pPr>
        <w:pStyle w:val="Heading4"/>
        <w:spacing w:line="240" w:lineRule="auto"/>
        <w:ind w:right="0"/>
        <w:jc w:val="both"/>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pStyle w:val="BodyText"/>
        <w:spacing w:line="240" w:lineRule="auto"/>
        <w:ind w:left="0" w:right="1156"/>
        <w:jc w:val="right"/>
      </w:pPr>
      <w:r>
        <w:rPr/>
        <w:pict>
          <v:shape style="position:absolute;margin-left:56.459999pt;margin-top:-72.278267pt;width:478.65pt;height:92.0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8"/>
                    <w:gridCol w:w="2177"/>
                    <w:gridCol w:w="2177"/>
                    <w:gridCol w:w="3026"/>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2"/>
                          <w:ind w:left="23" w:right="9"/>
                          <w:jc w:val="left"/>
                          <w:rPr>
                            <w:rFonts w:ascii="宋体" w:hAnsi="宋体" w:cs="宋体" w:eastAsia="宋体" w:hint="default"/>
                            <w:sz w:val="18"/>
                            <w:szCs w:val="18"/>
                          </w:rPr>
                        </w:pPr>
                        <w:r>
                          <w:rPr>
                            <w:rFonts w:ascii="宋体" w:hAnsi="宋体" w:cs="宋体" w:eastAsia="宋体" w:hint="default"/>
                            <w:spacing w:val="-5"/>
                            <w:sz w:val="18"/>
                            <w:szCs w:val="18"/>
                          </w:rPr>
                          <w:t>具体请查看公布于巨潮资讯网的《</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2"/>
                          <w:ind w:left="23" w:right="9"/>
                          <w:jc w:val="left"/>
                          <w:rPr>
                            <w:rFonts w:ascii="宋体" w:hAnsi="宋体" w:cs="宋体" w:eastAsia="宋体" w:hint="default"/>
                            <w:sz w:val="18"/>
                            <w:szCs w:val="18"/>
                          </w:rPr>
                        </w:pPr>
                        <w:r>
                          <w:rPr>
                            <w:rFonts w:ascii="宋体" w:hAnsi="宋体" w:cs="宋体" w:eastAsia="宋体" w:hint="default"/>
                            <w:spacing w:val="-5"/>
                            <w:sz w:val="18"/>
                            <w:szCs w:val="18"/>
                          </w:rPr>
                          <w:t>具体请查看公布于巨潮资讯网的《</w:t>
                        </w:r>
                        <w:r>
                          <w:rPr>
                            <w:rFonts w:ascii="Times New Roman" w:hAnsi="Times New Roman" w:cs="Times New Roman" w:eastAsia="Times New Roman" w:hint="default"/>
                            <w:spacing w:val="-5"/>
                            <w:sz w:val="18"/>
                            <w:szCs w:val="18"/>
                          </w:rPr>
                          <w:t>2017</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5"/>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994"/>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94"/>
        <w:jc w:val="left"/>
      </w:pPr>
      <w:r>
        <w:rPr/>
        <w:t>报告期内普通股利润分配政策，特别是现金分红政策的制定、执行或调整情况</w:t>
      </w:r>
    </w:p>
    <w:p>
      <w:pPr>
        <w:pStyle w:val="BodyText"/>
        <w:spacing w:line="240" w:lineRule="auto" w:before="117"/>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4" w:lineRule="auto" w:before="101"/>
        <w:ind w:right="113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日公司召开第三届董事会第四十一次会议及第三届监事会第四十次会议，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日公司召开</w:t>
      </w:r>
      <w:r>
        <w:rPr>
          <w:rFonts w:ascii="Times New Roman" w:hAnsi="Times New Roman" w:cs="Times New Roman" w:eastAsia="Times New Roman" w:hint="default"/>
        </w:rPr>
        <w:t>2016</w:t>
      </w:r>
      <w:r>
        <w:rPr/>
        <w:t>年年 </w:t>
      </w:r>
      <w:r>
        <w:rPr>
          <w:spacing w:val="-2"/>
        </w:rPr>
        <w:t>度股东大会审议通过了</w:t>
      </w:r>
      <w:r>
        <w:rPr>
          <w:rFonts w:ascii="Times New Roman" w:hAnsi="Times New Roman" w:cs="Times New Roman" w:eastAsia="Times New Roman" w:hint="default"/>
          <w:spacing w:val="-2"/>
        </w:rPr>
        <w:t>2016</w:t>
      </w:r>
      <w:r>
        <w:rPr>
          <w:spacing w:val="-2"/>
        </w:rPr>
        <w:t>年度利润分配预案，该利润分配预案为：以新国都</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日经中国证券登记结算有限责任</w:t>
      </w:r>
      <w:r>
        <w:rPr>
          <w:spacing w:val="-53"/>
        </w:rPr>
        <w:t> </w:t>
      </w:r>
      <w:r>
        <w:rPr>
          <w:spacing w:val="-4"/>
        </w:rPr>
        <w:t>公司深圳分公司登记的总股本</w:t>
      </w:r>
      <w:r>
        <w:rPr>
          <w:rFonts w:ascii="Times New Roman" w:hAnsi="Times New Roman" w:cs="Times New Roman" w:eastAsia="Times New Roman" w:hint="default"/>
          <w:spacing w:val="-4"/>
        </w:rPr>
        <w:t>235,481,280</w:t>
      </w:r>
      <w:r>
        <w:rPr>
          <w:spacing w:val="-4"/>
        </w:rPr>
        <w:t>为基数，向全体股东每</w:t>
      </w:r>
      <w:r>
        <w:rPr>
          <w:rFonts w:ascii="Times New Roman" w:hAnsi="Times New Roman" w:cs="Times New Roman" w:eastAsia="Times New Roman" w:hint="default"/>
          <w:spacing w:val="-4"/>
        </w:rPr>
        <w:t>10</w:t>
      </w:r>
      <w:r>
        <w:rPr>
          <w:spacing w:val="-4"/>
        </w:rPr>
        <w:t>股派发现金股利</w:t>
      </w:r>
      <w:r>
        <w:rPr>
          <w:rFonts w:ascii="Times New Roman" w:hAnsi="Times New Roman" w:cs="Times New Roman" w:eastAsia="Times New Roman" w:hint="default"/>
          <w:spacing w:val="-4"/>
        </w:rPr>
        <w:t>0.60</w:t>
      </w:r>
      <w:r>
        <w:rPr>
          <w:spacing w:val="-4"/>
        </w:rPr>
        <w:t>元人民币（含税），共分配</w:t>
      </w:r>
      <w:r>
        <w:rPr>
          <w:rFonts w:ascii="Times New Roman" w:hAnsi="Times New Roman" w:cs="Times New Roman" w:eastAsia="Times New Roman" w:hint="default"/>
          <w:spacing w:val="-4"/>
        </w:rPr>
        <w:t>1,412.88768</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spacing w:val="-2"/>
        </w:rPr>
        <w:t>万元。分配方案公布后至实施前，公司总股本由于可转债转股、股份回购、股权激励行权、再融资新增股份上市等原因而发</w:t>
      </w:r>
      <w:r>
        <w:rPr>
          <w:spacing w:val="-66"/>
        </w:rPr>
        <w:t> </w:t>
      </w:r>
      <w:r>
        <w:rPr>
          <w:spacing w:val="-66"/>
        </w:rPr>
      </w:r>
      <w:r>
        <w:rPr/>
        <w:t>生变化的，分配比例应当按照</w:t>
      </w:r>
      <w:r>
        <w:rPr>
          <w:rFonts w:ascii="Times New Roman" w:hAnsi="Times New Roman" w:cs="Times New Roman" w:eastAsia="Times New Roman" w:hint="default"/>
        </w:rPr>
        <w:t>“</w:t>
      </w:r>
      <w:r>
        <w:rPr/>
        <w:t>分派总额不变</w:t>
      </w:r>
      <w:r>
        <w:rPr>
          <w:rFonts w:ascii="Times New Roman" w:hAnsi="Times New Roman" w:cs="Times New Roman" w:eastAsia="Times New Roman" w:hint="default"/>
        </w:rPr>
        <w:t>”</w:t>
      </w:r>
      <w:r>
        <w:rPr/>
        <w:t>的原则进行相应调整。</w:t>
      </w:r>
    </w:p>
    <w:p>
      <w:pPr>
        <w:pStyle w:val="BodyText"/>
        <w:spacing w:line="300" w:lineRule="auto" w:before="9"/>
        <w:ind w:left="1134" w:right="1130" w:firstLine="360"/>
        <w:jc w:val="both"/>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日在结算公司提交利润分派实施流程，由于实施过程中结算公司审核期间，公司总股本因公司股权 </w:t>
      </w:r>
      <w:r>
        <w:rPr>
          <w:spacing w:val="-2"/>
        </w:rPr>
        <w:t>激励计划自主行权发生变化，根据</w:t>
      </w:r>
      <w:r>
        <w:rPr>
          <w:rFonts w:ascii="Times New Roman" w:hAnsi="Times New Roman" w:cs="Times New Roman" w:eastAsia="Times New Roman" w:hint="default"/>
          <w:spacing w:val="-2"/>
        </w:rPr>
        <w:t>“</w:t>
      </w:r>
      <w:r>
        <w:rPr>
          <w:spacing w:val="-2"/>
        </w:rPr>
        <w:t>分派总额不变</w:t>
      </w:r>
      <w:r>
        <w:rPr>
          <w:rFonts w:ascii="Times New Roman" w:hAnsi="Times New Roman" w:cs="Times New Roman" w:eastAsia="Times New Roman" w:hint="default"/>
          <w:spacing w:val="-2"/>
        </w:rPr>
        <w:t>”</w:t>
      </w:r>
      <w:r>
        <w:rPr>
          <w:spacing w:val="-2"/>
        </w:rPr>
        <w:t>的原则，公司以实施</w:t>
      </w:r>
      <w:r>
        <w:rPr>
          <w:rFonts w:ascii="Times New Roman" w:hAnsi="Times New Roman" w:cs="Times New Roman" w:eastAsia="Times New Roman" w:hint="default"/>
          <w:spacing w:val="-2"/>
        </w:rPr>
        <w:t>2016</w:t>
      </w:r>
      <w:r>
        <w:rPr>
          <w:spacing w:val="-2"/>
        </w:rPr>
        <w:t>年权益分派的股权登记日总股本</w:t>
      </w:r>
      <w:r>
        <w:rPr>
          <w:rFonts w:ascii="Times New Roman" w:hAnsi="Times New Roman" w:cs="Times New Roman" w:eastAsia="Times New Roman" w:hint="default"/>
          <w:spacing w:val="-2"/>
        </w:rPr>
        <w:t>239,477,540</w:t>
      </w:r>
      <w:r>
        <w:rPr>
          <w:spacing w:val="-2"/>
        </w:rPr>
        <w:t>股为</w:t>
      </w:r>
      <w:r>
        <w:rPr>
          <w:spacing w:val="-30"/>
        </w:rPr>
        <w:t> </w:t>
      </w:r>
      <w:r>
        <w:rPr>
          <w:spacing w:val="-2"/>
        </w:rPr>
        <w:t>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0.589987</w:t>
      </w:r>
      <w:r>
        <w:rPr>
          <w:spacing w:val="-2"/>
        </w:rPr>
        <w:t>元人民币（含税），共分配</w:t>
      </w:r>
      <w:r>
        <w:rPr>
          <w:rFonts w:ascii="Times New Roman" w:hAnsi="Times New Roman" w:cs="Times New Roman" w:eastAsia="Times New Roman" w:hint="default"/>
          <w:spacing w:val="-2"/>
        </w:rPr>
        <w:t>1412.88635</w:t>
      </w:r>
      <w:r>
        <w:rPr>
          <w:spacing w:val="-2"/>
        </w:rPr>
        <w:t>万元，该调整发布于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23</w:t>
      </w:r>
      <w:r>
        <w:rPr>
          <w:spacing w:val="-2"/>
        </w:rPr>
        <w:t>日的</w:t>
      </w:r>
      <w:r>
        <w:rPr/>
      </w:r>
    </w:p>
    <w:p>
      <w:pPr>
        <w:pStyle w:val="BodyText"/>
        <w:spacing w:line="240" w:lineRule="auto" w:before="13"/>
        <w:ind w:right="994"/>
        <w:jc w:val="left"/>
      </w:pPr>
      <w:r>
        <w:rPr/>
        <w:t>《</w:t>
      </w:r>
      <w:r>
        <w:rPr>
          <w:rFonts w:ascii="Times New Roman" w:hAnsi="Times New Roman" w:cs="Times New Roman" w:eastAsia="Times New Roman" w:hint="default"/>
        </w:rPr>
        <w:t>2016</w:t>
      </w:r>
      <w:r>
        <w:rPr/>
        <w:t>年年度权益分派实施公告》。</w:t>
      </w:r>
      <w:r>
        <w:rPr>
          <w:rFonts w:ascii="Times New Roman" w:hAnsi="Times New Roman" w:cs="Times New Roman" w:eastAsia="Times New Roman" w:hint="default"/>
        </w:rPr>
        <w:t>2016</w:t>
      </w:r>
      <w:r>
        <w:rPr/>
        <w:t>年度利润分配方案已于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日实施完毕。</w:t>
      </w:r>
    </w:p>
    <w:p>
      <w:pPr>
        <w:spacing w:line="240" w:lineRule="auto" w:before="11"/>
        <w:rPr>
          <w:rFonts w:ascii="宋体" w:hAnsi="宋体" w:cs="宋体" w:eastAsia="宋体" w:hint="default"/>
          <w:sz w:val="27"/>
          <w:szCs w:val="27"/>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134" w:right="994"/>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265,486,700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39,823,005.00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575,422,937.68</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公司发展阶段属成熟期且有重大资金支出安排的，进行利润分配时，现金分红在本次利润分配中所占比例最低应达到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8" w:hRule="exact"/>
        </w:trPr>
        <w:tc>
          <w:tcPr>
            <w:tcW w:w="95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日经中国证券登记结算有限责任公司深圳分公司登记的总股本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265,486,700 </w:t>
            </w:r>
            <w:r>
              <w:rPr>
                <w:rFonts w:ascii="宋体" w:hAnsi="宋体" w:cs="宋体" w:eastAsia="宋体" w:hint="default"/>
                <w:spacing w:val="-3"/>
                <w:sz w:val="18"/>
                <w:szCs w:val="18"/>
              </w:rPr>
              <w:t>为基数，向全体股东每</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w:t>
            </w:r>
            <w:r>
              <w:rPr>
                <w:rFonts w:ascii="宋体" w:hAnsi="宋体" w:cs="宋体" w:eastAsia="宋体" w:hint="default"/>
                <w:spacing w:val="-18"/>
                <w:sz w:val="18"/>
                <w:szCs w:val="18"/>
              </w:rPr>
              <w:t>币</w:t>
            </w:r>
            <w:r>
              <w:rPr>
                <w:rFonts w:ascii="宋体" w:hAnsi="宋体" w:cs="宋体" w:eastAsia="宋体" w:hint="default"/>
                <w:sz w:val="18"/>
                <w:szCs w:val="18"/>
              </w:rPr>
              <w:t>（含税</w:t>
            </w:r>
            <w:r>
              <w:rPr>
                <w:rFonts w:ascii="宋体" w:hAnsi="宋体" w:cs="宋体" w:eastAsia="宋体" w:hint="default"/>
                <w:spacing w:val="-90"/>
                <w:sz w:val="18"/>
                <w:szCs w:val="18"/>
              </w:rPr>
              <w:t>）</w:t>
            </w:r>
            <w:r>
              <w:rPr>
                <w:rFonts w:ascii="宋体" w:hAnsi="宋体" w:cs="宋体" w:eastAsia="宋体" w:hint="default"/>
                <w:spacing w:val="-18"/>
                <w:sz w:val="18"/>
                <w:szCs w:val="18"/>
              </w:rPr>
              <w:t>，</w:t>
            </w:r>
            <w:r>
              <w:rPr>
                <w:rFonts w:ascii="宋体" w:hAnsi="宋体" w:cs="宋体" w:eastAsia="宋体" w:hint="default"/>
                <w:sz w:val="18"/>
                <w:szCs w:val="18"/>
              </w:rPr>
              <w:t>共分配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3,982.30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18"/>
                <w:sz w:val="18"/>
                <w:szCs w:val="18"/>
              </w:rPr>
              <w:t>。</w:t>
            </w:r>
            <w:r>
              <w:rPr>
                <w:rFonts w:ascii="宋体" w:hAnsi="宋体" w:cs="宋体" w:eastAsia="宋体" w:hint="default"/>
                <w:sz w:val="18"/>
                <w:szCs w:val="18"/>
              </w:rPr>
              <w:t>同时</w:t>
            </w:r>
            <w:r>
              <w:rPr>
                <w:rFonts w:ascii="宋体" w:hAnsi="宋体" w:cs="宋体" w:eastAsia="宋体" w:hint="default"/>
                <w:spacing w:val="-18"/>
                <w:sz w:val="18"/>
                <w:szCs w:val="18"/>
              </w:rPr>
              <w:t>，</w:t>
            </w:r>
            <w:r>
              <w:rPr>
                <w:rFonts w:ascii="宋体" w:hAnsi="宋体" w:cs="宋体" w:eastAsia="宋体" w:hint="default"/>
                <w:sz w:val="18"/>
                <w:szCs w:val="18"/>
              </w:rPr>
              <w:t>拟以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1"/>
                <w:sz w:val="18"/>
                <w:szCs w:val="18"/>
              </w:rPr>
              <w:t>司</w:t>
            </w:r>
            <w:r>
              <w:rPr>
                <w:rFonts w:ascii="宋体" w:hAnsi="宋体" w:cs="宋体" w:eastAsia="宋体" w:hint="default"/>
                <w:sz w:val="18"/>
                <w:szCs w:val="18"/>
              </w:rPr>
              <w:t>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265,486</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70</w:t>
            </w:r>
            <w:r>
              <w:rPr>
                <w:rFonts w:ascii="Times New Roman" w:hAnsi="Times New Roman" w:cs="Times New Roman" w:eastAsia="Times New Roman" w:hint="default"/>
                <w:sz w:val="18"/>
                <w:szCs w:val="18"/>
              </w:rPr>
              <w:t>0</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为基数，由资本公积金向全体股东每</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股转增</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股，合计转增股本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212,389,360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股。董事会审议利润分配方案后股本发生 变动的，将按照“现金分红总额、送红股总额、转增股本总额固定不变”的原则对分配比例进行调整。</w:t>
            </w:r>
          </w:p>
        </w:tc>
      </w:tr>
    </w:tbl>
    <w:p>
      <w:pPr>
        <w:pStyle w:val="BodyText"/>
        <w:spacing w:line="240" w:lineRule="auto" w:before="51"/>
        <w:ind w:left="1134" w:right="994"/>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2"/>
        <w:ind w:right="1184" w:firstLine="360"/>
        <w:jc w:val="both"/>
      </w:pPr>
      <w:r>
        <w:rPr>
          <w:rFonts w:ascii="Times New Roman" w:hAnsi="Times New Roman" w:cs="Times New Roman" w:eastAsia="Times New Roman" w:hint="default"/>
        </w:rPr>
        <w:t>1.2015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日，公司召开</w:t>
      </w:r>
      <w:r>
        <w:rPr>
          <w:rFonts w:ascii="Times New Roman" w:hAnsi="Times New Roman" w:cs="Times New Roman" w:eastAsia="Times New Roman" w:hint="default"/>
        </w:rPr>
        <w:t>2014</w:t>
      </w:r>
      <w:r>
        <w:rPr/>
        <w:t>年年度股东大会审议通过了</w:t>
      </w:r>
      <w:r>
        <w:rPr>
          <w:rFonts w:ascii="Times New Roman" w:hAnsi="Times New Roman" w:cs="Times New Roman" w:eastAsia="Times New Roman" w:hint="default"/>
        </w:rPr>
        <w:t>2014</w:t>
      </w:r>
      <w:r>
        <w:rPr/>
        <w:t>年度利润分配方案，公司以总股本</w:t>
      </w:r>
      <w:r>
        <w:rPr>
          <w:rFonts w:ascii="Times New Roman" w:hAnsi="Times New Roman" w:cs="Times New Roman" w:eastAsia="Times New Roman" w:hint="default"/>
        </w:rPr>
        <w:t>114,300,000</w:t>
      </w:r>
      <w:r>
        <w:rPr/>
        <w:t>股为基 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0.5</w:t>
      </w:r>
      <w:r>
        <w:rPr/>
        <w:t>元人民币（含税）。同时，以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114,300,000</w:t>
      </w:r>
      <w:r>
        <w:rPr/>
        <w:t>为基数，由资 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股，合计转增股本</w:t>
      </w:r>
      <w:r>
        <w:rPr>
          <w:rFonts w:ascii="Times New Roman" w:hAnsi="Times New Roman" w:cs="Times New Roman" w:eastAsia="Times New Roman" w:hint="default"/>
        </w:rPr>
        <w:t>114,300,000</w:t>
      </w:r>
      <w:r>
        <w:rPr/>
        <w:t>股，转增股本完成后，公司总股本为</w:t>
      </w:r>
      <w:r>
        <w:rPr>
          <w:rFonts w:ascii="Times New Roman" w:hAnsi="Times New Roman" w:cs="Times New Roman" w:eastAsia="Times New Roman" w:hint="default"/>
        </w:rPr>
        <w:t>228,600,000</w:t>
      </w:r>
      <w:r>
        <w:rPr/>
        <w:t>股。</w:t>
      </w:r>
    </w:p>
    <w:p>
      <w:pPr>
        <w:pStyle w:val="BodyText"/>
        <w:spacing w:line="300" w:lineRule="auto" w:before="13"/>
        <w:ind w:left="1134" w:right="1184" w:firstLine="360"/>
        <w:jc w:val="both"/>
      </w:pPr>
      <w:r>
        <w:rPr>
          <w:rFonts w:ascii="Times New Roman" w:hAnsi="Times New Roman" w:cs="Times New Roman" w:eastAsia="Times New Roman" w:hint="default"/>
        </w:rPr>
        <w:t>2.2016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日，公司召开</w:t>
      </w:r>
      <w:r>
        <w:rPr>
          <w:rFonts w:ascii="Times New Roman" w:hAnsi="Times New Roman" w:cs="Times New Roman" w:eastAsia="Times New Roman" w:hint="default"/>
        </w:rPr>
        <w:t>2015</w:t>
      </w:r>
      <w:r>
        <w:rPr/>
        <w:t>年年度股东大会审议通过了</w:t>
      </w:r>
      <w:r>
        <w:rPr>
          <w:rFonts w:ascii="Times New Roman" w:hAnsi="Times New Roman" w:cs="Times New Roman" w:eastAsia="Times New Roman" w:hint="default"/>
        </w:rPr>
        <w:t>2015</w:t>
      </w:r>
      <w:r>
        <w:rPr/>
        <w:t>年度利润分配方案：公司以总股本</w:t>
      </w:r>
      <w:r>
        <w:rPr>
          <w:rFonts w:ascii="Times New Roman" w:hAnsi="Times New Roman" w:cs="Times New Roman" w:eastAsia="Times New Roman" w:hint="default"/>
        </w:rPr>
        <w:t>231,021,360</w:t>
      </w:r>
      <w:r>
        <w:rPr/>
        <w:t>股为基 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0.5</w:t>
      </w:r>
      <w:r>
        <w:rPr/>
        <w:t>元人民币（含税）。</w:t>
      </w:r>
      <w:r>
        <w:rPr>
          <w:rFonts w:ascii="Times New Roman" w:hAnsi="Times New Roman" w:cs="Times New Roman" w:eastAsia="Times New Roman" w:hint="default"/>
        </w:rPr>
        <w:t>2015</w:t>
      </w:r>
      <w:r>
        <w:rPr/>
        <w:t>年度公司未进行资本公积金转增股本。</w:t>
      </w:r>
    </w:p>
    <w:p>
      <w:pPr>
        <w:pStyle w:val="BodyText"/>
        <w:spacing w:line="300" w:lineRule="auto" w:before="13"/>
        <w:ind w:right="1030" w:firstLine="360"/>
        <w:jc w:val="left"/>
      </w:pPr>
      <w:r>
        <w:rPr>
          <w:rFonts w:ascii="Times New Roman" w:hAnsi="Times New Roman" w:cs="Times New Roman" w:eastAsia="Times New Roman" w:hint="default"/>
          <w:spacing w:val="-2"/>
        </w:rPr>
        <w:t>3.2017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日，公司召开</w:t>
      </w:r>
      <w:r>
        <w:rPr>
          <w:rFonts w:ascii="Times New Roman" w:hAnsi="Times New Roman" w:cs="Times New Roman" w:eastAsia="Times New Roman" w:hint="default"/>
          <w:spacing w:val="-2"/>
        </w:rPr>
        <w:t>2016</w:t>
      </w:r>
      <w:r>
        <w:rPr>
          <w:spacing w:val="-2"/>
        </w:rPr>
        <w:t>年年度股东大会审议通过了</w:t>
      </w:r>
      <w:r>
        <w:rPr>
          <w:rFonts w:ascii="Times New Roman" w:hAnsi="Times New Roman" w:cs="Times New Roman" w:eastAsia="Times New Roman" w:hint="default"/>
          <w:spacing w:val="-2"/>
        </w:rPr>
        <w:t>2016</w:t>
      </w:r>
      <w:r>
        <w:rPr>
          <w:spacing w:val="-2"/>
        </w:rPr>
        <w:t>年年度利润分派方案：以公司总股本</w:t>
      </w:r>
      <w:r>
        <w:rPr>
          <w:rFonts w:ascii="Times New Roman" w:hAnsi="Times New Roman" w:cs="Times New Roman" w:eastAsia="Times New Roman" w:hint="default"/>
          <w:spacing w:val="-2"/>
        </w:rPr>
        <w:t>235,481,280</w:t>
      </w:r>
      <w:r>
        <w:rPr>
          <w:spacing w:val="-2"/>
        </w:rPr>
        <w:t>为基数，</w:t>
      </w:r>
      <w:r>
        <w:rPr/>
        <w:t> </w:t>
      </w:r>
      <w:r>
        <w:rPr>
          <w:spacing w:val="-2"/>
        </w:rPr>
        <w:t>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0.60</w:t>
      </w:r>
      <w:r>
        <w:rPr>
          <w:spacing w:val="-2"/>
        </w:rPr>
        <w:t>元人民币（含税），共分配</w:t>
      </w:r>
      <w:r>
        <w:rPr>
          <w:rFonts w:ascii="Times New Roman" w:hAnsi="Times New Roman" w:cs="Times New Roman" w:eastAsia="Times New Roman" w:hint="default"/>
          <w:spacing w:val="-2"/>
        </w:rPr>
        <w:t>1,412.88768</w:t>
      </w:r>
      <w:r>
        <w:rPr>
          <w:spacing w:val="-2"/>
        </w:rPr>
        <w:t>万元。</w:t>
      </w:r>
      <w:r>
        <w:rPr>
          <w:rFonts w:ascii="Times New Roman" w:hAnsi="Times New Roman" w:cs="Times New Roman" w:eastAsia="Times New Roman" w:hint="default"/>
          <w:spacing w:val="-2"/>
        </w:rPr>
        <w:t>2016</w:t>
      </w:r>
      <w:r>
        <w:rPr>
          <w:spacing w:val="-2"/>
        </w:rPr>
        <w:t>年度公司未进行资本公积金转增股本。</w:t>
      </w:r>
    </w:p>
    <w:p>
      <w:pPr>
        <w:pStyle w:val="BodyText"/>
        <w:spacing w:line="240" w:lineRule="auto" w:before="53"/>
        <w:ind w:left="1494" w:right="994"/>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39,823,005.00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71,933,856.89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14,128,876.80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139,021,692.71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11,551,068.00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85,495,853.97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994"/>
        <w:jc w:val="left"/>
      </w:pPr>
      <w:r>
        <w:rPr/>
        <w:t>公司报告期内盈利且母公司可供普通股股东分配利润为正但未提出普通股现金红利分配预案</w:t>
      </w:r>
    </w:p>
    <w:p>
      <w:pPr>
        <w:pStyle w:val="BodyText"/>
        <w:spacing w:line="240" w:lineRule="auto" w:before="117"/>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994"/>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59" w:lineRule="auto"/>
        <w:ind w:right="994"/>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1"/>
        </w:rPr>
        <w:t> </w:t>
      </w:r>
      <w:r>
        <w:rPr>
          <w:spacing w:val="-71"/>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825"/>
        <w:gridCol w:w="1125"/>
        <w:gridCol w:w="1126"/>
        <w:gridCol w:w="1126"/>
        <w:gridCol w:w="1127"/>
        <w:gridCol w:w="1121"/>
        <w:gridCol w:w="1107"/>
      </w:tblGrid>
      <w:tr>
        <w:trPr>
          <w:trHeight w:val="402"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5" w:type="dxa"/>
            <w:tcBorders>
              <w:top w:val="single" w:sz="4" w:space="0" w:color="000000"/>
              <w:left w:val="single" w:sz="13" w:space="0" w:color="D2D2D2"/>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0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2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5" w:type="dxa"/>
            <w:tcBorders>
              <w:top w:val="single" w:sz="4" w:space="0" w:color="000000"/>
              <w:left w:val="single" w:sz="13" w:space="0" w:color="D2D2D2"/>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0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74" w:hRule="exact"/>
        </w:trPr>
        <w:tc>
          <w:tcPr>
            <w:tcW w:w="28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vMerge w:val="restart"/>
            <w:tcBorders>
              <w:top w:val="single" w:sz="4" w:space="0" w:color="000000"/>
              <w:left w:val="single" w:sz="9" w:space="0" w:color="D2D2D2"/>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16" w:right="89"/>
              <w:jc w:val="left"/>
              <w:rPr>
                <w:rFonts w:ascii="宋体" w:hAnsi="宋体" w:cs="宋体" w:eastAsia="宋体" w:hint="default"/>
                <w:sz w:val="18"/>
                <w:szCs w:val="18"/>
              </w:rPr>
            </w:pPr>
            <w:r>
              <w:rPr>
                <w:rFonts w:ascii="宋体" w:hAnsi="宋体" w:cs="宋体" w:eastAsia="宋体" w:hint="default"/>
                <w:sz w:val="18"/>
                <w:szCs w:val="18"/>
              </w:rPr>
              <w:t>江汉</w:t>
            </w:r>
            <w:r>
              <w:rPr>
                <w:rFonts w:ascii="Times New Roman" w:hAnsi="Times New Roman" w:cs="Times New Roman" w:eastAsia="Times New Roman" w:hint="default"/>
                <w:sz w:val="18"/>
                <w:szCs w:val="18"/>
              </w:rPr>
              <w:t>;</w:t>
            </w:r>
            <w:r>
              <w:rPr>
                <w:rFonts w:ascii="宋体" w:hAnsi="宋体" w:cs="宋体" w:eastAsia="宋体" w:hint="default"/>
                <w:sz w:val="18"/>
                <w:szCs w:val="18"/>
              </w:rPr>
              <w:t>刘祥</w:t>
            </w:r>
            <w:r>
              <w:rPr>
                <w:rFonts w:ascii="Times New Roman" w:hAnsi="Times New Roman" w:cs="Times New Roman" w:eastAsia="Times New Roman" w:hint="default"/>
                <w:sz w:val="18"/>
                <w:szCs w:val="18"/>
              </w:rPr>
              <w:t>;</w:t>
            </w:r>
            <w:r>
              <w:rPr>
                <w:rFonts w:ascii="宋体" w:hAnsi="宋体" w:cs="宋体" w:eastAsia="宋体" w:hint="default"/>
                <w:sz w:val="18"/>
                <w:szCs w:val="18"/>
              </w:rPr>
              <w:t>刘 亚</w:t>
            </w:r>
          </w:p>
        </w:tc>
        <w:tc>
          <w:tcPr>
            <w:tcW w:w="1126"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71"/>
              <w:ind w:left="22" w:right="21"/>
              <w:jc w:val="left"/>
              <w:rPr>
                <w:rFonts w:ascii="宋体" w:hAnsi="宋体" w:cs="宋体" w:eastAsia="宋体" w:hint="default"/>
                <w:sz w:val="18"/>
                <w:szCs w:val="18"/>
              </w:rPr>
            </w:pPr>
            <w:r>
              <w:rPr>
                <w:rFonts w:ascii="宋体" w:hAnsi="宋体" w:cs="宋体" w:eastAsia="宋体" w:hint="default"/>
                <w:sz w:val="18"/>
                <w:szCs w:val="18"/>
              </w:rPr>
              <w:t>为避免同业 竞争损害公 司及其他股 </w:t>
            </w:r>
            <w:r>
              <w:rPr>
                <w:rFonts w:ascii="宋体" w:hAnsi="宋体" w:cs="宋体" w:eastAsia="宋体" w:hint="default"/>
                <w:spacing w:val="-2"/>
                <w:sz w:val="18"/>
                <w:szCs w:val="18"/>
              </w:rPr>
              <w:t>东的利益，公</w:t>
            </w:r>
          </w:p>
        </w:tc>
        <w:tc>
          <w:tcPr>
            <w:tcW w:w="1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9999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07"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2"/>
              <w:ind w:left="22" w:right="-6"/>
              <w:jc w:val="left"/>
              <w:rPr>
                <w:rFonts w:ascii="宋体" w:hAnsi="宋体" w:cs="宋体" w:eastAsia="宋体" w:hint="default"/>
                <w:sz w:val="18"/>
                <w:szCs w:val="18"/>
              </w:rPr>
            </w:pPr>
            <w:r>
              <w:rPr>
                <w:rFonts w:ascii="宋体" w:hAnsi="宋体" w:cs="宋体" w:eastAsia="宋体" w:hint="default"/>
                <w:sz w:val="18"/>
                <w:szCs w:val="18"/>
              </w:rPr>
              <w:t>自该承诺公 </w:t>
            </w:r>
            <w:r>
              <w:rPr>
                <w:rFonts w:ascii="宋体" w:hAnsi="宋体" w:cs="宋体" w:eastAsia="宋体" w:hint="default"/>
                <w:spacing w:val="-5"/>
                <w:sz w:val="18"/>
                <w:szCs w:val="18"/>
              </w:rPr>
              <w:t>告至今，承诺</w:t>
            </w:r>
            <w:r>
              <w:rPr>
                <w:rFonts w:ascii="宋体" w:hAnsi="宋体" w:cs="宋体" w:eastAsia="宋体" w:hint="default"/>
                <w:sz w:val="18"/>
                <w:szCs w:val="18"/>
              </w:rPr>
              <w:t> 人正常持续 地履行承诺。</w:t>
            </w:r>
          </w:p>
        </w:tc>
      </w:tr>
      <w:tr>
        <w:trPr>
          <w:trHeight w:val="391" w:hRule="exact"/>
        </w:trPr>
        <w:tc>
          <w:tcPr>
            <w:tcW w:w="28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5" w:type="dxa"/>
            <w:vMerge/>
            <w:tcBorders>
              <w:left w:val="single" w:sz="9" w:space="0" w:color="D2D2D2"/>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27"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474" w:hRule="exact"/>
        </w:trPr>
        <w:tc>
          <w:tcPr>
            <w:tcW w:w="28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vMerge/>
            <w:tcBorders>
              <w:left w:val="single" w:sz="9" w:space="0" w:color="D2D2D2"/>
              <w:bottom w:val="single" w:sz="4" w:space="0" w:color="000000"/>
              <w:right w:val="single" w:sz="4" w:space="0" w:color="000000"/>
            </w:tcBorders>
            <w:shd w:val="clear" w:color="auto" w:fill="CCE8CF"/>
          </w:tcPr>
          <w:p>
            <w:pPr/>
          </w:p>
        </w:tc>
        <w:tc>
          <w:tcPr>
            <w:tcW w:w="1126" w:type="dxa"/>
            <w:vMerge/>
            <w:tcBorders>
              <w:left w:val="single" w:sz="4" w:space="0" w:color="000000"/>
              <w:bottom w:val="single" w:sz="4" w:space="0" w:color="000000"/>
              <w:right w:val="single" w:sz="4" w:space="0" w:color="000000"/>
            </w:tcBorders>
            <w:shd w:val="clear" w:color="auto" w:fill="CCE8CF"/>
          </w:tcPr>
          <w:p>
            <w:pPr/>
          </w:p>
        </w:tc>
        <w:tc>
          <w:tcPr>
            <w:tcW w:w="1126" w:type="dxa"/>
            <w:vMerge/>
            <w:tcBorders>
              <w:left w:val="single" w:sz="4" w:space="0" w:color="000000"/>
              <w:bottom w:val="single" w:sz="4" w:space="0" w:color="000000"/>
              <w:right w:val="single" w:sz="4" w:space="0" w:color="000000"/>
            </w:tcBorders>
            <w:shd w:val="clear" w:color="auto" w:fill="CCE8CF"/>
          </w:tcPr>
          <w:p>
            <w:pPr/>
          </w:p>
        </w:tc>
        <w:tc>
          <w:tcPr>
            <w:tcW w:w="1127"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CE8CF"/>
          </w:tcPr>
          <w:p>
            <w:pPr/>
          </w:p>
        </w:tc>
        <w:tc>
          <w:tcPr>
            <w:tcW w:w="1107" w:type="dxa"/>
            <w:vMerge/>
            <w:tcBorders>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43.420013pt;margin-top:72.47998pt;width:80.1pt;height:686.5pt;mso-position-horizontal-relative:page;mso-position-vertical-relative:page;z-index:-1159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8"/>
                    <w:ind w:left="0" w:right="0"/>
                    <w:jc w:val="left"/>
                  </w:pPr>
                  <w:r>
                    <w:rPr/>
                    <w:t>刘祥、</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shd w:val="clear" w:color="auto" w:fill="CCE8CF"/>
          </w:tcPr>
          <w:p>
            <w:pPr/>
          </w:p>
        </w:tc>
        <w:tc>
          <w:tcPr>
            <w:tcW w:w="1126" w:type="dxa"/>
            <w:vMerge w:val="restart"/>
            <w:tcBorders>
              <w:top w:val="single" w:sz="4" w:space="0" w:color="000000"/>
              <w:left w:val="single" w:sz="4" w:space="0" w:color="000000"/>
              <w:right w:val="single" w:sz="4" w:space="0" w:color="000000"/>
            </w:tcBorders>
            <w:shd w:val="clear" w:color="auto" w:fill="CCE8CF"/>
          </w:tcPr>
          <w:p>
            <w:pPr/>
          </w:p>
        </w:tc>
        <w:tc>
          <w:tcPr>
            <w:tcW w:w="1115"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司实际控制</w:t>
            </w:r>
          </w:p>
        </w:tc>
        <w:tc>
          <w:tcPr>
            <w:tcW w:w="1138" w:type="dxa"/>
            <w:vMerge w:val="restart"/>
            <w:tcBorders>
              <w:top w:val="single" w:sz="4" w:space="0" w:color="000000"/>
              <w:left w:val="single" w:sz="13" w:space="0" w:color="CCE8CF"/>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shd w:val="clear" w:color="auto" w:fill="CCE8CF"/>
          </w:tcPr>
          <w:p>
            <w:pPr/>
          </w:p>
        </w:tc>
        <w:tc>
          <w:tcPr>
            <w:tcW w:w="1107" w:type="dxa"/>
            <w:vMerge w:val="restart"/>
            <w:tcBorders>
              <w:top w:val="single" w:sz="4" w:space="0" w:color="000000"/>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人刘祥及持</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股东刘亚、江</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汉共同出具</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了《关于避免</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同业竞争的</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承诺函</w:t>
            </w:r>
            <w:r>
              <w:rPr>
                <w:rFonts w:ascii="宋体" w:hAnsi="宋体" w:cs="宋体" w:eastAsia="宋体" w:hint="default"/>
                <w:spacing w:val="-90"/>
                <w:sz w:val="18"/>
                <w:szCs w:val="18"/>
              </w:rPr>
              <w:t>》</w:t>
            </w:r>
            <w:r>
              <w:rPr>
                <w:rFonts w:ascii="宋体" w:hAnsi="宋体" w:cs="宋体" w:eastAsia="宋体" w:hint="default"/>
                <w:sz w:val="18"/>
                <w:szCs w:val="18"/>
              </w:rPr>
              <w:t>，做</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出了以下承</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r>
              <w:rPr>
                <w:rFonts w:ascii="宋体" w:hAnsi="宋体" w:cs="宋体" w:eastAsia="宋体" w:hint="default"/>
                <w:spacing w:val="-14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刘亚及江汉</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共同保证，不</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以自营或以</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合资、合作等</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方式经营任</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何与发行人</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现从事的业</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务有竞争的</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业务，刘祥、</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刘亚及江汉</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现有的或将</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来成立的全</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资子公司、控</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股子公司以</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及其他受刘</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祥、刘亚及江</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汉控制的企</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业亦不会经</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营与发行人</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现从事的业</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务有竞争的</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w:t>
            </w:r>
            <w:r>
              <w:rPr>
                <w:rFonts w:ascii="Times New Roman" w:hAnsi="Times New Roman" w:cs="Times New Roman" w:eastAsia="Times New Roman" w:hint="default"/>
                <w:sz w:val="18"/>
                <w:szCs w:val="18"/>
              </w:rPr>
              <w:t>2</w:t>
            </w:r>
            <w:r>
              <w:rPr>
                <w:rFonts w:ascii="宋体" w:hAnsi="宋体" w:cs="宋体" w:eastAsia="宋体" w:hint="default"/>
                <w:sz w:val="18"/>
                <w:szCs w:val="18"/>
              </w:rPr>
              <w:t>）如</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违反上述承</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诺，刘祥、刘</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亚及江汉同</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意承担给发</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行人造成的</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全部损失。</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）本承诺</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函自出具之</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日起生效，并</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在刘祥、刘亚</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及江汉作为</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CCE8CF"/>
          </w:tcPr>
          <w:p>
            <w:pPr/>
          </w:p>
        </w:tc>
        <w:tc>
          <w:tcPr>
            <w:tcW w:w="1126" w:type="dxa"/>
            <w:vMerge/>
            <w:tcBorders>
              <w:left w:val="single" w:sz="4" w:space="0" w:color="000000"/>
              <w:bottom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发行人股东</w:t>
            </w:r>
          </w:p>
        </w:tc>
        <w:tc>
          <w:tcPr>
            <w:tcW w:w="1138" w:type="dxa"/>
            <w:vMerge/>
            <w:tcBorders>
              <w:left w:val="single" w:sz="13" w:space="0" w:color="CCE8CF"/>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CE8CF"/>
          </w:tcPr>
          <w:p>
            <w:pPr/>
          </w:p>
        </w:tc>
        <w:tc>
          <w:tcPr>
            <w:tcW w:w="1107" w:type="dxa"/>
            <w:vMerge/>
            <w:tcBorders>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10"/>
      </w:tblGrid>
      <w:tr>
        <w:trPr>
          <w:trHeight w:val="986"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0"/>
              <w:ind w:left="22" w:right="180"/>
              <w:jc w:val="both"/>
              <w:rPr>
                <w:rFonts w:ascii="宋体" w:hAnsi="宋体" w:cs="宋体" w:eastAsia="宋体" w:hint="default"/>
                <w:sz w:val="18"/>
                <w:szCs w:val="18"/>
              </w:rPr>
            </w:pPr>
            <w:r>
              <w:rPr>
                <w:rFonts w:ascii="宋体" w:hAnsi="宋体" w:cs="宋体" w:eastAsia="宋体" w:hint="default"/>
                <w:sz w:val="18"/>
                <w:szCs w:val="18"/>
              </w:rPr>
              <w:t>或关联方的 整个期间持 续有效。</w:t>
            </w:r>
          </w:p>
        </w:tc>
        <w:tc>
          <w:tcPr>
            <w:tcW w:w="1138" w:type="dxa"/>
            <w:tcBorders>
              <w:top w:val="single" w:sz="4" w:space="0" w:color="000000"/>
              <w:left w:val="single" w:sz="13" w:space="0" w:color="CCE8CF"/>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10"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5082" w:hRule="exact"/>
        </w:trPr>
        <w:tc>
          <w:tcPr>
            <w:tcW w:w="2837"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23" w:right="89"/>
              <w:jc w:val="left"/>
              <w:rPr>
                <w:rFonts w:ascii="宋体" w:hAnsi="宋体" w:cs="宋体" w:eastAsia="宋体" w:hint="default"/>
                <w:sz w:val="18"/>
                <w:szCs w:val="18"/>
              </w:rPr>
            </w:pPr>
            <w:r>
              <w:rPr>
                <w:rFonts w:ascii="宋体" w:hAnsi="宋体" w:cs="宋体" w:eastAsia="宋体" w:hint="default"/>
                <w:sz w:val="18"/>
                <w:szCs w:val="18"/>
              </w:rPr>
              <w:t>江汉</w:t>
            </w:r>
            <w:r>
              <w:rPr>
                <w:rFonts w:ascii="Times New Roman" w:hAnsi="Times New Roman" w:cs="Times New Roman" w:eastAsia="Times New Roman" w:hint="default"/>
                <w:sz w:val="18"/>
                <w:szCs w:val="18"/>
              </w:rPr>
              <w:t>;</w:t>
            </w:r>
            <w:r>
              <w:rPr>
                <w:rFonts w:ascii="宋体" w:hAnsi="宋体" w:cs="宋体" w:eastAsia="宋体" w:hint="default"/>
                <w:sz w:val="18"/>
                <w:szCs w:val="18"/>
              </w:rPr>
              <w:t>刘祥</w:t>
            </w:r>
            <w:r>
              <w:rPr>
                <w:rFonts w:ascii="Times New Roman" w:hAnsi="Times New Roman" w:cs="Times New Roman" w:eastAsia="Times New Roman" w:hint="default"/>
                <w:sz w:val="18"/>
                <w:szCs w:val="18"/>
              </w:rPr>
              <w:t>;</w:t>
            </w:r>
            <w:r>
              <w:rPr>
                <w:rFonts w:ascii="宋体" w:hAnsi="宋体" w:cs="宋体" w:eastAsia="宋体" w:hint="default"/>
                <w:sz w:val="18"/>
                <w:szCs w:val="18"/>
              </w:rPr>
              <w:t>刘 亚</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公司实际控 制人刘祥及 关联股东刘 亚和江汉共 </w:t>
            </w:r>
            <w:r>
              <w:rPr>
                <w:rFonts w:ascii="宋体" w:hAnsi="宋体" w:cs="宋体" w:eastAsia="宋体" w:hint="default"/>
                <w:spacing w:val="-13"/>
                <w:w w:val="100"/>
                <w:sz w:val="18"/>
                <w:szCs w:val="18"/>
              </w:rPr>
              <w:t>同承诺：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如公</w:t>
            </w:r>
            <w:r>
              <w:rPr>
                <w:rFonts w:ascii="宋体" w:hAnsi="宋体" w:cs="宋体" w:eastAsia="宋体" w:hint="default"/>
                <w:sz w:val="18"/>
                <w:szCs w:val="18"/>
              </w:rPr>
              <w:t> 司</w:t>
            </w:r>
            <w:r>
              <w:rPr>
                <w:rFonts w:ascii="Times New Roman" w:hAnsi="Times New Roman" w:cs="Times New Roman" w:eastAsia="Times New Roman" w:hint="default"/>
                <w:sz w:val="18"/>
                <w:szCs w:val="18"/>
              </w:rPr>
              <w:t>(</w:t>
            </w:r>
            <w:r>
              <w:rPr>
                <w:rFonts w:ascii="宋体" w:hAnsi="宋体" w:cs="宋体" w:eastAsia="宋体" w:hint="default"/>
                <w:sz w:val="18"/>
                <w:szCs w:val="18"/>
              </w:rPr>
              <w:t>含下属子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因任何 违反税收征 管的法律、法 规而遭受税 务主管机关 追讨欠税并 处罚的情况， 本人同意全 额承担相关 的责任。</w:t>
            </w:r>
            <w:r>
              <w:rPr>
                <w:rFonts w:ascii="Times New Roman" w:hAnsi="Times New Roman" w:cs="Times New Roman" w:eastAsia="Times New Roman" w:hint="default"/>
                <w:sz w:val="18"/>
                <w:szCs w:val="18"/>
              </w:rPr>
              <w:t>”</w:t>
            </w:r>
          </w:p>
        </w:tc>
        <w:tc>
          <w:tcPr>
            <w:tcW w:w="113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9999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3"/>
              <w:jc w:val="left"/>
              <w:rPr>
                <w:rFonts w:ascii="宋体" w:hAnsi="宋体" w:cs="宋体" w:eastAsia="宋体" w:hint="default"/>
                <w:sz w:val="18"/>
                <w:szCs w:val="18"/>
              </w:rPr>
            </w:pPr>
            <w:r>
              <w:rPr>
                <w:rFonts w:ascii="宋体" w:hAnsi="宋体" w:cs="宋体" w:eastAsia="宋体" w:hint="default"/>
                <w:sz w:val="18"/>
                <w:szCs w:val="18"/>
              </w:rPr>
              <w:t>自该承诺公 </w:t>
            </w:r>
            <w:r>
              <w:rPr>
                <w:rFonts w:ascii="宋体" w:hAnsi="宋体" w:cs="宋体" w:eastAsia="宋体" w:hint="default"/>
                <w:spacing w:val="-5"/>
                <w:sz w:val="18"/>
                <w:szCs w:val="18"/>
              </w:rPr>
              <w:t>告至今，承诺</w:t>
            </w:r>
            <w:r>
              <w:rPr>
                <w:rFonts w:ascii="宋体" w:hAnsi="宋体" w:cs="宋体" w:eastAsia="宋体" w:hint="default"/>
                <w:sz w:val="18"/>
                <w:szCs w:val="18"/>
              </w:rPr>
              <w:t> 人正常持续 地履行承诺。</w:t>
            </w:r>
          </w:p>
        </w:tc>
      </w:tr>
      <w:tr>
        <w:trPr>
          <w:trHeight w:val="6330" w:hRule="exact"/>
        </w:trPr>
        <w:tc>
          <w:tcPr>
            <w:tcW w:w="2837"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00" w:lineRule="auto"/>
              <w:ind w:left="23" w:right="89"/>
              <w:jc w:val="left"/>
              <w:rPr>
                <w:rFonts w:ascii="宋体" w:hAnsi="宋体" w:cs="宋体" w:eastAsia="宋体" w:hint="default"/>
                <w:sz w:val="18"/>
                <w:szCs w:val="18"/>
              </w:rPr>
            </w:pPr>
            <w:r>
              <w:rPr>
                <w:rFonts w:ascii="宋体" w:hAnsi="宋体" w:cs="宋体" w:eastAsia="宋体" w:hint="default"/>
                <w:sz w:val="18"/>
                <w:szCs w:val="18"/>
              </w:rPr>
              <w:t>江汉</w:t>
            </w:r>
            <w:r>
              <w:rPr>
                <w:rFonts w:ascii="Times New Roman" w:hAnsi="Times New Roman" w:cs="Times New Roman" w:eastAsia="Times New Roman" w:hint="default"/>
                <w:sz w:val="18"/>
                <w:szCs w:val="18"/>
              </w:rPr>
              <w:t>;</w:t>
            </w:r>
            <w:r>
              <w:rPr>
                <w:rFonts w:ascii="宋体" w:hAnsi="宋体" w:cs="宋体" w:eastAsia="宋体" w:hint="default"/>
                <w:sz w:val="18"/>
                <w:szCs w:val="18"/>
              </w:rPr>
              <w:t>刘祥</w:t>
            </w:r>
            <w:r>
              <w:rPr>
                <w:rFonts w:ascii="Times New Roman" w:hAnsi="Times New Roman" w:cs="Times New Roman" w:eastAsia="Times New Roman" w:hint="default"/>
                <w:sz w:val="18"/>
                <w:szCs w:val="18"/>
              </w:rPr>
              <w:t>;</w:t>
            </w:r>
            <w:r>
              <w:rPr>
                <w:rFonts w:ascii="宋体" w:hAnsi="宋体" w:cs="宋体" w:eastAsia="宋体" w:hint="default"/>
                <w:sz w:val="18"/>
                <w:szCs w:val="18"/>
              </w:rPr>
              <w:t>刘 亚</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公司实际控 制人及持股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 刘祥、刘亚、 江汉出具承 </w:t>
            </w:r>
            <w:r>
              <w:rPr>
                <w:rFonts w:ascii="宋体" w:hAnsi="宋体" w:cs="宋体" w:eastAsia="宋体" w:hint="default"/>
                <w:spacing w:val="-13"/>
                <w:w w:val="100"/>
                <w:sz w:val="18"/>
                <w:szCs w:val="18"/>
              </w:rPr>
              <w:t>诺函：</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如今后</w:t>
            </w:r>
            <w:r>
              <w:rPr>
                <w:rFonts w:ascii="宋体" w:hAnsi="宋体" w:cs="宋体" w:eastAsia="宋体" w:hint="default"/>
                <w:sz w:val="18"/>
                <w:szCs w:val="18"/>
              </w:rPr>
              <w:t> 贵司因上市 前执行住房 公积金政策 事宜被要求 补缴住房公 积金、缴纳罚</w:t>
            </w:r>
            <w:r>
              <w:rPr>
                <w:rFonts w:ascii="宋体" w:hAnsi="宋体" w:cs="宋体" w:eastAsia="宋体" w:hint="default"/>
                <w:sz w:val="18"/>
                <w:szCs w:val="18"/>
              </w:rPr>
              <w:t> 款或因此而 遭受任何损 失时，我们将 及时、无条 件、全额补偿 贵司由此遭 受的一切损 失</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9999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3"/>
              <w:jc w:val="left"/>
              <w:rPr>
                <w:rFonts w:ascii="宋体" w:hAnsi="宋体" w:cs="宋体" w:eastAsia="宋体" w:hint="default"/>
                <w:sz w:val="18"/>
                <w:szCs w:val="18"/>
              </w:rPr>
            </w:pPr>
            <w:r>
              <w:rPr>
                <w:rFonts w:ascii="宋体" w:hAnsi="宋体" w:cs="宋体" w:eastAsia="宋体" w:hint="default"/>
                <w:sz w:val="18"/>
                <w:szCs w:val="18"/>
              </w:rPr>
              <w:t>自该承诺公 </w:t>
            </w:r>
            <w:r>
              <w:rPr>
                <w:rFonts w:ascii="宋体" w:hAnsi="宋体" w:cs="宋体" w:eastAsia="宋体" w:hint="default"/>
                <w:spacing w:val="-5"/>
                <w:sz w:val="18"/>
                <w:szCs w:val="18"/>
              </w:rPr>
              <w:t>告至今，承诺</w:t>
            </w:r>
            <w:r>
              <w:rPr>
                <w:rFonts w:ascii="宋体" w:hAnsi="宋体" w:cs="宋体" w:eastAsia="宋体" w:hint="default"/>
                <w:sz w:val="18"/>
                <w:szCs w:val="18"/>
              </w:rPr>
              <w:t> 人正常持续 地履行承诺。</w:t>
            </w:r>
          </w:p>
        </w:tc>
      </w:tr>
      <w:tr>
        <w:trPr>
          <w:trHeight w:val="133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6"/>
              <w:ind w:left="23" w:right="89"/>
              <w:jc w:val="left"/>
              <w:rPr>
                <w:rFonts w:ascii="宋体" w:hAnsi="宋体" w:cs="宋体" w:eastAsia="宋体" w:hint="default"/>
                <w:sz w:val="18"/>
                <w:szCs w:val="18"/>
              </w:rPr>
            </w:pPr>
            <w:r>
              <w:rPr>
                <w:rFonts w:ascii="宋体" w:hAnsi="宋体" w:cs="宋体" w:eastAsia="宋体" w:hint="default"/>
                <w:sz w:val="18"/>
                <w:szCs w:val="18"/>
              </w:rPr>
              <w:t>江汉</w:t>
            </w:r>
            <w:r>
              <w:rPr>
                <w:rFonts w:ascii="Times New Roman" w:hAnsi="Times New Roman" w:cs="Times New Roman" w:eastAsia="Times New Roman" w:hint="default"/>
                <w:sz w:val="18"/>
                <w:szCs w:val="18"/>
              </w:rPr>
              <w:t>;</w:t>
            </w:r>
            <w:r>
              <w:rPr>
                <w:rFonts w:ascii="宋体" w:hAnsi="宋体" w:cs="宋体" w:eastAsia="宋体" w:hint="default"/>
                <w:sz w:val="18"/>
                <w:szCs w:val="18"/>
              </w:rPr>
              <w:t>刘祥</w:t>
            </w:r>
            <w:r>
              <w:rPr>
                <w:rFonts w:ascii="Times New Roman" w:hAnsi="Times New Roman" w:cs="Times New Roman" w:eastAsia="Times New Roman" w:hint="default"/>
                <w:sz w:val="18"/>
                <w:szCs w:val="18"/>
              </w:rPr>
              <w:t>;</w:t>
            </w:r>
            <w:r>
              <w:rPr>
                <w:rFonts w:ascii="宋体" w:hAnsi="宋体" w:cs="宋体" w:eastAsia="宋体" w:hint="default"/>
                <w:sz w:val="18"/>
                <w:szCs w:val="18"/>
              </w:rPr>
              <w:t>刘 亚</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72"/>
              <w:ind w:left="22" w:right="180"/>
              <w:jc w:val="both"/>
              <w:rPr>
                <w:rFonts w:ascii="宋体" w:hAnsi="宋体" w:cs="宋体" w:eastAsia="宋体" w:hint="default"/>
                <w:sz w:val="18"/>
                <w:szCs w:val="18"/>
              </w:rPr>
            </w:pPr>
            <w:r>
              <w:rPr>
                <w:rFonts w:ascii="宋体" w:hAnsi="宋体" w:cs="宋体" w:eastAsia="宋体" w:hint="default"/>
                <w:sz w:val="18"/>
                <w:szCs w:val="18"/>
              </w:rPr>
              <w:t>公司实际控 制人刘祥及 关联股东刘 亚和江汉共</w:t>
            </w:r>
          </w:p>
        </w:tc>
        <w:tc>
          <w:tcPr>
            <w:tcW w:w="113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9999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自该承诺公 </w:t>
            </w:r>
            <w:r>
              <w:rPr>
                <w:rFonts w:ascii="宋体" w:hAnsi="宋体" w:cs="宋体" w:eastAsia="宋体" w:hint="default"/>
                <w:spacing w:val="-5"/>
                <w:sz w:val="18"/>
                <w:szCs w:val="18"/>
              </w:rPr>
              <w:t>告至今，承诺</w:t>
            </w:r>
            <w:r>
              <w:rPr>
                <w:rFonts w:ascii="宋体" w:hAnsi="宋体" w:cs="宋体" w:eastAsia="宋体" w:hint="default"/>
                <w:sz w:val="18"/>
                <w:szCs w:val="18"/>
              </w:rPr>
              <w:t> 人正常持续 地履行承诺。</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7539"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13"/>
                <w:w w:val="100"/>
                <w:sz w:val="18"/>
                <w:szCs w:val="18"/>
              </w:rPr>
              <w:t>同承诺：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在中</w:t>
            </w:r>
            <w:r>
              <w:rPr>
                <w:rFonts w:ascii="宋体" w:hAnsi="宋体" w:cs="宋体" w:eastAsia="宋体" w:hint="default"/>
                <w:sz w:val="18"/>
                <w:szCs w:val="18"/>
              </w:rPr>
              <w:t> 国证监会核 准发行人本 次发行股票 并上市，且发</w:t>
            </w:r>
            <w:r>
              <w:rPr>
                <w:rFonts w:ascii="宋体" w:hAnsi="宋体" w:cs="宋体" w:eastAsia="宋体" w:hint="default"/>
                <w:sz w:val="18"/>
                <w:szCs w:val="18"/>
              </w:rPr>
              <w:t> 行人公开发 行的股票在 证券交易所 正式挂牌后， 若因公司租 赁厂房的产 权瑕疵导致 发行人被迫 搬迁生产场 地，承诺人将 以连带责任 方式全额承 担补偿深圳 市新国都技 术股份有限 公司的搬迁 费用和因生 产停滞所造 成的损失。</w:t>
            </w:r>
            <w:r>
              <w:rPr>
                <w:rFonts w:ascii="Times New Roman" w:hAnsi="Times New Roman" w:cs="Times New Roman" w:eastAsia="Times New Roman" w:hint="default"/>
                <w:sz w:val="18"/>
                <w:szCs w:val="18"/>
              </w:rPr>
              <w:t>”</w:t>
            </w:r>
          </w:p>
        </w:tc>
        <w:tc>
          <w:tcPr>
            <w:tcW w:w="1138" w:type="dxa"/>
            <w:tcBorders>
              <w:top w:val="single" w:sz="4" w:space="0" w:color="000000"/>
              <w:left w:val="single" w:sz="13" w:space="0" w:color="CCE8CF"/>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0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5706" w:hRule="exact"/>
        </w:trPr>
        <w:tc>
          <w:tcPr>
            <w:tcW w:w="2837" w:type="dxa"/>
            <w:vMerge/>
            <w:tcBorders>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11"/>
              <w:ind w:left="23" w:right="141"/>
              <w:jc w:val="both"/>
              <w:rPr>
                <w:rFonts w:ascii="宋体" w:hAnsi="宋体" w:cs="宋体" w:eastAsia="宋体" w:hint="default"/>
                <w:sz w:val="18"/>
                <w:szCs w:val="18"/>
              </w:rPr>
            </w:pPr>
            <w:r>
              <w:rPr>
                <w:rFonts w:ascii="宋体" w:hAnsi="宋体" w:cs="宋体" w:eastAsia="宋体" w:hint="default"/>
                <w:sz w:val="18"/>
                <w:szCs w:val="18"/>
              </w:rPr>
              <w:t>财通证券资 产管理有限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鹏华资 产管理有限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泰达宏 利基金管理 有限公司</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本次发行的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名特定投资 者</w:t>
            </w:r>
            <w:r>
              <w:rPr>
                <w:rFonts w:ascii="Times New Roman" w:hAnsi="Times New Roman" w:cs="Times New Roman" w:eastAsia="Times New Roman" w:hint="default"/>
                <w:sz w:val="18"/>
                <w:szCs w:val="18"/>
              </w:rPr>
              <w:t>——</w:t>
            </w:r>
            <w:r>
              <w:rPr>
                <w:rFonts w:ascii="宋体" w:hAnsi="宋体" w:cs="宋体" w:eastAsia="宋体" w:hint="default"/>
                <w:sz w:val="18"/>
                <w:szCs w:val="18"/>
              </w:rPr>
              <w:t>泰达 宏利基金管 理有限公司、 鹏华资产管 理有限公司、 财通证券资 产管理有限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均 承诺将本次 获配股份进 行锁定处理， 并承诺获配 股份自该股 份上市之日</w:t>
            </w:r>
          </w:p>
          <w:p>
            <w:pPr>
              <w:pStyle w:val="TableParagraph"/>
              <w:spacing w:line="302" w:lineRule="auto" w:before="21"/>
              <w:ind w:left="22" w:right="91"/>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个月不 转让。</w:t>
            </w:r>
          </w:p>
        </w:tc>
        <w:tc>
          <w:tcPr>
            <w:tcW w:w="113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6"/>
              <w:jc w:val="left"/>
              <w:rPr>
                <w:rFonts w:ascii="宋体" w:hAnsi="宋体" w:cs="宋体" w:eastAsia="宋体" w:hint="default"/>
                <w:sz w:val="18"/>
                <w:szCs w:val="18"/>
              </w:rPr>
            </w:pPr>
            <w:r>
              <w:rPr>
                <w:rFonts w:ascii="宋体" w:hAnsi="宋体" w:cs="宋体" w:eastAsia="宋体" w:hint="default"/>
                <w:sz w:val="18"/>
                <w:szCs w:val="18"/>
              </w:rPr>
              <w:t>自该承诺公 </w:t>
            </w:r>
            <w:r>
              <w:rPr>
                <w:rFonts w:ascii="宋体" w:hAnsi="宋体" w:cs="宋体" w:eastAsia="宋体" w:hint="default"/>
                <w:spacing w:val="-5"/>
                <w:sz w:val="18"/>
                <w:szCs w:val="18"/>
              </w:rPr>
              <w:t>告至今，承诺</w:t>
            </w:r>
            <w:r>
              <w:rPr>
                <w:rFonts w:ascii="宋体" w:hAnsi="宋体" w:cs="宋体" w:eastAsia="宋体" w:hint="default"/>
                <w:sz w:val="18"/>
                <w:szCs w:val="18"/>
              </w:rPr>
              <w:t> 人正常持续 地履行承诺。</w:t>
            </w:r>
          </w:p>
        </w:tc>
      </w:tr>
      <w:tr>
        <w:trPr>
          <w:trHeight w:val="67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41"/>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北京市中伦 律师事务所</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80"/>
              <w:jc w:val="left"/>
              <w:rPr>
                <w:rFonts w:ascii="宋体" w:hAnsi="宋体" w:cs="宋体" w:eastAsia="宋体" w:hint="default"/>
                <w:sz w:val="18"/>
                <w:szCs w:val="18"/>
              </w:rPr>
            </w:pPr>
            <w:r>
              <w:rPr>
                <w:rFonts w:ascii="宋体" w:hAnsi="宋体" w:cs="宋体" w:eastAsia="宋体" w:hint="default"/>
                <w:sz w:val="18"/>
                <w:szCs w:val="18"/>
              </w:rPr>
              <w:t>深圳市新国 都技术股份</w:t>
            </w:r>
          </w:p>
        </w:tc>
        <w:tc>
          <w:tcPr>
            <w:tcW w:w="113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9999</w:t>
            </w:r>
          </w:p>
        </w:tc>
        <w:tc>
          <w:tcPr>
            <w:tcW w:w="11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自该承诺公 </w:t>
            </w:r>
            <w:r>
              <w:rPr>
                <w:rFonts w:ascii="宋体" w:hAnsi="宋体" w:cs="宋体" w:eastAsia="宋体" w:hint="default"/>
                <w:spacing w:val="-5"/>
                <w:sz w:val="18"/>
                <w:szCs w:val="18"/>
              </w:rPr>
              <w:t>告至今，承诺</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343.483002pt;margin-top:90.11998pt;width:80pt;height:668.85pt;mso-position-horizontal-relative:page;mso-position-vertical-relative:page;z-index:-11592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8"/>
                      <w:szCs w:val="18"/>
                    </w:rPr>
                  </w:pPr>
                </w:p>
                <w:p>
                  <w:pPr>
                    <w:pStyle w:val="BodyText"/>
                    <w:spacing w:line="240" w:lineRule="auto" w:before="0"/>
                    <w:ind w:left="0" w:right="0"/>
                    <w:jc w:val="left"/>
                  </w:pPr>
                  <w:r>
                    <w:rPr/>
                    <w:t>（二）</w:t>
                  </w:r>
                </w:p>
              </w:txbxContent>
            </v:textbox>
            <w10:wrap type="none"/>
          </v:shape>
        </w:pict>
      </w:r>
      <w:r>
        <w:rPr/>
        <w:pict>
          <v:group style="position:absolute;margin-left:367.660004pt;margin-top:90.11998pt;width:55.85pt;height:668.85pt;mso-position-horizontal-relative:page;mso-position-vertical-relative:page;z-index:-1159240" coordorigin="7353,1802" coordsize="1117,13377">
            <v:shape style="position:absolute;left:7353;top:1802;width:1117;height:13377" coordorigin="7353,1802" coordsize="1117,13377" path="m7353,15179l8470,15179,8470,1802,7353,1802,7353,1517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322"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大华会计师</w:t>
            </w:r>
          </w:p>
        </w:tc>
        <w:tc>
          <w:tcPr>
            <w:tcW w:w="1126" w:type="dxa"/>
            <w:vMerge w:val="restart"/>
            <w:tcBorders>
              <w:top w:val="single" w:sz="4" w:space="0" w:color="000000"/>
              <w:left w:val="single" w:sz="4" w:space="0" w:color="000000"/>
              <w:right w:val="single" w:sz="4" w:space="0" w:color="000000"/>
            </w:tcBorders>
            <w:shd w:val="clear" w:color="auto" w:fill="CCE8CF"/>
          </w:tcPr>
          <w:p>
            <w:pPr/>
          </w:p>
        </w:tc>
        <w:tc>
          <w:tcPr>
            <w:tcW w:w="1115"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有限公司董</w:t>
            </w:r>
          </w:p>
        </w:tc>
        <w:tc>
          <w:tcPr>
            <w:tcW w:w="1138" w:type="dxa"/>
            <w:tcBorders>
              <w:top w:val="single" w:sz="4" w:space="0" w:color="000000"/>
              <w:left w:val="single" w:sz="13" w:space="0" w:color="CCE8CF"/>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07"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人正常持续</w:t>
            </w: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事务所（特殊</w:t>
            </w: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事会将严格</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6"/>
              <w:ind w:left="22" w:right="-6"/>
              <w:jc w:val="left"/>
              <w:rPr>
                <w:rFonts w:ascii="宋体" w:hAnsi="宋体" w:cs="宋体" w:eastAsia="宋体" w:hint="default"/>
                <w:sz w:val="18"/>
                <w:szCs w:val="18"/>
              </w:rPr>
            </w:pPr>
            <w:r>
              <w:rPr>
                <w:rFonts w:ascii="宋体" w:hAnsi="宋体" w:cs="宋体" w:eastAsia="宋体" w:hint="default"/>
                <w:sz w:val="18"/>
                <w:szCs w:val="18"/>
              </w:rPr>
              <w:t>地履行承诺。</w:t>
            </w:r>
          </w:p>
        </w:tc>
      </w:tr>
      <w:tr>
        <w:trPr>
          <w:trHeight w:val="316"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普通合伙）</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遵守《公司</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深圳市新国</w:t>
            </w: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90"/>
                <w:sz w:val="18"/>
                <w:szCs w:val="18"/>
              </w:rPr>
              <w:t>》、</w:t>
            </w:r>
            <w:r>
              <w:rPr>
                <w:rFonts w:ascii="宋体" w:hAnsi="宋体" w:cs="宋体" w:eastAsia="宋体" w:hint="default"/>
                <w:sz w:val="18"/>
                <w:szCs w:val="18"/>
              </w:rPr>
              <w:t>《证券</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都技术股份</w:t>
            </w: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90"/>
                <w:sz w:val="18"/>
                <w:szCs w:val="18"/>
              </w:rPr>
              <w:t>》</w:t>
            </w:r>
            <w:r>
              <w:rPr>
                <w:rFonts w:ascii="宋体" w:hAnsi="宋体" w:cs="宋体" w:eastAsia="宋体" w:hint="default"/>
                <w:spacing w:val="-100"/>
                <w:sz w:val="18"/>
                <w:szCs w:val="18"/>
              </w:rPr>
              <w:t>、</w:t>
            </w:r>
            <w:r>
              <w:rPr>
                <w:rFonts w:ascii="宋体" w:hAnsi="宋体" w:cs="宋体" w:eastAsia="宋体" w:hint="default"/>
                <w:sz w:val="18"/>
                <w:szCs w:val="18"/>
              </w:rPr>
              <w:t>《创业板</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亚</w:t>
            </w: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上市公司证</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太（集团）会</w:t>
            </w: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券发行管理</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计师事务所</w:t>
            </w: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暂行办法》等</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（特殊普通</w:t>
            </w: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法律、法规和</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9"/>
                <w:sz w:val="18"/>
                <w:szCs w:val="18"/>
              </w:rPr>
              <w:t>合伙）</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中信证</w:t>
            </w: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券股份有限</w:t>
            </w: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的有关规定，</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3"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承诺自本公</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1"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司本次发行</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股票新增股</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票上市之日</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90"/>
                <w:sz w:val="18"/>
                <w:szCs w:val="18"/>
              </w:rPr>
              <w:t>：</w:t>
            </w:r>
            <w:r>
              <w:rPr>
                <w:rFonts w:ascii="宋体" w:hAnsi="宋体" w:cs="宋体" w:eastAsia="宋体" w:hint="default"/>
                <w:sz w:val="18"/>
                <w:szCs w:val="18"/>
              </w:rPr>
              <w:t>（一）承</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诺真实、准</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确、完整、公</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平和及时地</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公布定期报</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告、披露所有</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对投资者有</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重大影响的</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信息，并接受</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和深圳证券</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交易所的监</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督管理。</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承诺本公司</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在知悉可能</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对股票价格</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产生误导性</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影响的任何</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公共传播媒</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体出现的消</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息后，将及时</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予以公开澄</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清</w:t>
            </w:r>
            <w:r>
              <w:rPr>
                <w:rFonts w:ascii="宋体" w:hAnsi="宋体" w:cs="宋体" w:eastAsia="宋体" w:hint="default"/>
                <w:spacing w:val="-90"/>
                <w:sz w:val="18"/>
                <w:szCs w:val="18"/>
              </w:rPr>
              <w:t>。</w:t>
            </w:r>
            <w:r>
              <w:rPr>
                <w:rFonts w:ascii="宋体" w:hAnsi="宋体" w:cs="宋体" w:eastAsia="宋体" w:hint="default"/>
                <w:sz w:val="18"/>
                <w:szCs w:val="18"/>
              </w:rPr>
              <w:t>（三）承</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诺本公司董</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事、监事、高</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级管理人员</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将认真听取</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nil" w:sz="6" w:space="0" w:color="auto"/>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社会公众的</w:t>
            </w:r>
          </w:p>
        </w:tc>
        <w:tc>
          <w:tcPr>
            <w:tcW w:w="1138" w:type="dxa"/>
            <w:tcBorders>
              <w:top w:val="nil" w:sz="6" w:space="0" w:color="auto"/>
              <w:left w:val="single" w:sz="13" w:space="0" w:color="CCE8CF"/>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shd w:val="clear" w:color="auto" w:fill="CCE8CF"/>
          </w:tcPr>
          <w:p>
            <w:pPr/>
          </w:p>
        </w:tc>
        <w:tc>
          <w:tcPr>
            <w:tcW w:w="110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tcBorders>
              <w:top w:val="nil" w:sz="6" w:space="0" w:color="auto"/>
              <w:left w:val="single" w:sz="4" w:space="0" w:color="000000"/>
              <w:bottom w:val="single" w:sz="4" w:space="0" w:color="000000"/>
              <w:right w:val="single" w:sz="4" w:space="0" w:color="000000"/>
            </w:tcBorders>
            <w:shd w:val="clear" w:color="auto" w:fill="CCE8CF"/>
          </w:tcPr>
          <w:p>
            <w:pPr/>
          </w:p>
        </w:tc>
        <w:tc>
          <w:tcPr>
            <w:tcW w:w="1126" w:type="dxa"/>
            <w:vMerge/>
            <w:tcBorders>
              <w:left w:val="single" w:sz="4" w:space="0" w:color="000000"/>
              <w:bottom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意见和批评，</w:t>
            </w:r>
          </w:p>
        </w:tc>
        <w:tc>
          <w:tcPr>
            <w:tcW w:w="1138" w:type="dxa"/>
            <w:tcBorders>
              <w:top w:val="nil" w:sz="6" w:space="0" w:color="auto"/>
              <w:left w:val="single" w:sz="13" w:space="0" w:color="CCE8CF"/>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shd w:val="clear" w:color="auto" w:fill="CCE8CF"/>
          </w:tcPr>
          <w:p>
            <w:pPr/>
          </w:p>
        </w:tc>
        <w:tc>
          <w:tcPr>
            <w:tcW w:w="1107" w:type="dxa"/>
            <w:tcBorders>
              <w:top w:val="nil" w:sz="6" w:space="0" w:color="auto"/>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shd w:val="clear" w:color="auto" w:fill="CCE8CF"/>
          </w:tcPr>
          <w:p>
            <w:pPr/>
          </w:p>
        </w:tc>
        <w:tc>
          <w:tcPr>
            <w:tcW w:w="1126" w:type="dxa"/>
            <w:vMerge w:val="restart"/>
            <w:tcBorders>
              <w:top w:val="single" w:sz="4" w:space="0" w:color="000000"/>
              <w:left w:val="single" w:sz="4" w:space="0" w:color="000000"/>
              <w:right w:val="single" w:sz="4" w:space="0" w:color="000000"/>
            </w:tcBorders>
            <w:shd w:val="clear" w:color="auto" w:fill="CCE8CF"/>
          </w:tcPr>
          <w:p>
            <w:pPr/>
          </w:p>
        </w:tc>
        <w:tc>
          <w:tcPr>
            <w:tcW w:w="1115"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不利用已获</w:t>
            </w:r>
          </w:p>
        </w:tc>
        <w:tc>
          <w:tcPr>
            <w:tcW w:w="1138" w:type="dxa"/>
            <w:vMerge w:val="restart"/>
            <w:tcBorders>
              <w:top w:val="single" w:sz="4" w:space="0" w:color="000000"/>
              <w:left w:val="single" w:sz="13" w:space="0" w:color="CCE8CF"/>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CE8CF"/>
          </w:tcPr>
          <w:p>
            <w:pPr/>
          </w:p>
        </w:tc>
        <w:tc>
          <w:tcPr>
            <w:tcW w:w="1107" w:type="dxa"/>
            <w:vMerge w:val="restart"/>
            <w:tcBorders>
              <w:top w:val="single" w:sz="4" w:space="0" w:color="000000"/>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得的内幕消</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息和其他不</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正当手段直</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接或间接从</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事本公司股</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票的买卖活</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动。本公司保</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证向深圳证</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券交易所提</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交的文件没</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有虚假记载、</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误导性陈述</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或重大遗漏，</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并在提出上</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市申请期间，</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未经深圳交</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易所同意，不</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擅自披露有</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关信息。中信</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证券股份有</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限公司：本公</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司已对深圳</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市新国都技</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术股份有限</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创业板非公</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开发行股票</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发行情况报</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告书进行了</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核查，确认不</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存在虚假记</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载、误导性陈</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述或重大遗</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漏，并对其真</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实性、准确性</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和完整性承</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担相应的法</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律责任。北京</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市中伦律师</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事务所：本所</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及签字的律</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师已阅读本</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CCE8CF"/>
          </w:tcPr>
          <w:p>
            <w:pPr/>
          </w:p>
        </w:tc>
        <w:tc>
          <w:tcPr>
            <w:tcW w:w="1126" w:type="dxa"/>
            <w:vMerge/>
            <w:tcBorders>
              <w:left w:val="single" w:sz="4" w:space="0" w:color="000000"/>
              <w:bottom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发行情况报</w:t>
            </w:r>
          </w:p>
        </w:tc>
        <w:tc>
          <w:tcPr>
            <w:tcW w:w="1138" w:type="dxa"/>
            <w:vMerge/>
            <w:tcBorders>
              <w:left w:val="single" w:sz="13" w:space="0" w:color="CCE8CF"/>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CE8CF"/>
          </w:tcPr>
          <w:p>
            <w:pPr/>
          </w:p>
        </w:tc>
        <w:tc>
          <w:tcPr>
            <w:tcW w:w="1107" w:type="dxa"/>
            <w:vMerge/>
            <w:tcBorders>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shd w:val="clear" w:color="auto" w:fill="CCE8CF"/>
          </w:tcPr>
          <w:p>
            <w:pPr/>
          </w:p>
        </w:tc>
        <w:tc>
          <w:tcPr>
            <w:tcW w:w="1126" w:type="dxa"/>
            <w:vMerge w:val="restart"/>
            <w:tcBorders>
              <w:top w:val="single" w:sz="4" w:space="0" w:color="000000"/>
              <w:left w:val="single" w:sz="4" w:space="0" w:color="000000"/>
              <w:right w:val="single" w:sz="4" w:space="0" w:color="000000"/>
            </w:tcBorders>
            <w:shd w:val="clear" w:color="auto" w:fill="CCE8CF"/>
          </w:tcPr>
          <w:p>
            <w:pPr/>
          </w:p>
        </w:tc>
        <w:tc>
          <w:tcPr>
            <w:tcW w:w="1115"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告书，确认本</w:t>
            </w:r>
          </w:p>
        </w:tc>
        <w:tc>
          <w:tcPr>
            <w:tcW w:w="1138" w:type="dxa"/>
            <w:vMerge w:val="restart"/>
            <w:tcBorders>
              <w:top w:val="single" w:sz="4" w:space="0" w:color="000000"/>
              <w:left w:val="single" w:sz="13" w:space="0" w:color="CCE8CF"/>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CE8CF"/>
          </w:tcPr>
          <w:p>
            <w:pPr/>
          </w:p>
        </w:tc>
        <w:tc>
          <w:tcPr>
            <w:tcW w:w="1107" w:type="dxa"/>
            <w:vMerge w:val="restart"/>
            <w:tcBorders>
              <w:top w:val="single" w:sz="4" w:space="0" w:color="000000"/>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发行情况报</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告书与本所</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出具的法律</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意见书不存</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在矛盾。本所</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及签字的律</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师对发行人</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在本发行情</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况报告书中</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引用的法律</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意见书的内</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容无异议，确</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认本发行情</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况报告书不</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致因所引用</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内容出现虚</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假记载、误导</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性陈述或重</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大遗漏，并对</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其真实性、准</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确性和完整</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性承担相应</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的法律责任。</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大华会计师</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事务所（特殊</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普通合伙</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本所及签字</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注册会计师</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已阅读本发</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行情况报告</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书，确认本发</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行情况报告</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书内容与本</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所出具的有</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关报告不存</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在矛盾。本所</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及签字注册</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会计师对发</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行人在本发</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行情况报告</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书中引用的</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本所出具的</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CCE8CF"/>
          </w:tcPr>
          <w:p>
            <w:pPr/>
          </w:p>
        </w:tc>
        <w:tc>
          <w:tcPr>
            <w:tcW w:w="1126" w:type="dxa"/>
            <w:vMerge/>
            <w:tcBorders>
              <w:left w:val="single" w:sz="4" w:space="0" w:color="000000"/>
              <w:bottom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审计报告内</w:t>
            </w:r>
          </w:p>
        </w:tc>
        <w:tc>
          <w:tcPr>
            <w:tcW w:w="1138" w:type="dxa"/>
            <w:vMerge/>
            <w:tcBorders>
              <w:left w:val="single" w:sz="13" w:space="0" w:color="CCE8CF"/>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CE8CF"/>
          </w:tcPr>
          <w:p>
            <w:pPr/>
          </w:p>
        </w:tc>
        <w:tc>
          <w:tcPr>
            <w:tcW w:w="1107" w:type="dxa"/>
            <w:vMerge/>
            <w:tcBorders>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7"/>
        <w:gridCol w:w="1125"/>
        <w:gridCol w:w="1126"/>
        <w:gridCol w:w="1115"/>
        <w:gridCol w:w="1138"/>
        <w:gridCol w:w="1121"/>
        <w:gridCol w:w="1107"/>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5" w:type="dxa"/>
            <w:vMerge w:val="restart"/>
            <w:tcBorders>
              <w:top w:val="single" w:sz="4" w:space="0" w:color="000000"/>
              <w:left w:val="single" w:sz="4" w:space="0" w:color="000000"/>
              <w:right w:val="single" w:sz="4" w:space="0" w:color="000000"/>
            </w:tcBorders>
            <w:shd w:val="clear" w:color="auto" w:fill="CCE8CF"/>
          </w:tcPr>
          <w:p>
            <w:pPr/>
          </w:p>
        </w:tc>
        <w:tc>
          <w:tcPr>
            <w:tcW w:w="1126" w:type="dxa"/>
            <w:vMerge w:val="restart"/>
            <w:tcBorders>
              <w:top w:val="single" w:sz="4" w:space="0" w:color="000000"/>
              <w:left w:val="single" w:sz="4" w:space="0" w:color="000000"/>
              <w:right w:val="single" w:sz="4" w:space="0" w:color="000000"/>
            </w:tcBorders>
            <w:shd w:val="clear" w:color="auto" w:fill="CCE8CF"/>
          </w:tcPr>
          <w:p>
            <w:pPr/>
          </w:p>
        </w:tc>
        <w:tc>
          <w:tcPr>
            <w:tcW w:w="1115"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容无异议，确</w:t>
            </w:r>
          </w:p>
        </w:tc>
        <w:tc>
          <w:tcPr>
            <w:tcW w:w="1138" w:type="dxa"/>
            <w:vMerge w:val="restart"/>
            <w:tcBorders>
              <w:top w:val="single" w:sz="4" w:space="0" w:color="000000"/>
              <w:left w:val="single" w:sz="13" w:space="0" w:color="CCE8CF"/>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shd w:val="clear" w:color="auto" w:fill="CCE8CF"/>
          </w:tcPr>
          <w:p>
            <w:pPr/>
          </w:p>
        </w:tc>
        <w:tc>
          <w:tcPr>
            <w:tcW w:w="1107" w:type="dxa"/>
            <w:vMerge w:val="restart"/>
            <w:tcBorders>
              <w:top w:val="single" w:sz="4" w:space="0" w:color="000000"/>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认本发行情</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况报告书不</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致因所引用</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内容而出现</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虚假记载、误</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导性陈述或</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重大遗漏，并</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对其真实性、</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准确性和完</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整性承担相</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应的法律责</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任。亚太（集</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团）会计师事</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务所（特殊普</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通合伙</w:t>
            </w:r>
            <w:r>
              <w:rPr>
                <w:rFonts w:ascii="宋体" w:hAnsi="宋体" w:cs="宋体" w:eastAsia="宋体" w:hint="default"/>
                <w:spacing w:val="-90"/>
                <w:sz w:val="18"/>
                <w:szCs w:val="18"/>
              </w:rPr>
              <w:t>）</w:t>
            </w:r>
            <w:r>
              <w:rPr>
                <w:rFonts w:ascii="宋体" w:hAnsi="宋体" w:cs="宋体" w:eastAsia="宋体" w:hint="default"/>
                <w:sz w:val="18"/>
                <w:szCs w:val="18"/>
              </w:rPr>
              <w:t>：本</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所及签字的</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注册会计师</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已阅读本发</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行情况报告</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书，确认本发</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行情况报告</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书与本机构</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出具的验资</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报告不存在</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矛盾。本机构</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及签字的注</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册会计师对</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发行人在本</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发行情况报</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告书中引用</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的验资报告</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的内容无异</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议，确认本发</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行情况报告</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书不致因所</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引用内容出</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现虚假记载、</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误导性陈述</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或重大遗漏，</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并对其真实</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性、准确性和</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5" w:type="dxa"/>
            <w:vMerge/>
            <w:tcBorders>
              <w:left w:val="single" w:sz="4" w:space="0" w:color="000000"/>
              <w:right w:val="single" w:sz="4" w:space="0" w:color="000000"/>
            </w:tcBorders>
            <w:shd w:val="clear" w:color="auto" w:fill="CCE8CF"/>
          </w:tcPr>
          <w:p>
            <w:pPr/>
          </w:p>
        </w:tc>
        <w:tc>
          <w:tcPr>
            <w:tcW w:w="1126" w:type="dxa"/>
            <w:vMerge/>
            <w:tcBorders>
              <w:left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完整性承担</w:t>
            </w:r>
          </w:p>
        </w:tc>
        <w:tc>
          <w:tcPr>
            <w:tcW w:w="1138" w:type="dxa"/>
            <w:vMerge/>
            <w:tcBorders>
              <w:left w:val="single" w:sz="13" w:space="0" w:color="CCE8CF"/>
              <w:right w:val="single" w:sz="4" w:space="0" w:color="000000"/>
            </w:tcBorders>
          </w:tcPr>
          <w:p>
            <w:pPr/>
          </w:p>
        </w:tc>
        <w:tc>
          <w:tcPr>
            <w:tcW w:w="1121" w:type="dxa"/>
            <w:vMerge/>
            <w:tcBorders>
              <w:left w:val="single" w:sz="4" w:space="0" w:color="000000"/>
              <w:right w:val="single" w:sz="4" w:space="0" w:color="000000"/>
            </w:tcBorders>
            <w:shd w:val="clear" w:color="auto" w:fill="CCE8CF"/>
          </w:tcPr>
          <w:p>
            <w:pPr/>
          </w:p>
        </w:tc>
        <w:tc>
          <w:tcPr>
            <w:tcW w:w="1107" w:type="dxa"/>
            <w:vMerge/>
            <w:tcBorders>
              <w:left w:val="single" w:sz="4" w:space="0" w:color="000000"/>
              <w:right w:val="single" w:sz="4" w:space="0" w:color="000000"/>
            </w:tcBorders>
            <w:shd w:val="clear" w:color="auto" w:fill="CCE8CF"/>
          </w:tcPr>
          <w:p>
            <w:pPr/>
          </w:p>
        </w:tc>
      </w:tr>
      <w:tr>
        <w:trPr>
          <w:trHeight w:val="31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5" w:type="dxa"/>
            <w:vMerge/>
            <w:tcBorders>
              <w:left w:val="single" w:sz="4" w:space="0" w:color="000000"/>
              <w:bottom w:val="single" w:sz="4" w:space="0" w:color="000000"/>
              <w:right w:val="single" w:sz="4" w:space="0" w:color="000000"/>
            </w:tcBorders>
            <w:shd w:val="clear" w:color="auto" w:fill="CCE8CF"/>
          </w:tcPr>
          <w:p>
            <w:pPr/>
          </w:p>
        </w:tc>
        <w:tc>
          <w:tcPr>
            <w:tcW w:w="1126" w:type="dxa"/>
            <w:vMerge/>
            <w:tcBorders>
              <w:left w:val="single" w:sz="4" w:space="0" w:color="000000"/>
              <w:bottom w:val="single" w:sz="4" w:space="0" w:color="000000"/>
              <w:right w:val="single" w:sz="4" w:space="0" w:color="000000"/>
            </w:tcBorders>
            <w:shd w:val="clear" w:color="auto" w:fill="CCE8CF"/>
          </w:tcPr>
          <w:p>
            <w:pPr/>
          </w:p>
        </w:tc>
        <w:tc>
          <w:tcPr>
            <w:tcW w:w="1115"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相应的法律</w:t>
            </w:r>
          </w:p>
        </w:tc>
        <w:tc>
          <w:tcPr>
            <w:tcW w:w="1138" w:type="dxa"/>
            <w:vMerge/>
            <w:tcBorders>
              <w:left w:val="single" w:sz="13" w:space="0" w:color="CCE8CF"/>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shd w:val="clear" w:color="auto" w:fill="CCE8CF"/>
          </w:tcPr>
          <w:p>
            <w:pPr/>
          </w:p>
        </w:tc>
        <w:tc>
          <w:tcPr>
            <w:tcW w:w="1107" w:type="dxa"/>
            <w:vMerge/>
            <w:tcBorders>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813"/>
        <w:gridCol w:w="1137"/>
        <w:gridCol w:w="1126"/>
        <w:gridCol w:w="1115"/>
        <w:gridCol w:w="1138"/>
        <w:gridCol w:w="1121"/>
        <w:gridCol w:w="1096"/>
      </w:tblGrid>
      <w:tr>
        <w:trPr>
          <w:trHeight w:val="36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责任。</w:t>
            </w:r>
          </w:p>
        </w:tc>
        <w:tc>
          <w:tcPr>
            <w:tcW w:w="1138" w:type="dxa"/>
            <w:tcBorders>
              <w:top w:val="single" w:sz="4" w:space="0" w:color="000000"/>
              <w:left w:val="single" w:sz="13" w:space="0" w:color="CCE8CF"/>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9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37" w:type="dxa"/>
            <w:tcBorders>
              <w:top w:val="single" w:sz="4" w:space="0" w:color="000000"/>
              <w:left w:val="single" w:sz="13" w:space="0" w:color="D2D2D2"/>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38" w:type="dxa"/>
            <w:tcBorders>
              <w:top w:val="single" w:sz="4" w:space="0" w:color="000000"/>
              <w:left w:val="single" w:sz="13" w:space="0" w:color="CCE8CF"/>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9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37" w:type="dxa"/>
            <w:tcBorders>
              <w:top w:val="single" w:sz="4" w:space="0" w:color="000000"/>
              <w:left w:val="single" w:sz="13" w:space="0" w:color="D2D2D2"/>
              <w:bottom w:val="single" w:sz="4" w:space="0" w:color="000000"/>
              <w:right w:val="single" w:sz="4" w:space="0" w:color="000000"/>
            </w:tcBorders>
            <w:shd w:val="clear" w:color="auto" w:fill="CCE8CF"/>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138" w:type="dxa"/>
            <w:tcBorders>
              <w:top w:val="single" w:sz="4" w:space="0" w:color="000000"/>
              <w:left w:val="single" w:sz="13" w:space="0" w:color="CCE8CF"/>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9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3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2"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5"/>
        <w:ind w:left="1134" w:right="994"/>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0"/>
        <w:ind w:left="0" w:right="1139"/>
        <w:jc w:val="right"/>
      </w:pPr>
      <w:r>
        <w:rPr/>
        <w:pict>
          <v:shape style="position:absolute;margin-left:56.459999pt;margin-top:-370.838287pt;width:479.2pt;height:404.0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3522"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浙江中正智能 科技有限公司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2,320.81</w:t>
                        </w:r>
                      </w:p>
                    </w:tc>
                    <w:tc>
                      <w:tcPr>
                        <w:tcW w:w="1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产品销售的进 展及市场开拓 不及预期</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w:t>
                        </w:r>
                      </w:p>
                      <w:p>
                        <w:pPr>
                          <w:pStyle w:val="TableParagraph"/>
                          <w:spacing w:line="338" w:lineRule="auto" w:before="61"/>
                          <w:ind w:left="22"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日披露于巨潮 资讯网 </w:t>
                        </w:r>
                        <w:r>
                          <w:rPr>
                            <w:rFonts w:ascii="Times New Roman" w:hAnsi="Times New Roman" w:cs="Times New Roman" w:eastAsia="Times New Roman" w:hint="default"/>
                            <w:sz w:val="18"/>
                            <w:szCs w:val="18"/>
                          </w:rPr>
                          <w:t>http://www.cni</w:t>
                        </w:r>
                      </w:p>
                      <w:p>
                        <w:pPr>
                          <w:pStyle w:val="TableParagraph"/>
                          <w:spacing w:line="23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nfo.com.cn</w:t>
                        </w:r>
                        <w:r>
                          <w:rPr>
                            <w:rFonts w:ascii="宋体" w:hAnsi="宋体" w:cs="宋体" w:eastAsia="宋体" w:hint="default"/>
                            <w:spacing w:val="-3"/>
                            <w:sz w:val="18"/>
                            <w:szCs w:val="18"/>
                          </w:rPr>
                          <w:t>《关</w:t>
                        </w:r>
                      </w:p>
                      <w:p>
                        <w:pPr>
                          <w:pStyle w:val="TableParagraph"/>
                          <w:spacing w:line="314" w:lineRule="auto" w:before="63"/>
                          <w:ind w:left="22" w:right="80"/>
                          <w:jc w:val="left"/>
                          <w:rPr>
                            <w:rFonts w:ascii="宋体" w:hAnsi="宋体" w:cs="宋体" w:eastAsia="宋体" w:hint="default"/>
                            <w:sz w:val="18"/>
                            <w:szCs w:val="18"/>
                          </w:rPr>
                        </w:pPr>
                        <w:r>
                          <w:rPr>
                            <w:rFonts w:ascii="宋体" w:hAnsi="宋体" w:cs="宋体" w:eastAsia="宋体" w:hint="default"/>
                            <w:sz w:val="18"/>
                            <w:szCs w:val="18"/>
                          </w:rPr>
                          <w:t>于收购浙江中 正智能科技有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股权的公告》 公告编号：</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sz w:val="18"/>
                          </w:rPr>
                          <w:t>2015-060</w:t>
                        </w:r>
                      </w:p>
                    </w:tc>
                  </w:tr>
                  <w:tr>
                    <w:trPr>
                      <w:trHeight w:val="3835"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2" w:right="81"/>
                          <w:jc w:val="left"/>
                          <w:rPr>
                            <w:rFonts w:ascii="宋体" w:hAnsi="宋体" w:cs="宋体" w:eastAsia="宋体" w:hint="default"/>
                            <w:sz w:val="18"/>
                            <w:szCs w:val="18"/>
                          </w:rPr>
                        </w:pPr>
                        <w:r>
                          <w:rPr>
                            <w:rFonts w:ascii="宋体" w:hAnsi="宋体" w:cs="宋体" w:eastAsia="宋体" w:hint="default"/>
                            <w:sz w:val="18"/>
                            <w:szCs w:val="18"/>
                          </w:rPr>
                          <w:t>长沙公信诚丰 信息技术服务 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9"/>
                          <w:jc w:val="right"/>
                          <w:rPr>
                            <w:rFonts w:ascii="Times New Roman" w:hAnsi="Times New Roman" w:cs="Times New Roman" w:eastAsia="Times New Roman" w:hint="default"/>
                            <w:sz w:val="18"/>
                            <w:szCs w:val="18"/>
                          </w:rPr>
                        </w:pPr>
                        <w:r>
                          <w:rPr>
                            <w:rFonts w:ascii="Times New Roman"/>
                            <w:sz w:val="18"/>
                          </w:rPr>
                          <w:t>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4,525.13</w:t>
                        </w:r>
                      </w:p>
                    </w:tc>
                    <w:tc>
                      <w:tcPr>
                        <w:tcW w:w="1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产品销售及市 场开拓情况与 预期稍有偏差</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p>
                      <w:p>
                        <w:pPr>
                          <w:pStyle w:val="TableParagraph"/>
                          <w:spacing w:line="338" w:lineRule="auto" w:before="61"/>
                          <w:ind w:left="22"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日披露于巨潮 资讯网 </w:t>
                        </w:r>
                        <w:r>
                          <w:rPr>
                            <w:rFonts w:ascii="Times New Roman" w:hAnsi="Times New Roman" w:cs="Times New Roman" w:eastAsia="Times New Roman" w:hint="default"/>
                            <w:sz w:val="18"/>
                            <w:szCs w:val="18"/>
                          </w:rPr>
                          <w:t>http://www.cni</w:t>
                        </w:r>
                      </w:p>
                      <w:p>
                        <w:pPr>
                          <w:pStyle w:val="TableParagraph"/>
                          <w:spacing w:line="23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nfo.com.cn</w:t>
                        </w:r>
                        <w:r>
                          <w:rPr>
                            <w:rFonts w:ascii="宋体" w:hAnsi="宋体" w:cs="宋体" w:eastAsia="宋体" w:hint="default"/>
                            <w:spacing w:val="-3"/>
                            <w:sz w:val="18"/>
                            <w:szCs w:val="18"/>
                          </w:rPr>
                          <w:t>《关</w:t>
                        </w:r>
                      </w:p>
                      <w:p>
                        <w:pPr>
                          <w:pStyle w:val="TableParagraph"/>
                          <w:spacing w:line="316" w:lineRule="auto" w:before="63"/>
                          <w:ind w:left="22" w:right="80"/>
                          <w:jc w:val="both"/>
                          <w:rPr>
                            <w:rFonts w:ascii="宋体" w:hAnsi="宋体" w:cs="宋体" w:eastAsia="宋体" w:hint="default"/>
                            <w:sz w:val="18"/>
                            <w:szCs w:val="18"/>
                          </w:rPr>
                        </w:pPr>
                        <w:r>
                          <w:rPr>
                            <w:rFonts w:ascii="宋体" w:hAnsi="宋体" w:cs="宋体" w:eastAsia="宋体" w:hint="default"/>
                            <w:sz w:val="18"/>
                            <w:szCs w:val="18"/>
                          </w:rPr>
                          <w:t>于与长沙公信 诚丰信息技术 服务有限公司 股东签署股权 转让协议的公 </w:t>
                        </w:r>
                        <w:r>
                          <w:rPr>
                            <w:rFonts w:ascii="宋体" w:hAnsi="宋体" w:cs="宋体" w:eastAsia="宋体" w:hint="default"/>
                            <w:spacing w:val="-6"/>
                            <w:sz w:val="18"/>
                            <w:szCs w:val="18"/>
                          </w:rPr>
                          <w:t>告》公告编号</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2016-062</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before="0"/>
        <w:ind w:left="1134" w:right="994"/>
        <w:jc w:val="left"/>
      </w:pPr>
      <w:r>
        <w:rPr/>
        <w:t>公司股东、交易对手方对公司或相关资产年度经营业绩作出的承诺情况</w:t>
      </w:r>
    </w:p>
    <w:p>
      <w:pPr>
        <w:pStyle w:val="BodyText"/>
        <w:spacing w:line="240" w:lineRule="auto" w:before="116"/>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left="1493" w:right="994"/>
        <w:jc w:val="left"/>
      </w:pPr>
      <w:r>
        <w:rPr>
          <w:rFonts w:ascii="Times New Roman" w:hAnsi="Times New Roman" w:cs="Times New Roman" w:eastAsia="Times New Roman" w:hint="default"/>
        </w:rPr>
        <w:t>1</w:t>
      </w:r>
      <w:r>
        <w:rPr/>
        <w:t>）浙江中正业绩承诺：</w:t>
      </w:r>
    </w:p>
    <w:p>
      <w:pPr>
        <w:pStyle w:val="BodyText"/>
        <w:spacing w:line="307" w:lineRule="auto" w:before="101"/>
        <w:ind w:left="1134" w:right="994" w:firstLine="360"/>
        <w:jc w:val="left"/>
        <w:rPr>
          <w:rFonts w:ascii="Times New Roman" w:hAnsi="Times New Roman" w:cs="Times New Roman" w:eastAsia="Times New Roman" w:hint="default"/>
        </w:rPr>
      </w:pPr>
      <w:r>
        <w:rPr>
          <w:rFonts w:ascii="Times New Roman" w:hAnsi="Times New Roman" w:cs="Times New Roman" w:eastAsia="Times New Roman" w:hint="default"/>
        </w:rPr>
        <w:t>2015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spacing w:val="-4"/>
        </w:rPr>
        <w:t>日公司召开第三届董事会第十一次（临时）会议、</w:t>
      </w:r>
      <w:r>
        <w:rPr>
          <w:rFonts w:ascii="Times New Roman" w:hAnsi="Times New Roman" w:cs="Times New Roman" w:eastAsia="Times New Roman" w:hint="default"/>
          <w:spacing w:val="-4"/>
        </w:rPr>
        <w:t>2015</w:t>
      </w:r>
      <w:r>
        <w:rPr>
          <w:rFonts w:ascii="Times New Roman" w:hAnsi="Times New Roman" w:cs="Times New Roman" w:eastAsia="Times New Roman" w:hint="default"/>
        </w:rPr>
        <w:t> </w:t>
      </w:r>
      <w:r>
        <w:rPr/>
        <w:t>年</w:t>
      </w:r>
      <w:r>
        <w:rPr>
          <w:spacing w:val="-44"/>
        </w:rPr>
        <w:t> </w:t>
      </w:r>
      <w:r>
        <w:rPr>
          <w:rFonts w:ascii="Times New Roman" w:hAnsi="Times New Roman" w:cs="Times New Roman" w:eastAsia="Times New Roman" w:hint="default"/>
        </w:rPr>
        <w:t>5 </w:t>
      </w:r>
      <w:r>
        <w:rPr/>
        <w:t>月</w:t>
      </w:r>
      <w:r>
        <w:rPr>
          <w:spacing w:val="-45"/>
        </w:rPr>
        <w:t> </w:t>
      </w:r>
      <w:r>
        <w:rPr>
          <w:rFonts w:ascii="Times New Roman" w:hAnsi="Times New Roman" w:cs="Times New Roman" w:eastAsia="Times New Roman" w:hint="default"/>
        </w:rPr>
        <w:t>29 </w:t>
      </w:r>
      <w:r>
        <w:rPr/>
        <w:t>日召开</w:t>
      </w:r>
      <w:r>
        <w:rPr>
          <w:spacing w:val="-43"/>
        </w:rPr>
        <w:t> </w:t>
      </w:r>
      <w:r>
        <w:rPr>
          <w:rFonts w:ascii="Times New Roman" w:hAnsi="Times New Roman" w:cs="Times New Roman" w:eastAsia="Times New Roman" w:hint="default"/>
        </w:rPr>
        <w:t>2015 </w:t>
      </w:r>
      <w:r>
        <w:rPr/>
        <w:t>年第三次临时股东大会审 </w:t>
      </w:r>
      <w:r>
        <w:rPr>
          <w:spacing w:val="-2"/>
        </w:rPr>
        <w:t>议通过《关于收购浙江中正智能科技有限公司</w:t>
      </w:r>
      <w:r>
        <w:rPr>
          <w:spacing w:val="-41"/>
        </w:rPr>
        <w:t> </w:t>
      </w:r>
      <w:r>
        <w:rPr>
          <w:rFonts w:ascii="Times New Roman" w:hAnsi="Times New Roman" w:cs="Times New Roman" w:eastAsia="Times New Roman" w:hint="default"/>
          <w:spacing w:val="-7"/>
        </w:rPr>
        <w:t>100%</w:t>
      </w:r>
      <w:r>
        <w:rPr>
          <w:spacing w:val="-7"/>
        </w:rPr>
        <w:t>股权的议案》，公司以自有资金</w:t>
      </w:r>
      <w:r>
        <w:rPr>
          <w:spacing w:val="-41"/>
        </w:rPr>
        <w:t> </w:t>
      </w:r>
      <w:r>
        <w:rPr>
          <w:rFonts w:ascii="Times New Roman" w:hAnsi="Times New Roman" w:cs="Times New Roman" w:eastAsia="Times New Roman" w:hint="default"/>
        </w:rPr>
        <w:t>2.52</w:t>
      </w:r>
      <w:r>
        <w:rPr>
          <w:rFonts w:ascii="Times New Roman" w:hAnsi="Times New Roman" w:cs="Times New Roman" w:eastAsia="Times New Roman" w:hint="default"/>
          <w:spacing w:val="4"/>
        </w:rPr>
        <w:t> </w:t>
      </w:r>
      <w:r>
        <w:rPr/>
        <w:t>亿元收购浙江中正</w:t>
      </w:r>
      <w:r>
        <w:rPr>
          <w:spacing w:val="-41"/>
        </w:rPr>
        <w:t> </w:t>
      </w:r>
      <w:r>
        <w:rPr>
          <w:rFonts w:ascii="Times New Roman" w:hAnsi="Times New Roman" w:cs="Times New Roman" w:eastAsia="Times New Roman" w:hint="default"/>
          <w:spacing w:val="-3"/>
        </w:rPr>
        <w:t>100%</w:t>
      </w:r>
      <w:r>
        <w:rPr>
          <w:spacing w:val="-3"/>
        </w:rPr>
        <w:t>股权。根据</w:t>
      </w:r>
      <w:r>
        <w:rPr>
          <w:spacing w:val="-78"/>
        </w:rPr>
        <w:t> </w:t>
      </w:r>
      <w:r>
        <w:rPr>
          <w:spacing w:val="-78"/>
        </w:rPr>
      </w:r>
      <w:r>
        <w:rPr>
          <w:spacing w:val="-4"/>
        </w:rPr>
        <w:t>公司与浙江中正智能科技有限公司全体股东签署的《关于浙江中正智能科技有限公司之股权转让协议》约定“交易对方承诺：</w:t>
      </w:r>
      <w:r>
        <w:rPr>
          <w:spacing w:val="-44"/>
        </w:rPr>
        <w:t> </w:t>
      </w:r>
      <w:r>
        <w:rPr>
          <w:spacing w:val="-44"/>
        </w:rPr>
      </w:r>
      <w:r>
        <w:rPr/>
        <w:t>目标公司在利润补偿期间内各年度净利润数</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年度不低于</w:t>
      </w:r>
      <w:r>
        <w:rPr>
          <w:spacing w:val="-53"/>
        </w:rPr>
        <w:t> </w:t>
      </w:r>
      <w:r>
        <w:rPr>
          <w:rFonts w:ascii="Times New Roman" w:hAnsi="Times New Roman" w:cs="Times New Roman" w:eastAsia="Times New Roman" w:hint="default"/>
        </w:rPr>
        <w:t>1,800</w:t>
      </w:r>
      <w:r>
        <w:rPr>
          <w:rFonts w:ascii="Times New Roman" w:hAnsi="Times New Roman" w:cs="Times New Roman" w:eastAsia="Times New Roman" w:hint="default"/>
          <w:spacing w:val="-8"/>
        </w:rPr>
        <w:t> </w:t>
      </w:r>
      <w:r>
        <w:rPr>
          <w:spacing w:val="-14"/>
        </w:rPr>
        <w:t>万元，</w:t>
      </w:r>
      <w:r>
        <w:rPr>
          <w:rFonts w:ascii="Times New Roman" w:hAnsi="Times New Roman" w:cs="Times New Roman" w:eastAsia="Times New Roman" w:hint="default"/>
          <w:spacing w:val="-14"/>
        </w:rPr>
        <w:t>2016</w:t>
      </w:r>
      <w:r>
        <w:rPr>
          <w:rFonts w:ascii="Times New Roman" w:hAnsi="Times New Roman" w:cs="Times New Roman" w:eastAsia="Times New Roman" w:hint="default"/>
          <w:spacing w:val="-8"/>
        </w:rPr>
        <w:t> </w:t>
      </w:r>
      <w:r>
        <w:rPr/>
        <w:t>年度不低于</w:t>
      </w:r>
      <w:r>
        <w:rPr>
          <w:spacing w:val="-53"/>
        </w:rPr>
        <w:t> </w:t>
      </w:r>
      <w:r>
        <w:rPr>
          <w:rFonts w:ascii="Times New Roman" w:hAnsi="Times New Roman" w:cs="Times New Roman" w:eastAsia="Times New Roman" w:hint="default"/>
        </w:rPr>
        <w:t>2,340</w:t>
      </w:r>
      <w:r>
        <w:rPr>
          <w:rFonts w:ascii="Times New Roman" w:hAnsi="Times New Roman" w:cs="Times New Roman" w:eastAsia="Times New Roman" w:hint="default"/>
          <w:spacing w:val="-8"/>
        </w:rPr>
        <w:t> </w:t>
      </w:r>
      <w:r>
        <w:rPr>
          <w:spacing w:val="-14"/>
        </w:rPr>
        <w:t>万元，</w:t>
      </w:r>
      <w:r>
        <w:rPr>
          <w:rFonts w:ascii="Times New Roman" w:hAnsi="Times New Roman" w:cs="Times New Roman" w:eastAsia="Times New Roman" w:hint="default"/>
          <w:spacing w:val="-14"/>
        </w:rPr>
        <w:t>2017</w:t>
      </w:r>
      <w:r>
        <w:rPr>
          <w:rFonts w:ascii="Times New Roman" w:hAnsi="Times New Roman" w:cs="Times New Roman" w:eastAsia="Times New Roman" w:hint="default"/>
          <w:spacing w:val="-8"/>
        </w:rPr>
        <w:t> </w:t>
      </w:r>
      <w:r>
        <w:rPr/>
        <w:t>年度不低于</w:t>
      </w:r>
      <w:r>
        <w:rPr>
          <w:spacing w:val="-53"/>
        </w:rPr>
        <w:t> </w:t>
      </w:r>
      <w:r>
        <w:rPr>
          <w:rFonts w:ascii="Times New Roman" w:hAnsi="Times New Roman" w:cs="Times New Roman" w:eastAsia="Times New Roman" w:hint="default"/>
        </w:rPr>
        <w:t>3,042</w:t>
      </w:r>
    </w:p>
    <w:p>
      <w:pPr>
        <w:spacing w:after="0" w:line="307" w:lineRule="auto"/>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5"/>
        <w:rPr>
          <w:rFonts w:ascii="Times New Roman" w:hAnsi="Times New Roman" w:cs="Times New Roman" w:eastAsia="Times New Roman" w:hint="default"/>
          <w:sz w:val="29"/>
          <w:szCs w:val="29"/>
        </w:rPr>
      </w:pPr>
    </w:p>
    <w:p>
      <w:pPr>
        <w:pStyle w:val="BodyText"/>
        <w:spacing w:line="309" w:lineRule="auto"/>
        <w:ind w:right="1130"/>
        <w:jc w:val="both"/>
      </w:pPr>
      <w:r>
        <w:rPr>
          <w:spacing w:val="-3"/>
        </w:rPr>
        <w:t>万元”。根据《关于浙江中正智能科技有限公司之股权转让协议》</w:t>
      </w:r>
      <w:r>
        <w:rPr>
          <w:rFonts w:ascii="Times New Roman" w:hAnsi="Times New Roman" w:cs="Times New Roman" w:eastAsia="Times New Roman" w:hint="default"/>
          <w:spacing w:val="-3"/>
        </w:rPr>
        <w:t>5.3</w:t>
      </w:r>
      <w:r>
        <w:rPr>
          <w:rFonts w:ascii="Times New Roman" w:hAnsi="Times New Roman" w:cs="Times New Roman" w:eastAsia="Times New Roman" w:hint="default"/>
          <w:spacing w:val="39"/>
        </w:rPr>
        <w:t> </w:t>
      </w:r>
      <w:r>
        <w:rPr>
          <w:spacing w:val="-1"/>
        </w:rPr>
        <w:t>盈利预测补偿安排</w:t>
      </w:r>
      <w:r>
        <w:rPr>
          <w:spacing w:val="-6"/>
        </w:rPr>
        <w:t> </w:t>
      </w:r>
      <w:r>
        <w:rPr>
          <w:rFonts w:ascii="Times New Roman" w:hAnsi="Times New Roman" w:cs="Times New Roman" w:eastAsia="Times New Roman" w:hint="default"/>
          <w:spacing w:val="-1"/>
        </w:rPr>
        <w:t>5.3.2</w:t>
      </w:r>
      <w:r>
        <w:rPr>
          <w:spacing w:val="-1"/>
        </w:rPr>
        <w:t>“利润补偿期间内，若目标公</w:t>
      </w:r>
      <w:r>
        <w:rPr>
          <w:spacing w:val="-88"/>
        </w:rPr>
        <w:t> </w:t>
      </w:r>
      <w:r>
        <w:rPr>
          <w:spacing w:val="-88"/>
        </w:rPr>
      </w:r>
      <w:r>
        <w:rPr>
          <w:spacing w:val="-2"/>
        </w:rPr>
        <w:t>司能在业绩承诺补偿期间实际的净利润数小于同期承诺净利润数的，交易对方应当按照以下公式对新国都进行补偿：当年应</w:t>
      </w:r>
      <w:r>
        <w:rPr>
          <w:spacing w:val="-64"/>
        </w:rPr>
        <w:t> </w:t>
      </w:r>
      <w:r>
        <w:rPr>
          <w:spacing w:val="-64"/>
        </w:rPr>
      </w:r>
      <w:r>
        <w:rPr>
          <w:spacing w:val="-2"/>
        </w:rPr>
        <w:t>补偿金额＝（截止当期期末累积承诺净利润数</w:t>
      </w:r>
      <w:r>
        <w:rPr>
          <w:rFonts w:ascii="Times New Roman" w:hAnsi="Times New Roman" w:cs="Times New Roman" w:eastAsia="Times New Roman" w:hint="default"/>
          <w:spacing w:val="-2"/>
        </w:rPr>
        <w:t>—</w:t>
      </w:r>
      <w:r>
        <w:rPr>
          <w:spacing w:val="-2"/>
        </w:rPr>
        <w:t>截止当期期末累积实际净利润数）÷利润补偿期间内累积承诺净利润数总和</w:t>
      </w:r>
    </w:p>
    <w:p>
      <w:pPr>
        <w:pStyle w:val="BodyText"/>
        <w:spacing w:line="302" w:lineRule="auto" w:before="5"/>
        <w:ind w:left="1134" w:right="994"/>
        <w:jc w:val="left"/>
      </w:pPr>
      <w:r>
        <w:rPr>
          <w:spacing w:val="-2"/>
        </w:rPr>
        <w:t>×标的资产交易价格</w:t>
      </w:r>
      <w:r>
        <w:rPr>
          <w:rFonts w:ascii="Times New Roman" w:hAnsi="Times New Roman" w:cs="Times New Roman" w:eastAsia="Times New Roman" w:hint="default"/>
          <w:spacing w:val="-2"/>
        </w:rPr>
        <w:t>—</w:t>
      </w:r>
      <w:r>
        <w:rPr>
          <w:spacing w:val="-2"/>
        </w:rPr>
        <w:t>已补偿金额”。具体补偿方案将于《关于收购浙江中正智能科技有限公司业绩承诺实现情况的专项说</w:t>
      </w:r>
      <w:r>
        <w:rPr>
          <w:spacing w:val="-65"/>
        </w:rPr>
        <w:t> </w:t>
      </w:r>
      <w:r>
        <w:rPr>
          <w:spacing w:val="-65"/>
        </w:rPr>
      </w:r>
      <w:r>
        <w:rPr/>
        <w:t>明》中披露。</w:t>
      </w:r>
    </w:p>
    <w:p>
      <w:pPr>
        <w:pStyle w:val="BodyText"/>
        <w:spacing w:line="240" w:lineRule="auto" w:before="69"/>
        <w:ind w:left="1493" w:right="994"/>
        <w:jc w:val="left"/>
      </w:pPr>
      <w:r>
        <w:rPr>
          <w:rFonts w:ascii="Times New Roman" w:hAnsi="Times New Roman" w:cs="Times New Roman" w:eastAsia="Times New Roman" w:hint="default"/>
        </w:rPr>
        <w:t>2</w:t>
      </w:r>
      <w:r>
        <w:rPr/>
        <w:t>）公信诚丰业绩承诺：</w:t>
      </w:r>
    </w:p>
    <w:p>
      <w:pPr>
        <w:pStyle w:val="BodyText"/>
        <w:spacing w:line="302" w:lineRule="auto" w:before="102"/>
        <w:ind w:right="1129" w:firstLine="36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 </w:t>
      </w:r>
      <w:r>
        <w:rPr/>
        <w:t>月</w:t>
      </w:r>
      <w:r>
        <w:rPr>
          <w:spacing w:val="-45"/>
        </w:rPr>
        <w:t> </w:t>
      </w:r>
      <w:r>
        <w:rPr>
          <w:rFonts w:ascii="Times New Roman" w:hAnsi="Times New Roman" w:cs="Times New Roman" w:eastAsia="Times New Roman" w:hint="default"/>
        </w:rPr>
        <w:t>9 </w:t>
      </w:r>
      <w:r>
        <w:rPr/>
        <w:t>日公司召开第三届董事会第二十八次（临时）会议、</w:t>
      </w:r>
      <w:r>
        <w:rPr>
          <w:rFonts w:ascii="Times New Roman" w:hAnsi="Times New Roman" w:cs="Times New Roman" w:eastAsia="Times New Roman" w:hint="default"/>
        </w:rPr>
        <w:t>2016 </w:t>
      </w:r>
      <w:r>
        <w:rPr/>
        <w:t>年</w:t>
      </w:r>
      <w:r>
        <w:rPr>
          <w:spacing w:val="-45"/>
        </w:rPr>
        <w:t> </w:t>
      </w:r>
      <w:r>
        <w:rPr>
          <w:rFonts w:ascii="Times New Roman" w:hAnsi="Times New Roman" w:cs="Times New Roman" w:eastAsia="Times New Roman" w:hint="default"/>
        </w:rPr>
        <w:t>5 </w:t>
      </w:r>
      <w:r>
        <w:rPr/>
        <w:t>月</w:t>
      </w:r>
      <w:r>
        <w:rPr>
          <w:spacing w:val="-45"/>
        </w:rPr>
        <w:t> </w:t>
      </w:r>
      <w:r>
        <w:rPr>
          <w:rFonts w:ascii="Times New Roman" w:hAnsi="Times New Roman" w:cs="Times New Roman" w:eastAsia="Times New Roman" w:hint="default"/>
        </w:rPr>
        <w:t>25 </w:t>
      </w:r>
      <w:r>
        <w:rPr/>
        <w:t>日召开</w:t>
      </w:r>
      <w:r>
        <w:rPr>
          <w:spacing w:val="-44"/>
        </w:rPr>
        <w:t> </w:t>
      </w:r>
      <w:r>
        <w:rPr>
          <w:rFonts w:ascii="Times New Roman" w:hAnsi="Times New Roman" w:cs="Times New Roman" w:eastAsia="Times New Roman" w:hint="default"/>
        </w:rPr>
        <w:t>2016 </w:t>
      </w:r>
      <w:r>
        <w:rPr/>
        <w:t>年第三次临时股东大会 </w:t>
      </w:r>
      <w:r>
        <w:rPr>
          <w:spacing w:val="-1"/>
        </w:rPr>
        <w:t>审议通过《关于收购长沙公信诚丰信息技术服务有限公司</w:t>
      </w:r>
      <w:r>
        <w:rPr>
          <w:spacing w:val="-38"/>
        </w:rPr>
        <w:t> </w:t>
      </w:r>
      <w:r>
        <w:rPr>
          <w:rFonts w:ascii="Times New Roman" w:hAnsi="Times New Roman" w:cs="Times New Roman" w:eastAsia="Times New Roman" w:hint="default"/>
          <w:spacing w:val="-7"/>
        </w:rPr>
        <w:t>100%</w:t>
      </w:r>
      <w:r>
        <w:rPr>
          <w:spacing w:val="-7"/>
        </w:rPr>
        <w:t>股权的议案》，公司以</w:t>
      </w:r>
      <w:r>
        <w:rPr>
          <w:spacing w:val="-3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年非公开发行股票的募集资金人</w:t>
      </w:r>
      <w:r>
        <w:rPr>
          <w:spacing w:val="-88"/>
        </w:rPr>
        <w:t> </w:t>
      </w:r>
      <w:r>
        <w:rPr/>
        <w:t>民币</w:t>
      </w:r>
      <w:r>
        <w:rPr>
          <w:spacing w:val="-62"/>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17"/>
        </w:rPr>
        <w:t> </w:t>
      </w:r>
      <w:r>
        <w:rPr/>
        <w:t>万元收购公信诚丰</w:t>
      </w:r>
      <w:r>
        <w:rPr>
          <w:spacing w:val="-62"/>
        </w:rPr>
        <w:t> </w:t>
      </w:r>
      <w:r>
        <w:rPr>
          <w:rFonts w:ascii="Times New Roman" w:hAnsi="Times New Roman" w:cs="Times New Roman" w:eastAsia="Times New Roman" w:hint="default"/>
        </w:rPr>
        <w:t>100%</w:t>
      </w:r>
      <w:r>
        <w:rPr/>
        <w:t>股权，本次收购不以本次非公开发行获得中国证监会批准或募集资金募集完成为先决条 </w:t>
      </w:r>
      <w:r>
        <w:rPr>
          <w:spacing w:val="-2"/>
        </w:rPr>
        <w:t>件。根据同日公司与公信诚丰全体股东及其核心管理人员江勇签署的《关于长沙公信诚丰信息技术服务有限公司之股权转让</w:t>
      </w:r>
      <w:r>
        <w:rPr>
          <w:spacing w:val="-64"/>
        </w:rPr>
        <w:t> </w:t>
      </w:r>
      <w:r>
        <w:rPr>
          <w:spacing w:val="-64"/>
        </w:rPr>
      </w:r>
      <w:r>
        <w:rPr>
          <w:spacing w:val="-7"/>
        </w:rPr>
        <w:t>协议》约定“交易对方承诺，目标公司在业绩承诺期间内各年度净利润数</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年度不低于</w:t>
      </w:r>
      <w:r>
        <w:rPr>
          <w:spacing w:val="-42"/>
        </w:rPr>
        <w:t> </w:t>
      </w:r>
      <w:r>
        <w:rPr>
          <w:rFonts w:ascii="Times New Roman" w:hAnsi="Times New Roman" w:cs="Times New Roman" w:eastAsia="Times New Roman" w:hint="default"/>
        </w:rPr>
        <w:t>4,000</w:t>
      </w:r>
      <w:r>
        <w:rPr>
          <w:rFonts w:ascii="Times New Roman" w:hAnsi="Times New Roman" w:cs="Times New Roman" w:eastAsia="Times New Roman" w:hint="default"/>
          <w:spacing w:val="4"/>
        </w:rPr>
        <w:t> </w:t>
      </w:r>
      <w:r>
        <w:rPr>
          <w:spacing w:val="-10"/>
        </w:rPr>
        <w:t>万元，</w:t>
      </w:r>
      <w:r>
        <w:rPr>
          <w:rFonts w:ascii="Times New Roman" w:hAnsi="Times New Roman" w:cs="Times New Roman" w:eastAsia="Times New Roman" w:hint="default"/>
          <w:spacing w:val="-10"/>
        </w:rPr>
        <w:t>2017</w:t>
      </w:r>
      <w:r>
        <w:rPr>
          <w:rFonts w:ascii="Times New Roman" w:hAnsi="Times New Roman" w:cs="Times New Roman" w:eastAsia="Times New Roman" w:hint="default"/>
          <w:spacing w:val="3"/>
        </w:rPr>
        <w:t> </w:t>
      </w:r>
      <w:r>
        <w:rPr/>
        <w:t>年度不低于</w:t>
      </w:r>
      <w:r>
        <w:rPr>
          <w:spacing w:val="-42"/>
        </w:rPr>
        <w:t> </w:t>
      </w:r>
      <w:r>
        <w:rPr>
          <w:rFonts w:ascii="Times New Roman" w:hAnsi="Times New Roman" w:cs="Times New Roman" w:eastAsia="Times New Roman" w:hint="default"/>
        </w:rPr>
        <w:t>5,000 </w:t>
      </w:r>
      <w:r>
        <w:rPr/>
        <w:t>万元，</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年度不低于</w:t>
      </w:r>
      <w:r>
        <w:rPr>
          <w:spacing w:val="-32"/>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2"/>
        </w:rPr>
        <w:t> </w:t>
      </w:r>
      <w:r>
        <w:rPr>
          <w:spacing w:val="-3"/>
        </w:rPr>
        <w:t>万元”。根据业绩补偿公式“当年应补偿金额＝（截止当期期末累积承诺净利润数</w:t>
      </w:r>
      <w:r>
        <w:rPr>
          <w:rFonts w:ascii="Times New Roman" w:hAnsi="Times New Roman" w:cs="Times New Roman" w:eastAsia="Times New Roman" w:hint="default"/>
          <w:spacing w:val="-3"/>
        </w:rPr>
        <w:t>—</w:t>
      </w:r>
      <w:r>
        <w:rPr>
          <w:spacing w:val="-3"/>
        </w:rPr>
        <w:t>截止当期</w:t>
      </w:r>
      <w:r>
        <w:rPr>
          <w:spacing w:val="-88"/>
        </w:rPr>
        <w:t> </w:t>
      </w:r>
      <w:r>
        <w:rPr>
          <w:spacing w:val="-2"/>
        </w:rPr>
        <w:t>期末累积实际净利润数）÷业绩承诺期间内累积承诺净利润数总和×标的股权交易价格</w:t>
      </w:r>
      <w:r>
        <w:rPr>
          <w:rFonts w:ascii="Times New Roman" w:hAnsi="Times New Roman" w:cs="Times New Roman" w:eastAsia="Times New Roman" w:hint="default"/>
          <w:spacing w:val="-2"/>
        </w:rPr>
        <w:t>—</w:t>
      </w:r>
      <w:r>
        <w:rPr>
          <w:spacing w:val="-2"/>
        </w:rPr>
        <w:t>已补偿金额”。具体补偿方案将于</w:t>
      </w:r>
    </w:p>
    <w:p>
      <w:pPr>
        <w:pStyle w:val="BodyText"/>
        <w:spacing w:line="240" w:lineRule="auto" w:before="12"/>
        <w:ind w:right="0"/>
        <w:jc w:val="both"/>
      </w:pPr>
      <w:r>
        <w:rPr/>
        <w:t>《关于收购长沙公信诚丰信息技术服务有限公司业绩承诺实现情况的专项说明》中披露。</w:t>
      </w:r>
    </w:p>
    <w:p>
      <w:pPr>
        <w:spacing w:line="240" w:lineRule="auto" w:before="13"/>
        <w:rPr>
          <w:rFonts w:ascii="宋体" w:hAnsi="宋体" w:cs="宋体" w:eastAsia="宋体" w:hint="default"/>
          <w:sz w:val="24"/>
          <w:szCs w:val="24"/>
        </w:rPr>
      </w:pPr>
    </w:p>
    <w:p>
      <w:pPr>
        <w:pStyle w:val="Heading4"/>
        <w:spacing w:line="240" w:lineRule="auto"/>
        <w:ind w:right="0"/>
        <w:jc w:val="both"/>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4"/>
        <w:spacing w:line="240" w:lineRule="auto"/>
        <w:ind w:right="0"/>
        <w:jc w:val="both"/>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0"/>
        <w:jc w:val="both"/>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both"/>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0"/>
        <w:jc w:val="both"/>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both"/>
      </w:pPr>
      <w:r>
        <w:rPr>
          <w:rFonts w:ascii="Times New Roman" w:hAnsi="Times New Roman" w:cs="Times New Roman" w:eastAsia="Times New Roman" w:hint="default"/>
        </w:rPr>
        <w:t>1</w:t>
      </w:r>
      <w:r>
        <w:rPr/>
        <w:t>、新设立控股子公司深圳市新国都末微技术服务有限公司；</w:t>
      </w:r>
    </w:p>
    <w:p>
      <w:pPr>
        <w:pStyle w:val="BodyText"/>
        <w:spacing w:line="240" w:lineRule="auto" w:before="63"/>
        <w:ind w:left="1134" w:right="0"/>
        <w:jc w:val="both"/>
      </w:pPr>
      <w:r>
        <w:rPr>
          <w:rFonts w:ascii="Times New Roman" w:hAnsi="Times New Roman" w:cs="Times New Roman" w:eastAsia="Times New Roman" w:hint="default"/>
        </w:rPr>
        <w:t>2</w:t>
      </w:r>
      <w:r>
        <w:rPr/>
        <w:t>、投资设立全资子公司公司长沙法度互联网科技有限公司；</w:t>
      </w:r>
    </w:p>
    <w:p>
      <w:pPr>
        <w:pStyle w:val="BodyText"/>
        <w:spacing w:line="240" w:lineRule="auto" w:before="63"/>
        <w:ind w:left="1134" w:right="0"/>
        <w:jc w:val="both"/>
      </w:pPr>
      <w:r>
        <w:rPr>
          <w:rFonts w:ascii="Times New Roman" w:hAnsi="Times New Roman" w:cs="Times New Roman" w:eastAsia="Times New Roman" w:hint="default"/>
        </w:rPr>
        <w:t>3</w:t>
      </w:r>
      <w:r>
        <w:rPr/>
        <w:t>、投资设立子公司杭州中宗电子有限公司；</w:t>
      </w:r>
    </w:p>
    <w:p>
      <w:pPr>
        <w:pStyle w:val="BodyText"/>
        <w:spacing w:line="240" w:lineRule="auto" w:before="63"/>
        <w:ind w:left="1134" w:right="0"/>
        <w:jc w:val="both"/>
      </w:pPr>
      <w:r>
        <w:rPr>
          <w:rFonts w:ascii="Times New Roman" w:hAnsi="Times New Roman" w:cs="Times New Roman" w:eastAsia="Times New Roman" w:hint="default"/>
        </w:rPr>
        <w:t>4</w:t>
      </w:r>
      <w:r>
        <w:rPr/>
        <w:t>、投资设立子公司巴西</w:t>
      </w:r>
      <w:r>
        <w:rPr>
          <w:rFonts w:ascii="Times New Roman" w:hAnsi="Times New Roman" w:cs="Times New Roman" w:eastAsia="Times New Roman" w:hint="default"/>
        </w:rPr>
        <w:t>NEXGO</w:t>
      </w:r>
      <w:r>
        <w:rPr/>
        <w:t>控股有限责任公司。</w:t>
      </w:r>
    </w:p>
    <w:p>
      <w:pPr>
        <w:spacing w:line="240" w:lineRule="auto" w:before="2"/>
        <w:rPr>
          <w:rFonts w:ascii="宋体" w:hAnsi="宋体" w:cs="宋体" w:eastAsia="宋体" w:hint="default"/>
          <w:sz w:val="24"/>
          <w:szCs w:val="24"/>
        </w:rPr>
      </w:pPr>
    </w:p>
    <w:p>
      <w:pPr>
        <w:pStyle w:val="Heading4"/>
        <w:spacing w:line="240" w:lineRule="auto"/>
        <w:ind w:left="1134" w:right="0"/>
        <w:jc w:val="both"/>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0"/>
        <w:jc w:val="both"/>
      </w:pPr>
      <w:r>
        <w:rPr/>
        <w:t>现聘任的会计事务所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887"/>
        <w:gridCol w:w="5682"/>
      </w:tblGrid>
      <w:tr>
        <w:trPr>
          <w:trHeight w:val="402"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刘高科、周灵芝</w:t>
            </w:r>
          </w:p>
        </w:tc>
      </w:tr>
      <w:tr>
        <w:trPr>
          <w:trHeight w:val="714" w:hRule="exact"/>
        </w:trPr>
        <w:tc>
          <w:tcPr>
            <w:tcW w:w="38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 限</w:t>
            </w:r>
          </w:p>
        </w:tc>
        <w:tc>
          <w:tcPr>
            <w:tcW w:w="568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left="1134" w:right="994"/>
        <w:jc w:val="left"/>
      </w:pPr>
      <w:r>
        <w:rPr/>
        <w:t>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28" w:lineRule="auto" w:before="43"/>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本年度，公司因非公开发行股票事项，聘请中信证券股份有限公司为保荐机构，期间共支付保荐费用、承销及发行费用合计</w:t>
      </w:r>
      <w:r>
        <w:rPr>
          <w:spacing w:val="-66"/>
        </w:rPr>
        <w:t> </w:t>
      </w:r>
      <w:r>
        <w:rPr>
          <w:spacing w:val="-66"/>
        </w:rPr>
      </w:r>
      <w:r>
        <w:rPr>
          <w:rFonts w:ascii="Times New Roman" w:hAnsi="Times New Roman" w:cs="Times New Roman" w:eastAsia="Times New Roman" w:hint="default"/>
        </w:rPr>
        <w:t>1,000</w:t>
      </w:r>
      <w:r>
        <w:rPr/>
        <w:t>万元。</w:t>
      </w:r>
    </w:p>
    <w:p>
      <w:pPr>
        <w:spacing w:line="240" w:lineRule="auto" w:before="6"/>
        <w:rPr>
          <w:rFonts w:ascii="宋体" w:hAnsi="宋体" w:cs="宋体" w:eastAsia="宋体" w:hint="default"/>
          <w:sz w:val="18"/>
          <w:szCs w:val="18"/>
        </w:rPr>
      </w:pPr>
    </w:p>
    <w:p>
      <w:pPr>
        <w:pStyle w:val="Heading4"/>
        <w:spacing w:line="240" w:lineRule="auto"/>
        <w:ind w:right="994"/>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994"/>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4"/>
        <w:spacing w:line="240" w:lineRule="auto"/>
        <w:ind w:right="994"/>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451"/>
        <w:gridCol w:w="1086"/>
        <w:gridCol w:w="1266"/>
        <w:gridCol w:w="953"/>
        <w:gridCol w:w="1392"/>
        <w:gridCol w:w="1266"/>
        <w:gridCol w:w="1081"/>
        <w:gridCol w:w="1076"/>
      </w:tblGrid>
      <w:tr>
        <w:trPr>
          <w:trHeight w:val="709" w:hRule="exact"/>
        </w:trPr>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30" w:right="2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7" w:right="23" w:hanging="335"/>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6" w:right="8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92" w:right="49"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1" w:right="89"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67" w:right="26"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048" w:hRule="exact"/>
        </w:trPr>
        <w:tc>
          <w:tcPr>
            <w:tcW w:w="14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22" w:right="156"/>
              <w:jc w:val="both"/>
              <w:rPr>
                <w:rFonts w:ascii="宋体" w:hAnsi="宋体" w:cs="宋体" w:eastAsia="宋体" w:hint="default"/>
                <w:sz w:val="18"/>
                <w:szCs w:val="18"/>
              </w:rPr>
            </w:pPr>
            <w:r>
              <w:rPr>
                <w:rFonts w:ascii="宋体" w:hAnsi="宋体" w:cs="宋体" w:eastAsia="宋体" w:hint="default"/>
                <w:sz w:val="18"/>
                <w:szCs w:val="18"/>
              </w:rPr>
              <w:t>他人起诉新国都 支付房屋租赁合 同</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314" w:lineRule="auto" w:before="63"/>
              <w:ind w:left="23"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日，沈阳 市沈河区 人民法院 一审结果 判决文书 号为</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）辽</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民初</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12925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23" w:right="1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日，沈 阳市中级 人民法院 二审裁定 发回重审，</w:t>
            </w:r>
          </w:p>
        </w:tc>
        <w:tc>
          <w:tcPr>
            <w:tcW w:w="1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22" w:right="97"/>
              <w:jc w:val="left"/>
              <w:rPr>
                <w:rFonts w:ascii="宋体" w:hAnsi="宋体" w:cs="宋体" w:eastAsia="宋体" w:hint="default"/>
                <w:sz w:val="18"/>
                <w:szCs w:val="18"/>
              </w:rPr>
            </w:pPr>
            <w:r>
              <w:rPr>
                <w:rFonts w:ascii="宋体" w:hAnsi="宋体" w:cs="宋体" w:eastAsia="宋体" w:hint="default"/>
                <w:sz w:val="18"/>
                <w:szCs w:val="18"/>
              </w:rPr>
              <w:t>本案尚处于等待 重审阶段，以法 院审理结果为 准。</w:t>
            </w:r>
          </w:p>
        </w:tc>
        <w:tc>
          <w:tcPr>
            <w:tcW w:w="1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2" w:lineRule="auto" w:before="6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日于 巨潮资讯网 </w:t>
            </w:r>
            <w:r>
              <w:rPr>
                <w:rFonts w:ascii="宋体" w:hAnsi="宋体" w:cs="宋体" w:eastAsia="宋体" w:hint="default"/>
                <w:spacing w:val="-8"/>
                <w:sz w:val="18"/>
                <w:szCs w:val="18"/>
              </w:rPr>
              <w:t>披露的《</w:t>
            </w:r>
            <w:r>
              <w:rPr>
                <w:rFonts w:ascii="Times New Roman" w:hAnsi="Times New Roman" w:cs="Times New Roman" w:eastAsia="Times New Roman" w:hint="default"/>
                <w:spacing w:val="-8"/>
                <w:sz w:val="18"/>
                <w:szCs w:val="18"/>
              </w:rPr>
              <w:t>2017</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年半年度报 </w:t>
            </w:r>
            <w:r>
              <w:rPr>
                <w:rFonts w:ascii="宋体" w:hAnsi="宋体" w:cs="宋体" w:eastAsia="宋体" w:hint="default"/>
                <w:spacing w:val="-15"/>
                <w:sz w:val="18"/>
                <w:szCs w:val="18"/>
              </w:rPr>
              <w:t>告》（公告编</w:t>
            </w:r>
            <w:r>
              <w:rPr>
                <w:rFonts w:ascii="宋体" w:hAnsi="宋体" w:cs="宋体" w:eastAsia="宋体" w:hint="default"/>
                <w:sz w:val="18"/>
                <w:szCs w:val="18"/>
              </w:rPr>
              <w:t> 号：</w:t>
            </w:r>
          </w:p>
          <w:p>
            <w:pPr>
              <w:pStyle w:val="TableParagraph"/>
              <w:spacing w:line="240" w:lineRule="auto" w:before="2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2017-097</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51"/>
        <w:gridCol w:w="1086"/>
        <w:gridCol w:w="1266"/>
        <w:gridCol w:w="953"/>
        <w:gridCol w:w="1392"/>
        <w:gridCol w:w="1266"/>
        <w:gridCol w:w="1081"/>
        <w:gridCol w:w="1076"/>
      </w:tblGrid>
      <w:tr>
        <w:trPr>
          <w:trHeight w:val="317" w:hRule="exact"/>
        </w:trPr>
        <w:tc>
          <w:tcPr>
            <w:tcW w:w="1451" w:type="dxa"/>
            <w:vMerge w:val="restart"/>
            <w:tcBorders>
              <w:top w:val="single" w:sz="4" w:space="0" w:color="000000"/>
              <w:left w:val="single" w:sz="4" w:space="0" w:color="000000"/>
              <w:right w:val="single" w:sz="4" w:space="0" w:color="000000"/>
            </w:tcBorders>
            <w:shd w:val="clear" w:color="auto" w:fill="CCE8CF"/>
          </w:tcPr>
          <w:p>
            <w:pPr/>
          </w:p>
        </w:tc>
        <w:tc>
          <w:tcPr>
            <w:tcW w:w="1086" w:type="dxa"/>
            <w:vMerge w:val="restart"/>
            <w:tcBorders>
              <w:top w:val="single" w:sz="4" w:space="0" w:color="000000"/>
              <w:left w:val="single" w:sz="4" w:space="0" w:color="000000"/>
              <w:right w:val="single" w:sz="4" w:space="0" w:color="000000"/>
            </w:tcBorders>
          </w:tcPr>
          <w:p>
            <w:pPr/>
          </w:p>
        </w:tc>
        <w:tc>
          <w:tcPr>
            <w:tcW w:w="1266" w:type="dxa"/>
            <w:vMerge w:val="restart"/>
            <w:tcBorders>
              <w:top w:val="single" w:sz="4" w:space="0" w:color="000000"/>
              <w:left w:val="single" w:sz="4" w:space="0" w:color="000000"/>
              <w:right w:val="single" w:sz="4" w:space="0" w:color="000000"/>
            </w:tcBorders>
          </w:tcPr>
          <w:p>
            <w:pPr/>
          </w:p>
        </w:tc>
        <w:tc>
          <w:tcPr>
            <w:tcW w:w="953"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裁定文书</w:t>
            </w:r>
          </w:p>
        </w:tc>
        <w:tc>
          <w:tcPr>
            <w:tcW w:w="1392" w:type="dxa"/>
            <w:vMerge w:val="restart"/>
            <w:tcBorders>
              <w:top w:val="single" w:sz="4" w:space="0" w:color="000000"/>
              <w:left w:val="single" w:sz="4" w:space="0" w:color="000000"/>
              <w:right w:val="single" w:sz="4" w:space="0" w:color="000000"/>
            </w:tcBorders>
            <w:shd w:val="clear" w:color="auto" w:fill="CCE8CF"/>
          </w:tcPr>
          <w:p>
            <w:pPr/>
          </w:p>
        </w:tc>
        <w:tc>
          <w:tcPr>
            <w:tcW w:w="1266" w:type="dxa"/>
            <w:vMerge w:val="restart"/>
            <w:tcBorders>
              <w:top w:val="single" w:sz="4" w:space="0" w:color="000000"/>
              <w:left w:val="single" w:sz="4" w:space="0" w:color="000000"/>
              <w:right w:val="single" w:sz="4" w:space="0" w:color="000000"/>
            </w:tcBorders>
            <w:shd w:val="clear" w:color="auto" w:fill="CCE8CF"/>
          </w:tcPr>
          <w:p>
            <w:pPr/>
          </w:p>
        </w:tc>
        <w:tc>
          <w:tcPr>
            <w:tcW w:w="1081" w:type="dxa"/>
            <w:vMerge w:val="restart"/>
            <w:tcBorders>
              <w:top w:val="single" w:sz="4" w:space="0" w:color="000000"/>
              <w:left w:val="single" w:sz="4" w:space="0" w:color="000000"/>
              <w:right w:val="single" w:sz="4" w:space="0" w:color="000000"/>
            </w:tcBorders>
          </w:tcPr>
          <w:p>
            <w:pPr/>
          </w:p>
        </w:tc>
        <w:tc>
          <w:tcPr>
            <w:tcW w:w="1076" w:type="dxa"/>
            <w:vMerge w:val="restart"/>
            <w:tcBorders>
              <w:top w:val="single" w:sz="4" w:space="0" w:color="000000"/>
              <w:left w:val="single" w:sz="4" w:space="0" w:color="000000"/>
              <w:right w:val="single" w:sz="4" w:space="0" w:color="000000"/>
            </w:tcBorders>
            <w:shd w:val="clear" w:color="auto" w:fill="CCE8CF"/>
          </w:tcPr>
          <w:p>
            <w:pPr/>
          </w:p>
        </w:tc>
      </w:tr>
      <w:tr>
        <w:trPr>
          <w:trHeight w:val="312" w:hRule="exact"/>
        </w:trPr>
        <w:tc>
          <w:tcPr>
            <w:tcW w:w="1451" w:type="dxa"/>
            <w:vMerge/>
            <w:tcBorders>
              <w:left w:val="single" w:sz="4" w:space="0" w:color="000000"/>
              <w:right w:val="single" w:sz="4" w:space="0" w:color="000000"/>
            </w:tcBorders>
            <w:shd w:val="clear" w:color="auto" w:fill="CCE8CF"/>
          </w:tcPr>
          <w:p>
            <w:pPr/>
          </w:p>
        </w:tc>
        <w:tc>
          <w:tcPr>
            <w:tcW w:w="1086"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号为</w:t>
            </w:r>
          </w:p>
        </w:tc>
        <w:tc>
          <w:tcPr>
            <w:tcW w:w="1392" w:type="dxa"/>
            <w:vMerge/>
            <w:tcBorders>
              <w:left w:val="single" w:sz="4" w:space="0" w:color="000000"/>
              <w:right w:val="single" w:sz="4" w:space="0" w:color="000000"/>
            </w:tcBorders>
            <w:shd w:val="clear" w:color="auto" w:fill="CCE8CF"/>
          </w:tcPr>
          <w:p>
            <w:pPr/>
          </w:p>
        </w:tc>
        <w:tc>
          <w:tcPr>
            <w:tcW w:w="1266" w:type="dxa"/>
            <w:vMerge/>
            <w:tcBorders>
              <w:left w:val="single" w:sz="4" w:space="0" w:color="000000"/>
              <w:right w:val="single" w:sz="4" w:space="0" w:color="000000"/>
            </w:tcBorders>
            <w:shd w:val="clear" w:color="auto" w:fill="CCE8CF"/>
          </w:tcPr>
          <w:p>
            <w:pPr/>
          </w:p>
        </w:tc>
        <w:tc>
          <w:tcPr>
            <w:tcW w:w="1081"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shd w:val="clear" w:color="auto" w:fill="CCE8CF"/>
          </w:tcPr>
          <w:p>
            <w:pPr/>
          </w:p>
        </w:tc>
      </w:tr>
      <w:tr>
        <w:trPr>
          <w:trHeight w:val="317" w:hRule="exact"/>
        </w:trPr>
        <w:tc>
          <w:tcPr>
            <w:tcW w:w="1451" w:type="dxa"/>
            <w:vMerge/>
            <w:tcBorders>
              <w:left w:val="single" w:sz="4" w:space="0" w:color="000000"/>
              <w:right w:val="single" w:sz="4" w:space="0" w:color="000000"/>
            </w:tcBorders>
            <w:shd w:val="clear" w:color="auto" w:fill="CCE8CF"/>
          </w:tcPr>
          <w:p>
            <w:pPr/>
          </w:p>
        </w:tc>
        <w:tc>
          <w:tcPr>
            <w:tcW w:w="1086"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）辽</w:t>
            </w:r>
          </w:p>
        </w:tc>
        <w:tc>
          <w:tcPr>
            <w:tcW w:w="1392" w:type="dxa"/>
            <w:vMerge/>
            <w:tcBorders>
              <w:left w:val="single" w:sz="4" w:space="0" w:color="000000"/>
              <w:right w:val="single" w:sz="4" w:space="0" w:color="000000"/>
            </w:tcBorders>
            <w:shd w:val="clear" w:color="auto" w:fill="CCE8CF"/>
          </w:tcPr>
          <w:p>
            <w:pPr/>
          </w:p>
        </w:tc>
        <w:tc>
          <w:tcPr>
            <w:tcW w:w="1266" w:type="dxa"/>
            <w:vMerge/>
            <w:tcBorders>
              <w:left w:val="single" w:sz="4" w:space="0" w:color="000000"/>
              <w:right w:val="single" w:sz="4" w:space="0" w:color="000000"/>
            </w:tcBorders>
            <w:shd w:val="clear" w:color="auto" w:fill="CCE8CF"/>
          </w:tcPr>
          <w:p>
            <w:pPr/>
          </w:p>
        </w:tc>
        <w:tc>
          <w:tcPr>
            <w:tcW w:w="1081"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shd w:val="clear" w:color="auto" w:fill="CCE8CF"/>
          </w:tcPr>
          <w:p>
            <w:pPr/>
          </w:p>
        </w:tc>
      </w:tr>
      <w:tr>
        <w:trPr>
          <w:trHeight w:val="312" w:hRule="exact"/>
        </w:trPr>
        <w:tc>
          <w:tcPr>
            <w:tcW w:w="1451" w:type="dxa"/>
            <w:vMerge/>
            <w:tcBorders>
              <w:left w:val="single" w:sz="4" w:space="0" w:color="000000"/>
              <w:right w:val="single" w:sz="4" w:space="0" w:color="000000"/>
            </w:tcBorders>
            <w:shd w:val="clear" w:color="auto" w:fill="CCE8CF"/>
          </w:tcPr>
          <w:p>
            <w:pPr/>
          </w:p>
        </w:tc>
        <w:tc>
          <w:tcPr>
            <w:tcW w:w="1086"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民终</w:t>
            </w:r>
          </w:p>
        </w:tc>
        <w:tc>
          <w:tcPr>
            <w:tcW w:w="1392" w:type="dxa"/>
            <w:vMerge/>
            <w:tcBorders>
              <w:left w:val="single" w:sz="4" w:space="0" w:color="000000"/>
              <w:right w:val="single" w:sz="4" w:space="0" w:color="000000"/>
            </w:tcBorders>
            <w:shd w:val="clear" w:color="auto" w:fill="CCE8CF"/>
          </w:tcPr>
          <w:p>
            <w:pPr/>
          </w:p>
        </w:tc>
        <w:tc>
          <w:tcPr>
            <w:tcW w:w="1266" w:type="dxa"/>
            <w:vMerge/>
            <w:tcBorders>
              <w:left w:val="single" w:sz="4" w:space="0" w:color="000000"/>
              <w:right w:val="single" w:sz="4" w:space="0" w:color="000000"/>
            </w:tcBorders>
            <w:shd w:val="clear" w:color="auto" w:fill="CCE8CF"/>
          </w:tcPr>
          <w:p>
            <w:pPr/>
          </w:p>
        </w:tc>
        <w:tc>
          <w:tcPr>
            <w:tcW w:w="1081"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shd w:val="clear" w:color="auto" w:fill="CCE8CF"/>
          </w:tcPr>
          <w:p>
            <w:pPr/>
          </w:p>
        </w:tc>
      </w:tr>
      <w:tr>
        <w:trPr>
          <w:trHeight w:val="312" w:hRule="exact"/>
        </w:trPr>
        <w:tc>
          <w:tcPr>
            <w:tcW w:w="1451" w:type="dxa"/>
            <w:vMerge/>
            <w:tcBorders>
              <w:left w:val="single" w:sz="4" w:space="0" w:color="000000"/>
              <w:right w:val="single" w:sz="4" w:space="0" w:color="000000"/>
            </w:tcBorders>
            <w:shd w:val="clear" w:color="auto" w:fill="CCE8CF"/>
          </w:tcPr>
          <w:p>
            <w:pPr/>
          </w:p>
        </w:tc>
        <w:tc>
          <w:tcPr>
            <w:tcW w:w="1086"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9504</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号。本</w:t>
            </w:r>
          </w:p>
        </w:tc>
        <w:tc>
          <w:tcPr>
            <w:tcW w:w="1392" w:type="dxa"/>
            <w:vMerge/>
            <w:tcBorders>
              <w:left w:val="single" w:sz="4" w:space="0" w:color="000000"/>
              <w:right w:val="single" w:sz="4" w:space="0" w:color="000000"/>
            </w:tcBorders>
            <w:shd w:val="clear" w:color="auto" w:fill="CCE8CF"/>
          </w:tcPr>
          <w:p>
            <w:pPr/>
          </w:p>
        </w:tc>
        <w:tc>
          <w:tcPr>
            <w:tcW w:w="1266" w:type="dxa"/>
            <w:vMerge/>
            <w:tcBorders>
              <w:left w:val="single" w:sz="4" w:space="0" w:color="000000"/>
              <w:right w:val="single" w:sz="4" w:space="0" w:color="000000"/>
            </w:tcBorders>
            <w:shd w:val="clear" w:color="auto" w:fill="CCE8CF"/>
          </w:tcPr>
          <w:p>
            <w:pPr/>
          </w:p>
        </w:tc>
        <w:tc>
          <w:tcPr>
            <w:tcW w:w="1081"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shd w:val="clear" w:color="auto" w:fill="CCE8CF"/>
          </w:tcPr>
          <w:p>
            <w:pPr/>
          </w:p>
        </w:tc>
      </w:tr>
      <w:tr>
        <w:trPr>
          <w:trHeight w:val="307" w:hRule="exact"/>
        </w:trPr>
        <w:tc>
          <w:tcPr>
            <w:tcW w:w="1451" w:type="dxa"/>
            <w:vMerge/>
            <w:tcBorders>
              <w:left w:val="single" w:sz="4" w:space="0" w:color="000000"/>
              <w:right w:val="single" w:sz="4" w:space="0" w:color="000000"/>
            </w:tcBorders>
            <w:shd w:val="clear" w:color="auto" w:fill="CCE8CF"/>
          </w:tcPr>
          <w:p>
            <w:pPr/>
          </w:p>
        </w:tc>
        <w:tc>
          <w:tcPr>
            <w:tcW w:w="1086"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案现处于</w:t>
            </w:r>
          </w:p>
        </w:tc>
        <w:tc>
          <w:tcPr>
            <w:tcW w:w="1392" w:type="dxa"/>
            <w:vMerge/>
            <w:tcBorders>
              <w:left w:val="single" w:sz="4" w:space="0" w:color="000000"/>
              <w:right w:val="single" w:sz="4" w:space="0" w:color="000000"/>
            </w:tcBorders>
            <w:shd w:val="clear" w:color="auto" w:fill="CCE8CF"/>
          </w:tcPr>
          <w:p>
            <w:pPr/>
          </w:p>
        </w:tc>
        <w:tc>
          <w:tcPr>
            <w:tcW w:w="1266" w:type="dxa"/>
            <w:vMerge/>
            <w:tcBorders>
              <w:left w:val="single" w:sz="4" w:space="0" w:color="000000"/>
              <w:right w:val="single" w:sz="4" w:space="0" w:color="000000"/>
            </w:tcBorders>
            <w:shd w:val="clear" w:color="auto" w:fill="CCE8CF"/>
          </w:tcPr>
          <w:p>
            <w:pPr/>
          </w:p>
        </w:tc>
        <w:tc>
          <w:tcPr>
            <w:tcW w:w="1081"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shd w:val="clear" w:color="auto" w:fill="CCE8CF"/>
          </w:tcPr>
          <w:p>
            <w:pPr/>
          </w:p>
        </w:tc>
      </w:tr>
      <w:tr>
        <w:trPr>
          <w:trHeight w:val="313" w:hRule="exact"/>
        </w:trPr>
        <w:tc>
          <w:tcPr>
            <w:tcW w:w="1451" w:type="dxa"/>
            <w:vMerge/>
            <w:tcBorders>
              <w:left w:val="single" w:sz="4" w:space="0" w:color="000000"/>
              <w:right w:val="single" w:sz="4" w:space="0" w:color="000000"/>
            </w:tcBorders>
            <w:shd w:val="clear" w:color="auto" w:fill="CCE8CF"/>
          </w:tcPr>
          <w:p>
            <w:pPr/>
          </w:p>
        </w:tc>
        <w:tc>
          <w:tcPr>
            <w:tcW w:w="1086" w:type="dxa"/>
            <w:vMerge/>
            <w:tcBorders>
              <w:left w:val="single" w:sz="4" w:space="0" w:color="000000"/>
              <w:right w:val="single" w:sz="4" w:space="0" w:color="000000"/>
            </w:tcBorders>
          </w:tcPr>
          <w:p>
            <w:pPr/>
          </w:p>
        </w:tc>
        <w:tc>
          <w:tcPr>
            <w:tcW w:w="1266" w:type="dxa"/>
            <w:vMerge/>
            <w:tcBorders>
              <w:left w:val="single" w:sz="4" w:space="0" w:color="000000"/>
              <w:right w:val="single" w:sz="4" w:space="0" w:color="000000"/>
            </w:tcBorders>
          </w:tcPr>
          <w:p>
            <w:pPr/>
          </w:p>
        </w:tc>
        <w:tc>
          <w:tcPr>
            <w:tcW w:w="95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等待重审</w:t>
            </w:r>
          </w:p>
        </w:tc>
        <w:tc>
          <w:tcPr>
            <w:tcW w:w="1392" w:type="dxa"/>
            <w:vMerge/>
            <w:tcBorders>
              <w:left w:val="single" w:sz="4" w:space="0" w:color="000000"/>
              <w:right w:val="single" w:sz="4" w:space="0" w:color="000000"/>
            </w:tcBorders>
            <w:shd w:val="clear" w:color="auto" w:fill="CCE8CF"/>
          </w:tcPr>
          <w:p>
            <w:pPr/>
          </w:p>
        </w:tc>
        <w:tc>
          <w:tcPr>
            <w:tcW w:w="1266" w:type="dxa"/>
            <w:vMerge/>
            <w:tcBorders>
              <w:left w:val="single" w:sz="4" w:space="0" w:color="000000"/>
              <w:right w:val="single" w:sz="4" w:space="0" w:color="000000"/>
            </w:tcBorders>
            <w:shd w:val="clear" w:color="auto" w:fill="CCE8CF"/>
          </w:tcPr>
          <w:p>
            <w:pPr/>
          </w:p>
        </w:tc>
        <w:tc>
          <w:tcPr>
            <w:tcW w:w="1081" w:type="dxa"/>
            <w:vMerge/>
            <w:tcBorders>
              <w:left w:val="single" w:sz="4" w:space="0" w:color="000000"/>
              <w:right w:val="single" w:sz="4" w:space="0" w:color="000000"/>
            </w:tcBorders>
          </w:tcPr>
          <w:p>
            <w:pPr/>
          </w:p>
        </w:tc>
        <w:tc>
          <w:tcPr>
            <w:tcW w:w="1076" w:type="dxa"/>
            <w:vMerge/>
            <w:tcBorders>
              <w:left w:val="single" w:sz="4" w:space="0" w:color="000000"/>
              <w:right w:val="single" w:sz="4" w:space="0" w:color="000000"/>
            </w:tcBorders>
            <w:shd w:val="clear" w:color="auto" w:fill="CCE8CF"/>
          </w:tcPr>
          <w:p>
            <w:pPr/>
          </w:p>
        </w:tc>
      </w:tr>
      <w:tr>
        <w:trPr>
          <w:trHeight w:val="357" w:hRule="exact"/>
        </w:trPr>
        <w:tc>
          <w:tcPr>
            <w:tcW w:w="1451" w:type="dxa"/>
            <w:vMerge/>
            <w:tcBorders>
              <w:left w:val="single" w:sz="4" w:space="0" w:color="000000"/>
              <w:bottom w:val="single" w:sz="4" w:space="0" w:color="000000"/>
              <w:right w:val="single" w:sz="4" w:space="0" w:color="000000"/>
            </w:tcBorders>
            <w:shd w:val="clear" w:color="auto" w:fill="CCE8CF"/>
          </w:tcPr>
          <w:p>
            <w:pPr/>
          </w:p>
        </w:tc>
        <w:tc>
          <w:tcPr>
            <w:tcW w:w="1086" w:type="dxa"/>
            <w:vMerge/>
            <w:tcBorders>
              <w:left w:val="single" w:sz="4" w:space="0" w:color="000000"/>
              <w:bottom w:val="single" w:sz="4" w:space="0" w:color="000000"/>
              <w:right w:val="single" w:sz="4" w:space="0" w:color="000000"/>
            </w:tcBorders>
          </w:tcPr>
          <w:p>
            <w:pPr/>
          </w:p>
        </w:tc>
        <w:tc>
          <w:tcPr>
            <w:tcW w:w="1266" w:type="dxa"/>
            <w:vMerge/>
            <w:tcBorders>
              <w:left w:val="single" w:sz="4" w:space="0" w:color="000000"/>
              <w:bottom w:val="single" w:sz="4" w:space="0" w:color="000000"/>
              <w:right w:val="single" w:sz="4" w:space="0" w:color="000000"/>
            </w:tcBorders>
          </w:tcPr>
          <w:p>
            <w:pPr/>
          </w:p>
        </w:tc>
        <w:tc>
          <w:tcPr>
            <w:tcW w:w="953"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阶段。</w:t>
            </w:r>
          </w:p>
        </w:tc>
        <w:tc>
          <w:tcPr>
            <w:tcW w:w="1392" w:type="dxa"/>
            <w:vMerge/>
            <w:tcBorders>
              <w:left w:val="single" w:sz="4" w:space="0" w:color="000000"/>
              <w:bottom w:val="single" w:sz="4" w:space="0" w:color="000000"/>
              <w:right w:val="single" w:sz="4" w:space="0" w:color="000000"/>
            </w:tcBorders>
            <w:shd w:val="clear" w:color="auto" w:fill="CCE8CF"/>
          </w:tcPr>
          <w:p>
            <w:pPr/>
          </w:p>
        </w:tc>
        <w:tc>
          <w:tcPr>
            <w:tcW w:w="1266" w:type="dxa"/>
            <w:vMerge/>
            <w:tcBorders>
              <w:left w:val="single" w:sz="4" w:space="0" w:color="000000"/>
              <w:bottom w:val="single" w:sz="4" w:space="0" w:color="000000"/>
              <w:right w:val="single" w:sz="4" w:space="0" w:color="000000"/>
            </w:tcBorders>
            <w:shd w:val="clear" w:color="auto" w:fill="CCE8CF"/>
          </w:tcPr>
          <w:p>
            <w:pPr/>
          </w:p>
        </w:tc>
        <w:tc>
          <w:tcPr>
            <w:tcW w:w="1081" w:type="dxa"/>
            <w:vMerge/>
            <w:tcBorders>
              <w:left w:val="single" w:sz="4" w:space="0" w:color="000000"/>
              <w:bottom w:val="single" w:sz="4" w:space="0" w:color="000000"/>
              <w:right w:val="single" w:sz="4" w:space="0" w:color="000000"/>
            </w:tcBorders>
          </w:tcPr>
          <w:p>
            <w:pPr/>
          </w:p>
        </w:tc>
        <w:tc>
          <w:tcPr>
            <w:tcW w:w="1076" w:type="dxa"/>
            <w:vMerge/>
            <w:tcBorders>
              <w:left w:val="single" w:sz="4" w:space="0" w:color="000000"/>
              <w:bottom w:val="single" w:sz="4" w:space="0" w:color="000000"/>
              <w:right w:val="single" w:sz="4" w:space="0" w:color="000000"/>
            </w:tcBorders>
            <w:shd w:val="clear" w:color="auto" w:fill="CCE8CF"/>
          </w:tcPr>
          <w:p>
            <w:pPr/>
          </w:p>
        </w:tc>
      </w:tr>
    </w:tbl>
    <w:p>
      <w:pPr>
        <w:spacing w:line="240" w:lineRule="auto" w:before="2"/>
        <w:rPr>
          <w:rFonts w:ascii="宋体" w:hAnsi="宋体" w:cs="宋体" w:eastAsia="宋体" w:hint="default"/>
          <w:sz w:val="18"/>
          <w:szCs w:val="18"/>
        </w:rPr>
      </w:pPr>
    </w:p>
    <w:p>
      <w:pPr>
        <w:pStyle w:val="Heading4"/>
        <w:spacing w:line="240" w:lineRule="auto" w:before="26"/>
        <w:ind w:left="1134" w:right="994"/>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4"/>
        <w:spacing w:line="240" w:lineRule="auto"/>
        <w:ind w:right="994"/>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left="1493" w:right="99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报告期内，公司及公司控股股东、实际控制人刘祥先生无违法违规记录，不存在未履行法院生效判决或所负数额较大的</w:t>
      </w:r>
    </w:p>
    <w:p>
      <w:pPr>
        <w:pStyle w:val="BodyText"/>
        <w:spacing w:line="240" w:lineRule="auto" w:before="2"/>
        <w:ind w:right="994"/>
        <w:jc w:val="left"/>
      </w:pPr>
      <w:r>
        <w:rPr/>
        <w:t>债务到期未清偿等情况，不存在被交易所通报批评、公开谴责或者认定为不适当人选等情况。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4"/>
        <w:spacing w:line="240" w:lineRule="auto"/>
        <w:ind w:right="994"/>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1493" w:right="1123" w:hanging="360"/>
        <w:jc w:val="left"/>
        <w:rPr>
          <w:rFonts w:ascii="宋体" w:hAnsi="宋体" w:cs="宋体" w:eastAsia="宋体"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截止报告期末，公司共披露</w:t>
      </w:r>
      <w:r>
        <w:rPr>
          <w:rFonts w:ascii="宋体" w:hAnsi="宋体" w:cs="宋体" w:eastAsia="宋体" w:hint="default"/>
        </w:rPr>
        <w:t>3</w:t>
      </w:r>
      <w:r>
        <w:rPr/>
        <w:t>次股票期权激励计划，分别为</w:t>
      </w:r>
      <w:r>
        <w:rPr>
          <w:rFonts w:ascii="宋体" w:hAnsi="宋体" w:cs="宋体" w:eastAsia="宋体" w:hint="default"/>
        </w:rPr>
        <w:t>2014</w:t>
      </w:r>
      <w:r>
        <w:rPr/>
        <w:t>年股票期权激励计划、</w:t>
      </w:r>
      <w:r>
        <w:rPr>
          <w:rFonts w:ascii="宋体" w:hAnsi="宋体" w:cs="宋体" w:eastAsia="宋体" w:hint="default"/>
        </w:rPr>
        <w:t>2015</w:t>
      </w:r>
      <w:r>
        <w:rPr/>
        <w:t>年股票期权激励计划和</w:t>
      </w:r>
      <w:r>
        <w:rPr>
          <w:rFonts w:ascii="宋体" w:hAnsi="宋体" w:cs="宋体" w:eastAsia="宋体" w:hint="default"/>
        </w:rPr>
        <w:t>2017</w:t>
      </w:r>
    </w:p>
    <w:p>
      <w:pPr>
        <w:pStyle w:val="BodyText"/>
        <w:spacing w:line="316" w:lineRule="auto" w:before="2"/>
        <w:ind w:left="1493" w:right="7693" w:hanging="360"/>
        <w:jc w:val="left"/>
      </w:pPr>
      <w:r>
        <w:rPr/>
        <w:t>年股票期权激励计划。实施情况如下： 一、</w:t>
      </w:r>
      <w:r>
        <w:rPr>
          <w:rFonts w:ascii="宋体" w:hAnsi="宋体" w:cs="宋体" w:eastAsia="宋体" w:hint="default"/>
        </w:rPr>
        <w:t>2014</w:t>
      </w:r>
      <w:r>
        <w:rPr/>
        <w:t>年股票期权激励计划：</w:t>
      </w:r>
    </w:p>
    <w:p>
      <w:pPr>
        <w:pStyle w:val="BodyText"/>
        <w:spacing w:line="316" w:lineRule="auto" w:before="19"/>
        <w:ind w:right="994" w:firstLine="360"/>
        <w:jc w:val="left"/>
      </w:pPr>
      <w:r>
        <w:rPr>
          <w:rFonts w:ascii="宋体" w:hAnsi="宋体" w:cs="宋体" w:eastAsia="宋体" w:hint="default"/>
          <w:spacing w:val="-4"/>
        </w:rPr>
        <w:t>1.2017</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5</w:t>
      </w:r>
      <w:r>
        <w:rPr>
          <w:spacing w:val="-4"/>
        </w:rPr>
        <w:t>日，公司于中国证监会指定创业板信息披露媒体巨潮资讯网公告了《部分已获授股票期权注销完成公告》，</w:t>
      </w:r>
      <w:r>
        <w:rPr/>
        <w:t> 经中国证券登记结算有限责任公司深圳分公司审核确认，</w:t>
      </w:r>
      <w:r>
        <w:rPr>
          <w:rFonts w:ascii="宋体" w:hAnsi="宋体" w:cs="宋体" w:eastAsia="宋体" w:hint="default"/>
        </w:rPr>
        <w:t>2014</w:t>
      </w:r>
      <w:r>
        <w:rPr/>
        <w:t>年股票期权激励计划注销部分已获授权期权</w:t>
      </w:r>
      <w:r>
        <w:rPr>
          <w:rFonts w:ascii="宋体" w:hAnsi="宋体" w:cs="宋体" w:eastAsia="宋体" w:hint="default"/>
        </w:rPr>
        <w:t>131,200</w:t>
      </w:r>
      <w:r>
        <w:rPr/>
        <w:t>份股票期</w:t>
      </w:r>
      <w:r>
        <w:rPr>
          <w:spacing w:val="-83"/>
        </w:rPr>
        <w:t> </w:t>
      </w:r>
      <w:r>
        <w:rPr/>
        <w:t>权已于</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5</w:t>
      </w:r>
      <w:r>
        <w:rPr/>
        <w:t>日办理完成注销手续。</w:t>
      </w:r>
    </w:p>
    <w:p>
      <w:pPr>
        <w:pStyle w:val="BodyText"/>
        <w:spacing w:line="316" w:lineRule="auto" w:before="19"/>
        <w:ind w:right="1129" w:firstLine="360"/>
        <w:jc w:val="both"/>
      </w:pPr>
      <w:r>
        <w:rPr>
          <w:rFonts w:ascii="宋体" w:hAnsi="宋体" w:cs="宋体" w:eastAsia="宋体" w:hint="default"/>
        </w:rPr>
        <w:t>2.2017</w:t>
      </w:r>
      <w:r>
        <w:rPr/>
        <w:t>年</w:t>
      </w:r>
      <w:r>
        <w:rPr>
          <w:rFonts w:ascii="宋体" w:hAnsi="宋体" w:cs="宋体" w:eastAsia="宋体" w:hint="default"/>
        </w:rPr>
        <w:t>4</w:t>
      </w:r>
      <w:r>
        <w:rPr/>
        <w:t>月</w:t>
      </w:r>
      <w:r>
        <w:rPr>
          <w:rFonts w:ascii="宋体" w:hAnsi="宋体" w:cs="宋体" w:eastAsia="宋体" w:hint="default"/>
        </w:rPr>
        <w:t>24</w:t>
      </w:r>
      <w:r>
        <w:rPr/>
        <w:t>日，公司召开第三届董事会第四十二次（临时）会议审议通过《关于公司</w:t>
      </w:r>
      <w:r>
        <w:rPr>
          <w:rFonts w:ascii="宋体" w:hAnsi="宋体" w:cs="宋体" w:eastAsia="宋体" w:hint="default"/>
        </w:rPr>
        <w:t>2014</w:t>
      </w:r>
      <w:r>
        <w:rPr/>
        <w:t>年股票期权激励计划第三 </w:t>
      </w:r>
      <w:r>
        <w:rPr>
          <w:spacing w:val="-2"/>
        </w:rPr>
        <w:t>个行权期可行权的议案》。同日公司于中国证监会指定创业板信息披露媒体巨潮资讯网公告了《关于</w:t>
      </w:r>
      <w:r>
        <w:rPr>
          <w:rFonts w:ascii="宋体" w:hAnsi="宋体" w:cs="宋体" w:eastAsia="宋体" w:hint="default"/>
          <w:spacing w:val="-2"/>
        </w:rPr>
        <w:t>2014</w:t>
      </w:r>
      <w:r>
        <w:rPr>
          <w:spacing w:val="-2"/>
        </w:rPr>
        <w:t>年股票期权激励计</w:t>
      </w:r>
      <w:r>
        <w:rPr>
          <w:spacing w:val="-61"/>
        </w:rPr>
        <w:t> </w:t>
      </w:r>
      <w:r>
        <w:rPr/>
        <w:t>划第三个行权期可行权的公告》，公司</w:t>
      </w:r>
      <w:r>
        <w:rPr>
          <w:rFonts w:ascii="宋体" w:hAnsi="宋体" w:cs="宋体" w:eastAsia="宋体" w:hint="default"/>
        </w:rPr>
        <w:t>2014</w:t>
      </w:r>
      <w:r>
        <w:rPr/>
        <w:t>年股权激励计划授予股票期权的的</w:t>
      </w:r>
      <w:r>
        <w:rPr>
          <w:rFonts w:ascii="宋体" w:hAnsi="宋体" w:cs="宋体" w:eastAsia="宋体" w:hint="default"/>
        </w:rPr>
        <w:t>136</w:t>
      </w:r>
      <w:r>
        <w:rPr/>
        <w:t>名激励对象在第三个行权期可自主行权共</w:t>
      </w:r>
      <w:r>
        <w:rPr>
          <w:spacing w:val="-83"/>
        </w:rPr>
        <w:t> </w:t>
      </w:r>
      <w:r>
        <w:rPr>
          <w:spacing w:val="-83"/>
        </w:rPr>
      </w:r>
      <w:r>
        <w:rPr>
          <w:rFonts w:ascii="宋体" w:hAnsi="宋体" w:cs="宋体" w:eastAsia="宋体" w:hint="default"/>
        </w:rPr>
        <w:t>4,677,920</w:t>
      </w:r>
      <w:r>
        <w:rPr/>
        <w:t>份股票期权，行权价格</w:t>
      </w:r>
      <w:r>
        <w:rPr>
          <w:rFonts w:ascii="宋体" w:hAnsi="宋体" w:cs="宋体" w:eastAsia="宋体" w:hint="default"/>
        </w:rPr>
        <w:t>7.535</w:t>
      </w:r>
      <w:r>
        <w:rPr/>
        <w:t>元。</w:t>
      </w:r>
    </w:p>
    <w:p>
      <w:pPr>
        <w:pStyle w:val="BodyText"/>
        <w:spacing w:line="316" w:lineRule="auto" w:before="19"/>
        <w:ind w:right="1130" w:firstLine="360"/>
        <w:jc w:val="both"/>
      </w:pPr>
      <w:r>
        <w:rPr>
          <w:rFonts w:ascii="宋体" w:hAnsi="宋体" w:cs="宋体" w:eastAsia="宋体" w:hint="default"/>
          <w:spacing w:val="-2"/>
        </w:rPr>
        <w:t>3.2017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8</w:t>
      </w:r>
      <w:r>
        <w:rPr>
          <w:spacing w:val="-2"/>
        </w:rPr>
        <w:t>日，公司于中国证监会指定创业板信息披露媒体巨潮资讯网公告了《关于</w:t>
      </w:r>
      <w:r>
        <w:rPr>
          <w:rFonts w:ascii="宋体" w:hAnsi="宋体" w:cs="宋体" w:eastAsia="宋体" w:hint="default"/>
          <w:spacing w:val="-2"/>
        </w:rPr>
        <w:t>2014</w:t>
      </w:r>
      <w:r>
        <w:rPr>
          <w:spacing w:val="-2"/>
        </w:rPr>
        <w:t>年股票期权激励计划第三个</w:t>
      </w:r>
      <w:r>
        <w:rPr/>
        <w:t> 行权期采用自主行权模式的公告》。</w:t>
      </w:r>
    </w:p>
    <w:p>
      <w:pPr>
        <w:pStyle w:val="BodyText"/>
        <w:spacing w:line="316" w:lineRule="auto" w:before="19"/>
        <w:ind w:right="1130" w:firstLine="360"/>
        <w:jc w:val="both"/>
      </w:pPr>
      <w:r>
        <w:rPr>
          <w:rFonts w:ascii="宋体" w:hAnsi="宋体" w:cs="宋体" w:eastAsia="宋体" w:hint="default"/>
          <w:spacing w:val="-2"/>
        </w:rPr>
        <w:t>4.2017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6</w:t>
      </w:r>
      <w:r>
        <w:rPr>
          <w:spacing w:val="-2"/>
        </w:rPr>
        <w:t>日，公司召开第四届董事会第二次会议审议通过了《关于对</w:t>
      </w:r>
      <w:r>
        <w:rPr>
          <w:rFonts w:ascii="宋体" w:hAnsi="宋体" w:cs="宋体" w:eastAsia="宋体" w:hint="default"/>
          <w:spacing w:val="-2"/>
        </w:rPr>
        <w:t>2014</w:t>
      </w:r>
      <w:r>
        <w:rPr>
          <w:spacing w:val="-2"/>
        </w:rPr>
        <w:t>年股票期权激励计划已获授尚未行权股票</w:t>
      </w:r>
      <w:r>
        <w:rPr/>
        <w:t> </w:t>
      </w:r>
      <w:r>
        <w:rPr>
          <w:spacing w:val="-2"/>
        </w:rPr>
        <w:t>期权行权价格进行调整的议案》，并于同日于中国证监会指定创业板信息披露媒体巨潮资讯网公告了《关于对</w:t>
      </w:r>
      <w:r>
        <w:rPr>
          <w:rFonts w:ascii="宋体" w:hAnsi="宋体" w:cs="宋体" w:eastAsia="宋体" w:hint="default"/>
          <w:spacing w:val="-2"/>
        </w:rPr>
        <w:t>2014</w:t>
      </w:r>
      <w:r>
        <w:rPr>
          <w:spacing w:val="-2"/>
        </w:rPr>
        <w:t>年股票期</w:t>
      </w:r>
      <w:r>
        <w:rPr>
          <w:spacing w:val="-61"/>
        </w:rPr>
        <w:t> </w:t>
      </w:r>
      <w:r>
        <w:rPr>
          <w:spacing w:val="4"/>
        </w:rPr>
        <w:t>权激励计划已获授尚未行权股票期权行权价格进行调整的公告》，公司</w:t>
      </w:r>
      <w:r>
        <w:rPr>
          <w:rFonts w:ascii="宋体" w:hAnsi="宋体" w:cs="宋体" w:eastAsia="宋体" w:hint="default"/>
          <w:spacing w:val="4"/>
        </w:rPr>
        <w:t>2016</w:t>
      </w:r>
      <w:r>
        <w:rPr>
          <w:spacing w:val="4"/>
        </w:rPr>
        <w:t>年年度利润分派方案为：以公司现有总股本</w:t>
      </w:r>
      <w:r>
        <w:rPr>
          <w:spacing w:val="-65"/>
        </w:rPr>
        <w:t> </w:t>
      </w:r>
      <w:r>
        <w:rPr>
          <w:spacing w:val="-65"/>
        </w:rPr>
      </w:r>
      <w:r>
        <w:rPr>
          <w:rFonts w:ascii="宋体" w:hAnsi="宋体" w:cs="宋体" w:eastAsia="宋体" w:hint="default"/>
          <w:spacing w:val="-2"/>
        </w:rPr>
        <w:t>239,477,540</w:t>
      </w:r>
      <w:r>
        <w:rPr>
          <w:spacing w:val="-2"/>
        </w:rPr>
        <w:t>股为基数，向全体股东每</w:t>
      </w:r>
      <w:r>
        <w:rPr>
          <w:rFonts w:ascii="宋体" w:hAnsi="宋体" w:cs="宋体" w:eastAsia="宋体" w:hint="default"/>
          <w:spacing w:val="-2"/>
        </w:rPr>
        <w:t>10</w:t>
      </w:r>
      <w:r>
        <w:rPr>
          <w:spacing w:val="-2"/>
        </w:rPr>
        <w:t>股派</w:t>
      </w:r>
      <w:r>
        <w:rPr>
          <w:rFonts w:ascii="宋体" w:hAnsi="宋体" w:cs="宋体" w:eastAsia="宋体" w:hint="default"/>
          <w:spacing w:val="-2"/>
        </w:rPr>
        <w:t>0.589987</w:t>
      </w:r>
      <w:r>
        <w:rPr>
          <w:spacing w:val="-2"/>
        </w:rPr>
        <w:t>元人民币现金</w:t>
      </w:r>
      <w:r>
        <w:rPr>
          <w:rFonts w:ascii="宋体" w:hAnsi="宋体" w:cs="宋体" w:eastAsia="宋体" w:hint="default"/>
          <w:spacing w:val="-2"/>
        </w:rPr>
        <w:t>,</w:t>
      </w:r>
      <w:r>
        <w:rPr>
          <w:spacing w:val="-2"/>
        </w:rPr>
        <w:t>该利润分派方案已于</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w:t>
      </w:r>
      <w:r>
        <w:rPr>
          <w:spacing w:val="-2"/>
        </w:rPr>
        <w:t>日实施完毕。根据公司</w:t>
      </w:r>
      <w:r>
        <w:rPr>
          <w:spacing w:val="-36"/>
        </w:rPr>
        <w:t> </w:t>
      </w:r>
      <w:r>
        <w:rPr>
          <w:spacing w:val="-36"/>
        </w:rPr>
      </w:r>
      <w:r>
        <w:rPr>
          <w:spacing w:val="-2"/>
        </w:rPr>
        <w:t>股东大会的授权及《</w:t>
      </w:r>
      <w:r>
        <w:rPr>
          <w:rFonts w:ascii="宋体" w:hAnsi="宋体" w:cs="宋体" w:eastAsia="宋体" w:hint="default"/>
          <w:spacing w:val="-2"/>
        </w:rPr>
        <w:t>2014</w:t>
      </w:r>
      <w:r>
        <w:rPr>
          <w:spacing w:val="-2"/>
        </w:rPr>
        <w:t>年股票期权激励计划（草案修订稿）》的相关规定，将公司</w:t>
      </w:r>
      <w:r>
        <w:rPr>
          <w:rFonts w:ascii="宋体" w:hAnsi="宋体" w:cs="宋体" w:eastAsia="宋体" w:hint="default"/>
          <w:spacing w:val="-2"/>
        </w:rPr>
        <w:t>2014</w:t>
      </w:r>
      <w:r>
        <w:rPr>
          <w:spacing w:val="-2"/>
        </w:rPr>
        <w:t>年股票期权激励计划已获授尚未行</w:t>
      </w:r>
      <w:r>
        <w:rPr>
          <w:spacing w:val="-58"/>
        </w:rPr>
        <w:t> </w:t>
      </w:r>
      <w:r>
        <w:rPr/>
        <w:t>权的股票期权行权价格由</w:t>
      </w:r>
      <w:r>
        <w:rPr>
          <w:rFonts w:ascii="宋体" w:hAnsi="宋体" w:cs="宋体" w:eastAsia="宋体" w:hint="default"/>
        </w:rPr>
        <w:t>7.535</w:t>
      </w:r>
      <w:r>
        <w:rPr/>
        <w:t>元调整为</w:t>
      </w:r>
      <w:r>
        <w:rPr>
          <w:rFonts w:ascii="宋体" w:hAnsi="宋体" w:cs="宋体" w:eastAsia="宋体" w:hint="default"/>
        </w:rPr>
        <w:t>7.476</w:t>
      </w:r>
      <w:r>
        <w:rPr/>
        <w:t>元。</w:t>
      </w:r>
    </w:p>
    <w:p>
      <w:pPr>
        <w:pStyle w:val="BodyText"/>
        <w:spacing w:line="240" w:lineRule="auto" w:before="19"/>
        <w:ind w:left="1494" w:right="994"/>
        <w:jc w:val="left"/>
      </w:pPr>
      <w:r>
        <w:rPr>
          <w:rFonts w:ascii="宋体" w:hAnsi="宋体" w:cs="宋体" w:eastAsia="宋体" w:hint="default"/>
        </w:rPr>
        <w:t>2014</w:t>
      </w:r>
      <w:r>
        <w:rPr/>
        <w:t>年股票期权激励计划信息披露索引如下：</w:t>
      </w:r>
    </w:p>
    <w:p>
      <w:pPr>
        <w:spacing w:line="240" w:lineRule="auto" w:before="0"/>
        <w:rPr>
          <w:rFonts w:ascii="宋体" w:hAnsi="宋体" w:cs="宋体" w:eastAsia="宋体" w:hint="default"/>
          <w:sz w:val="5"/>
          <w:szCs w:val="5"/>
        </w:rPr>
      </w:pPr>
    </w:p>
    <w:tbl>
      <w:tblPr>
        <w:tblW w:w="0" w:type="auto"/>
        <w:jc w:val="left"/>
        <w:tblInd w:w="1162" w:type="dxa"/>
        <w:tblLayout w:type="fixed"/>
        <w:tblCellMar>
          <w:top w:w="0" w:type="dxa"/>
          <w:left w:w="0" w:type="dxa"/>
          <w:bottom w:w="0" w:type="dxa"/>
          <w:right w:w="0" w:type="dxa"/>
        </w:tblCellMar>
        <w:tblLook w:val="01E0"/>
      </w:tblPr>
      <w:tblGrid>
        <w:gridCol w:w="5823"/>
        <w:gridCol w:w="991"/>
        <w:gridCol w:w="1512"/>
      </w:tblGrid>
      <w:tr>
        <w:trPr>
          <w:trHeight w:val="348" w:hRule="exact"/>
        </w:trPr>
        <w:tc>
          <w:tcPr>
            <w:tcW w:w="5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临时公告</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62" w:type="dxa"/>
        <w:tblLayout w:type="fixed"/>
        <w:tblCellMar>
          <w:top w:w="0" w:type="dxa"/>
          <w:left w:w="0" w:type="dxa"/>
          <w:bottom w:w="0" w:type="dxa"/>
          <w:right w:w="0" w:type="dxa"/>
        </w:tblCellMar>
        <w:tblLook w:val="01E0"/>
      </w:tblPr>
      <w:tblGrid>
        <w:gridCol w:w="5823"/>
        <w:gridCol w:w="991"/>
        <w:gridCol w:w="1512"/>
      </w:tblGrid>
      <w:tr>
        <w:trPr>
          <w:trHeight w:val="347" w:hRule="exact"/>
        </w:trPr>
        <w:tc>
          <w:tcPr>
            <w:tcW w:w="582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5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部分已获授股票期权注销完成公告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2017/1/5</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2017-001</w:t>
            </w:r>
          </w:p>
        </w:tc>
      </w:tr>
      <w:tr>
        <w:trPr>
          <w:trHeight w:val="347" w:hRule="exact"/>
        </w:trPr>
        <w:tc>
          <w:tcPr>
            <w:tcW w:w="5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第三届董事会第四十二次（临时）会议决议公告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2017/4/24</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2017-050</w:t>
            </w:r>
          </w:p>
        </w:tc>
      </w:tr>
      <w:tr>
        <w:trPr>
          <w:trHeight w:val="348" w:hRule="exact"/>
        </w:trPr>
        <w:tc>
          <w:tcPr>
            <w:tcW w:w="5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第三届监事会第四十一次会议决议公告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2017/4/24</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2017-051</w:t>
            </w:r>
          </w:p>
        </w:tc>
      </w:tr>
      <w:tr>
        <w:trPr>
          <w:trHeight w:val="347" w:hRule="exact"/>
        </w:trPr>
        <w:tc>
          <w:tcPr>
            <w:tcW w:w="5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z w:val="18"/>
                <w:szCs w:val="18"/>
              </w:rPr>
              <w:t>2014</w:t>
            </w:r>
            <w:r>
              <w:rPr>
                <w:rFonts w:ascii="宋体" w:hAnsi="宋体" w:cs="宋体" w:eastAsia="宋体" w:hint="default"/>
                <w:sz w:val="18"/>
                <w:szCs w:val="18"/>
              </w:rPr>
              <w:t>年股票期权激励计划第三个行权期可行权的公告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2017/4/24</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sz w:val="18"/>
              </w:rPr>
              <w:t>2017-052</w:t>
            </w:r>
          </w:p>
        </w:tc>
      </w:tr>
      <w:tr>
        <w:trPr>
          <w:trHeight w:val="659" w:hRule="exact"/>
        </w:trPr>
        <w:tc>
          <w:tcPr>
            <w:tcW w:w="58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北京市中伦（深圳）律师事务所关于公司</w:t>
            </w:r>
            <w:r>
              <w:rPr>
                <w:rFonts w:ascii="宋体" w:hAnsi="宋体" w:cs="宋体" w:eastAsia="宋体" w:hint="default"/>
                <w:sz w:val="18"/>
                <w:szCs w:val="18"/>
              </w:rPr>
              <w:t>2014</w:t>
            </w:r>
            <w:r>
              <w:rPr>
                <w:rFonts w:ascii="宋体" w:hAnsi="宋体" w:cs="宋体" w:eastAsia="宋体" w:hint="default"/>
                <w:sz w:val="18"/>
                <w:szCs w:val="18"/>
              </w:rPr>
              <w:t>年股票期权激励计划第三期</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行权的法律意见书</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2017/4/24</w:t>
            </w: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58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深圳市新国都技术股份有限公司独立董事对</w:t>
            </w:r>
            <w:r>
              <w:rPr>
                <w:rFonts w:ascii="宋体" w:hAnsi="宋体" w:cs="宋体" w:eastAsia="宋体" w:hint="default"/>
                <w:sz w:val="18"/>
                <w:szCs w:val="18"/>
              </w:rPr>
              <w:t>2014</w:t>
            </w:r>
            <w:r>
              <w:rPr>
                <w:rFonts w:ascii="宋体" w:hAnsi="宋体" w:cs="宋体" w:eastAsia="宋体" w:hint="default"/>
                <w:sz w:val="18"/>
                <w:szCs w:val="18"/>
              </w:rPr>
              <w:t>年股权激励对象名单的核</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实意见</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2017/4/24</w:t>
            </w: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58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深圳市新国都技术股份有限公司监事会对</w:t>
            </w:r>
            <w:r>
              <w:rPr>
                <w:rFonts w:ascii="宋体" w:hAnsi="宋体" w:cs="宋体" w:eastAsia="宋体" w:hint="default"/>
                <w:sz w:val="18"/>
                <w:szCs w:val="18"/>
              </w:rPr>
              <w:t>2014</w:t>
            </w:r>
            <w:r>
              <w:rPr>
                <w:rFonts w:ascii="宋体" w:hAnsi="宋体" w:cs="宋体" w:eastAsia="宋体" w:hint="default"/>
                <w:sz w:val="18"/>
                <w:szCs w:val="18"/>
              </w:rPr>
              <w:t>年股权激励对象名单的核实</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意见</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2017/4/24</w:t>
            </w: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z w:val="18"/>
                <w:szCs w:val="18"/>
              </w:rPr>
              <w:t>2014</w:t>
            </w:r>
            <w:r>
              <w:rPr>
                <w:rFonts w:ascii="宋体" w:hAnsi="宋体" w:cs="宋体" w:eastAsia="宋体" w:hint="default"/>
                <w:sz w:val="18"/>
                <w:szCs w:val="18"/>
              </w:rPr>
              <w:t>年股票期权激励计划第三个行权期采用自主行权模式的公告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2017/5/8</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2017-057</w:t>
            </w:r>
          </w:p>
        </w:tc>
      </w:tr>
      <w:tr>
        <w:trPr>
          <w:trHeight w:val="348" w:hRule="exact"/>
        </w:trPr>
        <w:tc>
          <w:tcPr>
            <w:tcW w:w="5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第四届董事会第二次会议决议公告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2017/6/6</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2017-080</w:t>
            </w:r>
          </w:p>
        </w:tc>
      </w:tr>
      <w:tr>
        <w:trPr>
          <w:trHeight w:val="347" w:hRule="exact"/>
        </w:trPr>
        <w:tc>
          <w:tcPr>
            <w:tcW w:w="5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第四届监事会第二次会议决议公告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2017/6/6</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sz w:val="18"/>
              </w:rPr>
              <w:t>2017-081</w:t>
            </w:r>
          </w:p>
        </w:tc>
      </w:tr>
      <w:tr>
        <w:trPr>
          <w:trHeight w:val="659" w:hRule="exact"/>
        </w:trPr>
        <w:tc>
          <w:tcPr>
            <w:tcW w:w="58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z w:val="18"/>
                <w:szCs w:val="18"/>
              </w:rPr>
              <w:t>关于对</w:t>
            </w:r>
            <w:r>
              <w:rPr>
                <w:rFonts w:ascii="宋体" w:hAnsi="宋体" w:cs="宋体" w:eastAsia="宋体" w:hint="default"/>
                <w:sz w:val="18"/>
                <w:szCs w:val="18"/>
              </w:rPr>
              <w:t>2014</w:t>
            </w:r>
            <w:r>
              <w:rPr>
                <w:rFonts w:ascii="宋体" w:hAnsi="宋体" w:cs="宋体" w:eastAsia="宋体" w:hint="default"/>
                <w:sz w:val="18"/>
                <w:szCs w:val="18"/>
              </w:rPr>
              <w:t>年股票期权激励计划已获授尚未行权股票期权行权价格进行调</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整的公告</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2017/6/6</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2017-082</w:t>
            </w:r>
          </w:p>
        </w:tc>
      </w:tr>
      <w:tr>
        <w:trPr>
          <w:trHeight w:val="659" w:hRule="exact"/>
        </w:trPr>
        <w:tc>
          <w:tcPr>
            <w:tcW w:w="58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北京市中伦（深圳）律师事务所关于公司</w:t>
            </w:r>
            <w:r>
              <w:rPr>
                <w:rFonts w:ascii="宋体" w:hAnsi="宋体" w:cs="宋体" w:eastAsia="宋体" w:hint="default"/>
                <w:sz w:val="18"/>
                <w:szCs w:val="18"/>
              </w:rPr>
              <w:t>2014</w:t>
            </w:r>
            <w:r>
              <w:rPr>
                <w:rFonts w:ascii="宋体" w:hAnsi="宋体" w:cs="宋体" w:eastAsia="宋体" w:hint="default"/>
                <w:sz w:val="18"/>
                <w:szCs w:val="18"/>
              </w:rPr>
              <w:t>年股票期权激励计划行权价</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格调整的法律意见书</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2017/6/6</w:t>
            </w: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5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深圳市新国都技术股份有限公司独立董事对公司相关事项发表的独立意见</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2017/6/6</w:t>
            </w:r>
          </w:p>
        </w:tc>
        <w:tc>
          <w:tcPr>
            <w:tcW w:w="151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深圳市新国都技术股份有限公司监事会对相关事项的意见</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2017/6/6</w:t>
            </w:r>
          </w:p>
        </w:tc>
        <w:tc>
          <w:tcPr>
            <w:tcW w:w="151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16" w:lineRule="auto" w:before="11"/>
        <w:ind w:left="1494" w:right="994"/>
        <w:jc w:val="left"/>
      </w:pPr>
      <w:r>
        <w:rPr/>
        <w:t>二、</w:t>
      </w:r>
      <w:r>
        <w:rPr>
          <w:rFonts w:ascii="宋体" w:hAnsi="宋体" w:cs="宋体" w:eastAsia="宋体" w:hint="default"/>
        </w:rPr>
        <w:t>2015</w:t>
      </w:r>
      <w:r>
        <w:rPr/>
        <w:t>年股票期权激励计划： </w:t>
      </w:r>
      <w:r>
        <w:rPr>
          <w:rFonts w:ascii="宋体" w:hAnsi="宋体" w:cs="宋体" w:eastAsia="宋体" w:hint="default"/>
          <w:spacing w:val="-4"/>
        </w:rPr>
        <w:t>1.2017</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5</w:t>
      </w:r>
      <w:r>
        <w:rPr>
          <w:spacing w:val="-4"/>
        </w:rPr>
        <w:t>日，公司于中国证监会指定创业板信息披露媒体巨潮资讯网公告了《部分已获授股票期权注销完成公告》，</w:t>
      </w:r>
    </w:p>
    <w:p>
      <w:pPr>
        <w:pStyle w:val="BodyText"/>
        <w:spacing w:line="316" w:lineRule="auto" w:before="19"/>
        <w:ind w:right="1123"/>
        <w:jc w:val="left"/>
      </w:pPr>
      <w:r>
        <w:rPr/>
        <w:t>经中国证券登记结算有限责任公司深圳分公司审核确认，</w:t>
      </w:r>
      <w:r>
        <w:rPr>
          <w:rFonts w:ascii="宋体" w:hAnsi="宋体" w:cs="宋体" w:eastAsia="宋体" w:hint="default"/>
        </w:rPr>
        <w:t>2015</w:t>
      </w:r>
      <w:r>
        <w:rPr/>
        <w:t>年股票期权激励计划注销部分已获授权期权</w:t>
      </w:r>
      <w:r>
        <w:rPr>
          <w:rFonts w:ascii="宋体" w:hAnsi="宋体" w:cs="宋体" w:eastAsia="宋体" w:hint="default"/>
        </w:rPr>
        <w:t>100,000</w:t>
      </w:r>
      <w:r>
        <w:rPr/>
        <w:t>份股票期</w:t>
      </w:r>
      <w:r>
        <w:rPr>
          <w:spacing w:val="-83"/>
        </w:rPr>
        <w:t> </w:t>
      </w:r>
      <w:r>
        <w:rPr/>
        <w:t>权已于</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5</w:t>
      </w:r>
      <w:r>
        <w:rPr/>
        <w:t>日办理完成注销手续。</w:t>
      </w:r>
    </w:p>
    <w:p>
      <w:pPr>
        <w:pStyle w:val="BodyText"/>
        <w:spacing w:line="316" w:lineRule="auto" w:before="19"/>
        <w:ind w:right="1129" w:firstLine="360"/>
        <w:jc w:val="both"/>
      </w:pPr>
      <w:r>
        <w:rPr>
          <w:rFonts w:ascii="宋体" w:hAnsi="宋体" w:cs="宋体" w:eastAsia="宋体" w:hint="default"/>
          <w:spacing w:val="-2"/>
        </w:rPr>
        <w:t>2.2017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7</w:t>
      </w:r>
      <w:r>
        <w:rPr>
          <w:spacing w:val="-2"/>
        </w:rPr>
        <w:t>日，公司召开第三届董事会第四十次（临时）会议审议通过《关于注销</w:t>
      </w:r>
      <w:r>
        <w:rPr>
          <w:rFonts w:ascii="宋体" w:hAnsi="宋体" w:cs="宋体" w:eastAsia="宋体" w:hint="default"/>
          <w:spacing w:val="-2"/>
        </w:rPr>
        <w:t>2015</w:t>
      </w:r>
      <w:r>
        <w:rPr>
          <w:spacing w:val="-2"/>
        </w:rPr>
        <w:t>年股票期权激励计划部分已获</w:t>
      </w:r>
      <w:r>
        <w:rPr/>
        <w:t> </w:t>
      </w:r>
      <w:r>
        <w:rPr>
          <w:spacing w:val="-2"/>
        </w:rPr>
        <w:t>授股票期权的议案》。公司于中国证监会指定创业板信息披露媒体巨潮资讯网公告了《关于注销</w:t>
      </w:r>
      <w:r>
        <w:rPr>
          <w:rFonts w:ascii="宋体" w:hAnsi="宋体" w:cs="宋体" w:eastAsia="宋体" w:hint="default"/>
          <w:spacing w:val="-2"/>
        </w:rPr>
        <w:t>2015</w:t>
      </w:r>
      <w:r>
        <w:rPr>
          <w:spacing w:val="-2"/>
        </w:rPr>
        <w:t>年股票期权激励计划部</w:t>
      </w:r>
      <w:r>
        <w:rPr>
          <w:spacing w:val="-61"/>
        </w:rPr>
        <w:t> </w:t>
      </w:r>
      <w:r>
        <w:rPr>
          <w:spacing w:val="-2"/>
        </w:rPr>
        <w:t>分已获授股票期权的公告》。公司原激励对象李明焱等</w:t>
      </w:r>
      <w:r>
        <w:rPr>
          <w:rFonts w:ascii="宋体" w:hAnsi="宋体" w:cs="宋体" w:eastAsia="宋体" w:hint="default"/>
          <w:spacing w:val="-2"/>
        </w:rPr>
        <w:t>28</w:t>
      </w:r>
      <w:r>
        <w:rPr>
          <w:spacing w:val="-2"/>
        </w:rPr>
        <w:t>人因个人原因辞职，已不符合激励条件，根据《</w:t>
      </w:r>
      <w:r>
        <w:rPr>
          <w:rFonts w:ascii="宋体" w:hAnsi="宋体" w:cs="宋体" w:eastAsia="宋体" w:hint="default"/>
          <w:spacing w:val="-2"/>
        </w:rPr>
        <w:t>2015</w:t>
      </w:r>
      <w:r>
        <w:rPr>
          <w:spacing w:val="-2"/>
        </w:rPr>
        <w:t>年股票期权激</w:t>
      </w:r>
      <w:r>
        <w:rPr>
          <w:spacing w:val="-60"/>
        </w:rPr>
        <w:t> </w:t>
      </w:r>
      <w:r>
        <w:rPr/>
        <w:t>励计划（草案）》、《</w:t>
      </w:r>
      <w:r>
        <w:rPr>
          <w:rFonts w:ascii="宋体" w:hAnsi="宋体" w:cs="宋体" w:eastAsia="宋体" w:hint="default"/>
        </w:rPr>
        <w:t>2015</w:t>
      </w:r>
      <w:r>
        <w:rPr/>
        <w:t>年股票期权激励计划管理办法》相关规定及公司</w:t>
      </w:r>
      <w:r>
        <w:rPr>
          <w:rFonts w:ascii="宋体" w:hAnsi="宋体" w:cs="宋体" w:eastAsia="宋体" w:hint="default"/>
        </w:rPr>
        <w:t>2015</w:t>
      </w:r>
      <w:r>
        <w:rPr/>
        <w:t>年第六次临时股东大会的授权</w:t>
      </w:r>
      <w:r>
        <w:rPr>
          <w:rFonts w:ascii="宋体" w:hAnsi="宋体" w:cs="宋体" w:eastAsia="宋体" w:hint="default"/>
        </w:rPr>
        <w:t>,</w:t>
      </w:r>
      <w:r>
        <w:rPr/>
        <w:t>公司拟对以</w:t>
      </w:r>
      <w:r>
        <w:rPr>
          <w:spacing w:val="-83"/>
        </w:rPr>
        <w:t> </w:t>
      </w:r>
      <w:r>
        <w:rPr/>
        <w:t>上激励对象已获授予的股票期权进行注销合计</w:t>
      </w:r>
      <w:r>
        <w:rPr>
          <w:rFonts w:ascii="宋体" w:hAnsi="宋体" w:cs="宋体" w:eastAsia="宋体" w:hint="default"/>
        </w:rPr>
        <w:t>1,960,000</w:t>
      </w:r>
      <w:r>
        <w:rPr/>
        <w:t>份。本次注销后公司</w:t>
      </w:r>
      <w:r>
        <w:rPr>
          <w:rFonts w:ascii="宋体" w:hAnsi="宋体" w:cs="宋体" w:eastAsia="宋体" w:hint="default"/>
        </w:rPr>
        <w:t>2015</w:t>
      </w:r>
      <w:r>
        <w:rPr/>
        <w:t>年股票期权激励计划已获授股票期权数量</w:t>
      </w:r>
      <w:r>
        <w:rPr>
          <w:spacing w:val="-84"/>
        </w:rPr>
        <w:t> </w:t>
      </w:r>
      <w:r>
        <w:rPr>
          <w:spacing w:val="-84"/>
        </w:rPr>
      </w:r>
      <w:r>
        <w:rPr/>
        <w:t>为</w:t>
      </w:r>
      <w:r>
        <w:rPr>
          <w:rFonts w:ascii="宋体" w:hAnsi="宋体" w:cs="宋体" w:eastAsia="宋体" w:hint="default"/>
        </w:rPr>
        <w:t>4,220,000</w:t>
      </w:r>
      <w:r>
        <w:rPr/>
        <w:t>份。</w:t>
      </w:r>
    </w:p>
    <w:p>
      <w:pPr>
        <w:pStyle w:val="BodyText"/>
        <w:spacing w:line="316" w:lineRule="auto" w:before="19"/>
        <w:ind w:left="1134" w:right="1042" w:firstLine="360"/>
        <w:jc w:val="both"/>
      </w:pPr>
      <w:r>
        <w:rPr>
          <w:rFonts w:ascii="宋体" w:hAnsi="宋体" w:cs="宋体" w:eastAsia="宋体" w:hint="default"/>
          <w:spacing w:val="-5"/>
        </w:rPr>
        <w:t>3.2017</w:t>
      </w:r>
      <w:r>
        <w:rPr>
          <w:spacing w:val="-5"/>
        </w:rPr>
        <w:t>年</w:t>
      </w:r>
      <w:r>
        <w:rPr>
          <w:rFonts w:ascii="宋体" w:hAnsi="宋体" w:cs="宋体" w:eastAsia="宋体" w:hint="default"/>
          <w:spacing w:val="-5"/>
        </w:rPr>
        <w:t>4</w:t>
      </w:r>
      <w:r>
        <w:rPr>
          <w:spacing w:val="-5"/>
        </w:rPr>
        <w:t>月</w:t>
      </w:r>
      <w:r>
        <w:rPr>
          <w:rFonts w:ascii="宋体" w:hAnsi="宋体" w:cs="宋体" w:eastAsia="宋体" w:hint="default"/>
          <w:spacing w:val="-5"/>
        </w:rPr>
        <w:t>13</w:t>
      </w:r>
      <w:r>
        <w:rPr>
          <w:spacing w:val="-5"/>
        </w:rPr>
        <w:t>日，公司于中国证监会指定创业板信息披露媒体巨潮资讯网公告了《部分已获授股票期权注销完成公告》，</w:t>
      </w:r>
      <w:r>
        <w:rPr/>
        <w:t> 经中国证券登记结算有限责任公司深圳分公司审核确认</w:t>
      </w:r>
      <w:r>
        <w:rPr>
          <w:rFonts w:ascii="宋体" w:hAnsi="宋体" w:cs="宋体" w:eastAsia="宋体" w:hint="default"/>
        </w:rPr>
        <w:t>1,960,000</w:t>
      </w:r>
      <w:r>
        <w:rPr/>
        <w:t>份股票期权已于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13</w:t>
      </w:r>
      <w:r>
        <w:rPr/>
        <w:t>日办理完成注销手续。</w:t>
      </w:r>
    </w:p>
    <w:p>
      <w:pPr>
        <w:pStyle w:val="BodyText"/>
        <w:spacing w:line="316" w:lineRule="auto" w:before="19"/>
        <w:ind w:right="1130" w:firstLine="360"/>
        <w:jc w:val="both"/>
      </w:pPr>
      <w:r>
        <w:rPr>
          <w:rFonts w:ascii="宋体" w:hAnsi="宋体" w:cs="宋体" w:eastAsia="宋体" w:hint="default"/>
        </w:rPr>
        <w:t>4.2017</w:t>
      </w:r>
      <w:r>
        <w:rPr/>
        <w:t>年</w:t>
      </w:r>
      <w:r>
        <w:rPr>
          <w:rFonts w:ascii="宋体" w:hAnsi="宋体" w:cs="宋体" w:eastAsia="宋体" w:hint="default"/>
        </w:rPr>
        <w:t>4</w:t>
      </w:r>
      <w:r>
        <w:rPr/>
        <w:t>月</w:t>
      </w:r>
      <w:r>
        <w:rPr>
          <w:rFonts w:ascii="宋体" w:hAnsi="宋体" w:cs="宋体" w:eastAsia="宋体" w:hint="default"/>
        </w:rPr>
        <w:t>17</w:t>
      </w:r>
      <w:r>
        <w:rPr/>
        <w:t>日，公司召开第三届董事会第四十一次会议审议通过《关于公司</w:t>
      </w:r>
      <w:r>
        <w:rPr>
          <w:rFonts w:ascii="宋体" w:hAnsi="宋体" w:cs="宋体" w:eastAsia="宋体" w:hint="default"/>
        </w:rPr>
        <w:t>2015</w:t>
      </w:r>
      <w:r>
        <w:rPr/>
        <w:t>年股票期权激励计划第一个行权期 </w:t>
      </w:r>
      <w:r>
        <w:rPr>
          <w:spacing w:val="-2"/>
        </w:rPr>
        <w:t>未达到行权条件予以注销的议案》，次日公司于中国证监会指定创业板信息披露媒体巨潮资讯网公告了《关于</w:t>
      </w:r>
      <w:r>
        <w:rPr>
          <w:rFonts w:ascii="宋体" w:hAnsi="宋体" w:cs="宋体" w:eastAsia="宋体" w:hint="default"/>
          <w:spacing w:val="-2"/>
        </w:rPr>
        <w:t>2015</w:t>
      </w:r>
      <w:r>
        <w:rPr>
          <w:spacing w:val="-2"/>
        </w:rPr>
        <w:t>年股票期</w:t>
      </w:r>
      <w:r>
        <w:rPr>
          <w:spacing w:val="-61"/>
        </w:rPr>
        <w:t> </w:t>
      </w:r>
      <w:r>
        <w:rPr>
          <w:spacing w:val="-2"/>
        </w:rPr>
        <w:t>权激励计划第一个行权期未达到行权条件并予以注销的公告》。公司应对本次股票期权激励计划第一个行权期已获授的期权</w:t>
      </w:r>
      <w:r>
        <w:rPr>
          <w:spacing w:val="-64"/>
        </w:rPr>
        <w:t> </w:t>
      </w:r>
      <w:r>
        <w:rPr>
          <w:spacing w:val="-64"/>
        </w:rPr>
      </w:r>
      <w:r>
        <w:rPr>
          <w:rFonts w:ascii="宋体" w:hAnsi="宋体" w:cs="宋体" w:eastAsia="宋体" w:hint="default"/>
        </w:rPr>
        <w:t>422,000</w:t>
      </w:r>
      <w:r>
        <w:rPr/>
        <w:t>份进行注销。本次注销后公司已获授股票期权数量为</w:t>
      </w:r>
      <w:r>
        <w:rPr>
          <w:rFonts w:ascii="宋体" w:hAnsi="宋体" w:cs="宋体" w:eastAsia="宋体" w:hint="default"/>
        </w:rPr>
        <w:t>3,798,000</w:t>
      </w:r>
      <w:r>
        <w:rPr/>
        <w:t>份。</w:t>
      </w:r>
    </w:p>
    <w:p>
      <w:pPr>
        <w:pStyle w:val="BodyText"/>
        <w:spacing w:line="319" w:lineRule="auto" w:before="19"/>
        <w:ind w:right="1129" w:firstLine="360"/>
        <w:jc w:val="both"/>
      </w:pPr>
      <w:r>
        <w:rPr>
          <w:rFonts w:ascii="宋体" w:hAnsi="宋体" w:cs="宋体" w:eastAsia="宋体" w:hint="default"/>
        </w:rPr>
        <w:t>5.2017</w:t>
      </w:r>
      <w:r>
        <w:rPr/>
        <w:t>年</w:t>
      </w:r>
      <w:r>
        <w:rPr>
          <w:rFonts w:ascii="宋体" w:hAnsi="宋体" w:cs="宋体" w:eastAsia="宋体" w:hint="default"/>
        </w:rPr>
        <w:t>4</w:t>
      </w:r>
      <w:r>
        <w:rPr/>
        <w:t>月</w:t>
      </w:r>
      <w:r>
        <w:rPr>
          <w:rFonts w:ascii="宋体" w:hAnsi="宋体" w:cs="宋体" w:eastAsia="宋体" w:hint="default"/>
        </w:rPr>
        <w:t>24</w:t>
      </w:r>
      <w:r>
        <w:rPr/>
        <w:t>日，公司于中国证监会指定创业板信息披露媒体巨潮资讯网公告了《</w:t>
      </w:r>
      <w:r>
        <w:rPr>
          <w:rFonts w:ascii="宋体" w:hAnsi="宋体" w:cs="宋体" w:eastAsia="宋体" w:hint="default"/>
        </w:rPr>
        <w:t>2015</w:t>
      </w:r>
      <w:r>
        <w:rPr/>
        <w:t>年股票期权激励计划第一个行 权期未达到行权条件期权注销完成的公告》，经中国证券登记结算有限责任公司深圳分公司审核确认，上述</w:t>
      </w:r>
      <w:r>
        <w:rPr>
          <w:rFonts w:ascii="宋体" w:hAnsi="宋体" w:cs="宋体" w:eastAsia="宋体" w:hint="default"/>
        </w:rPr>
        <w:t>422,000</w:t>
      </w:r>
      <w:r>
        <w:rPr/>
        <w:t>份股票</w:t>
      </w:r>
      <w:r>
        <w:rPr>
          <w:spacing w:val="-81"/>
        </w:rPr>
        <w:t> </w:t>
      </w:r>
      <w:r>
        <w:rPr/>
        <w:t>期权已于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24</w:t>
      </w:r>
      <w:r>
        <w:rPr/>
        <w:t>日办理完成注销手续。</w:t>
      </w:r>
    </w:p>
    <w:p>
      <w:pPr>
        <w:pStyle w:val="BodyText"/>
        <w:spacing w:line="316" w:lineRule="auto" w:before="17"/>
        <w:ind w:right="1129" w:firstLine="360"/>
        <w:jc w:val="both"/>
      </w:pPr>
      <w:r>
        <w:rPr>
          <w:rFonts w:ascii="宋体" w:hAnsi="宋体" w:cs="宋体" w:eastAsia="宋体" w:hint="default"/>
        </w:rPr>
        <w:t>6.</w:t>
      </w:r>
      <w:r>
        <w:rPr>
          <w:rFonts w:ascii="宋体" w:hAnsi="宋体" w:cs="宋体" w:eastAsia="宋体" w:hint="default"/>
          <w:spacing w:val="7"/>
        </w:rPr>
        <w:t> </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6</w:t>
      </w:r>
      <w:r>
        <w:rPr/>
        <w:t>日，公司召开第四届董事会第二次会议审议通过了《关于对</w:t>
      </w:r>
      <w:r>
        <w:rPr>
          <w:rFonts w:ascii="宋体" w:hAnsi="宋体" w:cs="宋体" w:eastAsia="宋体" w:hint="default"/>
        </w:rPr>
        <w:t>2015</w:t>
      </w:r>
      <w:r>
        <w:rPr/>
        <w:t>年股票期权激励计划已获授的股票期权 </w:t>
      </w:r>
      <w:r>
        <w:rPr>
          <w:spacing w:val="-2"/>
        </w:rPr>
        <w:t>行权价格进行调整的议案》，并于同日于中国证监会指定创业板信息披露媒体巨潮资讯网公告了《关于对</w:t>
      </w:r>
      <w:r>
        <w:rPr>
          <w:rFonts w:ascii="宋体" w:hAnsi="宋体" w:cs="宋体" w:eastAsia="宋体" w:hint="default"/>
          <w:spacing w:val="-2"/>
        </w:rPr>
        <w:t>2015</w:t>
      </w:r>
      <w:r>
        <w:rPr>
          <w:spacing w:val="-2"/>
        </w:rPr>
        <w:t>年股票期权激</w:t>
      </w:r>
      <w:r>
        <w:rPr>
          <w:spacing w:val="-62"/>
        </w:rPr>
        <w:t> </w:t>
      </w:r>
      <w:r>
        <w:rPr/>
        <w:t>励计划已获授的股票期权行权价格进行调整的公告》，公司</w:t>
      </w:r>
      <w:r>
        <w:rPr>
          <w:rFonts w:ascii="宋体" w:hAnsi="宋体" w:cs="宋体" w:eastAsia="宋体" w:hint="default"/>
        </w:rPr>
        <w:t>2016</w:t>
      </w:r>
      <w:r>
        <w:rPr/>
        <w:t>年年度利润分派方案为：以公司现有总股本</w:t>
      </w:r>
      <w:r>
        <w:rPr>
          <w:rFonts w:ascii="宋体" w:hAnsi="宋体" w:cs="宋体" w:eastAsia="宋体" w:hint="default"/>
        </w:rPr>
        <w:t>239,477,540</w:t>
      </w:r>
      <w:r>
        <w:rPr/>
        <w:t>股</w:t>
      </w:r>
      <w:r>
        <w:rPr>
          <w:spacing w:val="-82"/>
        </w:rPr>
        <w:t> </w:t>
      </w:r>
      <w:r>
        <w:rPr/>
        <w:t>为基数，向全体股东每</w:t>
      </w:r>
      <w:r>
        <w:rPr>
          <w:rFonts w:ascii="宋体" w:hAnsi="宋体" w:cs="宋体" w:eastAsia="宋体" w:hint="default"/>
        </w:rPr>
        <w:t>10</w:t>
      </w:r>
      <w:r>
        <w:rPr/>
        <w:t>股派</w:t>
      </w:r>
      <w:r>
        <w:rPr>
          <w:rFonts w:ascii="宋体" w:hAnsi="宋体" w:cs="宋体" w:eastAsia="宋体" w:hint="default"/>
        </w:rPr>
        <w:t>0.589987</w:t>
      </w:r>
      <w:r>
        <w:rPr/>
        <w:t>元人民币现金</w:t>
      </w:r>
      <w:r>
        <w:rPr>
          <w:rFonts w:ascii="宋体" w:hAnsi="宋体" w:cs="宋体" w:eastAsia="宋体" w:hint="default"/>
        </w:rPr>
        <w:t>,</w:t>
      </w:r>
      <w:r>
        <w:rPr/>
        <w:t>该利润分派方案已于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w:t>
      </w:r>
      <w:r>
        <w:rPr/>
        <w:t>日实施完毕。根据公司股东大会的授</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994"/>
        <w:jc w:val="left"/>
      </w:pPr>
      <w:r>
        <w:rPr>
          <w:spacing w:val="-2"/>
        </w:rPr>
        <w:t>权及《</w:t>
      </w:r>
      <w:r>
        <w:rPr>
          <w:rFonts w:ascii="宋体" w:hAnsi="宋体" w:cs="宋体" w:eastAsia="宋体" w:hint="default"/>
          <w:spacing w:val="-2"/>
        </w:rPr>
        <w:t>2015</w:t>
      </w:r>
      <w:r>
        <w:rPr>
          <w:spacing w:val="-2"/>
        </w:rPr>
        <w:t>年股票期权激励计划（草案）》的相关规定，将公司</w:t>
      </w:r>
      <w:r>
        <w:rPr>
          <w:rFonts w:ascii="宋体" w:hAnsi="宋体" w:cs="宋体" w:eastAsia="宋体" w:hint="default"/>
          <w:spacing w:val="-2"/>
        </w:rPr>
        <w:t>2015</w:t>
      </w:r>
      <w:r>
        <w:rPr>
          <w:spacing w:val="-2"/>
        </w:rPr>
        <w:t>年股票期权激励计划（草案）已获授的股票期权行权价</w:t>
      </w:r>
      <w:r>
        <w:rPr>
          <w:spacing w:val="-63"/>
        </w:rPr>
        <w:t> </w:t>
      </w:r>
      <w:r>
        <w:rPr>
          <w:spacing w:val="-63"/>
        </w:rPr>
      </w:r>
      <w:r>
        <w:rPr/>
        <w:t>格由</w:t>
      </w:r>
      <w:r>
        <w:rPr>
          <w:rFonts w:ascii="宋体" w:hAnsi="宋体" w:cs="宋体" w:eastAsia="宋体" w:hint="default"/>
        </w:rPr>
        <w:t>31.73</w:t>
      </w:r>
      <w:r>
        <w:rPr/>
        <w:t>元调整为</w:t>
      </w:r>
      <w:r>
        <w:rPr>
          <w:rFonts w:ascii="宋体" w:hAnsi="宋体" w:cs="宋体" w:eastAsia="宋体" w:hint="default"/>
        </w:rPr>
        <w:t>31.671</w:t>
      </w:r>
      <w:r>
        <w:rPr/>
        <w:t>元。</w:t>
      </w:r>
    </w:p>
    <w:p>
      <w:pPr>
        <w:pStyle w:val="BodyText"/>
        <w:spacing w:line="240" w:lineRule="auto" w:before="19"/>
        <w:ind w:left="1494" w:right="994"/>
        <w:jc w:val="left"/>
      </w:pPr>
      <w:r>
        <w:rPr>
          <w:rFonts w:ascii="宋体" w:hAnsi="宋体" w:cs="宋体" w:eastAsia="宋体" w:hint="default"/>
        </w:rPr>
        <w:t>2015</w:t>
      </w:r>
      <w:r>
        <w:rPr/>
        <w:t>年股票期权激励计划信息披露索引如下：</w:t>
      </w:r>
    </w:p>
    <w:p>
      <w:pPr>
        <w:spacing w:line="240" w:lineRule="auto" w:before="0"/>
        <w:rPr>
          <w:rFonts w:ascii="宋体" w:hAnsi="宋体" w:cs="宋体" w:eastAsia="宋体" w:hint="default"/>
          <w:sz w:val="5"/>
          <w:szCs w:val="5"/>
        </w:rPr>
      </w:pPr>
    </w:p>
    <w:tbl>
      <w:tblPr>
        <w:tblW w:w="0" w:type="auto"/>
        <w:jc w:val="left"/>
        <w:tblInd w:w="1162" w:type="dxa"/>
        <w:tblLayout w:type="fixed"/>
        <w:tblCellMar>
          <w:top w:w="0" w:type="dxa"/>
          <w:left w:w="0" w:type="dxa"/>
          <w:bottom w:w="0" w:type="dxa"/>
          <w:right w:w="0" w:type="dxa"/>
        </w:tblCellMar>
        <w:tblLook w:val="01E0"/>
      </w:tblPr>
      <w:tblGrid>
        <w:gridCol w:w="4972"/>
        <w:gridCol w:w="1532"/>
        <w:gridCol w:w="1822"/>
      </w:tblGrid>
      <w:tr>
        <w:trPr>
          <w:trHeight w:val="659"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p>
            <w:pPr>
              <w:pStyle w:val="TableParagraph"/>
              <w:spacing w:line="240" w:lineRule="auto" w:before="77"/>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部分已获授股票期权注销完成公告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2017/1/5</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2017-001</w:t>
            </w:r>
          </w:p>
        </w:tc>
      </w:tr>
      <w:tr>
        <w:trPr>
          <w:trHeight w:val="347"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第三届董事会第四十次（临时）会议决议公告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2017/4/7</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2017-026</w:t>
            </w:r>
          </w:p>
        </w:tc>
      </w:tr>
      <w:tr>
        <w:trPr>
          <w:trHeight w:val="348"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第三届监事会第三十九次会议决议公告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2017/4/7</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2017-028</w:t>
            </w:r>
          </w:p>
        </w:tc>
      </w:tr>
      <w:tr>
        <w:trPr>
          <w:trHeight w:val="347"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关于注销</w:t>
            </w:r>
            <w:r>
              <w:rPr>
                <w:rFonts w:ascii="宋体" w:hAnsi="宋体" w:cs="宋体" w:eastAsia="宋体" w:hint="default"/>
                <w:sz w:val="18"/>
                <w:szCs w:val="18"/>
              </w:rPr>
              <w:t>2015</w:t>
            </w:r>
            <w:r>
              <w:rPr>
                <w:rFonts w:ascii="宋体" w:hAnsi="宋体" w:cs="宋体" w:eastAsia="宋体" w:hint="default"/>
                <w:sz w:val="18"/>
                <w:szCs w:val="18"/>
              </w:rPr>
              <w:t>年股票期权激励计划部分已获授股票期权的公告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sz w:val="18"/>
              </w:rPr>
              <w:t>2017/4/7</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2017-027</w:t>
            </w:r>
          </w:p>
        </w:tc>
      </w:tr>
      <w:tr>
        <w:trPr>
          <w:trHeight w:val="659"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3"/>
                <w:sz w:val="18"/>
                <w:szCs w:val="18"/>
              </w:rPr>
              <w:t>北京市君泽君（深圳）律师事务所关于公司关于</w:t>
            </w:r>
            <w:r>
              <w:rPr>
                <w:rFonts w:ascii="宋体" w:hAnsi="宋体" w:cs="宋体" w:eastAsia="宋体" w:hint="default"/>
                <w:spacing w:val="-3"/>
                <w:sz w:val="18"/>
                <w:szCs w:val="18"/>
              </w:rPr>
              <w:t>2015</w:t>
            </w:r>
            <w:r>
              <w:rPr>
                <w:rFonts w:ascii="宋体" w:hAnsi="宋体" w:cs="宋体" w:eastAsia="宋体" w:hint="default"/>
                <w:spacing w:val="-3"/>
                <w:sz w:val="18"/>
                <w:szCs w:val="18"/>
              </w:rPr>
              <w:t>年股票期权</w:t>
            </w:r>
            <w:r>
              <w:rPr>
                <w:rFonts w:ascii="宋体" w:hAnsi="宋体" w:cs="宋体" w:eastAsia="宋体" w:hint="default"/>
                <w:sz w:val="18"/>
                <w:szCs w:val="18"/>
              </w:rPr>
              <w:t> 激励计划注销部分已获授股票期权的法律意见书</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2017/4/7</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3"/>
                <w:sz w:val="18"/>
                <w:szCs w:val="18"/>
              </w:rPr>
              <w:t>深圳市新国都技术股份有限公司独立董事对公司相关事项发表 </w:t>
            </w:r>
            <w:r>
              <w:rPr>
                <w:rFonts w:ascii="宋体" w:hAnsi="宋体" w:cs="宋体" w:eastAsia="宋体" w:hint="default"/>
                <w:sz w:val="18"/>
                <w:szCs w:val="18"/>
              </w:rPr>
              <w:t>的独立意见</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2017/4/7</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深圳市新国都技术股份有限公司监事会对相关事项的意见</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2017/4/7</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部分已获授股票期权注销完成公告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2017/4/13</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2017-031</w:t>
            </w:r>
          </w:p>
        </w:tc>
      </w:tr>
      <w:tr>
        <w:trPr>
          <w:trHeight w:val="348"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第三届董事会第四十一次会议决议公告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2017/4/18</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2017-032</w:t>
            </w:r>
          </w:p>
        </w:tc>
      </w:tr>
      <w:tr>
        <w:trPr>
          <w:trHeight w:val="659"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
              <w:jc w:val="left"/>
              <w:rPr>
                <w:rFonts w:ascii="宋体" w:hAnsi="宋体" w:cs="宋体" w:eastAsia="宋体" w:hint="default"/>
                <w:sz w:val="18"/>
                <w:szCs w:val="18"/>
              </w:rPr>
            </w:pPr>
            <w:r>
              <w:rPr>
                <w:rFonts w:ascii="宋体" w:hAnsi="宋体" w:cs="宋体" w:eastAsia="宋体" w:hint="default"/>
                <w:spacing w:val="-3"/>
                <w:sz w:val="18"/>
                <w:szCs w:val="18"/>
              </w:rPr>
              <w:t>北京市君泽君（深圳）律师事务所关于公司关于</w:t>
            </w:r>
            <w:r>
              <w:rPr>
                <w:rFonts w:ascii="宋体" w:hAnsi="宋体" w:cs="宋体" w:eastAsia="宋体" w:hint="default"/>
                <w:spacing w:val="-3"/>
                <w:sz w:val="18"/>
                <w:szCs w:val="18"/>
              </w:rPr>
              <w:t>2015</w:t>
            </w:r>
            <w:r>
              <w:rPr>
                <w:rFonts w:ascii="宋体" w:hAnsi="宋体" w:cs="宋体" w:eastAsia="宋体" w:hint="default"/>
                <w:spacing w:val="-3"/>
                <w:sz w:val="18"/>
                <w:szCs w:val="18"/>
              </w:rPr>
              <w:t>年股票期权</w:t>
            </w:r>
            <w:r>
              <w:rPr>
                <w:rFonts w:ascii="宋体" w:hAnsi="宋体" w:cs="宋体" w:eastAsia="宋体" w:hint="default"/>
                <w:sz w:val="18"/>
                <w:szCs w:val="18"/>
              </w:rPr>
              <w:t> 激励计划第一个行权期未达到行权条件予以注销的法律意见书</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sz w:val="18"/>
              </w:rPr>
              <w:t>2017/4/18</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关于</w:t>
            </w:r>
            <w:r>
              <w:rPr>
                <w:rFonts w:ascii="宋体" w:hAnsi="宋体" w:cs="宋体" w:eastAsia="宋体" w:hint="default"/>
                <w:spacing w:val="2"/>
                <w:sz w:val="18"/>
                <w:szCs w:val="18"/>
              </w:rPr>
              <w:t>2015</w:t>
            </w:r>
            <w:r>
              <w:rPr>
                <w:rFonts w:ascii="宋体" w:hAnsi="宋体" w:cs="宋体" w:eastAsia="宋体" w:hint="default"/>
                <w:spacing w:val="2"/>
                <w:sz w:val="18"/>
                <w:szCs w:val="18"/>
              </w:rPr>
              <w:t>年股票期权激励计划第一个行权期未达到行权条件并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予以注销的公告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2017/4/18</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2017-039</w:t>
            </w:r>
          </w:p>
        </w:tc>
      </w:tr>
      <w:tr>
        <w:trPr>
          <w:trHeight w:val="659"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深圳市新国都技术股份有限公司独立董事对公司相关事项发表 </w:t>
            </w:r>
            <w:r>
              <w:rPr>
                <w:rFonts w:ascii="宋体" w:hAnsi="宋体" w:cs="宋体" w:eastAsia="宋体" w:hint="default"/>
                <w:sz w:val="18"/>
                <w:szCs w:val="18"/>
              </w:rPr>
              <w:t>的独立意见</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2017/4/18</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深圳市新国都技术股份有限公司监事会对相关事项的意见</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2017/4/18</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2015</w:t>
            </w:r>
            <w:r>
              <w:rPr>
                <w:rFonts w:ascii="宋体" w:hAnsi="宋体" w:cs="宋体" w:eastAsia="宋体" w:hint="default"/>
                <w:spacing w:val="2"/>
                <w:sz w:val="18"/>
                <w:szCs w:val="18"/>
              </w:rPr>
              <w:t>年股票期权激励计划第一个行权期未达到行权条件期权注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销完成的公告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2017/4/24</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2017-054</w:t>
            </w:r>
          </w:p>
        </w:tc>
      </w:tr>
      <w:tr>
        <w:trPr>
          <w:trHeight w:val="348"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第四届董事会第二次会议决议公告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2017/6/6</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2017-080</w:t>
            </w:r>
          </w:p>
        </w:tc>
      </w:tr>
      <w:tr>
        <w:trPr>
          <w:trHeight w:val="347"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第四届监事会第二次会议决议公告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sz w:val="18"/>
              </w:rPr>
              <w:t>2017/6/6</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2017-081</w:t>
            </w:r>
          </w:p>
        </w:tc>
      </w:tr>
      <w:tr>
        <w:trPr>
          <w:trHeight w:val="659"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4"/>
                <w:sz w:val="18"/>
                <w:szCs w:val="18"/>
              </w:rPr>
              <w:t>北京市君泽君（深圳）律师事务所关于公司股票期权激励计划调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整股票期权行权价格的法律意见书</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2017/6/6</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关于对</w:t>
            </w:r>
            <w:r>
              <w:rPr>
                <w:rFonts w:ascii="宋体" w:hAnsi="宋体" w:cs="宋体" w:eastAsia="宋体" w:hint="default"/>
                <w:spacing w:val="2"/>
                <w:sz w:val="18"/>
                <w:szCs w:val="18"/>
              </w:rPr>
              <w:t>2015</w:t>
            </w:r>
            <w:r>
              <w:rPr>
                <w:rFonts w:ascii="宋体" w:hAnsi="宋体" w:cs="宋体" w:eastAsia="宋体" w:hint="default"/>
                <w:spacing w:val="2"/>
                <w:sz w:val="18"/>
                <w:szCs w:val="18"/>
              </w:rPr>
              <w:t>年股票期权激励计划已获授的股票期权行权价格进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行调整的公告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2017/6/6</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2017-083</w:t>
            </w:r>
          </w:p>
        </w:tc>
      </w:tr>
      <w:tr>
        <w:trPr>
          <w:trHeight w:val="659"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深圳市新国都技术股份有限公司独立董事对公司相关事项发表 </w:t>
            </w:r>
            <w:r>
              <w:rPr>
                <w:rFonts w:ascii="宋体" w:hAnsi="宋体" w:cs="宋体" w:eastAsia="宋体" w:hint="default"/>
                <w:sz w:val="18"/>
                <w:szCs w:val="18"/>
              </w:rPr>
              <w:t>的独立意见</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2017/6/6</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深圳市新国都技术股份有限公司监事会对相关事项的意见</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2017/6/6</w:t>
            </w:r>
          </w:p>
        </w:tc>
        <w:tc>
          <w:tcPr>
            <w:tcW w:w="182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16" w:lineRule="auto" w:before="10"/>
        <w:ind w:left="1494" w:right="5532"/>
        <w:jc w:val="left"/>
      </w:pPr>
      <w:r>
        <w:rPr/>
        <w:t>三、</w:t>
      </w:r>
      <w:r>
        <w:rPr>
          <w:rFonts w:ascii="宋体" w:hAnsi="宋体" w:cs="宋体" w:eastAsia="宋体" w:hint="default"/>
        </w:rPr>
        <w:t>2017</w:t>
      </w:r>
      <w:r>
        <w:rPr/>
        <w:t>年股票期权激励计划： 公司</w:t>
      </w:r>
      <w:r>
        <w:rPr>
          <w:rFonts w:ascii="宋体" w:hAnsi="宋体" w:cs="宋体" w:eastAsia="宋体" w:hint="default"/>
        </w:rPr>
        <w:t>2017</w:t>
      </w:r>
      <w:r>
        <w:rPr/>
        <w:t>年股权激励计划在本报告期内的具体实施情况如下：</w:t>
      </w:r>
    </w:p>
    <w:p>
      <w:pPr>
        <w:pStyle w:val="BodyText"/>
        <w:spacing w:line="319" w:lineRule="auto" w:before="19"/>
        <w:ind w:right="1129" w:firstLine="360"/>
        <w:jc w:val="both"/>
      </w:pPr>
      <w:r>
        <w:rPr>
          <w:rFonts w:ascii="宋体" w:hAnsi="宋体" w:cs="宋体" w:eastAsia="宋体" w:hint="default"/>
          <w:spacing w:val="-2"/>
        </w:rPr>
        <w:t>1.</w:t>
      </w: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24</w:t>
      </w:r>
      <w:r>
        <w:rPr>
          <w:spacing w:val="-2"/>
        </w:rPr>
        <w:t>日召开第三届董事会第四十二次（临时）会议及第三届监事会第四十一次会议审议通过了《关于</w:t>
      </w:r>
      <w:r>
        <w:rPr>
          <w:rFonts w:ascii="宋体" w:hAnsi="宋体" w:cs="宋体" w:eastAsia="宋体" w:hint="default"/>
          <w:spacing w:val="-2"/>
        </w:rPr>
        <w:t>&lt;</w:t>
      </w:r>
      <w:r>
        <w:rPr>
          <w:rFonts w:ascii="宋体" w:hAnsi="宋体" w:cs="宋体" w:eastAsia="宋体" w:hint="default"/>
        </w:rPr>
        <w:t> </w:t>
      </w:r>
      <w:r>
        <w:rPr>
          <w:spacing w:val="-2"/>
        </w:rPr>
        <w:t>深圳市新国都技术股份有限公司</w:t>
      </w:r>
      <w:r>
        <w:rPr>
          <w:rFonts w:ascii="宋体" w:hAnsi="宋体" w:cs="宋体" w:eastAsia="宋体" w:hint="default"/>
          <w:spacing w:val="-2"/>
        </w:rPr>
        <w:t>2017</w:t>
      </w:r>
      <w:r>
        <w:rPr>
          <w:spacing w:val="-2"/>
        </w:rPr>
        <w:t>年股票期权激励计划草案及摘要</w:t>
      </w:r>
      <w:r>
        <w:rPr>
          <w:rFonts w:ascii="宋体" w:hAnsi="宋体" w:cs="宋体" w:eastAsia="宋体" w:hint="default"/>
          <w:spacing w:val="-2"/>
        </w:rPr>
        <w:t>&gt;</w:t>
      </w:r>
      <w:r>
        <w:rPr>
          <w:spacing w:val="-2"/>
        </w:rPr>
        <w:t>的议案》《关于</w:t>
      </w:r>
      <w:r>
        <w:rPr>
          <w:rFonts w:ascii="宋体" w:hAnsi="宋体" w:cs="宋体" w:eastAsia="宋体" w:hint="default"/>
          <w:spacing w:val="-2"/>
        </w:rPr>
        <w:t>&lt;</w:t>
      </w:r>
      <w:r>
        <w:rPr>
          <w:spacing w:val="-2"/>
        </w:rPr>
        <w:t>深圳市新国都技术股份有限公司</w:t>
      </w:r>
      <w:r>
        <w:rPr>
          <w:rFonts w:ascii="宋体" w:hAnsi="宋体" w:cs="宋体" w:eastAsia="宋体" w:hint="default"/>
          <w:spacing w:val="-2"/>
        </w:rPr>
        <w:t>2017</w:t>
      </w:r>
      <w:r>
        <w:rPr>
          <w:rFonts w:ascii="宋体" w:hAnsi="宋体" w:cs="宋体" w:eastAsia="宋体" w:hint="default"/>
          <w:spacing w:val="-55"/>
        </w:rPr>
        <w:t> </w:t>
      </w:r>
      <w:r>
        <w:rPr/>
        <w:t>年股票期权激励计划实施考核办法</w:t>
      </w:r>
      <w:r>
        <w:rPr>
          <w:rFonts w:ascii="宋体" w:hAnsi="宋体" w:cs="宋体" w:eastAsia="宋体" w:hint="default"/>
        </w:rPr>
        <w:t>&gt;</w:t>
      </w:r>
      <w:r>
        <w:rPr/>
        <w:t>的议案》《关于提请股东大会授权董事会办理公司</w:t>
      </w:r>
      <w:r>
        <w:rPr>
          <w:rFonts w:ascii="宋体" w:hAnsi="宋体" w:cs="宋体" w:eastAsia="宋体" w:hint="default"/>
        </w:rPr>
        <w:t>2017</w:t>
      </w:r>
      <w:r>
        <w:rPr/>
        <w:t>年股票期权激励计划相关事宜的</w:t>
      </w:r>
      <w:r>
        <w:rPr>
          <w:spacing w:val="-83"/>
        </w:rPr>
        <w:t> </w:t>
      </w:r>
      <w:r>
        <w:rPr>
          <w:spacing w:val="-83"/>
        </w:rPr>
      </w:r>
      <w:r>
        <w:rPr/>
        <w:t>议案》，公司独立董事对股票期权激励计划发表了明确同意的独立意见。</w:t>
      </w:r>
    </w:p>
    <w:p>
      <w:pPr>
        <w:pStyle w:val="BodyText"/>
        <w:spacing w:line="316" w:lineRule="auto" w:before="17"/>
        <w:ind w:right="1129" w:firstLine="360"/>
        <w:jc w:val="both"/>
      </w:pPr>
      <w:r>
        <w:rPr>
          <w:rFonts w:ascii="宋体" w:hAnsi="宋体" w:cs="宋体" w:eastAsia="宋体" w:hint="default"/>
          <w:spacing w:val="-2"/>
        </w:rPr>
        <w:t>2.</w:t>
      </w:r>
      <w:r>
        <w:rPr>
          <w:spacing w:val="-2"/>
        </w:rPr>
        <w:t>公司于</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9</w:t>
      </w:r>
      <w:r>
        <w:rPr>
          <w:spacing w:val="-2"/>
        </w:rPr>
        <w:t>日召开</w:t>
      </w:r>
      <w:r>
        <w:rPr>
          <w:rFonts w:ascii="宋体" w:hAnsi="宋体" w:cs="宋体" w:eastAsia="宋体" w:hint="default"/>
          <w:spacing w:val="-2"/>
        </w:rPr>
        <w:t>2016</w:t>
      </w:r>
      <w:r>
        <w:rPr>
          <w:spacing w:val="-2"/>
        </w:rPr>
        <w:t>年年度股东大会审议通过了《关于《深圳市新国都技术股份有限公司</w:t>
      </w:r>
      <w:r>
        <w:rPr>
          <w:rFonts w:ascii="宋体" w:hAnsi="宋体" w:cs="宋体" w:eastAsia="宋体" w:hint="default"/>
          <w:spacing w:val="-2"/>
        </w:rPr>
        <w:t>2017</w:t>
      </w:r>
      <w:r>
        <w:rPr>
          <w:spacing w:val="-2"/>
        </w:rPr>
        <w:t>年股票期权激</w:t>
      </w:r>
      <w:r>
        <w:rPr/>
        <w:t> </w:t>
      </w:r>
      <w:r>
        <w:rPr>
          <w:spacing w:val="-2"/>
        </w:rPr>
        <w:t>励计划草案及摘要》的议案》《关于《深圳市新国都技术股份有限公司</w:t>
      </w:r>
      <w:r>
        <w:rPr>
          <w:rFonts w:ascii="宋体" w:hAnsi="宋体" w:cs="宋体" w:eastAsia="宋体" w:hint="default"/>
          <w:spacing w:val="-2"/>
        </w:rPr>
        <w:t>2017</w:t>
      </w:r>
      <w:r>
        <w:rPr>
          <w:spacing w:val="-2"/>
        </w:rPr>
        <w:t>年股票期权激励计划实施考核办法》的议案》以</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1132"/>
        <w:jc w:val="both"/>
      </w:pPr>
      <w:r>
        <w:rPr>
          <w:spacing w:val="-2"/>
        </w:rPr>
        <w:t>及《关于提请股东大会授权董事会办理公司</w:t>
      </w:r>
      <w:r>
        <w:rPr>
          <w:rFonts w:ascii="宋体" w:hAnsi="宋体" w:cs="宋体" w:eastAsia="宋体" w:hint="default"/>
          <w:spacing w:val="-2"/>
        </w:rPr>
        <w:t>2017</w:t>
      </w:r>
      <w:r>
        <w:rPr>
          <w:spacing w:val="-2"/>
        </w:rPr>
        <w:t>年股票期权激励计划相关事宜的议案》，董事会被授权确认激励对象参与股</w:t>
      </w:r>
      <w:r>
        <w:rPr>
          <w:spacing w:val="-62"/>
        </w:rPr>
        <w:t> </w:t>
      </w:r>
      <w:r>
        <w:rPr>
          <w:spacing w:val="-62"/>
        </w:rPr>
      </w:r>
      <w:r>
        <w:rPr>
          <w:spacing w:val="-2"/>
        </w:rPr>
        <w:t>权激励计划的资格和条件，确定激励对象名单及其授予数量，确定标的股权的授予价格；在激励对象符合条件时向激励对象</w:t>
      </w:r>
      <w:r>
        <w:rPr>
          <w:spacing w:val="-66"/>
        </w:rPr>
        <w:t> </w:t>
      </w:r>
      <w:r>
        <w:rPr>
          <w:spacing w:val="-66"/>
        </w:rPr>
      </w:r>
      <w:r>
        <w:rPr/>
        <w:t>授予股票并办理授予股票和解锁股票所必需的全部事宜。</w:t>
      </w:r>
    </w:p>
    <w:p>
      <w:pPr>
        <w:pStyle w:val="BodyText"/>
        <w:spacing w:line="319" w:lineRule="auto" w:before="19"/>
        <w:ind w:right="1131" w:firstLine="360"/>
        <w:jc w:val="both"/>
      </w:pPr>
      <w:r>
        <w:rPr>
          <w:rFonts w:ascii="宋体" w:hAnsi="宋体" w:cs="宋体" w:eastAsia="宋体" w:hint="default"/>
        </w:rPr>
        <w:t>3.</w:t>
      </w:r>
      <w:r>
        <w:rPr/>
        <w:t>公司于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15</w:t>
      </w:r>
      <w:r>
        <w:rPr/>
        <w:t>日召开第四届董事会第一次会议审议通过了《关于向激励对象授予股票期权的议案》，公司向符 </w:t>
      </w:r>
      <w:r>
        <w:rPr>
          <w:spacing w:val="-2"/>
        </w:rPr>
        <w:t>合条件的</w:t>
      </w:r>
      <w:r>
        <w:rPr>
          <w:rFonts w:ascii="宋体" w:hAnsi="宋体" w:cs="宋体" w:eastAsia="宋体" w:hint="default"/>
          <w:spacing w:val="-2"/>
        </w:rPr>
        <w:t>222</w:t>
      </w:r>
      <w:r>
        <w:rPr>
          <w:spacing w:val="-2"/>
        </w:rPr>
        <w:t>名激励对象授予</w:t>
      </w:r>
      <w:r>
        <w:rPr>
          <w:rFonts w:ascii="宋体" w:hAnsi="宋体" w:cs="宋体" w:eastAsia="宋体" w:hint="default"/>
          <w:spacing w:val="-2"/>
        </w:rPr>
        <w:t>1,000</w:t>
      </w:r>
      <w:r>
        <w:rPr>
          <w:spacing w:val="-2"/>
        </w:rPr>
        <w:t>万份股票期权，授予日股票市场价格为</w:t>
      </w:r>
      <w:r>
        <w:rPr>
          <w:rFonts w:ascii="宋体" w:hAnsi="宋体" w:cs="宋体" w:eastAsia="宋体" w:hint="default"/>
          <w:spacing w:val="-2"/>
        </w:rPr>
        <w:t>18.85</w:t>
      </w:r>
      <w:r>
        <w:rPr>
          <w:spacing w:val="-2"/>
        </w:rPr>
        <w:t>元，行权价格为</w:t>
      </w:r>
      <w:r>
        <w:rPr>
          <w:rFonts w:ascii="宋体" w:hAnsi="宋体" w:cs="宋体" w:eastAsia="宋体" w:hint="default"/>
          <w:spacing w:val="-2"/>
        </w:rPr>
        <w:t>24.75</w:t>
      </w:r>
      <w:r>
        <w:rPr>
          <w:spacing w:val="-2"/>
        </w:rPr>
        <w:t>元。并于当日召开第四</w:t>
      </w:r>
      <w:r>
        <w:rPr>
          <w:spacing w:val="-48"/>
        </w:rPr>
        <w:t> </w:t>
      </w:r>
      <w:r>
        <w:rPr>
          <w:spacing w:val="-48"/>
        </w:rPr>
      </w:r>
      <w:r>
        <w:rPr>
          <w:spacing w:val="-2"/>
        </w:rPr>
        <w:t>届监事会第一次会议，审议通过了《关于核实公司</w:t>
      </w:r>
      <w:r>
        <w:rPr>
          <w:rFonts w:ascii="宋体" w:hAnsi="宋体" w:cs="宋体" w:eastAsia="宋体" w:hint="default"/>
          <w:spacing w:val="-2"/>
        </w:rPr>
        <w:t>2017</w:t>
      </w:r>
      <w:r>
        <w:rPr>
          <w:spacing w:val="-2"/>
        </w:rPr>
        <w:t>年股票期权激励计划激励对象名单的议案》。公司独立董事对此发表</w:t>
      </w:r>
      <w:r>
        <w:rPr>
          <w:spacing w:val="-62"/>
        </w:rPr>
        <w:t> </w:t>
      </w:r>
      <w:r>
        <w:rPr>
          <w:spacing w:val="-62"/>
        </w:rPr>
      </w:r>
      <w:r>
        <w:rPr/>
        <w:t>了独立意见，监事会认为激励对象主体资格确认办法合法有效，确定的授权日符合相关规定。</w:t>
      </w:r>
    </w:p>
    <w:p>
      <w:pPr>
        <w:pStyle w:val="BodyText"/>
        <w:spacing w:line="316" w:lineRule="auto" w:before="17"/>
        <w:ind w:right="1129" w:firstLine="360"/>
        <w:jc w:val="both"/>
      </w:pPr>
      <w:r>
        <w:rPr>
          <w:rFonts w:ascii="宋体" w:hAnsi="宋体" w:cs="宋体" w:eastAsia="宋体" w:hint="default"/>
        </w:rPr>
        <w:t>4.</w:t>
      </w:r>
      <w:r>
        <w:rPr/>
        <w:t>公司于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30</w:t>
      </w:r>
      <w:r>
        <w:rPr/>
        <w:t>日在巨潮资讯网发布了《关于</w:t>
      </w:r>
      <w:r>
        <w:rPr>
          <w:rFonts w:ascii="宋体" w:hAnsi="宋体" w:cs="宋体" w:eastAsia="宋体" w:hint="default"/>
        </w:rPr>
        <w:t>2017</w:t>
      </w:r>
      <w:r>
        <w:rPr/>
        <w:t>年股票期权激励计划授予完成登记的公告》，公司完成了《深 圳市新国都技术股份有限公司</w:t>
      </w:r>
      <w:r>
        <w:rPr>
          <w:rFonts w:ascii="宋体" w:hAnsi="宋体" w:cs="宋体" w:eastAsia="宋体" w:hint="default"/>
        </w:rPr>
        <w:t>2017</w:t>
      </w:r>
      <w:r>
        <w:rPr/>
        <w:t>年股票期权激励计划（草案）》股票期权的授予登记工作，期权简称：新国</w:t>
      </w:r>
      <w:r>
        <w:rPr>
          <w:rFonts w:ascii="宋体" w:hAnsi="宋体" w:cs="宋体" w:eastAsia="宋体" w:hint="default"/>
        </w:rPr>
        <w:t>JLC3</w:t>
      </w:r>
      <w:r>
        <w:rPr/>
        <w:t>，</w:t>
      </w:r>
      <w:r>
        <w:rPr>
          <w:spacing w:val="8"/>
        </w:rPr>
        <w:t> </w:t>
      </w:r>
      <w:r>
        <w:rPr/>
        <w:t>期权 代码：</w:t>
      </w:r>
      <w:r>
        <w:rPr>
          <w:rFonts w:ascii="宋体" w:hAnsi="宋体" w:cs="宋体" w:eastAsia="宋体" w:hint="default"/>
        </w:rPr>
        <w:t>036247</w:t>
      </w:r>
      <w:r>
        <w:rPr/>
        <w:t>。</w:t>
      </w:r>
    </w:p>
    <w:p>
      <w:pPr>
        <w:pStyle w:val="BodyText"/>
        <w:spacing w:line="316" w:lineRule="auto" w:before="19"/>
        <w:ind w:right="1130" w:firstLine="360"/>
        <w:jc w:val="both"/>
      </w:pPr>
      <w:r>
        <w:rPr>
          <w:rFonts w:ascii="宋体" w:hAnsi="宋体" w:cs="宋体" w:eastAsia="宋体" w:hint="default"/>
        </w:rPr>
        <w:t>5.2017</w:t>
      </w:r>
      <w:r>
        <w:rPr/>
        <w:t>年</w:t>
      </w:r>
      <w:r>
        <w:rPr>
          <w:rFonts w:ascii="宋体" w:hAnsi="宋体" w:cs="宋体" w:eastAsia="宋体" w:hint="default"/>
        </w:rPr>
        <w:t>8</w:t>
      </w:r>
      <w:r>
        <w:rPr/>
        <w:t>月</w:t>
      </w:r>
      <w:r>
        <w:rPr>
          <w:rFonts w:ascii="宋体" w:hAnsi="宋体" w:cs="宋体" w:eastAsia="宋体" w:hint="default"/>
        </w:rPr>
        <w:t>25</w:t>
      </w:r>
      <w:r>
        <w:rPr/>
        <w:t>日，公司召开第四届董事会第四次会议审议通过了《关于对</w:t>
      </w:r>
      <w:r>
        <w:rPr>
          <w:rFonts w:ascii="宋体" w:hAnsi="宋体" w:cs="宋体" w:eastAsia="宋体" w:hint="default"/>
        </w:rPr>
        <w:t>2017</w:t>
      </w:r>
      <w:r>
        <w:rPr/>
        <w:t>年股票期权激励计划已获授的股票期权 </w:t>
      </w:r>
      <w:r>
        <w:rPr>
          <w:spacing w:val="-2"/>
        </w:rPr>
        <w:t>行权价格进行调整的议案》，公司</w:t>
      </w:r>
      <w:r>
        <w:rPr>
          <w:rFonts w:ascii="宋体" w:hAnsi="宋体" w:cs="宋体" w:eastAsia="宋体" w:hint="default"/>
          <w:spacing w:val="-2"/>
        </w:rPr>
        <w:t>2016</w:t>
      </w:r>
      <w:r>
        <w:rPr>
          <w:spacing w:val="-2"/>
        </w:rPr>
        <w:t>年年度利润分派方案于</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w:t>
      </w:r>
      <w:r>
        <w:rPr>
          <w:spacing w:val="-2"/>
        </w:rPr>
        <w:t>日完成，根据</w:t>
      </w:r>
      <w:r>
        <w:rPr>
          <w:rFonts w:ascii="宋体" w:hAnsi="宋体" w:cs="宋体" w:eastAsia="宋体" w:hint="default"/>
          <w:spacing w:val="-2"/>
        </w:rPr>
        <w:t>2016</w:t>
      </w:r>
      <w:r>
        <w:rPr>
          <w:spacing w:val="-2"/>
        </w:rPr>
        <w:t>年年度股东大会的授权及《</w:t>
      </w:r>
      <w:r>
        <w:rPr>
          <w:rFonts w:ascii="宋体" w:hAnsi="宋体" w:cs="宋体" w:eastAsia="宋体" w:hint="default"/>
          <w:spacing w:val="-2"/>
        </w:rPr>
        <w:t>2017</w:t>
      </w:r>
      <w:r>
        <w:rPr>
          <w:rFonts w:ascii="宋体" w:hAnsi="宋体" w:cs="宋体" w:eastAsia="宋体" w:hint="default"/>
          <w:spacing w:val="-48"/>
        </w:rPr>
        <w:t> </w:t>
      </w:r>
      <w:r>
        <w:rPr>
          <w:spacing w:val="-6"/>
        </w:rPr>
        <w:t>年股票期权激励计划（草案）》的相关规定，公司</w:t>
      </w:r>
      <w:r>
        <w:rPr>
          <w:rFonts w:ascii="宋体" w:hAnsi="宋体" w:cs="宋体" w:eastAsia="宋体" w:hint="default"/>
          <w:spacing w:val="-6"/>
        </w:rPr>
        <w:t>2017</w:t>
      </w:r>
      <w:r>
        <w:rPr>
          <w:spacing w:val="-6"/>
        </w:rPr>
        <w:t>年股票期权激励计划已获授的股票期权行权价格由</w:t>
      </w:r>
      <w:r>
        <w:rPr>
          <w:rFonts w:ascii="宋体" w:hAnsi="宋体" w:cs="宋体" w:eastAsia="宋体" w:hint="default"/>
          <w:spacing w:val="-6"/>
        </w:rPr>
        <w:t>24.75</w:t>
      </w:r>
      <w:r>
        <w:rPr>
          <w:spacing w:val="-6"/>
        </w:rPr>
        <w:t>元调整为</w:t>
      </w:r>
      <w:r>
        <w:rPr>
          <w:rFonts w:ascii="宋体" w:hAnsi="宋体" w:cs="宋体" w:eastAsia="宋体" w:hint="default"/>
          <w:spacing w:val="-6"/>
        </w:rPr>
        <w:t>24.691</w:t>
      </w:r>
      <w:r>
        <w:rPr>
          <w:rFonts w:ascii="宋体" w:hAnsi="宋体" w:cs="宋体" w:eastAsia="宋体" w:hint="default"/>
          <w:spacing w:val="-65"/>
        </w:rPr>
        <w:t> </w:t>
      </w:r>
      <w:r>
        <w:rPr/>
        <w:t>元。</w:t>
      </w:r>
    </w:p>
    <w:p>
      <w:pPr>
        <w:pStyle w:val="BodyText"/>
        <w:spacing w:line="240" w:lineRule="auto" w:before="19"/>
        <w:ind w:left="1494" w:right="994"/>
        <w:jc w:val="left"/>
      </w:pPr>
      <w:r>
        <w:rPr>
          <w:rFonts w:ascii="宋体" w:hAnsi="宋体" w:cs="宋体" w:eastAsia="宋体" w:hint="default"/>
        </w:rPr>
        <w:t>2017</w:t>
      </w:r>
      <w:r>
        <w:rPr/>
        <w:t>年股票期权激励计划信息披露索引如下：</w:t>
      </w:r>
    </w:p>
    <w:p>
      <w:pPr>
        <w:spacing w:line="240" w:lineRule="auto" w:before="0"/>
        <w:rPr>
          <w:rFonts w:ascii="宋体" w:hAnsi="宋体" w:cs="宋体" w:eastAsia="宋体" w:hint="default"/>
          <w:sz w:val="5"/>
          <w:szCs w:val="5"/>
        </w:rPr>
      </w:pPr>
    </w:p>
    <w:tbl>
      <w:tblPr>
        <w:tblW w:w="0" w:type="auto"/>
        <w:jc w:val="left"/>
        <w:tblInd w:w="1162" w:type="dxa"/>
        <w:tblLayout w:type="fixed"/>
        <w:tblCellMar>
          <w:top w:w="0" w:type="dxa"/>
          <w:left w:w="0" w:type="dxa"/>
          <w:bottom w:w="0" w:type="dxa"/>
          <w:right w:w="0" w:type="dxa"/>
        </w:tblCellMar>
        <w:tblLook w:val="01E0"/>
      </w:tblPr>
      <w:tblGrid>
        <w:gridCol w:w="4972"/>
        <w:gridCol w:w="1532"/>
        <w:gridCol w:w="1822"/>
      </w:tblGrid>
      <w:tr>
        <w:trPr>
          <w:trHeight w:val="659"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7"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第三届董事会第四十二次（临时）会议决议公告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2017/4/24</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2017-050</w:t>
            </w:r>
          </w:p>
        </w:tc>
      </w:tr>
      <w:tr>
        <w:trPr>
          <w:trHeight w:val="347"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第三届监事会第四十一次会议决议公告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2017/4/24</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2017-051</w:t>
            </w:r>
          </w:p>
        </w:tc>
      </w:tr>
      <w:tr>
        <w:trPr>
          <w:trHeight w:val="660"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2017</w:t>
            </w:r>
            <w:r>
              <w:rPr>
                <w:rFonts w:ascii="宋体" w:hAnsi="宋体" w:cs="宋体" w:eastAsia="宋体" w:hint="default"/>
                <w:spacing w:val="2"/>
                <w:sz w:val="18"/>
                <w:szCs w:val="18"/>
              </w:rPr>
              <w:t>年股票期权激励计划草案及拟授予人员名单披露提示性公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2017/4/24</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2017-049</w:t>
            </w:r>
          </w:p>
        </w:tc>
      </w:tr>
      <w:tr>
        <w:trPr>
          <w:trHeight w:val="347"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独立董事公开征集投票权报告书</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sz w:val="18"/>
              </w:rPr>
              <w:t>2017/4/24</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年股票期权激励计划（草案）</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2017/4/24</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年股票期权激励计划（草案）摘要</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2017/4/24</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3"/>
                <w:sz w:val="18"/>
                <w:szCs w:val="18"/>
              </w:rPr>
              <w:t>北京市中伦（深圳）律师事务所关于公司</w:t>
            </w:r>
            <w:r>
              <w:rPr>
                <w:rFonts w:ascii="宋体" w:hAnsi="宋体" w:cs="宋体" w:eastAsia="宋体" w:hint="default"/>
                <w:spacing w:val="-3"/>
                <w:sz w:val="18"/>
                <w:szCs w:val="18"/>
              </w:rPr>
              <w:t>2017</w:t>
            </w:r>
            <w:r>
              <w:rPr>
                <w:rFonts w:ascii="宋体" w:hAnsi="宋体" w:cs="宋体" w:eastAsia="宋体" w:hint="default"/>
                <w:spacing w:val="-3"/>
                <w:sz w:val="18"/>
                <w:szCs w:val="18"/>
              </w:rPr>
              <w:t>年股票期权激励计</w:t>
            </w:r>
            <w:r>
              <w:rPr>
                <w:rFonts w:ascii="宋体" w:hAnsi="宋体" w:cs="宋体" w:eastAsia="宋体" w:hint="default"/>
                <w:sz w:val="18"/>
                <w:szCs w:val="18"/>
              </w:rPr>
              <w:t> 划的法律意见书</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2017/4/24</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3"/>
                <w:sz w:val="18"/>
                <w:szCs w:val="18"/>
              </w:rPr>
              <w:t>独立董事关于公司</w:t>
            </w:r>
            <w:r>
              <w:rPr>
                <w:rFonts w:ascii="宋体" w:hAnsi="宋体" w:cs="宋体" w:eastAsia="宋体" w:hint="default"/>
                <w:spacing w:val="-3"/>
                <w:sz w:val="18"/>
                <w:szCs w:val="18"/>
              </w:rPr>
              <w:t>2017</w:t>
            </w:r>
            <w:r>
              <w:rPr>
                <w:rFonts w:ascii="宋体" w:hAnsi="宋体" w:cs="宋体" w:eastAsia="宋体" w:hint="default"/>
                <w:spacing w:val="-3"/>
                <w:sz w:val="18"/>
                <w:szCs w:val="18"/>
              </w:rPr>
              <w:t>年股票期权激励计划（草案）及相关事项</w:t>
            </w:r>
            <w:r>
              <w:rPr>
                <w:rFonts w:ascii="宋体" w:hAnsi="宋体" w:cs="宋体" w:eastAsia="宋体" w:hint="default"/>
                <w:sz w:val="18"/>
                <w:szCs w:val="18"/>
              </w:rPr>
              <w:t> 的独立意见</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2017/4/24</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年股票期权激励计划拟激励对象名单</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2017/4/24</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年股票期权激励计划实施考核办法</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sz w:val="18"/>
              </w:rPr>
              <w:t>2017/4/24</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关于</w:t>
            </w:r>
            <w:r>
              <w:rPr>
                <w:rFonts w:ascii="宋体" w:hAnsi="宋体" w:cs="宋体" w:eastAsia="宋体" w:hint="default"/>
                <w:spacing w:val="2"/>
                <w:sz w:val="18"/>
                <w:szCs w:val="18"/>
              </w:rPr>
              <w:t>2017</w:t>
            </w:r>
            <w:r>
              <w:rPr>
                <w:rFonts w:ascii="宋体" w:hAnsi="宋体" w:cs="宋体" w:eastAsia="宋体" w:hint="default"/>
                <w:spacing w:val="2"/>
                <w:sz w:val="18"/>
                <w:szCs w:val="18"/>
              </w:rPr>
              <w:t>年股票期权激励计划内幕知情人买卖公司股票情况的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自查报告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2017/5/9</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2017-062</w:t>
            </w:r>
          </w:p>
        </w:tc>
      </w:tr>
      <w:tr>
        <w:trPr>
          <w:trHeight w:val="347"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监事会对</w:t>
            </w:r>
            <w:r>
              <w:rPr>
                <w:rFonts w:ascii="宋体" w:hAnsi="宋体" w:cs="宋体" w:eastAsia="宋体" w:hint="default"/>
                <w:sz w:val="18"/>
                <w:szCs w:val="18"/>
              </w:rPr>
              <w:t>2017</w:t>
            </w:r>
            <w:r>
              <w:rPr>
                <w:rFonts w:ascii="宋体" w:hAnsi="宋体" w:cs="宋体" w:eastAsia="宋体" w:hint="default"/>
                <w:sz w:val="18"/>
                <w:szCs w:val="18"/>
              </w:rPr>
              <w:t>年股票期权激励计划对象名单的核实意见</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2017/5//4</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3"/>
                <w:sz w:val="18"/>
                <w:szCs w:val="18"/>
              </w:rPr>
              <w:t>监事会关于公司《</w:t>
            </w:r>
            <w:r>
              <w:rPr>
                <w:rFonts w:ascii="宋体" w:hAnsi="宋体" w:cs="宋体" w:eastAsia="宋体" w:hint="default"/>
                <w:spacing w:val="-3"/>
                <w:sz w:val="18"/>
                <w:szCs w:val="18"/>
              </w:rPr>
              <w:t>2017</w:t>
            </w:r>
            <w:r>
              <w:rPr>
                <w:rFonts w:ascii="宋体" w:hAnsi="宋体" w:cs="宋体" w:eastAsia="宋体" w:hint="default"/>
                <w:spacing w:val="-3"/>
                <w:sz w:val="18"/>
                <w:szCs w:val="18"/>
              </w:rPr>
              <w:t>年股票期权激励计划（草案）》及相关事</w:t>
            </w:r>
            <w:r>
              <w:rPr>
                <w:rFonts w:ascii="宋体" w:hAnsi="宋体" w:cs="宋体" w:eastAsia="宋体" w:hint="default"/>
                <w:sz w:val="18"/>
                <w:szCs w:val="18"/>
              </w:rPr>
              <w:t> 项的意见</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2017/4/24</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上市公司股权激励计划自查表</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2017/4/24</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年年度股东大会会议决议公告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2017/5/9</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2017-061</w:t>
            </w:r>
          </w:p>
        </w:tc>
      </w:tr>
      <w:tr>
        <w:trPr>
          <w:trHeight w:val="347"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年年度股东大会的法律意见书</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sz w:val="18"/>
              </w:rPr>
              <w:t>2017/5/9</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4"/>
                <w:sz w:val="18"/>
                <w:szCs w:val="18"/>
              </w:rPr>
              <w:t>北京市中伦（深圳）律师事务所关于公司独立董事公开征集投票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权的法律意见书</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2017/5/9</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第四届董事会第一次会议决议公告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2017/5/16</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2017-067</w:t>
            </w:r>
          </w:p>
        </w:tc>
      </w:tr>
      <w:tr>
        <w:trPr>
          <w:trHeight w:val="348"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z w:val="18"/>
                <w:szCs w:val="18"/>
              </w:rPr>
              <w:t>2017</w:t>
            </w:r>
            <w:r>
              <w:rPr>
                <w:rFonts w:ascii="宋体" w:hAnsi="宋体" w:cs="宋体" w:eastAsia="宋体" w:hint="default"/>
                <w:sz w:val="18"/>
                <w:szCs w:val="18"/>
              </w:rPr>
              <w:t>年股票期权激励计划向激励对象授予股票期权的公告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2017/5/16</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2017-071</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62" w:type="dxa"/>
        <w:tblLayout w:type="fixed"/>
        <w:tblCellMar>
          <w:top w:w="0" w:type="dxa"/>
          <w:left w:w="0" w:type="dxa"/>
          <w:bottom w:w="0" w:type="dxa"/>
          <w:right w:w="0" w:type="dxa"/>
        </w:tblCellMar>
        <w:tblLook w:val="01E0"/>
      </w:tblPr>
      <w:tblGrid>
        <w:gridCol w:w="4972"/>
        <w:gridCol w:w="1532"/>
        <w:gridCol w:w="1822"/>
      </w:tblGrid>
      <w:tr>
        <w:trPr>
          <w:trHeight w:val="347"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第四届监事会第一次会议决议公告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2017/5/16</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2017-068</w:t>
            </w:r>
          </w:p>
        </w:tc>
      </w:tr>
      <w:tr>
        <w:trPr>
          <w:trHeight w:val="659"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3"/>
                <w:sz w:val="18"/>
                <w:szCs w:val="18"/>
              </w:rPr>
              <w:t>北京市中伦（深圳）律师事务所关于公司</w:t>
            </w:r>
            <w:r>
              <w:rPr>
                <w:rFonts w:ascii="宋体" w:hAnsi="宋体" w:cs="宋体" w:eastAsia="宋体" w:hint="default"/>
                <w:spacing w:val="-3"/>
                <w:sz w:val="18"/>
                <w:szCs w:val="18"/>
              </w:rPr>
              <w:t>2017</w:t>
            </w:r>
            <w:r>
              <w:rPr>
                <w:rFonts w:ascii="宋体" w:hAnsi="宋体" w:cs="宋体" w:eastAsia="宋体" w:hint="default"/>
                <w:spacing w:val="-3"/>
                <w:sz w:val="18"/>
                <w:szCs w:val="18"/>
              </w:rPr>
              <w:t>年股票期权激励计</w:t>
            </w:r>
            <w:r>
              <w:rPr>
                <w:rFonts w:ascii="宋体" w:hAnsi="宋体" w:cs="宋体" w:eastAsia="宋体" w:hint="default"/>
                <w:sz w:val="18"/>
                <w:szCs w:val="18"/>
              </w:rPr>
              <w:t> 划授予股票期权的法律意见书</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2017/5/16</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深圳市新国都技术股份有限公司独立董事对公司相关事项发表 </w:t>
            </w:r>
            <w:r>
              <w:rPr>
                <w:rFonts w:ascii="宋体" w:hAnsi="宋体" w:cs="宋体" w:eastAsia="宋体" w:hint="default"/>
                <w:sz w:val="18"/>
                <w:szCs w:val="18"/>
              </w:rPr>
              <w:t>的独立意见</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2017/5/16</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深圳市新国都技术股份有限公司监事会对授予日及激励对象名 </w:t>
            </w:r>
            <w:r>
              <w:rPr>
                <w:rFonts w:ascii="宋体" w:hAnsi="宋体" w:cs="宋体" w:eastAsia="宋体" w:hint="default"/>
                <w:sz w:val="18"/>
                <w:szCs w:val="18"/>
              </w:rPr>
              <w:t>单核实的情况的意见</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2017/5/16</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z w:val="18"/>
                <w:szCs w:val="18"/>
              </w:rPr>
              <w:t>2017</w:t>
            </w:r>
            <w:r>
              <w:rPr>
                <w:rFonts w:ascii="宋体" w:hAnsi="宋体" w:cs="宋体" w:eastAsia="宋体" w:hint="default"/>
                <w:sz w:val="18"/>
                <w:szCs w:val="18"/>
              </w:rPr>
              <w:t>年股票期权激励计划授予完成登记的公告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sz w:val="18"/>
              </w:rPr>
              <w:t>2017/6/30</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sz w:val="18"/>
              </w:rPr>
              <w:t>2017-087</w:t>
            </w:r>
          </w:p>
        </w:tc>
      </w:tr>
      <w:tr>
        <w:trPr>
          <w:trHeight w:val="659"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关于对</w:t>
            </w:r>
            <w:r>
              <w:rPr>
                <w:rFonts w:ascii="宋体" w:hAnsi="宋体" w:cs="宋体" w:eastAsia="宋体" w:hint="default"/>
                <w:spacing w:val="2"/>
                <w:sz w:val="18"/>
                <w:szCs w:val="18"/>
              </w:rPr>
              <w:t>2017</w:t>
            </w:r>
            <w:r>
              <w:rPr>
                <w:rFonts w:ascii="宋体" w:hAnsi="宋体" w:cs="宋体" w:eastAsia="宋体" w:hint="default"/>
                <w:spacing w:val="2"/>
                <w:sz w:val="18"/>
                <w:szCs w:val="18"/>
              </w:rPr>
              <w:t>年股票期权激励计划已获授的股票期权行权价格进</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行调整的公告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2017/8/29</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2017-102</w:t>
            </w:r>
          </w:p>
        </w:tc>
      </w:tr>
      <w:tr>
        <w:trPr>
          <w:trHeight w:val="659"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4"/>
                <w:sz w:val="18"/>
                <w:szCs w:val="18"/>
              </w:rPr>
              <w:t>北京市中伦（深圳）律师事务所关于深圳市新国都技术股份有限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w:t>
            </w:r>
            <w:r>
              <w:rPr>
                <w:rFonts w:ascii="宋体" w:hAnsi="宋体" w:cs="宋体" w:eastAsia="宋体" w:hint="default"/>
                <w:sz w:val="18"/>
                <w:szCs w:val="18"/>
              </w:rPr>
              <w:t>2017</w:t>
            </w:r>
            <w:r>
              <w:rPr>
                <w:rFonts w:ascii="宋体" w:hAnsi="宋体" w:cs="宋体" w:eastAsia="宋体" w:hint="default"/>
                <w:sz w:val="18"/>
                <w:szCs w:val="18"/>
              </w:rPr>
              <w:t>年股票期权激励计划行权价格调整的法律意见书</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2017/8/29</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第四届董事会第四次会议决议公告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2017/8/29</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2017-100</w:t>
            </w:r>
          </w:p>
        </w:tc>
      </w:tr>
      <w:tr>
        <w:trPr>
          <w:trHeight w:val="347"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第四届监事会第四次会议决议公告</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2017/8/29</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sz w:val="18"/>
              </w:rPr>
              <w:t>2017-101</w:t>
            </w:r>
          </w:p>
        </w:tc>
      </w:tr>
      <w:tr>
        <w:trPr>
          <w:trHeight w:val="660"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3"/>
                <w:sz w:val="18"/>
                <w:szCs w:val="18"/>
              </w:rPr>
              <w:t>深圳市新国都技术股份有限公司独立董事对公司相关事项发表 </w:t>
            </w:r>
            <w:r>
              <w:rPr>
                <w:rFonts w:ascii="宋体" w:hAnsi="宋体" w:cs="宋体" w:eastAsia="宋体" w:hint="default"/>
                <w:sz w:val="18"/>
                <w:szCs w:val="18"/>
              </w:rPr>
              <w:t>的独立意见</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sz w:val="18"/>
              </w:rPr>
              <w:t>2017/8/29</w:t>
            </w:r>
          </w:p>
        </w:tc>
        <w:tc>
          <w:tcPr>
            <w:tcW w:w="1822"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497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pacing w:val="3"/>
                <w:sz w:val="18"/>
                <w:szCs w:val="18"/>
              </w:rPr>
              <w:t>深圳市新国都技术股份有限公司监事会对公司相关事项的核查 </w:t>
            </w:r>
            <w:r>
              <w:rPr>
                <w:rFonts w:ascii="宋体" w:hAnsi="宋体" w:cs="宋体" w:eastAsia="宋体" w:hint="default"/>
                <w:sz w:val="18"/>
                <w:szCs w:val="18"/>
              </w:rPr>
              <w:t>的意见</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sz w:val="18"/>
              </w:rPr>
              <w:t>2017/8/29</w:t>
            </w:r>
          </w:p>
        </w:tc>
        <w:tc>
          <w:tcPr>
            <w:tcW w:w="182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4"/>
        <w:spacing w:line="240" w:lineRule="auto" w:before="26"/>
        <w:ind w:left="1134" w:right="994"/>
        <w:jc w:val="left"/>
        <w:rPr>
          <w:b w:val="0"/>
          <w:bCs w:val="0"/>
        </w:rPr>
      </w:pPr>
      <w:bookmarkStart w:name="十五、重大关联交易" w:id="78"/>
      <w:bookmarkEnd w:id="78"/>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94"/>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64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2"/>
        <w:rPr>
          <w:rFonts w:ascii="宋体" w:hAnsi="宋体" w:cs="宋体" w:eastAsia="宋体" w:hint="default"/>
          <w:sz w:val="20"/>
          <w:szCs w:val="20"/>
        </w:rPr>
      </w:pPr>
    </w:p>
    <w:p>
      <w:pPr>
        <w:pStyle w:val="Heading5"/>
        <w:spacing w:line="240" w:lineRule="auto"/>
        <w:ind w:right="994"/>
        <w:jc w:val="left"/>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5"/>
        <w:spacing w:line="240" w:lineRule="auto"/>
        <w:ind w:left="1134" w:right="994"/>
        <w:jc w:val="left"/>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5"/>
        <w:spacing w:line="240" w:lineRule="auto"/>
        <w:ind w:right="994"/>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94"/>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4"/>
        <w:spacing w:line="240" w:lineRule="auto"/>
        <w:ind w:right="994"/>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94"/>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
        <w:rPr>
          <w:rFonts w:ascii="宋体" w:hAnsi="宋体" w:cs="宋体" w:eastAsia="宋体" w:hint="default"/>
          <w:sz w:val="21"/>
          <w:szCs w:val="21"/>
        </w:rPr>
      </w:pPr>
    </w:p>
    <w:p>
      <w:pPr>
        <w:pStyle w:val="Heading5"/>
        <w:spacing w:line="240" w:lineRule="auto"/>
        <w:ind w:left="1134" w:right="994"/>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2"/>
        <w:rPr>
          <w:rFonts w:ascii="宋体" w:hAnsi="宋体" w:cs="宋体" w:eastAsia="宋体" w:hint="default"/>
          <w:sz w:val="21"/>
          <w:szCs w:val="21"/>
        </w:rPr>
      </w:pPr>
    </w:p>
    <w:p>
      <w:pPr>
        <w:pStyle w:val="Heading5"/>
        <w:spacing w:line="240" w:lineRule="auto"/>
        <w:ind w:right="994"/>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12"/>
        <w:rPr>
          <w:rFonts w:ascii="宋体" w:hAnsi="宋体" w:cs="宋体" w:eastAsia="宋体" w:hint="default"/>
          <w:sz w:val="20"/>
          <w:szCs w:val="20"/>
        </w:rPr>
      </w:pPr>
    </w:p>
    <w:p>
      <w:pPr>
        <w:pStyle w:val="Heading5"/>
        <w:spacing w:line="240" w:lineRule="auto"/>
        <w:ind w:right="994"/>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94"/>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79"/>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 w:right="22"/>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54"/>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220,000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99" w:right="0"/>
              <w:jc w:val="left"/>
              <w:rPr>
                <w:rFonts w:ascii="Times New Roman" w:hAnsi="Times New Roman" w:cs="Times New Roman" w:eastAsia="Times New Roman" w:hint="default"/>
                <w:sz w:val="18"/>
                <w:szCs w:val="18"/>
              </w:rPr>
            </w:pPr>
            <w:r>
              <w:rPr>
                <w:rFonts w:ascii="Times New Roman"/>
                <w:sz w:val="18"/>
              </w:rPr>
              <w:t>3,893.22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715"/>
        <w:gridCol w:w="907"/>
        <w:gridCol w:w="935"/>
        <w:gridCol w:w="1299"/>
        <w:gridCol w:w="1048"/>
        <w:gridCol w:w="1046"/>
        <w:gridCol w:w="1055"/>
        <w:gridCol w:w="785"/>
        <w:gridCol w:w="785"/>
      </w:tblGrid>
      <w:tr>
        <w:trPr>
          <w:trHeight w:val="1338" w:hRule="exact"/>
        </w:trPr>
        <w:tc>
          <w:tcPr>
            <w:tcW w:w="17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60"/>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220,000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5"/>
              <w:jc w:val="right"/>
              <w:rPr>
                <w:rFonts w:ascii="Times New Roman" w:hAnsi="Times New Roman" w:cs="Times New Roman" w:eastAsia="Times New Roman" w:hint="default"/>
                <w:sz w:val="18"/>
                <w:szCs w:val="18"/>
              </w:rPr>
            </w:pPr>
            <w:r>
              <w:rPr>
                <w:rFonts w:ascii="Times New Roman"/>
                <w:sz w:val="18"/>
              </w:rPr>
              <w:t>2,000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60"/>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220,000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5"/>
              <w:jc w:val="right"/>
              <w:rPr>
                <w:rFonts w:ascii="Times New Roman" w:hAnsi="Times New Roman" w:cs="Times New Roman" w:eastAsia="Times New Roman" w:hint="default"/>
                <w:sz w:val="18"/>
                <w:szCs w:val="18"/>
              </w:rPr>
            </w:pPr>
            <w:r>
              <w:rPr>
                <w:rFonts w:ascii="Times New Roman"/>
                <w:sz w:val="18"/>
              </w:rPr>
              <w:t>8,000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60"/>
              <w:jc w:val="left"/>
              <w:rPr>
                <w:rFonts w:ascii="宋体" w:hAnsi="宋体" w:cs="宋体" w:eastAsia="宋体" w:hint="default"/>
                <w:sz w:val="18"/>
                <w:szCs w:val="18"/>
              </w:rPr>
            </w:pPr>
            <w:r>
              <w:rPr>
                <w:rFonts w:ascii="宋体" w:hAnsi="宋体" w:cs="宋体" w:eastAsia="宋体" w:hint="default"/>
                <w:sz w:val="18"/>
                <w:szCs w:val="18"/>
              </w:rPr>
              <w:t>浙江中正智能科技有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5,000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5"/>
              <w:jc w:val="right"/>
              <w:rPr>
                <w:rFonts w:ascii="Times New Roman" w:hAnsi="Times New Roman" w:cs="Times New Roman" w:eastAsia="Times New Roman" w:hint="default"/>
                <w:sz w:val="18"/>
                <w:szCs w:val="18"/>
              </w:rPr>
            </w:pPr>
            <w:r>
              <w:rPr>
                <w:rFonts w:ascii="Times New Roman"/>
                <w:sz w:val="18"/>
              </w:rPr>
              <w:t>2,000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60"/>
              <w:jc w:val="left"/>
              <w:rPr>
                <w:rFonts w:ascii="宋体" w:hAnsi="宋体" w:cs="宋体" w:eastAsia="宋体" w:hint="default"/>
                <w:sz w:val="18"/>
                <w:szCs w:val="18"/>
              </w:rPr>
            </w:pPr>
            <w:r>
              <w:rPr>
                <w:rFonts w:ascii="宋体" w:hAnsi="宋体" w:cs="宋体" w:eastAsia="宋体" w:hint="default"/>
                <w:sz w:val="18"/>
                <w:szCs w:val="18"/>
              </w:rPr>
              <w:t>深圳市易联技术有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9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9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0" w:right="0"/>
              <w:jc w:val="left"/>
              <w:rPr>
                <w:rFonts w:ascii="Times New Roman" w:hAnsi="Times New Roman" w:cs="Times New Roman" w:eastAsia="Times New Roman" w:hint="default"/>
                <w:sz w:val="18"/>
                <w:szCs w:val="18"/>
              </w:rPr>
            </w:pPr>
            <w:r>
              <w:rPr>
                <w:rFonts w:ascii="Times New Roman"/>
                <w:sz w:val="18"/>
              </w:rPr>
              <w:t>6,000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4"/>
              <w:jc w:val="right"/>
              <w:rPr>
                <w:rFonts w:ascii="Times New Roman" w:hAnsi="Times New Roman" w:cs="Times New Roman" w:eastAsia="Times New Roman" w:hint="default"/>
                <w:sz w:val="18"/>
                <w:szCs w:val="18"/>
              </w:rPr>
            </w:pPr>
            <w:r>
              <w:rPr>
                <w:rFonts w:ascii="Times New Roman"/>
                <w:sz w:val="18"/>
              </w:rPr>
              <w:t>1,600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8" w:right="195"/>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3"/>
              <w:ind w:left="10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p>
            <w:pPr>
              <w:pStyle w:val="TableParagraph"/>
              <w:spacing w:line="240" w:lineRule="auto" w:before="64"/>
              <w:ind w:left="10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7,000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71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60"/>
              <w:jc w:val="left"/>
              <w:rPr>
                <w:rFonts w:ascii="宋体" w:hAnsi="宋体" w:cs="宋体" w:eastAsia="宋体" w:hint="default"/>
                <w:sz w:val="18"/>
                <w:szCs w:val="18"/>
              </w:rPr>
            </w:pPr>
            <w:r>
              <w:rPr>
                <w:rFonts w:ascii="宋体" w:hAnsi="宋体" w:cs="宋体" w:eastAsia="宋体" w:hint="default"/>
                <w:sz w:val="18"/>
                <w:szCs w:val="18"/>
              </w:rPr>
              <w:t>深圳市新国都支付技 术有限公司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220,000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5"/>
              <w:jc w:val="right"/>
              <w:rPr>
                <w:rFonts w:ascii="Times New Roman" w:hAnsi="Times New Roman" w:cs="Times New Roman" w:eastAsia="Times New Roman" w:hint="default"/>
                <w:sz w:val="18"/>
                <w:szCs w:val="18"/>
              </w:rPr>
            </w:pPr>
            <w:r>
              <w:rPr>
                <w:rFonts w:ascii="Times New Roman"/>
                <w:sz w:val="18"/>
              </w:rPr>
              <w:t>8,000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244,000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30,893.22</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69,171</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30,893.22</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6"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vMerge w:val="restart"/>
            <w:tcBorders>
              <w:top w:val="single" w:sz="4" w:space="0" w:color="000000"/>
              <w:left w:val="single" w:sz="4" w:space="0" w:color="000000"/>
              <w:right w:val="single" w:sz="4" w:space="0" w:color="000000"/>
            </w:tcBorders>
            <w:shd w:val="clear" w:color="auto" w:fill="D2D2D2"/>
          </w:tcPr>
          <w:p>
            <w:pPr/>
          </w:p>
        </w:tc>
        <w:tc>
          <w:tcPr>
            <w:tcW w:w="12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12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6"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vMerge/>
            <w:tcBorders>
              <w:left w:val="single" w:sz="4" w:space="0" w:color="000000"/>
              <w:right w:val="single" w:sz="4" w:space="0" w:color="000000"/>
            </w:tcBorders>
            <w:shd w:val="clear" w:color="auto" w:fill="D2D2D2"/>
          </w:tcPr>
          <w:p>
            <w:pPr/>
          </w:p>
        </w:tc>
        <w:tc>
          <w:tcPr>
            <w:tcW w:w="1048"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
        </w:tc>
        <w:tc>
          <w:tcPr>
            <w:tcW w:w="1299" w:type="dxa"/>
            <w:vMerge/>
            <w:tcBorders>
              <w:left w:val="single" w:sz="4" w:space="0" w:color="000000"/>
              <w:bottom w:val="nil" w:sz="6" w:space="0" w:color="auto"/>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2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244,000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30,893.22</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69,171</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30,893.22</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15.46%</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4856"/>
        <w:gridCol w:w="4719"/>
      </w:tblGrid>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994"/>
        <w:jc w:val="left"/>
      </w:pPr>
      <w:r>
        <w:rPr/>
        <w:t>采用复合方式担保的具体情况说明</w:t>
      </w:r>
    </w:p>
    <w:p>
      <w:pPr>
        <w:spacing w:line="240" w:lineRule="auto" w:before="11"/>
        <w:rPr>
          <w:rFonts w:ascii="宋体" w:hAnsi="宋体" w:cs="宋体" w:eastAsia="宋体" w:hint="default"/>
          <w:sz w:val="26"/>
          <w:szCs w:val="26"/>
        </w:rPr>
      </w:pPr>
    </w:p>
    <w:p>
      <w:pPr>
        <w:pStyle w:val="Heading5"/>
        <w:spacing w:line="240" w:lineRule="auto"/>
        <w:ind w:left="1134" w:right="994"/>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5"/>
        <w:spacing w:line="240" w:lineRule="auto"/>
        <w:ind w:right="994"/>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94"/>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40" w:lineRule="auto"/>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单位：万元</w:t>
      </w:r>
    </w:p>
    <w:p>
      <w:pPr>
        <w:spacing w:after="0" w:line="240" w:lineRule="auto"/>
        <w:jc w:val="center"/>
        <w:sectPr>
          <w:type w:val="continuous"/>
          <w:pgSz w:w="11910" w:h="16840"/>
          <w:pgMar w:top="1060" w:bottom="1160" w:left="0" w:right="0"/>
          <w:cols w:num="2" w:equalWidth="0">
            <w:col w:w="2935" w:space="5805"/>
            <w:col w:w="317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80"/>
        <w:gridCol w:w="1951"/>
        <w:gridCol w:w="1981"/>
        <w:gridCol w:w="1908"/>
        <w:gridCol w:w="1848"/>
      </w:tblGrid>
      <w:tr>
        <w:trPr>
          <w:trHeight w:val="401" w:hRule="exact"/>
        </w:trPr>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4"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80"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80"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134" w:right="994"/>
        <w:jc w:val="left"/>
      </w:pPr>
      <w:r>
        <w:rPr/>
        <w:t>单项金额重大或安全性较低、流动性较差、不保本的高风险委托理财具体情况</w:t>
      </w:r>
    </w:p>
    <w:p>
      <w:pPr>
        <w:pStyle w:val="BodyText"/>
        <w:spacing w:line="240" w:lineRule="auto" w:before="116"/>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27"/>
      </w:tblGrid>
      <w:tr>
        <w:trPr>
          <w:trHeight w:val="2274"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8"/>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1922" w:hRule="exact"/>
        </w:trPr>
        <w:tc>
          <w:tcPr>
            <w:tcW w:w="5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 有限 公司</w:t>
            </w:r>
          </w:p>
        </w:tc>
        <w:tc>
          <w:tcPr>
            <w:tcW w:w="5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37" w:right="0"/>
              <w:jc w:val="lef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子公 司自 有资 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该理 财产 品募 集资 金由 中国</w:t>
            </w:r>
          </w:p>
        </w:tc>
        <w:tc>
          <w:tcPr>
            <w:tcW w:w="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各收 益期 理财 收益</w:t>
            </w:r>
            <w:r>
              <w:rPr>
                <w:rFonts w:ascii="Times New Roman" w:hAnsi="Times New Roman" w:cs="Times New Roman" w:eastAsia="Times New Roman" w:hint="default"/>
                <w:sz w:val="18"/>
                <w:szCs w:val="18"/>
              </w:rPr>
              <w:t>= </w:t>
            </w:r>
            <w:r>
              <w:rPr>
                <w:rFonts w:ascii="宋体" w:hAnsi="宋体" w:cs="宋体" w:eastAsia="宋体" w:hint="default"/>
                <w:sz w:val="18"/>
                <w:szCs w:val="18"/>
              </w:rPr>
              <w:t>该收 益期</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63" w:right="0"/>
              <w:jc w:val="left"/>
              <w:rPr>
                <w:rFonts w:ascii="Times New Roman" w:hAnsi="Times New Roman" w:cs="Times New Roman" w:eastAsia="Times New Roman" w:hint="default"/>
                <w:sz w:val="18"/>
                <w:szCs w:val="18"/>
              </w:rPr>
            </w:pPr>
            <w:r>
              <w:rPr>
                <w:rFonts w:ascii="Times New Roman"/>
                <w:sz w:val="18"/>
              </w:rPr>
              <w:t>3.10%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23" w:right="0"/>
              <w:jc w:val="left"/>
              <w:rPr>
                <w:rFonts w:ascii="Times New Roman" w:hAnsi="Times New Roman" w:cs="Times New Roman" w:eastAsia="Times New Roman" w:hint="default"/>
                <w:sz w:val="18"/>
                <w:szCs w:val="18"/>
              </w:rPr>
            </w:pPr>
            <w:r>
              <w:rPr>
                <w:rFonts w:ascii="Times New Roman"/>
                <w:sz w:val="18"/>
              </w:rPr>
              <w:t>24.63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23" w:right="0"/>
              <w:jc w:val="left"/>
              <w:rPr>
                <w:rFonts w:ascii="Times New Roman" w:hAnsi="Times New Roman" w:cs="Times New Roman" w:eastAsia="Times New Roman" w:hint="default"/>
                <w:sz w:val="18"/>
                <w:szCs w:val="18"/>
              </w:rPr>
            </w:pPr>
            <w:r>
              <w:rPr>
                <w:rFonts w:ascii="Times New Roman"/>
                <w:sz w:val="18"/>
              </w:rPr>
              <w:t>24.63</w:t>
            </w:r>
          </w:p>
        </w:tc>
        <w:tc>
          <w:tcPr>
            <w:tcW w:w="5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12" w:lineRule="auto" w:before="63"/>
              <w:ind w:left="22" w:right="121"/>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日已 收回 本金</w:t>
            </w:r>
          </w:p>
        </w:tc>
        <w:tc>
          <w:tcPr>
            <w:tcW w:w="550"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60"/>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62" w:lineRule="auto" w:before="58"/>
              <w:ind w:left="23" w:right="30"/>
              <w:jc w:val="both"/>
              <w:rPr>
                <w:rFonts w:ascii="Times New Roman" w:hAnsi="Times New Roman" w:cs="Times New Roman" w:eastAsia="Times New Roman" w:hint="default"/>
                <w:sz w:val="18"/>
                <w:szCs w:val="18"/>
              </w:rPr>
            </w:pPr>
            <w:r>
              <w:rPr>
                <w:rFonts w:ascii="Times New Roman"/>
                <w:sz w:val="18"/>
              </w:rPr>
              <w:t>http:// </w:t>
            </w:r>
            <w:hyperlink r:id="rId14">
              <w:r>
                <w:rPr>
                  <w:rFonts w:ascii="Times New Roman"/>
                  <w:spacing w:val="-4"/>
                  <w:sz w:val="18"/>
                </w:rPr>
                <w:t>www.</w:t>
              </w:r>
            </w:hyperlink>
            <w:r>
              <w:rPr>
                <w:rFonts w:ascii="Times New Roman"/>
                <w:sz w:val="18"/>
              </w:rPr>
              <w:t> cninfo</w:t>
            </w:r>
          </w:p>
        </w:tc>
      </w:tr>
    </w:tbl>
    <w:p>
      <w:pPr>
        <w:spacing w:after="0" w:line="362" w:lineRule="auto"/>
        <w:jc w:val="both"/>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41"/>
      </w:tblGrid>
      <w:tr>
        <w:trPr>
          <w:trHeight w:val="13740" w:hRule="exact"/>
        </w:trPr>
        <w:tc>
          <w:tcPr>
            <w:tcW w:w="572"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5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60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银行 统一 运作 管理， 投资 对象 包括： 国债、 中央 银行 票据、 金融 </w:t>
            </w:r>
            <w:r>
              <w:rPr>
                <w:rFonts w:ascii="宋体" w:hAnsi="宋体" w:cs="宋体" w:eastAsia="宋体" w:hint="default"/>
                <w:spacing w:val="-12"/>
                <w:sz w:val="18"/>
                <w:szCs w:val="18"/>
              </w:rPr>
              <w:t>债；银</w:t>
            </w:r>
            <w:r>
              <w:rPr>
                <w:rFonts w:ascii="宋体" w:hAnsi="宋体" w:cs="宋体" w:eastAsia="宋体" w:hint="default"/>
                <w:sz w:val="18"/>
                <w:szCs w:val="18"/>
              </w:rPr>
              <w:t> 行存 </w:t>
            </w:r>
            <w:r>
              <w:rPr>
                <w:rFonts w:ascii="宋体" w:hAnsi="宋体" w:cs="宋体" w:eastAsia="宋体" w:hint="default"/>
                <w:spacing w:val="-12"/>
                <w:sz w:val="18"/>
                <w:szCs w:val="18"/>
              </w:rPr>
              <w:t>款、大</w:t>
            </w:r>
            <w:r>
              <w:rPr>
                <w:rFonts w:ascii="宋体" w:hAnsi="宋体" w:cs="宋体" w:eastAsia="宋体" w:hint="default"/>
                <w:sz w:val="18"/>
                <w:szCs w:val="18"/>
              </w:rPr>
              <w:t> 额可 转让 定期 存单、 债券 回购、 同业 拆借； 高信 用级 别的 企业 债券、 公司 债券</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（含 证券 公司 短期 公司 债 </w:t>
            </w:r>
            <w:r>
              <w:rPr>
                <w:rFonts w:ascii="宋体" w:hAnsi="宋体" w:cs="宋体" w:eastAsia="宋体" w:hint="default"/>
                <w:spacing w:val="-30"/>
                <w:sz w:val="18"/>
                <w:szCs w:val="18"/>
              </w:rPr>
              <w:t>券）、</w:t>
            </w:r>
            <w:r>
              <w:rPr>
                <w:rFonts w:ascii="宋体" w:hAnsi="宋体" w:cs="宋体" w:eastAsia="宋体" w:hint="default"/>
                <w:sz w:val="18"/>
                <w:szCs w:val="18"/>
              </w:rPr>
              <w:t> 短期 融资 </w:t>
            </w:r>
            <w:r>
              <w:rPr>
                <w:rFonts w:ascii="宋体" w:hAnsi="宋体" w:cs="宋体" w:eastAsia="宋体" w:hint="default"/>
                <w:spacing w:val="-12"/>
                <w:sz w:val="18"/>
                <w:szCs w:val="18"/>
              </w:rPr>
              <w:t>券、超</w:t>
            </w:r>
            <w:r>
              <w:rPr>
                <w:rFonts w:ascii="宋体" w:hAnsi="宋体" w:cs="宋体" w:eastAsia="宋体" w:hint="default"/>
                <w:sz w:val="18"/>
                <w:szCs w:val="18"/>
              </w:rPr>
              <w:t> 短期 融资 </w:t>
            </w:r>
            <w:r>
              <w:rPr>
                <w:rFonts w:ascii="宋体" w:hAnsi="宋体" w:cs="宋体" w:eastAsia="宋体" w:hint="default"/>
                <w:spacing w:val="-12"/>
                <w:sz w:val="18"/>
                <w:szCs w:val="18"/>
              </w:rPr>
              <w:t>券、中</w:t>
            </w:r>
            <w:r>
              <w:rPr>
                <w:rFonts w:ascii="宋体" w:hAnsi="宋体" w:cs="宋体" w:eastAsia="宋体" w:hint="default"/>
                <w:sz w:val="18"/>
                <w:szCs w:val="18"/>
              </w:rPr>
              <w:t> 期票</w:t>
            </w:r>
          </w:p>
        </w:tc>
        <w:tc>
          <w:tcPr>
            <w:tcW w:w="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10"/>
              <w:ind w:left="22" w:right="62"/>
              <w:jc w:val="left"/>
              <w:rPr>
                <w:rFonts w:ascii="宋体" w:hAnsi="宋体" w:cs="宋体" w:eastAsia="宋体" w:hint="default"/>
                <w:sz w:val="18"/>
                <w:szCs w:val="18"/>
              </w:rPr>
            </w:pPr>
            <w:r>
              <w:rPr>
                <w:rFonts w:ascii="宋体" w:hAnsi="宋体" w:cs="宋体" w:eastAsia="宋体" w:hint="default"/>
                <w:sz w:val="18"/>
                <w:szCs w:val="18"/>
              </w:rPr>
              <w:t>理财 本金</w:t>
            </w:r>
            <w:r>
              <w:rPr>
                <w:rFonts w:ascii="Times New Roman" w:hAnsi="Times New Roman" w:cs="Times New Roman" w:eastAsia="Times New Roman" w:hint="default"/>
                <w:sz w:val="18"/>
                <w:szCs w:val="18"/>
              </w:rPr>
              <w:t>× </w:t>
            </w:r>
            <w:r>
              <w:rPr>
                <w:rFonts w:ascii="宋体" w:hAnsi="宋体" w:cs="宋体" w:eastAsia="宋体" w:hint="default"/>
                <w:sz w:val="18"/>
                <w:szCs w:val="18"/>
              </w:rPr>
              <w:t>收益 率</w:t>
            </w:r>
            <w:r>
              <w:rPr>
                <w:rFonts w:ascii="Times New Roman" w:hAnsi="Times New Roman" w:cs="Times New Roman" w:eastAsia="Times New Roman" w:hint="default"/>
                <w:sz w:val="18"/>
                <w:szCs w:val="18"/>
              </w:rPr>
              <w:t>×</w:t>
            </w:r>
            <w:r>
              <w:rPr>
                <w:rFonts w:ascii="宋体" w:hAnsi="宋体" w:cs="宋体" w:eastAsia="宋体" w:hint="default"/>
                <w:sz w:val="18"/>
                <w:szCs w:val="18"/>
              </w:rPr>
              <w:t>该 收益 期实 际天 数</w:t>
            </w:r>
          </w:p>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÷365</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0"/>
              <w:ind w:left="22" w:right="31"/>
              <w:jc w:val="left"/>
              <w:rPr>
                <w:rFonts w:ascii="宋体" w:hAnsi="宋体" w:cs="宋体" w:eastAsia="宋体" w:hint="default"/>
                <w:sz w:val="18"/>
                <w:szCs w:val="18"/>
              </w:rPr>
            </w:pPr>
            <w:r>
              <w:rPr>
                <w:rFonts w:ascii="宋体" w:hAnsi="宋体" w:cs="宋体" w:eastAsia="宋体" w:hint="default"/>
                <w:sz w:val="18"/>
                <w:szCs w:val="18"/>
              </w:rPr>
              <w:t>及利 息合 计</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2024.6</w:t>
            </w:r>
          </w:p>
          <w:p>
            <w:pPr>
              <w:pStyle w:val="TableParagraph"/>
              <w:spacing w:line="240" w:lineRule="auto" w:before="6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54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50"/>
              <w:ind w:left="23" w:right="25"/>
              <w:jc w:val="both"/>
              <w:rPr>
                <w:rFonts w:ascii="Times New Roman" w:hAnsi="Times New Roman" w:cs="Times New Roman" w:eastAsia="Times New Roman" w:hint="default"/>
                <w:sz w:val="18"/>
                <w:szCs w:val="18"/>
              </w:rPr>
            </w:pPr>
            <w:r>
              <w:rPr>
                <w:rFonts w:ascii="Times New Roman"/>
                <w:sz w:val="18"/>
              </w:rPr>
              <w:t>.com.c n2017</w:t>
            </w:r>
          </w:p>
          <w:p>
            <w:pPr>
              <w:pStyle w:val="TableParagraph"/>
              <w:spacing w:line="213"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309" w:lineRule="auto" w:before="63"/>
              <w:ind w:left="23" w:right="10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日披 露的</w:t>
            </w:r>
          </w:p>
          <w:p>
            <w:pPr>
              <w:pStyle w:val="TableParagraph"/>
              <w:spacing w:line="316" w:lineRule="auto" w:before="24"/>
              <w:ind w:left="23" w:right="145"/>
              <w:jc w:val="both"/>
              <w:rPr>
                <w:rFonts w:ascii="宋体" w:hAnsi="宋体" w:cs="宋体" w:eastAsia="宋体" w:hint="default"/>
                <w:sz w:val="18"/>
                <w:szCs w:val="18"/>
              </w:rPr>
            </w:pPr>
            <w:r>
              <w:rPr>
                <w:rFonts w:ascii="宋体" w:hAnsi="宋体" w:cs="宋体" w:eastAsia="宋体" w:hint="default"/>
                <w:sz w:val="18"/>
                <w:szCs w:val="18"/>
              </w:rPr>
              <w:t>《关 于全 资子 公司 使用 自有 资金 购买 短期 理财 产品 的公 告》</w:t>
            </w:r>
          </w:p>
          <w:p>
            <w:pPr>
              <w:pStyle w:val="TableParagraph"/>
              <w:spacing w:line="316" w:lineRule="auto" w:before="19"/>
              <w:ind w:left="23" w:right="85"/>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59"/>
              <w:ind w:left="23"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072</w:t>
            </w:r>
            <w:r>
              <w:rPr>
                <w:rFonts w:ascii="宋体" w:hAnsi="宋体" w:cs="宋体" w:eastAsia="宋体" w:hint="default"/>
                <w:sz w:val="18"/>
                <w:szCs w:val="18"/>
              </w:rPr>
              <w:t>）</w:t>
            </w:r>
          </w:p>
        </w:tc>
      </w:tr>
    </w:tbl>
    <w:p>
      <w:pPr>
        <w:spacing w:after="0" w:line="240"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8"/>
      </w:tblGrid>
      <w:tr>
        <w:trPr>
          <w:trHeight w:val="12844" w:hRule="exact"/>
        </w:trPr>
        <w:tc>
          <w:tcPr>
            <w:tcW w:w="572"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5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60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pacing w:val="-12"/>
                <w:sz w:val="18"/>
                <w:szCs w:val="18"/>
              </w:rPr>
              <w:t>据、资</w:t>
            </w:r>
            <w:r>
              <w:rPr>
                <w:rFonts w:ascii="宋体" w:hAnsi="宋体" w:cs="宋体" w:eastAsia="宋体" w:hint="default"/>
                <w:sz w:val="18"/>
                <w:szCs w:val="18"/>
              </w:rPr>
              <w:t> 产支 持证 </w:t>
            </w:r>
            <w:r>
              <w:rPr>
                <w:rFonts w:ascii="宋体" w:hAnsi="宋体" w:cs="宋体" w:eastAsia="宋体" w:hint="default"/>
                <w:spacing w:val="-12"/>
                <w:sz w:val="18"/>
                <w:szCs w:val="18"/>
              </w:rPr>
              <w:t>券、非</w:t>
            </w:r>
            <w:r>
              <w:rPr>
                <w:rFonts w:ascii="宋体" w:hAnsi="宋体" w:cs="宋体" w:eastAsia="宋体" w:hint="default"/>
                <w:sz w:val="18"/>
                <w:szCs w:val="18"/>
              </w:rPr>
              <w:t> 公开 定向 债务 融资 工具。 投资 范围 为上 述金 融资 产的 券商 资产 管理 计划、 基金 公司 资产 管理 计划 和信 托计 </w:t>
            </w:r>
            <w:r>
              <w:rPr>
                <w:rFonts w:ascii="宋体" w:hAnsi="宋体" w:cs="宋体" w:eastAsia="宋体" w:hint="default"/>
                <w:spacing w:val="-12"/>
                <w:sz w:val="18"/>
                <w:szCs w:val="18"/>
              </w:rPr>
              <w:t>划，以</w:t>
            </w:r>
            <w:r>
              <w:rPr>
                <w:rFonts w:ascii="宋体" w:hAnsi="宋体" w:cs="宋体" w:eastAsia="宋体" w:hint="default"/>
                <w:sz w:val="18"/>
                <w:szCs w:val="18"/>
              </w:rPr>
              <w:t> 及法 </w:t>
            </w:r>
            <w:r>
              <w:rPr>
                <w:rFonts w:ascii="宋体" w:hAnsi="宋体" w:cs="宋体" w:eastAsia="宋体" w:hint="default"/>
                <w:spacing w:val="-12"/>
                <w:sz w:val="18"/>
                <w:szCs w:val="18"/>
              </w:rPr>
              <w:t>律、法</w:t>
            </w:r>
            <w:r>
              <w:rPr>
                <w:rFonts w:ascii="宋体" w:hAnsi="宋体" w:cs="宋体" w:eastAsia="宋体" w:hint="default"/>
                <w:sz w:val="18"/>
                <w:szCs w:val="18"/>
              </w:rPr>
              <w:t> </w:t>
            </w:r>
            <w:r>
              <w:rPr>
                <w:rFonts w:ascii="宋体" w:hAnsi="宋体" w:cs="宋体" w:eastAsia="宋体" w:hint="default"/>
                <w:spacing w:val="-12"/>
                <w:sz w:val="18"/>
                <w:szCs w:val="18"/>
              </w:rPr>
              <w:t>规、监</w:t>
            </w:r>
            <w:r>
              <w:rPr>
                <w:rFonts w:ascii="宋体" w:hAnsi="宋体" w:cs="宋体" w:eastAsia="宋体" w:hint="default"/>
                <w:sz w:val="18"/>
                <w:szCs w:val="18"/>
              </w:rPr>
              <w:t> 管规 定允 许范 围内 其他 低风 险高 流动 性的 金融 资产。</w:t>
            </w:r>
          </w:p>
        </w:tc>
        <w:tc>
          <w:tcPr>
            <w:tcW w:w="56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53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986" w:hRule="exact"/>
        </w:trPr>
        <w:tc>
          <w:tcPr>
            <w:tcW w:w="5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银行 股份</w:t>
            </w:r>
          </w:p>
        </w:tc>
        <w:tc>
          <w:tcPr>
            <w:tcW w:w="5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子公 司自 有资</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5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该理 财产 品募</w:t>
            </w:r>
          </w:p>
        </w:tc>
        <w:tc>
          <w:tcPr>
            <w:tcW w:w="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各收 益期 理财</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35.79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42"/>
              <w:jc w:val="both"/>
              <w:rPr>
                <w:rFonts w:ascii="宋体" w:hAnsi="宋体" w:cs="宋体" w:eastAsia="宋体" w:hint="default"/>
                <w:sz w:val="18"/>
                <w:szCs w:val="18"/>
              </w:rPr>
            </w:pPr>
            <w:r>
              <w:rPr>
                <w:rFonts w:ascii="宋体" w:hAnsi="宋体" w:cs="宋体" w:eastAsia="宋体" w:hint="default"/>
                <w:sz w:val="18"/>
                <w:szCs w:val="18"/>
              </w:rPr>
              <w:t>巨潮 资讯 网</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8"/>
      </w:tblGrid>
      <w:tr>
        <w:trPr>
          <w:trHeight w:val="13740" w:hRule="exact"/>
        </w:trPr>
        <w:tc>
          <w:tcPr>
            <w:tcW w:w="5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10"/>
              <w:ind w:left="22" w:right="177"/>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5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60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集资 金由 中国 银行 统一 运作 管理， 投资 对象 包括： 国债、 中央 银行 票据、 金融 </w:t>
            </w:r>
            <w:r>
              <w:rPr>
                <w:rFonts w:ascii="宋体" w:hAnsi="宋体" w:cs="宋体" w:eastAsia="宋体" w:hint="default"/>
                <w:spacing w:val="-12"/>
                <w:sz w:val="18"/>
                <w:szCs w:val="18"/>
              </w:rPr>
              <w:t>债；银</w:t>
            </w:r>
            <w:r>
              <w:rPr>
                <w:rFonts w:ascii="宋体" w:hAnsi="宋体" w:cs="宋体" w:eastAsia="宋体" w:hint="default"/>
                <w:sz w:val="18"/>
                <w:szCs w:val="18"/>
              </w:rPr>
              <w:t> 行存 </w:t>
            </w:r>
            <w:r>
              <w:rPr>
                <w:rFonts w:ascii="宋体" w:hAnsi="宋体" w:cs="宋体" w:eastAsia="宋体" w:hint="default"/>
                <w:spacing w:val="-12"/>
                <w:sz w:val="18"/>
                <w:szCs w:val="18"/>
              </w:rPr>
              <w:t>款、大</w:t>
            </w:r>
            <w:r>
              <w:rPr>
                <w:rFonts w:ascii="宋体" w:hAnsi="宋体" w:cs="宋体" w:eastAsia="宋体" w:hint="default"/>
                <w:sz w:val="18"/>
                <w:szCs w:val="18"/>
              </w:rPr>
              <w:t> 额可 转让 定期 存单、 债券 回购、 同业 拆借； 高信 用级 别的 企业 债券、 公司 债券</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（含 证券 公司 短期 公司 债 </w:t>
            </w:r>
            <w:r>
              <w:rPr>
                <w:rFonts w:ascii="宋体" w:hAnsi="宋体" w:cs="宋体" w:eastAsia="宋体" w:hint="default"/>
                <w:spacing w:val="-30"/>
                <w:sz w:val="18"/>
                <w:szCs w:val="18"/>
              </w:rPr>
              <w:t>券）、</w:t>
            </w:r>
            <w:r>
              <w:rPr>
                <w:rFonts w:ascii="宋体" w:hAnsi="宋体" w:cs="宋体" w:eastAsia="宋体" w:hint="default"/>
                <w:sz w:val="18"/>
                <w:szCs w:val="18"/>
              </w:rPr>
              <w:t> 短期 融资 </w:t>
            </w:r>
            <w:r>
              <w:rPr>
                <w:rFonts w:ascii="宋体" w:hAnsi="宋体" w:cs="宋体" w:eastAsia="宋体" w:hint="default"/>
                <w:spacing w:val="-12"/>
                <w:sz w:val="18"/>
                <w:szCs w:val="18"/>
              </w:rPr>
              <w:t>券、超</w:t>
            </w:r>
            <w:r>
              <w:rPr>
                <w:rFonts w:ascii="宋体" w:hAnsi="宋体" w:cs="宋体" w:eastAsia="宋体" w:hint="default"/>
                <w:sz w:val="18"/>
                <w:szCs w:val="18"/>
              </w:rPr>
              <w:t> 短期</w:t>
            </w:r>
          </w:p>
        </w:tc>
        <w:tc>
          <w:tcPr>
            <w:tcW w:w="5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10"/>
              <w:ind w:left="22" w:right="62"/>
              <w:jc w:val="left"/>
              <w:rPr>
                <w:rFonts w:ascii="宋体" w:hAnsi="宋体" w:cs="宋体" w:eastAsia="宋体" w:hint="default"/>
                <w:sz w:val="18"/>
                <w:szCs w:val="18"/>
              </w:rPr>
            </w:pPr>
            <w:r>
              <w:rPr>
                <w:rFonts w:ascii="宋体" w:hAnsi="宋体" w:cs="宋体" w:eastAsia="宋体" w:hint="default"/>
                <w:sz w:val="18"/>
                <w:szCs w:val="18"/>
              </w:rPr>
              <w:t>收益</w:t>
            </w:r>
            <w:r>
              <w:rPr>
                <w:rFonts w:ascii="Times New Roman" w:hAnsi="Times New Roman" w:cs="Times New Roman" w:eastAsia="Times New Roman" w:hint="default"/>
                <w:sz w:val="18"/>
                <w:szCs w:val="18"/>
              </w:rPr>
              <w:t>= </w:t>
            </w:r>
            <w:r>
              <w:rPr>
                <w:rFonts w:ascii="宋体" w:hAnsi="宋体" w:cs="宋体" w:eastAsia="宋体" w:hint="default"/>
                <w:sz w:val="18"/>
                <w:szCs w:val="18"/>
              </w:rPr>
              <w:t>该收 益期 理财 本金</w:t>
            </w:r>
            <w:r>
              <w:rPr>
                <w:rFonts w:ascii="Times New Roman" w:hAnsi="Times New Roman" w:cs="Times New Roman" w:eastAsia="Times New Roman" w:hint="default"/>
                <w:sz w:val="18"/>
                <w:szCs w:val="18"/>
              </w:rPr>
              <w:t>× </w:t>
            </w:r>
            <w:r>
              <w:rPr>
                <w:rFonts w:ascii="宋体" w:hAnsi="宋体" w:cs="宋体" w:eastAsia="宋体" w:hint="default"/>
                <w:sz w:val="18"/>
                <w:szCs w:val="18"/>
              </w:rPr>
              <w:t>收益 率</w:t>
            </w:r>
            <w:r>
              <w:rPr>
                <w:rFonts w:ascii="Times New Roman" w:hAnsi="Times New Roman" w:cs="Times New Roman" w:eastAsia="Times New Roman" w:hint="default"/>
                <w:sz w:val="18"/>
                <w:szCs w:val="18"/>
              </w:rPr>
              <w:t>×</w:t>
            </w:r>
            <w:r>
              <w:rPr>
                <w:rFonts w:ascii="宋体" w:hAnsi="宋体" w:cs="宋体" w:eastAsia="宋体" w:hint="default"/>
                <w:sz w:val="18"/>
                <w:szCs w:val="18"/>
              </w:rPr>
              <w:t>该 收益 期实 际天 数</w:t>
            </w:r>
          </w:p>
          <w:p>
            <w:pPr>
              <w:pStyle w:val="TableParagraph"/>
              <w:spacing w:line="240" w:lineRule="auto" w:before="63"/>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÷365</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53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50"/>
              <w:ind w:left="23" w:right="41"/>
              <w:jc w:val="both"/>
              <w:rPr>
                <w:rFonts w:ascii="Times New Roman" w:hAnsi="Times New Roman" w:cs="Times New Roman" w:eastAsia="Times New Roman" w:hint="default"/>
                <w:sz w:val="18"/>
                <w:szCs w:val="18"/>
              </w:rPr>
            </w:pPr>
            <w:r>
              <w:rPr>
                <w:rFonts w:ascii="Times New Roman"/>
                <w:sz w:val="18"/>
              </w:rPr>
              <w:t>http:// </w:t>
            </w:r>
            <w:hyperlink r:id="rId14">
              <w:r>
                <w:rPr>
                  <w:rFonts w:ascii="Times New Roman"/>
                  <w:spacing w:val="-4"/>
                  <w:sz w:val="18"/>
                </w:rPr>
                <w:t>www.</w:t>
              </w:r>
            </w:hyperlink>
            <w:r>
              <w:rPr>
                <w:rFonts w:ascii="Times New Roman"/>
                <w:sz w:val="18"/>
              </w:rPr>
              <w:t> cninfo</w:t>
            </w:r>
          </w:p>
          <w:p>
            <w:pPr>
              <w:pStyle w:val="TableParagraph"/>
              <w:spacing w:line="362" w:lineRule="auto" w:before="3"/>
              <w:ind w:left="23" w:right="22"/>
              <w:jc w:val="both"/>
              <w:rPr>
                <w:rFonts w:ascii="Times New Roman" w:hAnsi="Times New Roman" w:cs="Times New Roman" w:eastAsia="Times New Roman" w:hint="default"/>
                <w:sz w:val="18"/>
                <w:szCs w:val="18"/>
              </w:rPr>
            </w:pPr>
            <w:r>
              <w:rPr>
                <w:rFonts w:ascii="Times New Roman"/>
                <w:sz w:val="18"/>
              </w:rPr>
              <w:t>.com.c n2017</w:t>
            </w:r>
          </w:p>
          <w:p>
            <w:pPr>
              <w:pStyle w:val="TableParagraph"/>
              <w:spacing w:line="213"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309" w:lineRule="auto" w:before="63"/>
              <w:ind w:left="23" w:right="98"/>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日披 露的</w:t>
            </w:r>
          </w:p>
          <w:p>
            <w:pPr>
              <w:pStyle w:val="TableParagraph"/>
              <w:spacing w:line="316" w:lineRule="auto" w:before="24"/>
              <w:ind w:left="23" w:right="142"/>
              <w:jc w:val="both"/>
              <w:rPr>
                <w:rFonts w:ascii="宋体" w:hAnsi="宋体" w:cs="宋体" w:eastAsia="宋体" w:hint="default"/>
                <w:sz w:val="18"/>
                <w:szCs w:val="18"/>
              </w:rPr>
            </w:pPr>
            <w:r>
              <w:rPr>
                <w:rFonts w:ascii="宋体" w:hAnsi="宋体" w:cs="宋体" w:eastAsia="宋体" w:hint="default"/>
                <w:sz w:val="18"/>
                <w:szCs w:val="18"/>
              </w:rPr>
              <w:t>《关 于全 资子 公司 使用 自有 资金 购买 短期 理财 产品 的公 告》</w:t>
            </w:r>
          </w:p>
          <w:p>
            <w:pPr>
              <w:pStyle w:val="TableParagraph"/>
              <w:spacing w:line="316" w:lineRule="auto" w:before="19"/>
              <w:ind w:left="23" w:right="82"/>
              <w:jc w:val="both"/>
              <w:rPr>
                <w:rFonts w:ascii="宋体" w:hAnsi="宋体" w:cs="宋体" w:eastAsia="宋体" w:hint="default"/>
                <w:sz w:val="18"/>
                <w:szCs w:val="18"/>
              </w:rPr>
            </w:pPr>
            <w:r>
              <w:rPr>
                <w:rFonts w:ascii="宋体" w:hAnsi="宋体" w:cs="宋体" w:eastAsia="宋体" w:hint="default"/>
                <w:sz w:val="18"/>
                <w:szCs w:val="18"/>
              </w:rPr>
              <w:t>（公 告编 号：</w:t>
            </w:r>
          </w:p>
          <w:p>
            <w:pPr>
              <w:pStyle w:val="TableParagraph"/>
              <w:spacing w:line="240" w:lineRule="auto" w:before="58"/>
              <w:ind w:left="23" w:right="0"/>
              <w:jc w:val="both"/>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6"/>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120</w:t>
            </w:r>
            <w:r>
              <w:rPr>
                <w:rFonts w:ascii="宋体" w:hAnsi="宋体" w:cs="宋体" w:eastAsia="宋体" w:hint="default"/>
                <w:sz w:val="18"/>
                <w:szCs w:val="18"/>
              </w:rPr>
              <w:t>）</w:t>
            </w:r>
          </w:p>
        </w:tc>
      </w:tr>
    </w:tbl>
    <w:p>
      <w:pPr>
        <w:spacing w:after="0" w:line="240"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8"/>
      </w:tblGrid>
      <w:tr>
        <w:trPr>
          <w:trHeight w:val="317" w:hRule="exact"/>
        </w:trPr>
        <w:tc>
          <w:tcPr>
            <w:tcW w:w="572" w:type="dxa"/>
            <w:vMerge w:val="restart"/>
            <w:tcBorders>
              <w:top w:val="single" w:sz="4" w:space="0" w:color="000000"/>
              <w:left w:val="single" w:sz="4" w:space="0" w:color="000000"/>
              <w:right w:val="single" w:sz="4" w:space="0" w:color="000000"/>
            </w:tcBorders>
            <w:shd w:val="clear" w:color="auto" w:fill="CCE8CF"/>
          </w:tcPr>
          <w:p>
            <w:pPr/>
          </w:p>
        </w:tc>
        <w:tc>
          <w:tcPr>
            <w:tcW w:w="590" w:type="dxa"/>
            <w:vMerge w:val="restart"/>
            <w:tcBorders>
              <w:top w:val="single" w:sz="4" w:space="0" w:color="000000"/>
              <w:left w:val="single" w:sz="4" w:space="0" w:color="000000"/>
              <w:right w:val="single" w:sz="4" w:space="0" w:color="000000"/>
            </w:tcBorders>
            <w:shd w:val="clear" w:color="auto" w:fill="CCE8CF"/>
          </w:tcPr>
          <w:p>
            <w:pPr/>
          </w:p>
        </w:tc>
        <w:tc>
          <w:tcPr>
            <w:tcW w:w="606" w:type="dxa"/>
            <w:vMerge w:val="restart"/>
            <w:tcBorders>
              <w:top w:val="single" w:sz="4" w:space="0" w:color="000000"/>
              <w:left w:val="single" w:sz="4" w:space="0" w:color="000000"/>
              <w:right w:val="single" w:sz="4" w:space="0" w:color="000000"/>
            </w:tcBorders>
            <w:shd w:val="clear" w:color="auto" w:fill="CCE8CF"/>
          </w:tcPr>
          <w:p>
            <w:pPr/>
          </w:p>
        </w:tc>
        <w:tc>
          <w:tcPr>
            <w:tcW w:w="575"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shd w:val="clear" w:color="auto" w:fill="CCE8CF"/>
          </w:tcPr>
          <w:p>
            <w:pPr/>
          </w:p>
        </w:tc>
        <w:tc>
          <w:tcPr>
            <w:tcW w:w="562" w:type="dxa"/>
            <w:vMerge w:val="restart"/>
            <w:tcBorders>
              <w:top w:val="single" w:sz="4" w:space="0" w:color="000000"/>
              <w:left w:val="single" w:sz="4" w:space="0" w:color="000000"/>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融资</w:t>
            </w:r>
          </w:p>
        </w:tc>
        <w:tc>
          <w:tcPr>
            <w:tcW w:w="560" w:type="dxa"/>
            <w:vMerge w:val="restart"/>
            <w:tcBorders>
              <w:top w:val="single" w:sz="4" w:space="0" w:color="000000"/>
              <w:left w:val="single" w:sz="4" w:space="0" w:color="000000"/>
              <w:right w:val="single" w:sz="4" w:space="0" w:color="000000"/>
            </w:tcBorders>
            <w:shd w:val="clear" w:color="auto" w:fill="CCE8CF"/>
          </w:tcPr>
          <w:p>
            <w:pP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1" w:type="dxa"/>
            <w:vMerge w:val="restart"/>
            <w:tcBorders>
              <w:top w:val="single" w:sz="4" w:space="0" w:color="000000"/>
              <w:left w:val="single" w:sz="4" w:space="0" w:color="000000"/>
              <w:right w:val="single" w:sz="4" w:space="0" w:color="000000"/>
            </w:tcBorders>
            <w:shd w:val="clear" w:color="auto" w:fill="CCE8CF"/>
          </w:tcPr>
          <w:p>
            <w:pPr/>
          </w:p>
        </w:tc>
        <w:tc>
          <w:tcPr>
            <w:tcW w:w="550"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46" w:type="dxa"/>
            <w:vMerge w:val="restart"/>
            <w:tcBorders>
              <w:top w:val="single" w:sz="4" w:space="0" w:color="000000"/>
              <w:left w:val="single" w:sz="4" w:space="0" w:color="000000"/>
              <w:right w:val="single" w:sz="4" w:space="0" w:color="000000"/>
            </w:tcBorders>
            <w:shd w:val="clear" w:color="auto" w:fill="CCE8CF"/>
          </w:tcPr>
          <w:p>
            <w:pPr/>
          </w:p>
        </w:tc>
        <w:tc>
          <w:tcPr>
            <w:tcW w:w="538" w:type="dxa"/>
            <w:vMerge w:val="restart"/>
            <w:tcBorders>
              <w:top w:val="single" w:sz="4" w:space="0" w:color="000000"/>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券、中</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期票</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据、资</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产支</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持证</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券、非</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定向</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债务</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融资</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工具。</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范围</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为上</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述金</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融资</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产的</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券商</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计划、</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和信</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托计</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划，以</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及法</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律、法</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2"/>
                <w:sz w:val="18"/>
                <w:szCs w:val="18"/>
              </w:rPr>
              <w:t>规、监</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管规</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定允</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许范</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围内</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低风</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险高</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流动</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2"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性的</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13" w:hRule="exact"/>
        </w:trPr>
        <w:tc>
          <w:tcPr>
            <w:tcW w:w="572" w:type="dxa"/>
            <w:vMerge/>
            <w:tcBorders>
              <w:left w:val="single" w:sz="4" w:space="0" w:color="000000"/>
              <w:right w:val="single" w:sz="4" w:space="0" w:color="000000"/>
            </w:tcBorders>
            <w:shd w:val="clear" w:color="auto" w:fill="CCE8CF"/>
          </w:tcPr>
          <w:p>
            <w:pPr/>
          </w:p>
        </w:tc>
        <w:tc>
          <w:tcPr>
            <w:tcW w:w="590" w:type="dxa"/>
            <w:vMerge/>
            <w:tcBorders>
              <w:left w:val="single" w:sz="4" w:space="0" w:color="000000"/>
              <w:right w:val="single" w:sz="4" w:space="0" w:color="000000"/>
            </w:tcBorders>
            <w:shd w:val="clear" w:color="auto" w:fill="CCE8CF"/>
          </w:tcPr>
          <w:p>
            <w:pPr/>
          </w:p>
        </w:tc>
        <w:tc>
          <w:tcPr>
            <w:tcW w:w="606" w:type="dxa"/>
            <w:vMerge/>
            <w:tcBorders>
              <w:left w:val="single" w:sz="4" w:space="0" w:color="000000"/>
              <w:right w:val="single" w:sz="4" w:space="0" w:color="000000"/>
            </w:tcBorders>
            <w:shd w:val="clear" w:color="auto" w:fill="CCE8CF"/>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560" w:type="dxa"/>
            <w:vMerge/>
            <w:tcBorders>
              <w:left w:val="single" w:sz="4" w:space="0" w:color="000000"/>
              <w:right w:val="single" w:sz="4" w:space="0" w:color="000000"/>
            </w:tcBorders>
            <w:shd w:val="clear" w:color="auto" w:fill="CCE8CF"/>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shd w:val="clear" w:color="auto" w:fill="CCE8CF"/>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shd w:val="clear" w:color="auto" w:fill="CCE8CF"/>
          </w:tcPr>
          <w:p>
            <w:pPr/>
          </w:p>
        </w:tc>
        <w:tc>
          <w:tcPr>
            <w:tcW w:w="538" w:type="dxa"/>
            <w:vMerge/>
            <w:tcBorders>
              <w:left w:val="single" w:sz="4" w:space="0" w:color="000000"/>
              <w:right w:val="single" w:sz="4" w:space="0" w:color="000000"/>
            </w:tcBorders>
            <w:shd w:val="clear" w:color="auto" w:fill="CCE8CF"/>
          </w:tcPr>
          <w:p>
            <w:pPr/>
          </w:p>
        </w:tc>
      </w:tr>
      <w:tr>
        <w:trPr>
          <w:trHeight w:val="357" w:hRule="exact"/>
        </w:trPr>
        <w:tc>
          <w:tcPr>
            <w:tcW w:w="572" w:type="dxa"/>
            <w:vMerge/>
            <w:tcBorders>
              <w:left w:val="single" w:sz="4" w:space="0" w:color="000000"/>
              <w:bottom w:val="single" w:sz="4" w:space="0" w:color="000000"/>
              <w:right w:val="single" w:sz="4" w:space="0" w:color="000000"/>
            </w:tcBorders>
            <w:shd w:val="clear" w:color="auto" w:fill="CCE8CF"/>
          </w:tcPr>
          <w:p>
            <w:pPr/>
          </w:p>
        </w:tc>
        <w:tc>
          <w:tcPr>
            <w:tcW w:w="590" w:type="dxa"/>
            <w:vMerge/>
            <w:tcBorders>
              <w:left w:val="single" w:sz="4" w:space="0" w:color="000000"/>
              <w:bottom w:val="single" w:sz="4" w:space="0" w:color="000000"/>
              <w:right w:val="single" w:sz="4" w:space="0" w:color="000000"/>
            </w:tcBorders>
            <w:shd w:val="clear" w:color="auto" w:fill="CCE8CF"/>
          </w:tcPr>
          <w:p>
            <w:pPr/>
          </w:p>
        </w:tc>
        <w:tc>
          <w:tcPr>
            <w:tcW w:w="606" w:type="dxa"/>
            <w:vMerge/>
            <w:tcBorders>
              <w:left w:val="single" w:sz="4" w:space="0" w:color="000000"/>
              <w:bottom w:val="single" w:sz="4" w:space="0" w:color="000000"/>
              <w:right w:val="single" w:sz="4" w:space="0" w:color="000000"/>
            </w:tcBorders>
            <w:shd w:val="clear" w:color="auto" w:fill="CCE8CF"/>
          </w:tcPr>
          <w:p>
            <w:pPr/>
          </w:p>
        </w:tc>
        <w:tc>
          <w:tcPr>
            <w:tcW w:w="575"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shd w:val="clear" w:color="auto" w:fill="CCE8CF"/>
          </w:tcPr>
          <w:p>
            <w:pPr/>
          </w:p>
        </w:tc>
        <w:tc>
          <w:tcPr>
            <w:tcW w:w="562"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11"/>
              <w:jc w:val="left"/>
              <w:rPr>
                <w:rFonts w:ascii="宋体" w:hAnsi="宋体" w:cs="宋体" w:eastAsia="宋体" w:hint="default"/>
                <w:sz w:val="18"/>
                <w:szCs w:val="18"/>
              </w:rPr>
            </w:pPr>
            <w:r>
              <w:rPr>
                <w:rFonts w:ascii="宋体" w:hAnsi="宋体" w:cs="宋体" w:eastAsia="宋体" w:hint="default"/>
                <w:sz w:val="18"/>
                <w:szCs w:val="18"/>
              </w:rPr>
              <w:t>资产。</w:t>
            </w:r>
          </w:p>
        </w:tc>
        <w:tc>
          <w:tcPr>
            <w:tcW w:w="560" w:type="dxa"/>
            <w:vMerge/>
            <w:tcBorders>
              <w:left w:val="single" w:sz="4" w:space="0" w:color="000000"/>
              <w:bottom w:val="single" w:sz="4" w:space="0" w:color="000000"/>
              <w:right w:val="single" w:sz="4" w:space="0" w:color="000000"/>
            </w:tcBorders>
            <w:shd w:val="clear" w:color="auto" w:fill="CCE8CF"/>
          </w:tcPr>
          <w:p>
            <w:pP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shd w:val="clear" w:color="auto" w:fill="CCE8CF"/>
          </w:tcPr>
          <w:p>
            <w:pPr/>
          </w:p>
        </w:tc>
        <w:tc>
          <w:tcPr>
            <w:tcW w:w="550"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6" w:type="dxa"/>
            <w:vMerge/>
            <w:tcBorders>
              <w:left w:val="single" w:sz="4" w:space="0" w:color="000000"/>
              <w:bottom w:val="single" w:sz="4" w:space="0" w:color="000000"/>
              <w:right w:val="single" w:sz="4" w:space="0" w:color="000000"/>
            </w:tcBorders>
            <w:shd w:val="clear" w:color="auto" w:fill="CCE8CF"/>
          </w:tcPr>
          <w:p>
            <w:pPr/>
          </w:p>
        </w:tc>
        <w:tc>
          <w:tcPr>
            <w:tcW w:w="538" w:type="dxa"/>
            <w:vMerge/>
            <w:tcBorders>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768"/>
        <w:gridCol w:w="575"/>
        <w:gridCol w:w="560"/>
        <w:gridCol w:w="562"/>
        <w:gridCol w:w="561"/>
        <w:gridCol w:w="562"/>
        <w:gridCol w:w="560"/>
        <w:gridCol w:w="550"/>
        <w:gridCol w:w="572"/>
        <w:gridCol w:w="562"/>
        <w:gridCol w:w="549"/>
        <w:gridCol w:w="572"/>
        <w:gridCol w:w="536"/>
        <w:gridCol w:w="546"/>
        <w:gridCol w:w="527"/>
      </w:tblGrid>
      <w:tr>
        <w:trPr>
          <w:trHeight w:val="402" w:hRule="exact"/>
        </w:trPr>
        <w:tc>
          <w:tcPr>
            <w:tcW w:w="1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lef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5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60.42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24.63</w:t>
            </w:r>
          </w:p>
        </w:tc>
        <w:tc>
          <w:tcPr>
            <w:tcW w:w="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572"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w:t>
            </w:r>
          </w:p>
        </w:tc>
        <w:tc>
          <w:tcPr>
            <w:tcW w:w="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94"/>
        <w:jc w:val="left"/>
      </w:pPr>
      <w:r>
        <w:rPr/>
        <w:t>委托理财出现预期无法收回本金或存在其他可能导致减值的情形</w:t>
      </w:r>
    </w:p>
    <w:p>
      <w:pPr>
        <w:pStyle w:val="BodyText"/>
        <w:spacing w:line="240" w:lineRule="auto" w:before="117"/>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94"/>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5"/>
        <w:spacing w:line="240" w:lineRule="auto"/>
        <w:ind w:right="994"/>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4"/>
        <w:spacing w:line="240" w:lineRule="auto"/>
        <w:ind w:right="994"/>
        <w:jc w:val="left"/>
        <w:rPr>
          <w:b w:val="0"/>
          <w:bCs w:val="0"/>
        </w:rPr>
      </w:pPr>
      <w:bookmarkStart w:name="十七、社会责任情况" w:id="96"/>
      <w:bookmarkEnd w:id="96"/>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94"/>
        <w:jc w:val="left"/>
        <w:rPr>
          <w:b w:val="0"/>
          <w:bCs w:val="0"/>
        </w:rPr>
      </w:pPr>
      <w:bookmarkStart w:name="1、履行社会责任情况" w:id="97"/>
      <w:bookmarkEnd w:id="97"/>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1" w:firstLine="360"/>
        <w:jc w:val="both"/>
      </w:pPr>
      <w:r>
        <w:rPr>
          <w:spacing w:val="-2"/>
        </w:rPr>
        <w:t>公司根据国家和行业相关产品质量的要求，从事生产经营活动，切实提高了产品的质量和服务水平，努力为社会提供优</w:t>
      </w:r>
      <w:r>
        <w:rPr/>
        <w:t> </w:t>
      </w:r>
      <w:r>
        <w:rPr>
          <w:spacing w:val="-2"/>
        </w:rPr>
        <w:t>质产品和服务，最大限度地满足消费者的需求，对社会和公众负责，接受社会监督，承担社会责任。公司在努力创造经济效</w:t>
      </w:r>
      <w:r>
        <w:rPr>
          <w:spacing w:val="-66"/>
        </w:rPr>
        <w:t> </w:t>
      </w:r>
      <w:r>
        <w:rPr>
          <w:spacing w:val="-66"/>
        </w:rPr>
      </w:r>
      <w:r>
        <w:rPr>
          <w:spacing w:val="-2"/>
        </w:rPr>
        <w:t>益的同时，也积极履行社会公益方面的责任和义务。</w:t>
      </w:r>
      <w:r>
        <w:rPr>
          <w:rFonts w:ascii="宋体" w:hAnsi="宋体" w:cs="宋体" w:eastAsia="宋体" w:hint="default"/>
          <w:spacing w:val="-2"/>
        </w:rPr>
        <w:t>2015</w:t>
      </w:r>
      <w:r>
        <w:rPr>
          <w:spacing w:val="-2"/>
        </w:rPr>
        <w:t>年公司获得深圳市企业社会责任促进会及华夏认证中心有限公司深</w:t>
      </w:r>
      <w:r>
        <w:rPr>
          <w:spacing w:val="-59"/>
        </w:rPr>
        <w:t> </w:t>
      </w:r>
      <w:r>
        <w:rPr/>
        <w:t>圳分公司共同颁发的二星级深圳市企业社会责任评价登记证书。</w:t>
      </w:r>
    </w:p>
    <w:p>
      <w:pPr>
        <w:pStyle w:val="BodyText"/>
        <w:spacing w:line="316" w:lineRule="auto" w:before="19"/>
        <w:ind w:left="1134" w:right="1131" w:firstLine="720"/>
        <w:jc w:val="both"/>
      </w:pPr>
      <w:r>
        <w:rPr>
          <w:spacing w:val="-2"/>
        </w:rPr>
        <w:t>公司通过制定《新改扩建项目环境和安全管理程序》及《内部审核控制程序》，确保公司开展的项目符合环保及安</w:t>
      </w:r>
      <w:r>
        <w:rPr/>
        <w:t> </w:t>
      </w:r>
      <w:r>
        <w:rPr>
          <w:spacing w:val="-2"/>
        </w:rPr>
        <w:t>全相关法律法规要求。同时，通过加强对管理体系运营情况的内部审核，考察公司在质量、环境及职业健康安全等相关社会</w:t>
      </w:r>
      <w:r>
        <w:rPr>
          <w:spacing w:val="-66"/>
        </w:rPr>
        <w:t> </w:t>
      </w:r>
      <w:r>
        <w:rPr>
          <w:spacing w:val="-66"/>
        </w:rPr>
      </w:r>
      <w:r>
        <w:rPr/>
        <w:t>责任方面的落实情况，切实做到经济利益与社会效益的有效结合。</w:t>
      </w:r>
    </w:p>
    <w:p>
      <w:pPr>
        <w:pStyle w:val="BodyText"/>
        <w:spacing w:line="316" w:lineRule="auto" w:before="19"/>
        <w:ind w:left="1494" w:right="5892" w:firstLine="360"/>
        <w:jc w:val="left"/>
      </w:pPr>
      <w:r>
        <w:rPr/>
        <w:t>公司的社会责任履行情况主要体现在以下九个方面： 一、公司战略方面</w:t>
      </w:r>
    </w:p>
    <w:p>
      <w:pPr>
        <w:pStyle w:val="BodyText"/>
        <w:spacing w:line="316" w:lineRule="auto" w:before="19"/>
        <w:ind w:left="1134" w:right="1050" w:firstLine="360"/>
        <w:jc w:val="both"/>
      </w:pPr>
      <w:r>
        <w:rPr/>
        <w:t>公司秉持关爱员工、回报股东、回馈社会的责任理念，坚持把发展作为核心任务，以诚信合规经营为原则，完善管理， 携手合作伙伴深耕市场，创造共赢的绿色经济效益。</w:t>
      </w:r>
    </w:p>
    <w:p>
      <w:pPr>
        <w:pStyle w:val="BodyText"/>
        <w:spacing w:line="316" w:lineRule="auto" w:before="19"/>
        <w:ind w:left="1494" w:right="994"/>
        <w:jc w:val="left"/>
      </w:pPr>
      <w:r>
        <w:rPr/>
        <w:t>二、员工保护方面 </w:t>
      </w:r>
      <w:r>
        <w:rPr>
          <w:spacing w:val="-2"/>
        </w:rPr>
        <w:t>按国家法律法规与员工签订合同，定期支付报酬，福利及社保，员工加班有补助及调休，并每月提供带薪休假半天。定</w:t>
      </w:r>
    </w:p>
    <w:p>
      <w:pPr>
        <w:pStyle w:val="BodyText"/>
        <w:spacing w:line="316" w:lineRule="auto" w:before="19"/>
        <w:ind w:right="994"/>
        <w:jc w:val="left"/>
      </w:pPr>
      <w:r>
        <w:rPr>
          <w:spacing w:val="-2"/>
        </w:rPr>
        <w:t>期组织培训及文化活动，为员工提供舒适的工作环境。制定大病帮扶政策，帮助患病员工及家属度过难关，每年公司大病帮</w:t>
      </w:r>
      <w:r>
        <w:rPr>
          <w:spacing w:val="-66"/>
        </w:rPr>
        <w:t> </w:t>
      </w:r>
      <w:r>
        <w:rPr>
          <w:spacing w:val="-66"/>
        </w:rPr>
      </w:r>
      <w:r>
        <w:rPr>
          <w:spacing w:val="-4"/>
        </w:rPr>
        <w:t>扶费用约</w:t>
      </w:r>
      <w:r>
        <w:rPr>
          <w:rFonts w:ascii="宋体" w:hAnsi="宋体" w:cs="宋体" w:eastAsia="宋体" w:hint="default"/>
          <w:spacing w:val="-4"/>
        </w:rPr>
        <w:t>10</w:t>
      </w:r>
      <w:r>
        <w:rPr>
          <w:spacing w:val="-4"/>
        </w:rPr>
        <w:t>多万元。提供多方位员工福利，包括免费的营养早餐、加班零食、地铁到公司接驳巴士、公共区放置血压仪测量、</w:t>
      </w:r>
      <w:r>
        <w:rPr>
          <w:spacing w:val="-40"/>
        </w:rPr>
        <w:t> </w:t>
      </w:r>
      <w:r>
        <w:rPr>
          <w:spacing w:val="-40"/>
        </w:rPr>
      </w:r>
      <w:r>
        <w:rPr/>
        <w:t>加班晚至</w:t>
      </w:r>
      <w:r>
        <w:rPr>
          <w:rFonts w:ascii="宋体" w:hAnsi="宋体" w:cs="宋体" w:eastAsia="宋体" w:hint="default"/>
        </w:rPr>
        <w:t>9</w:t>
      </w:r>
      <w:r>
        <w:rPr/>
        <w:t>点后报销回家的士费、过节礼品、定期免费体检等额外福利。针对妇女生理特点和劳动条件对妇女肌体健康的特</w:t>
      </w:r>
      <w:r>
        <w:rPr>
          <w:spacing w:val="-83"/>
        </w:rPr>
        <w:t> </w:t>
      </w:r>
      <w:r>
        <w:rPr>
          <w:spacing w:val="-83"/>
        </w:rPr>
      </w:r>
      <w:r>
        <w:rPr>
          <w:spacing w:val="-2"/>
        </w:rPr>
        <w:t>殊影响而实行特殊劳动保护，尊重女工工作时的特殊要求，做好“四期”（经期、孕期、产期和哺乳期）防护。女性的四期</w:t>
      </w:r>
      <w:r>
        <w:rPr>
          <w:spacing w:val="-72"/>
        </w:rPr>
        <w:t> </w:t>
      </w:r>
      <w:r>
        <w:rPr>
          <w:spacing w:val="-72"/>
        </w:rPr>
      </w:r>
      <w:r>
        <w:rPr/>
        <w:t>都按劳动法规定进行。</w:t>
      </w:r>
    </w:p>
    <w:p>
      <w:pPr>
        <w:pStyle w:val="BodyText"/>
        <w:spacing w:line="316" w:lineRule="auto" w:before="19"/>
        <w:ind w:left="1494" w:right="994"/>
        <w:jc w:val="left"/>
      </w:pPr>
      <w:r>
        <w:rPr/>
        <w:t>员工满意度，充分考虑员工的心理需要，每年进行行政服务满意度调查，听取意见，持续改进。 </w:t>
      </w:r>
      <w:r>
        <w:rPr>
          <w:spacing w:val="-2"/>
        </w:rPr>
        <w:t>公司成立工会委员会，设立工会法人代表，并设立组织委员、财务委员、经费审查委员、女工委员、生产委员、宣传委</w:t>
      </w:r>
    </w:p>
    <w:p>
      <w:pPr>
        <w:pStyle w:val="BodyText"/>
        <w:spacing w:line="316" w:lineRule="auto" w:before="19"/>
        <w:ind w:left="1494" w:right="994" w:hanging="360"/>
        <w:jc w:val="left"/>
      </w:pPr>
      <w:r>
        <w:rPr/>
        <w:t>员等工会委员，以此维护劳动者的合法权益，组织会员参加企业管理，保障会员当家作主的民主权利。 </w:t>
      </w:r>
      <w:r>
        <w:rPr>
          <w:spacing w:val="-2"/>
        </w:rPr>
        <w:t>知识产权保护，公司重视知识产权的保护，对于本公司的知识产权成果都申请了相应的知识产权证书。同时，公司注重</w:t>
      </w:r>
    </w:p>
    <w:p>
      <w:pPr>
        <w:pStyle w:val="BodyText"/>
        <w:spacing w:line="316" w:lineRule="auto" w:before="19"/>
        <w:ind w:left="1134" w:right="1132"/>
        <w:jc w:val="both"/>
      </w:pPr>
      <w:r>
        <w:rPr>
          <w:spacing w:val="-2"/>
        </w:rPr>
        <w:t>知识产权文件的管理，建立了相应的文件管理制度及分类规范。另会适时对公司相关人员进行有关知识产权的培训，加强知</w:t>
      </w:r>
      <w:r>
        <w:rPr>
          <w:spacing w:val="-66"/>
        </w:rPr>
        <w:t> </w:t>
      </w:r>
      <w:r>
        <w:rPr>
          <w:spacing w:val="-66"/>
        </w:rPr>
      </w:r>
      <w:r>
        <w:rPr>
          <w:spacing w:val="-2"/>
        </w:rPr>
        <w:t>识产权方面的认识。对于本单位员工执行本单位工作任务或利用单位名义、利用单位物质条件和未公开的技术情报资料完成</w:t>
      </w:r>
      <w:r>
        <w:rPr>
          <w:spacing w:val="-64"/>
        </w:rPr>
        <w:t> </w:t>
      </w:r>
      <w:r>
        <w:rPr>
          <w:spacing w:val="-64"/>
        </w:rPr>
      </w:r>
      <w:r>
        <w:rPr/>
        <w:t>的智力劳动成果而产生的知识产权，所有权归本单位所有，包括专利权、商标权、软件著作权等知识产权。</w:t>
      </w:r>
    </w:p>
    <w:p>
      <w:pPr>
        <w:pStyle w:val="BodyText"/>
        <w:spacing w:line="240" w:lineRule="auto" w:before="19"/>
        <w:ind w:left="1494" w:right="994"/>
        <w:jc w:val="left"/>
      </w:pPr>
      <w:r>
        <w:rPr/>
        <w:t>三、安全生产方面</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1133" w:firstLine="360"/>
        <w:jc w:val="both"/>
      </w:pPr>
      <w:r>
        <w:rPr>
          <w:spacing w:val="-2"/>
        </w:rPr>
        <w:t>公司定期学习相关法律，盘点制度防止纠纷隐患。建立劳动关系制度，并聘请专业咨询公司为公司职业发展通道任职资</w:t>
      </w:r>
      <w:r>
        <w:rPr/>
        <w:t> </w:t>
      </w:r>
      <w:r>
        <w:rPr>
          <w:spacing w:val="-2"/>
        </w:rPr>
        <w:t>格方面提供咨询意见，形成制度，全员下发。公司为打破各部门壁垒，树立各部门互为客户的意识，年底新国都进行内部客</w:t>
      </w:r>
      <w:r>
        <w:rPr>
          <w:spacing w:val="-66"/>
        </w:rPr>
        <w:t> </w:t>
      </w:r>
      <w:r>
        <w:rPr>
          <w:spacing w:val="-66"/>
        </w:rPr>
      </w:r>
      <w:r>
        <w:rPr/>
        <w:t>户服务满意度调查，并将调查结果作为</w:t>
      </w:r>
      <w:r>
        <w:rPr>
          <w:rFonts w:ascii="宋体" w:hAnsi="宋体" w:cs="宋体" w:eastAsia="宋体" w:hint="default"/>
        </w:rPr>
        <w:t>KPI</w:t>
      </w:r>
      <w:r>
        <w:rPr/>
        <w:t>考核的指标，形成部门间的良好合作意识。</w:t>
      </w:r>
    </w:p>
    <w:p>
      <w:pPr>
        <w:pStyle w:val="BodyText"/>
        <w:spacing w:line="319" w:lineRule="auto" w:before="19"/>
        <w:ind w:left="1134" w:right="1130" w:firstLine="360"/>
        <w:jc w:val="both"/>
      </w:pPr>
      <w:r>
        <w:rPr/>
        <w:t>公司获得</w:t>
      </w:r>
      <w:r>
        <w:rPr>
          <w:rFonts w:ascii="宋体" w:hAnsi="宋体" w:cs="宋体" w:eastAsia="宋体" w:hint="default"/>
        </w:rPr>
        <w:t>OHSAS18001</w:t>
      </w:r>
      <w:r>
        <w:rPr/>
        <w:t>职业健康安全管理体系认证及</w:t>
      </w:r>
      <w:r>
        <w:rPr>
          <w:rFonts w:ascii="宋体" w:hAnsi="宋体" w:cs="宋体" w:eastAsia="宋体" w:hint="default"/>
        </w:rPr>
        <w:t>ISO</w:t>
      </w:r>
      <w:r>
        <w:rPr>
          <w:rFonts w:ascii="宋体" w:hAnsi="宋体" w:cs="宋体" w:eastAsia="宋体" w:hint="default"/>
          <w:spacing w:val="-41"/>
        </w:rPr>
        <w:t> </w:t>
      </w:r>
      <w:r>
        <w:rPr>
          <w:rFonts w:ascii="宋体" w:hAnsi="宋体" w:cs="宋体" w:eastAsia="宋体" w:hint="default"/>
        </w:rPr>
        <w:t>14001</w:t>
      </w:r>
      <w:r>
        <w:rPr/>
        <w:t>环境管理体系认证。并严格按</w:t>
      </w:r>
      <w:r>
        <w:rPr>
          <w:rFonts w:ascii="宋体" w:hAnsi="宋体" w:cs="宋体" w:eastAsia="宋体" w:hint="default"/>
        </w:rPr>
        <w:t>ISO</w:t>
      </w:r>
      <w:r>
        <w:rPr>
          <w:rFonts w:ascii="宋体" w:hAnsi="宋体" w:cs="宋体" w:eastAsia="宋体" w:hint="default"/>
          <w:spacing w:val="-41"/>
        </w:rPr>
        <w:t> </w:t>
      </w:r>
      <w:r>
        <w:rPr>
          <w:rFonts w:ascii="宋体" w:hAnsi="宋体" w:cs="宋体" w:eastAsia="宋体" w:hint="default"/>
        </w:rPr>
        <w:t>14001</w:t>
      </w:r>
      <w:r>
        <w:rPr/>
        <w:t>标准识别相关法规 进行对应环保投入。</w:t>
      </w:r>
    </w:p>
    <w:p>
      <w:pPr>
        <w:pStyle w:val="BodyText"/>
        <w:spacing w:line="316" w:lineRule="auto" w:before="17"/>
        <w:ind w:left="1134" w:right="1032" w:firstLine="360"/>
        <w:jc w:val="left"/>
      </w:pPr>
      <w:r>
        <w:rPr/>
        <w:t>公司办公区域按照法律法规和其他相关要求配备了相应的消防设施（包括灭火器、消防栓、喷淋系统、自动报警系统、 </w:t>
      </w:r>
      <w:r>
        <w:rPr>
          <w:spacing w:val="-2"/>
        </w:rPr>
        <w:t>应急照明灯、紧急疏散标志等），并定期进行点检。公司制定了综合应急预案，每年定期举办消防演习，强化公司全体员工</w:t>
      </w:r>
      <w:r>
        <w:rPr>
          <w:spacing w:val="-68"/>
        </w:rPr>
        <w:t> </w:t>
      </w:r>
      <w:r>
        <w:rPr>
          <w:spacing w:val="-68"/>
        </w:rPr>
      </w:r>
      <w:r>
        <w:rPr>
          <w:spacing w:val="-2"/>
        </w:rPr>
        <w:t>的消防安全意识﹐检验各应急小组的处置突发事件能力。公司内部的消防安全为社区的平安建设提供基础保障，后续将更积</w:t>
      </w:r>
      <w:r>
        <w:rPr>
          <w:spacing w:val="-64"/>
        </w:rPr>
        <w:t> </w:t>
      </w:r>
      <w:r>
        <w:rPr>
          <w:spacing w:val="-64"/>
        </w:rPr>
      </w:r>
      <w:r>
        <w:rPr/>
        <w:t>极地参与社区的平安建设。</w:t>
      </w:r>
    </w:p>
    <w:p>
      <w:pPr>
        <w:pStyle w:val="BodyText"/>
        <w:spacing w:line="316" w:lineRule="auto" w:before="19"/>
        <w:ind w:left="1494" w:right="1122"/>
        <w:jc w:val="left"/>
      </w:pPr>
      <w:r>
        <w:rPr/>
        <w:t>四、供应链合作方面 公司作为一家国际级高新技术企业，除了为客户提供安全、便捷、高效的</w:t>
      </w:r>
      <w:r>
        <w:rPr>
          <w:rFonts w:ascii="宋体" w:hAnsi="宋体" w:cs="宋体" w:eastAsia="宋体" w:hint="default"/>
        </w:rPr>
        <w:t>pos</w:t>
      </w:r>
      <w:r>
        <w:rPr/>
        <w:t>设备外，还掌握着先进的、专利性的支付</w:t>
      </w:r>
    </w:p>
    <w:p>
      <w:pPr>
        <w:pStyle w:val="BodyText"/>
        <w:spacing w:line="316" w:lineRule="auto" w:before="19"/>
        <w:ind w:left="1134" w:right="994"/>
        <w:jc w:val="left"/>
      </w:pPr>
      <w:r>
        <w:rPr>
          <w:spacing w:val="-2"/>
        </w:rPr>
        <w:t>技术、平台技术和系统能力，在整合内部资源的基础上，为上下游产业链的合作企业提供技术支持及应用开发等，与合作企</w:t>
      </w:r>
      <w:r>
        <w:rPr>
          <w:spacing w:val="-65"/>
        </w:rPr>
        <w:t> </w:t>
      </w:r>
      <w:r>
        <w:rPr>
          <w:spacing w:val="-65"/>
        </w:rPr>
      </w:r>
      <w:r>
        <w:rPr/>
        <w:t>业探讨新的合作模式，共享利润。</w:t>
      </w:r>
    </w:p>
    <w:p>
      <w:pPr>
        <w:pStyle w:val="BodyText"/>
        <w:spacing w:line="316" w:lineRule="auto" w:before="19"/>
        <w:ind w:left="1134" w:right="1043" w:firstLine="360"/>
        <w:jc w:val="both"/>
      </w:pPr>
      <w:r>
        <w:rPr>
          <w:spacing w:val="-4"/>
        </w:rPr>
        <w:t>在供应商选择时，优先考虑本地供应商，为当地创造更多的就业机会，并积极扶持供应商提升技术能力，帮助企业发展，</w:t>
      </w:r>
      <w:r>
        <w:rPr/>
        <w:t> 与公司实现协同。</w:t>
      </w:r>
    </w:p>
    <w:p>
      <w:pPr>
        <w:pStyle w:val="BodyText"/>
        <w:spacing w:line="316" w:lineRule="auto" w:before="19"/>
        <w:ind w:right="1132" w:firstLine="360"/>
        <w:jc w:val="both"/>
      </w:pPr>
      <w:r>
        <w:rPr>
          <w:spacing w:val="-2"/>
        </w:rPr>
        <w:t>建立廉洁约束制度，采购人员均签署“采购人员职业操守保证书”，并在各种会谈中向供应商宣导防腐精神，打消供应</w:t>
      </w:r>
      <w:r>
        <w:rPr/>
        <w:t> 商的顾虑。关注供应链相关方的社会责任履行，并在供应商的选择考核时加入考核项，收集供应商的环境相关方协议。</w:t>
      </w:r>
    </w:p>
    <w:p>
      <w:pPr>
        <w:pStyle w:val="BodyText"/>
        <w:spacing w:line="316" w:lineRule="auto" w:before="19"/>
        <w:ind w:left="1493" w:right="2023"/>
        <w:jc w:val="left"/>
      </w:pPr>
      <w:r>
        <w:rPr/>
        <w:t>五、消费者保护方面 </w:t>
      </w:r>
      <w:r>
        <w:rPr>
          <w:rFonts w:ascii="宋体" w:hAnsi="宋体" w:cs="宋体" w:eastAsia="宋体" w:hint="default"/>
        </w:rPr>
        <w:t>1).</w:t>
      </w:r>
      <w:r>
        <w:rPr/>
        <w:t>合同清晰：公司设立法务部，专司合同审核及销售合同制定，在产品销售合同中明确写明责任与义务。</w:t>
      </w:r>
    </w:p>
    <w:p>
      <w:pPr>
        <w:pStyle w:val="BodyText"/>
        <w:spacing w:line="240" w:lineRule="auto" w:before="19"/>
        <w:ind w:left="1493" w:right="994"/>
        <w:jc w:val="left"/>
      </w:pPr>
      <w:r>
        <w:rPr>
          <w:rFonts w:ascii="宋体" w:hAnsi="宋体" w:cs="宋体" w:eastAsia="宋体" w:hint="default"/>
        </w:rPr>
        <w:t>2).</w:t>
      </w:r>
      <w:r>
        <w:rPr/>
        <w:t>真实宣传：广告宣传、产品说明秉承“诚信”原则，不存在虚假、夸大宣传。</w:t>
      </w:r>
    </w:p>
    <w:p>
      <w:pPr>
        <w:pStyle w:val="BodyText"/>
        <w:spacing w:line="240" w:lineRule="auto" w:before="76"/>
        <w:ind w:left="1493" w:right="994"/>
        <w:jc w:val="left"/>
      </w:pPr>
      <w:r>
        <w:rPr>
          <w:rFonts w:ascii="宋体" w:hAnsi="宋体" w:cs="宋体" w:eastAsia="宋体" w:hint="default"/>
        </w:rPr>
        <w:t>3).</w:t>
      </w:r>
      <w:r>
        <w:rPr/>
        <w:t>售后服务：公司设立</w:t>
      </w:r>
      <w:r>
        <w:rPr>
          <w:rFonts w:ascii="宋体" w:hAnsi="宋体" w:cs="宋体" w:eastAsia="宋体" w:hint="default"/>
        </w:rPr>
        <w:t>24</w:t>
      </w:r>
      <w:r>
        <w:rPr/>
        <w:t>小时全国售后服务热线，针对全部售出产品的任何问题提供解答解决服务。</w:t>
      </w:r>
    </w:p>
    <w:p>
      <w:pPr>
        <w:pStyle w:val="BodyText"/>
        <w:spacing w:line="319" w:lineRule="auto" w:before="76"/>
        <w:ind w:right="1041" w:firstLine="360"/>
        <w:jc w:val="both"/>
      </w:pPr>
      <w:r>
        <w:rPr>
          <w:rFonts w:ascii="宋体" w:hAnsi="宋体" w:cs="宋体" w:eastAsia="宋体" w:hint="default"/>
          <w:spacing w:val="-2"/>
        </w:rPr>
        <w:t>4).</w:t>
      </w:r>
      <w:r>
        <w:rPr>
          <w:spacing w:val="-2"/>
        </w:rPr>
        <w:t>消费者保护：建立系列质量管理体系程序要求并严格执行，确保从选材到售后各环节都充分考虑消费者健康和安全；</w:t>
      </w:r>
      <w:r>
        <w:rPr/>
        <w:t> 同时所有产品在研发和更改时及时提交各类安全认证，确保符合相关安全法规要求。</w:t>
      </w:r>
    </w:p>
    <w:p>
      <w:pPr>
        <w:pStyle w:val="BodyText"/>
        <w:spacing w:line="240" w:lineRule="auto" w:before="17"/>
        <w:ind w:left="1493" w:right="994"/>
        <w:jc w:val="left"/>
      </w:pPr>
      <w:r>
        <w:rPr>
          <w:rFonts w:ascii="宋体" w:hAnsi="宋体" w:cs="宋体" w:eastAsia="宋体" w:hint="default"/>
        </w:rPr>
        <w:t>5).</w:t>
      </w:r>
      <w:r>
        <w:rPr/>
        <w:t>客户调查：每年进行客户满意度调查，官网公开售后服务热线及各办事处联络电话以及投资者热线。</w:t>
      </w:r>
    </w:p>
    <w:p>
      <w:pPr>
        <w:pStyle w:val="BodyText"/>
        <w:spacing w:line="316" w:lineRule="auto" w:before="76"/>
        <w:ind w:left="1134" w:right="1130" w:firstLine="360"/>
        <w:jc w:val="both"/>
      </w:pPr>
      <w:r>
        <w:rPr>
          <w:rFonts w:ascii="宋体" w:hAnsi="宋体" w:cs="宋体" w:eastAsia="宋体" w:hint="default"/>
        </w:rPr>
        <w:t>6).</w:t>
      </w:r>
      <w:r>
        <w:rPr/>
        <w:t>信息保密：我司</w:t>
      </w:r>
      <w:r>
        <w:rPr>
          <w:rFonts w:ascii="宋体" w:hAnsi="宋体" w:cs="宋体" w:eastAsia="宋体" w:hint="default"/>
        </w:rPr>
        <w:t>POS</w:t>
      </w:r>
      <w:r>
        <w:rPr/>
        <w:t>机具主要用于商户，由商户自行保管和使用，</w:t>
      </w:r>
      <w:r>
        <w:rPr>
          <w:rFonts w:ascii="宋体" w:hAnsi="宋体" w:cs="宋体" w:eastAsia="宋体" w:hint="default"/>
        </w:rPr>
        <w:t>POS</w:t>
      </w:r>
      <w:r>
        <w:rPr/>
        <w:t>机具只会保存未结算的交易信息，机具更换和 报废时，都需要结算处理，在报废时更需要承诺采购方清除一切数据信息。</w:t>
      </w:r>
    </w:p>
    <w:p>
      <w:pPr>
        <w:pStyle w:val="BodyText"/>
        <w:spacing w:line="316" w:lineRule="auto" w:before="19"/>
        <w:ind w:left="1494" w:right="994"/>
        <w:jc w:val="left"/>
      </w:pPr>
      <w:r>
        <w:rPr/>
        <w:t>六、环境保护方面 </w:t>
      </w:r>
      <w:r>
        <w:rPr>
          <w:spacing w:val="-2"/>
        </w:rPr>
        <w:t>自愿削减污染物排放量，并持续改进环境绩效；自愿减少其他可识别的污染形式（包括但不仅限于噪声、气味、视觉效</w:t>
      </w:r>
    </w:p>
    <w:p>
      <w:pPr>
        <w:pStyle w:val="BodyText"/>
        <w:spacing w:line="316" w:lineRule="auto" w:before="19"/>
        <w:ind w:left="1134" w:right="994"/>
        <w:jc w:val="left"/>
      </w:pPr>
      <w:r>
        <w:rPr>
          <w:spacing w:val="-2"/>
        </w:rPr>
        <w:t>果、光污染、震动、电磁辐射、放射物、传染性物质、非点源排放或无组织排放，以及生物危害等）。建立以下程序并严格</w:t>
      </w:r>
      <w:r>
        <w:rPr>
          <w:spacing w:val="-69"/>
        </w:rPr>
        <w:t> </w:t>
      </w:r>
      <w:r>
        <w:rPr>
          <w:spacing w:val="-69"/>
        </w:rPr>
      </w:r>
      <w:r>
        <w:rPr/>
        <w:t>执行：废弃物管理程序、环境和安全监视测量控制程序、应急准备和响应控制程序。</w:t>
      </w:r>
    </w:p>
    <w:p>
      <w:pPr>
        <w:pStyle w:val="BodyText"/>
        <w:spacing w:line="316" w:lineRule="auto" w:before="19"/>
        <w:ind w:left="1134" w:right="1133" w:firstLine="360"/>
        <w:jc w:val="both"/>
      </w:pPr>
      <w:r>
        <w:rPr>
          <w:spacing w:val="-2"/>
        </w:rPr>
        <w:t>主动采用新材料、新工艺等技术手段，实现有效管理并最大程度减少或预防危险化学品的使用，产品或服务在全生命周</w:t>
      </w:r>
      <w:r>
        <w:rPr/>
        <w:t> </w:t>
      </w:r>
      <w:r>
        <w:rPr>
          <w:spacing w:val="-2"/>
        </w:rPr>
        <w:t>期中的使用控制在安全水平范围内，并主动环保进行产品清洁生产设计。建立以下程序并严格执行：化学品及危险品管理程</w:t>
      </w:r>
      <w:r>
        <w:rPr>
          <w:spacing w:val="-66"/>
        </w:rPr>
        <w:t> </w:t>
      </w:r>
      <w:r>
        <w:rPr>
          <w:spacing w:val="-66"/>
        </w:rPr>
      </w:r>
      <w:r>
        <w:rPr/>
        <w:t>序。</w:t>
      </w:r>
    </w:p>
    <w:p>
      <w:pPr>
        <w:pStyle w:val="BodyText"/>
        <w:spacing w:line="316" w:lineRule="auto" w:before="19"/>
        <w:ind w:left="1134" w:right="1133" w:firstLine="360"/>
        <w:jc w:val="both"/>
      </w:pPr>
      <w:r>
        <w:rPr>
          <w:spacing w:val="-2"/>
        </w:rPr>
        <w:t>建立及实施识别、测量、监控、记录和报告各种能源购买、使用、存储、处理、回收的管理制度，提高能源利用率。节</w:t>
      </w:r>
      <w:r>
        <w:rPr/>
        <w:t> 约水、电、纸张等并作为环境管理方案进行检测和管理。</w:t>
      </w:r>
    </w:p>
    <w:p>
      <w:pPr>
        <w:pStyle w:val="BodyText"/>
        <w:spacing w:line="316" w:lineRule="auto" w:before="19"/>
        <w:ind w:left="1134" w:right="1133" w:firstLine="360"/>
        <w:jc w:val="both"/>
      </w:pPr>
      <w:r>
        <w:rPr>
          <w:spacing w:val="-2"/>
        </w:rPr>
        <w:t>建立及实施识别、测量、监控、记录和报告各种资源的开发、利用、储存、处理、回收或回用的管理制度，并取得公认</w:t>
      </w:r>
      <w:r>
        <w:rPr/>
        <w:t> 的相关管理体系或标识的认证证书。公司生产的所有产品均通过</w:t>
      </w:r>
      <w:r>
        <w:rPr>
          <w:rFonts w:ascii="宋体" w:hAnsi="宋体" w:cs="宋体" w:eastAsia="宋体" w:hint="default"/>
        </w:rPr>
        <w:t>ROHS</w:t>
      </w:r>
      <w:r>
        <w:rPr/>
        <w:t>检测要求。</w:t>
      </w:r>
    </w:p>
    <w:p>
      <w:pPr>
        <w:pStyle w:val="BodyText"/>
        <w:spacing w:line="316" w:lineRule="auto" w:before="19"/>
        <w:ind w:right="1131" w:firstLine="360"/>
        <w:jc w:val="both"/>
      </w:pPr>
      <w:r>
        <w:rPr>
          <w:spacing w:val="-2"/>
        </w:rPr>
        <w:t>建立温室气体排放管理制度，通过提高能源使用效率，更改工艺、替换燃料等措施降低温室气体排放量。每年设定指标</w:t>
      </w:r>
      <w:r>
        <w:rPr/>
        <w:t> 并实施：降低每单位产品水电消耗。</w:t>
      </w:r>
    </w:p>
    <w:p>
      <w:pPr>
        <w:pStyle w:val="BodyText"/>
        <w:spacing w:line="319" w:lineRule="auto" w:before="19"/>
        <w:ind w:left="1494" w:right="994"/>
        <w:jc w:val="left"/>
      </w:pPr>
      <w:r>
        <w:rPr/>
        <w:t>七、媒体互动方面 </w:t>
      </w:r>
      <w:r>
        <w:rPr>
          <w:spacing w:val="-2"/>
        </w:rPr>
        <w:t>公司本着坦诚、合作、专业的思维努力构建良好的媒体关系，通过舆情管理耐心倾听市场及社会各方诉求，与媒体友好</w:t>
      </w:r>
    </w:p>
    <w:p>
      <w:pPr>
        <w:pStyle w:val="BodyText"/>
        <w:spacing w:line="316" w:lineRule="auto" w:before="17"/>
        <w:ind w:left="1493" w:right="994" w:hanging="360"/>
        <w:jc w:val="left"/>
      </w:pPr>
      <w:r>
        <w:rPr/>
        <w:t>沟通，以开放的态度邀请媒体走进企业，了解企业，向外界传达新国都的企业形象。 </w:t>
      </w:r>
      <w:r>
        <w:rPr>
          <w:spacing w:val="-4"/>
        </w:rPr>
        <w:t>公司已全面建立《投资者关系管理制度》、《信息披露制度》等内控制度，同时公司作为上市公司，严格按照上市指引，</w:t>
      </w:r>
    </w:p>
    <w:p>
      <w:pPr>
        <w:pStyle w:val="BodyText"/>
        <w:spacing w:line="240" w:lineRule="auto" w:before="19"/>
        <w:ind w:right="994"/>
        <w:jc w:val="left"/>
      </w:pPr>
      <w:r>
        <w:rPr/>
        <w:t>定期发布公司季度报告、半年度报告、年度报告。此外针对公司在日常运作中出现的需披露或者对公司有较大影响的事件，</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left="1493" w:right="994" w:hanging="360"/>
        <w:jc w:val="left"/>
      </w:pPr>
      <w:r>
        <w:rPr/>
        <w:t>公司积极履行信息披露义务通过指定渠道向社会公众公布。 </w:t>
      </w:r>
      <w:r>
        <w:rPr>
          <w:spacing w:val="-2"/>
        </w:rPr>
        <w:t>公司为行业内上市公司，严格按照上市指引进行信息披露，针对会对公司产生重大影响的商业信息，公司履行及时披露</w:t>
      </w:r>
    </w:p>
    <w:p>
      <w:pPr>
        <w:pStyle w:val="BodyText"/>
        <w:spacing w:line="316" w:lineRule="auto" w:before="19"/>
        <w:ind w:right="994"/>
        <w:jc w:val="left"/>
      </w:pPr>
      <w:r>
        <w:rPr>
          <w:spacing w:val="-2"/>
        </w:rPr>
        <w:t>原则，在获取信息的第一时间进行披露，涉及国家安全等机密信息除外。针对行业内需要保密的机密信息，或者与公司本身</w:t>
      </w:r>
      <w:r>
        <w:rPr>
          <w:spacing w:val="-66"/>
        </w:rPr>
        <w:t> </w:t>
      </w:r>
      <w:r>
        <w:rPr>
          <w:spacing w:val="-66"/>
        </w:rPr>
      </w:r>
      <w:r>
        <w:rPr/>
        <w:t>并无太大关系，公司履行保密原则。</w:t>
      </w:r>
    </w:p>
    <w:p>
      <w:pPr>
        <w:pStyle w:val="BodyText"/>
        <w:spacing w:line="316" w:lineRule="auto" w:before="19"/>
        <w:ind w:left="1493" w:right="994"/>
        <w:jc w:val="left"/>
      </w:pPr>
      <w:r>
        <w:rPr/>
        <w:t>八、政府沟通方面 </w:t>
      </w:r>
      <w:r>
        <w:rPr>
          <w:spacing w:val="-2"/>
        </w:rPr>
        <w:t>公司一直秉持友好政策，积极履行政府倡导，合规经营企业，不逃税不漏税，为政府财政收入增添力量。同时，公司每</w:t>
      </w:r>
    </w:p>
    <w:p>
      <w:pPr>
        <w:pStyle w:val="BodyText"/>
        <w:spacing w:line="316" w:lineRule="auto" w:before="19"/>
        <w:ind w:right="1130"/>
        <w:jc w:val="both"/>
      </w:pPr>
      <w:r>
        <w:rPr>
          <w:spacing w:val="-2"/>
        </w:rPr>
        <w:t>年都会为南下深圳的应届毕业生安排大量岗位以及各种培训实现人才的软着陆，为缓解社会就业压力和保障社会稳定发挥了</w:t>
      </w:r>
      <w:r>
        <w:rPr>
          <w:spacing w:val="-64"/>
        </w:rPr>
        <w:t> </w:t>
      </w:r>
      <w:r>
        <w:rPr>
          <w:spacing w:val="-64"/>
        </w:rPr>
      </w:r>
      <w:r>
        <w:rPr>
          <w:spacing w:val="-2"/>
        </w:rPr>
        <w:t>积极作用。遵守法则，做政府倡导的事，与政府友好沟通和互动，以认真履行社会责任为已任，做尽职的企业公民，为企业</w:t>
      </w:r>
      <w:r>
        <w:rPr>
          <w:spacing w:val="-68"/>
        </w:rPr>
        <w:t> </w:t>
      </w:r>
      <w:r>
        <w:rPr>
          <w:spacing w:val="-68"/>
        </w:rPr>
      </w:r>
      <w:r>
        <w:rPr/>
        <w:t>与社会和谐发展做贡献，为企业营造良好的政府关系环境。</w:t>
      </w:r>
    </w:p>
    <w:p>
      <w:pPr>
        <w:pStyle w:val="BodyText"/>
        <w:spacing w:line="316" w:lineRule="auto" w:before="19"/>
        <w:ind w:left="1493" w:right="1573"/>
        <w:jc w:val="left"/>
      </w:pPr>
      <w:r>
        <w:rPr/>
        <w:t>九、公益贡献方面 公司通过组织员工献血、爱心捐赠、大病帮扶、慈善助学等多种形式为社会公益贡献力量，向社会传达正能量。 公司董事长定期帮扶困难学生。</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5"/>
        <w:ind w:right="994"/>
        <w:jc w:val="left"/>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94"/>
        <w:jc w:val="left"/>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5"/>
        <w:spacing w:line="240" w:lineRule="auto"/>
        <w:ind w:right="994"/>
        <w:jc w:val="left"/>
        <w:rPr>
          <w:b w:val="0"/>
          <w:bCs w:val="0"/>
        </w:rPr>
      </w:pPr>
      <w:bookmarkStart w:name="3、环境保护相关的情况" w:id="99"/>
      <w:bookmarkEnd w:id="99"/>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5730"/>
        <w:jc w:val="left"/>
      </w:pPr>
      <w:r>
        <w:rPr/>
        <w:t>上市公司及其子公司是否属于环境保护部门公布的重点排污单位 否 公司及公司子公司不属于环境保护部门公布的重点排污单位。</w:t>
      </w:r>
    </w:p>
    <w:p>
      <w:pPr>
        <w:spacing w:line="240" w:lineRule="auto" w:before="5"/>
        <w:rPr>
          <w:rFonts w:ascii="宋体" w:hAnsi="宋体" w:cs="宋体" w:eastAsia="宋体" w:hint="default"/>
          <w:sz w:val="18"/>
          <w:szCs w:val="18"/>
        </w:rPr>
      </w:pPr>
    </w:p>
    <w:p>
      <w:pPr>
        <w:pStyle w:val="Heading4"/>
        <w:spacing w:line="240" w:lineRule="auto"/>
        <w:ind w:left="1134" w:right="994"/>
        <w:jc w:val="left"/>
        <w:rPr>
          <w:b w:val="0"/>
          <w:bCs w:val="0"/>
        </w:rPr>
      </w:pPr>
      <w:bookmarkStart w:name="十八、其他重大事项的说明" w:id="100"/>
      <w:bookmarkEnd w:id="100"/>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4"/>
        <w:spacing w:line="240" w:lineRule="auto"/>
        <w:ind w:right="994"/>
        <w:jc w:val="left"/>
        <w:rPr>
          <w:b w:val="0"/>
          <w:bCs w:val="0"/>
        </w:rPr>
      </w:pPr>
      <w:bookmarkStart w:name="十九、公司子公司重大事项" w:id="101"/>
      <w:bookmarkEnd w:id="101"/>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4" w:lineRule="auto" w:before="102"/>
        <w:ind w:right="1130"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日，公司召开第四届董事会第七次会议及第四届监事会第七次会议，审议通过《关于转让深圳嘉石大岩资</w:t>
      </w:r>
      <w:r>
        <w:rPr/>
        <w:t> </w:t>
      </w:r>
      <w:r>
        <w:rPr>
          <w:spacing w:val="-2"/>
        </w:rPr>
        <w:t>本管理有限公司股权的议案》、《关于转让深圳市大拿科技有限公司股权的议案》，公司将持有深圳嘉石大岩资本管理有限</w:t>
      </w:r>
      <w:r>
        <w:rPr>
          <w:spacing w:val="-65"/>
        </w:rPr>
        <w:t> </w:t>
      </w:r>
      <w:r>
        <w:rPr>
          <w:spacing w:val="-65"/>
        </w:rPr>
      </w:r>
      <w:r>
        <w:rPr/>
        <w:t>公司（以下简称</w:t>
      </w:r>
      <w:r>
        <w:rPr>
          <w:rFonts w:ascii="Times New Roman" w:hAnsi="Times New Roman" w:cs="Times New Roman" w:eastAsia="Times New Roman" w:hint="default"/>
        </w:rPr>
        <w:t>“</w:t>
      </w:r>
      <w:r>
        <w:rPr/>
        <w:t>大岩资本</w:t>
      </w:r>
      <w:r>
        <w:rPr>
          <w:rFonts w:ascii="Times New Roman" w:hAnsi="Times New Roman" w:cs="Times New Roman" w:eastAsia="Times New Roman" w:hint="default"/>
        </w:rPr>
        <w:t>”</w:t>
      </w:r>
      <w:r>
        <w:rPr/>
        <w:t>）</w:t>
      </w:r>
      <w:r>
        <w:rPr>
          <w:rFonts w:ascii="Times New Roman" w:hAnsi="Times New Roman" w:cs="Times New Roman" w:eastAsia="Times New Roman" w:hint="default"/>
        </w:rPr>
        <w:t>25%</w:t>
      </w:r>
      <w:r>
        <w:rPr/>
        <w:t>的股权以</w:t>
      </w:r>
      <w:r>
        <w:rPr>
          <w:rFonts w:ascii="Times New Roman" w:hAnsi="Times New Roman" w:cs="Times New Roman" w:eastAsia="Times New Roman" w:hint="default"/>
        </w:rPr>
        <w:t>50,000</w:t>
      </w:r>
      <w:r>
        <w:rPr/>
        <w:t>万元的价格转让给大岩资本控股股东深圳大岩科技有限公司，将持有深圳</w:t>
      </w:r>
      <w:r>
        <w:rPr>
          <w:spacing w:val="-82"/>
        </w:rPr>
        <w:t> </w:t>
      </w:r>
      <w:r>
        <w:rPr>
          <w:spacing w:val="-82"/>
        </w:rPr>
      </w:r>
      <w:r>
        <w:rPr/>
        <w:t>市大拿科技有限公司（以下简称</w:t>
      </w:r>
      <w:r>
        <w:rPr>
          <w:rFonts w:ascii="Times New Roman" w:hAnsi="Times New Roman" w:cs="Times New Roman" w:eastAsia="Times New Roman" w:hint="default"/>
        </w:rPr>
        <w:t>“</w:t>
      </w:r>
      <w:r>
        <w:rPr/>
        <w:t>大拿科技</w:t>
      </w:r>
      <w:r>
        <w:rPr>
          <w:rFonts w:ascii="Times New Roman" w:hAnsi="Times New Roman" w:cs="Times New Roman" w:eastAsia="Times New Roman" w:hint="default"/>
        </w:rPr>
        <w:t>”</w:t>
      </w:r>
      <w:r>
        <w:rPr/>
        <w:t>）</w:t>
      </w:r>
      <w:r>
        <w:rPr>
          <w:rFonts w:ascii="Times New Roman" w:hAnsi="Times New Roman" w:cs="Times New Roman" w:eastAsia="Times New Roman" w:hint="default"/>
        </w:rPr>
        <w:t>30%</w:t>
      </w:r>
      <w:r>
        <w:rPr/>
        <w:t>股权以</w:t>
      </w:r>
      <w:r>
        <w:rPr>
          <w:rFonts w:ascii="Times New Roman" w:hAnsi="Times New Roman" w:cs="Times New Roman" w:eastAsia="Times New Roman" w:hint="default"/>
        </w:rPr>
        <w:t>410</w:t>
      </w:r>
      <w:r>
        <w:rPr/>
        <w:t>万元的价格转让给大拿科技法定代表人余承富。转让完成后，</w:t>
      </w:r>
      <w:r>
        <w:rPr>
          <w:spacing w:val="-44"/>
        </w:rPr>
        <w:t> </w:t>
      </w:r>
      <w:r>
        <w:rPr>
          <w:spacing w:val="-44"/>
        </w:rPr>
      </w:r>
      <w:r>
        <w:rPr>
          <w:spacing w:val="-2"/>
        </w:rPr>
        <w:t>公司不再持有大岩资本及大拿科技的股权。具体详情请查看公司于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日于巨潮资讯网披露的《关于转让深圳嘉石</w:t>
      </w:r>
      <w:r>
        <w:rPr>
          <w:spacing w:val="-56"/>
        </w:rPr>
        <w:t> </w:t>
      </w:r>
      <w:r>
        <w:rPr>
          <w:spacing w:val="-56"/>
        </w:rPr>
      </w:r>
      <w:r>
        <w:rPr>
          <w:spacing w:val="-1"/>
        </w:rPr>
        <w:t>大岩资本管理有限公司股权的公告》（公告编号：</w:t>
      </w:r>
      <w:r>
        <w:rPr>
          <w:rFonts w:ascii="Times New Roman" w:hAnsi="Times New Roman" w:cs="Times New Roman" w:eastAsia="Times New Roman" w:hint="default"/>
          <w:spacing w:val="-1"/>
        </w:rPr>
        <w:t>2017-132</w:t>
      </w:r>
      <w:r>
        <w:rPr>
          <w:spacing w:val="-1"/>
        </w:rPr>
        <w:t>）、《关于转让深圳市大拿科技有限公司股权的公告》（公告编</w:t>
      </w:r>
      <w:r>
        <w:rPr/>
        <w:t> 号：</w:t>
      </w:r>
      <w:r>
        <w:rPr>
          <w:rFonts w:ascii="Times New Roman" w:hAnsi="Times New Roman" w:cs="Times New Roman" w:eastAsia="Times New Roman" w:hint="default"/>
        </w:rPr>
        <w:t>2017-133</w:t>
      </w:r>
      <w:r>
        <w:rPr/>
        <w:t>）。截止至本公告日，以上转让参股子公司事项以已按交易各方协议执行，并已经完成工商变更登记。</w:t>
      </w:r>
    </w:p>
    <w:p>
      <w:pPr>
        <w:pStyle w:val="BodyText"/>
        <w:spacing w:line="300" w:lineRule="auto" w:before="47"/>
        <w:ind w:right="1042"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日，公司召开第四届董事会第八次会议及第四届监事会第七次会议，审议通过《关于收购嘉联支付有限公</w:t>
      </w:r>
      <w:r>
        <w:rPr/>
        <w:t> </w:t>
      </w:r>
      <w:r>
        <w:rPr>
          <w:spacing w:val="-3"/>
        </w:rPr>
        <w:t>司</w:t>
      </w:r>
      <w:r>
        <w:rPr>
          <w:rFonts w:ascii="Times New Roman" w:hAnsi="Times New Roman" w:cs="Times New Roman" w:eastAsia="Times New Roman" w:hint="default"/>
          <w:spacing w:val="-3"/>
        </w:rPr>
        <w:t>100%</w:t>
      </w:r>
      <w:r>
        <w:rPr>
          <w:spacing w:val="-3"/>
        </w:rPr>
        <w:t>股权的议案》，公司以自有资金</w:t>
      </w:r>
      <w:r>
        <w:rPr>
          <w:rFonts w:ascii="Times New Roman" w:hAnsi="Times New Roman" w:cs="Times New Roman" w:eastAsia="Times New Roman" w:hint="default"/>
          <w:spacing w:val="-3"/>
        </w:rPr>
        <w:t>7.1</w:t>
      </w:r>
      <w:r>
        <w:rPr>
          <w:spacing w:val="-3"/>
        </w:rPr>
        <w:t>亿元收购嘉联支付有限公司（以下简称</w:t>
      </w:r>
      <w:r>
        <w:rPr>
          <w:rFonts w:ascii="Times New Roman" w:hAnsi="Times New Roman" w:cs="Times New Roman" w:eastAsia="Times New Roman" w:hint="default"/>
          <w:spacing w:val="-3"/>
        </w:rPr>
        <w:t>“</w:t>
      </w:r>
      <w:r>
        <w:rPr>
          <w:spacing w:val="-3"/>
        </w:rPr>
        <w:t>嘉联支付</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100%</w:t>
      </w:r>
      <w:r>
        <w:rPr>
          <w:spacing w:val="-3"/>
        </w:rPr>
        <w:t>股权，本次收购完成后，</w:t>
      </w:r>
      <w:r>
        <w:rPr>
          <w:spacing w:val="-50"/>
        </w:rPr>
        <w:t> </w:t>
      </w:r>
      <w:r>
        <w:rPr>
          <w:spacing w:val="-50"/>
        </w:rPr>
      </w:r>
      <w:r>
        <w:rPr>
          <w:spacing w:val="-2"/>
        </w:rPr>
        <w:t>嘉联支付将成为公司的全资子公司，具体详情请看公司于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21</w:t>
      </w:r>
      <w:r>
        <w:rPr>
          <w:spacing w:val="-2"/>
        </w:rPr>
        <w:t>日于巨潮资讯网披露的《关于收购嘉联支付有限公司</w:t>
      </w:r>
      <w:r>
        <w:rPr>
          <w:spacing w:val="-56"/>
        </w:rPr>
        <w:t> </w:t>
      </w:r>
      <w:r>
        <w:rPr>
          <w:spacing w:val="-56"/>
        </w:rPr>
      </w:r>
      <w:r>
        <w:rPr>
          <w:rFonts w:ascii="Times New Roman" w:hAnsi="Times New Roman" w:cs="Times New Roman" w:eastAsia="Times New Roman" w:hint="default"/>
        </w:rPr>
        <w:t>100%</w:t>
      </w:r>
      <w:r>
        <w:rPr/>
        <w:t>股权的公告》（公告编号：</w:t>
      </w:r>
      <w:r>
        <w:rPr>
          <w:rFonts w:ascii="Times New Roman" w:hAnsi="Times New Roman" w:cs="Times New Roman" w:eastAsia="Times New Roman" w:hint="default"/>
        </w:rPr>
        <w:t>2017-142</w:t>
      </w:r>
      <w:r>
        <w:rPr/>
        <w:t>）。截止至本公告日，收购嘉联支付事项尚未完成，未对公司</w:t>
      </w:r>
      <w:r>
        <w:rPr>
          <w:rFonts w:ascii="Times New Roman" w:hAnsi="Times New Roman" w:cs="Times New Roman" w:eastAsia="Times New Roman" w:hint="default"/>
        </w:rPr>
        <w:t>2017</w:t>
      </w:r>
      <w:r>
        <w:rPr/>
        <w:t>年年度业绩产</w:t>
      </w:r>
      <w:r>
        <w:rPr>
          <w:spacing w:val="-30"/>
        </w:rPr>
        <w:t> </w:t>
      </w:r>
      <w:r>
        <w:rPr>
          <w:spacing w:val="-30"/>
        </w:rPr>
      </w:r>
      <w:r>
        <w:rPr/>
        <w:t>生影响。</w:t>
      </w:r>
    </w:p>
    <w:p>
      <w:pPr>
        <w:spacing w:after="0" w:line="30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994"/>
        <w:jc w:val="left"/>
        <w:rPr>
          <w:b w:val="0"/>
          <w:bCs w:val="0"/>
        </w:rPr>
      </w:pPr>
      <w:bookmarkStart w:name="第六节 股份变动及股东情况" w:id="102"/>
      <w:bookmarkEnd w:id="102"/>
      <w:r>
        <w:rPr>
          <w:b w:val="0"/>
          <w:bCs w:val="0"/>
        </w:rPr>
      </w:r>
      <w:bookmarkStart w:name="_bookmark4" w:id="103"/>
      <w:bookmarkEnd w:id="103"/>
      <w:r>
        <w:rPr>
          <w:b w:val="0"/>
          <w:bCs w:val="0"/>
        </w:rPr>
      </w:r>
      <w:r>
        <w:rPr/>
        <w:t>第六节</w:t>
      </w:r>
      <w:r>
        <w:rPr>
          <w:spacing w:val="-8"/>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994"/>
        <w:jc w:val="left"/>
        <w:rPr>
          <w:b w:val="0"/>
          <w:bCs w:val="0"/>
        </w:rPr>
      </w:pPr>
      <w:bookmarkStart w:name="一、股份变动情况" w:id="104"/>
      <w:bookmarkEnd w:id="104"/>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94"/>
        <w:jc w:val="left"/>
        <w:rPr>
          <w:b w:val="0"/>
          <w:bCs w:val="0"/>
        </w:rPr>
      </w:pPr>
      <w:bookmarkStart w:name="1、股份变动情况" w:id="105"/>
      <w:bookmarkEnd w:id="105"/>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81,512,29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34.62%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25,666,00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-2,745,75</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22,920,25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104,432,5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39.34%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81,512,29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34.62%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25,666,00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-2,745,75</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22,920,25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104,432,5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39.34%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81,512,29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34.62%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666,000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-2,745,75</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-2,079,75</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79,432,54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29.92%</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153,968,9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65.38%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4,339,420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2,745,750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7,085,170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161,054,1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60.66%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153,968,9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65.38%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4,339,420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2,745,750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7,085,170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161,054,1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60.66%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235,481,2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30,005,42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30,005,42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265,486,7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994"/>
        <w:jc w:val="left"/>
      </w:pPr>
      <w:r>
        <w:rPr/>
        <w:t>股份变动的原因</w:t>
      </w:r>
    </w:p>
    <w:p>
      <w:pPr>
        <w:pStyle w:val="BodyText"/>
        <w:spacing w:line="338" w:lineRule="auto" w:before="117"/>
        <w:ind w:left="1493" w:right="994"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w:t>
      </w:r>
      <w:r>
        <w:rPr>
          <w:rFonts w:ascii="Times New Roman" w:hAnsi="Times New Roman" w:cs="Times New Roman" w:eastAsia="Times New Roman" w:hint="default"/>
        </w:rPr>
        <w:t>2014</w:t>
      </w:r>
      <w:r>
        <w:rPr/>
        <w:t>年股票期权激励计划第二个行权期行权时间为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日，第三个行权期行权时间为</w:t>
      </w:r>
      <w:r>
        <w:rPr>
          <w:rFonts w:ascii="Times New Roman" w:hAnsi="Times New Roman" w:cs="Times New Roman" w:eastAsia="Times New Roman" w:hint="default"/>
        </w:rPr>
        <w:t>2017</w:t>
      </w:r>
    </w:p>
    <w:p>
      <w:pPr>
        <w:pStyle w:val="BodyText"/>
        <w:spacing w:line="230" w:lineRule="exact" w:before="0"/>
        <w:ind w:right="994"/>
        <w:jc w:val="left"/>
      </w:pP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r>
        <w:rPr/>
        <w:t>日，报告期间，公司</w:t>
      </w:r>
      <w:r>
        <w:rPr>
          <w:rFonts w:ascii="Times New Roman" w:hAnsi="Times New Roman" w:cs="Times New Roman" w:eastAsia="Times New Roman" w:hint="default"/>
        </w:rPr>
        <w:t>2014</w:t>
      </w:r>
      <w:r>
        <w:rPr/>
        <w:t>年股票期权激励计划第二、第三个行权期已行权期权数量为</w:t>
      </w:r>
      <w:r>
        <w:rPr>
          <w:rFonts w:ascii="Times New Roman" w:hAnsi="Times New Roman" w:cs="Times New Roman" w:eastAsia="Times New Roman" w:hint="default"/>
        </w:rPr>
        <w:t>5,005,420</w:t>
      </w:r>
      <w:r>
        <w:rPr/>
        <w:t>份。</w:t>
      </w:r>
    </w:p>
    <w:p>
      <w:pPr>
        <w:pStyle w:val="BodyText"/>
        <w:spacing w:line="240" w:lineRule="auto" w:before="63"/>
        <w:ind w:left="1493" w:right="994"/>
        <w:jc w:val="left"/>
      </w:pPr>
      <w:r>
        <w:rPr/>
        <w:t>公司以每股</w:t>
      </w:r>
      <w:r>
        <w:rPr>
          <w:rFonts w:ascii="Times New Roman" w:hAnsi="Times New Roman" w:cs="Times New Roman" w:eastAsia="Times New Roman" w:hint="default"/>
        </w:rPr>
        <w:t>18.22</w:t>
      </w:r>
      <w:r>
        <w:rPr/>
        <w:t>元的价格向泰达宏利基金管理有限公司、鹏华资产管理有限公司、财通证券资产管理有限公司合计非</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ind w:right="1123"/>
        <w:jc w:val="left"/>
      </w:pPr>
      <w:r>
        <w:rPr/>
        <w:t>公开发行股票</w:t>
      </w:r>
      <w:r>
        <w:rPr>
          <w:rFonts w:ascii="Times New Roman" w:hAnsi="Times New Roman" w:cs="Times New Roman" w:eastAsia="Times New Roman" w:hint="default"/>
        </w:rPr>
        <w:t>25,000,000</w:t>
      </w:r>
      <w:r>
        <w:rPr/>
        <w:t>股，新发行股票于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日在中国结算公司登记完成，于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27</w:t>
      </w:r>
      <w:r>
        <w:rPr/>
        <w:t>日在深圳证券交易所</w:t>
      </w:r>
      <w:r>
        <w:rPr>
          <w:spacing w:val="-85"/>
        </w:rPr>
        <w:t> </w:t>
      </w:r>
      <w:r>
        <w:rPr>
          <w:spacing w:val="-85"/>
        </w:rPr>
      </w:r>
      <w:r>
        <w:rPr/>
        <w:t>上市。</w:t>
      </w:r>
    </w:p>
    <w:p>
      <w:pPr>
        <w:pStyle w:val="BodyText"/>
        <w:spacing w:line="340" w:lineRule="auto" w:before="31"/>
        <w:ind w:left="1134" w:right="6162" w:firstLine="360"/>
        <w:jc w:val="left"/>
      </w:pPr>
      <w:r>
        <w:rPr/>
        <w:t>根据上述原因，报告期内公司新增股份</w:t>
      </w:r>
      <w:r>
        <w:rPr>
          <w:rFonts w:ascii="Times New Roman" w:hAnsi="Times New Roman" w:cs="Times New Roman" w:eastAsia="Times New Roman" w:hint="default"/>
        </w:rPr>
        <w:t>30,005,420</w:t>
      </w:r>
      <w:r>
        <w:rPr/>
        <w:t>股。 股份变动的批准情况</w:t>
      </w:r>
    </w:p>
    <w:p>
      <w:pPr>
        <w:pStyle w:val="BodyText"/>
        <w:spacing w:line="338" w:lineRule="auto" w:before="42"/>
        <w:ind w:left="1493" w:right="994" w:hanging="360"/>
        <w:jc w:val="left"/>
        <w:rPr>
          <w:rFonts w:ascii="宋体" w:hAnsi="宋体" w:cs="宋体" w:eastAsia="宋体"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rPr>
        <w:t>1</w:t>
      </w:r>
      <w:r>
        <w:rPr/>
        <w:t>、根据公司</w:t>
      </w:r>
      <w:r>
        <w:rPr>
          <w:rFonts w:ascii="宋体" w:hAnsi="宋体" w:cs="宋体" w:eastAsia="宋体" w:hint="default"/>
        </w:rPr>
        <w:t>2014</w:t>
      </w:r>
      <w:r>
        <w:rPr/>
        <w:t>年第二次临时股东大会的授权及《</w:t>
      </w:r>
      <w:r>
        <w:rPr>
          <w:rFonts w:ascii="宋体" w:hAnsi="宋体" w:cs="宋体" w:eastAsia="宋体" w:hint="default"/>
        </w:rPr>
        <w:t>2014</w:t>
      </w:r>
      <w:r>
        <w:rPr/>
        <w:t>年股票期权激励计划（草案修订稿）》的相关规定，</w:t>
      </w:r>
      <w:r>
        <w:rPr>
          <w:rFonts w:ascii="宋体" w:hAnsi="宋体" w:cs="宋体" w:eastAsia="宋体" w:hint="default"/>
        </w:rPr>
        <w:t>2016</w:t>
      </w:r>
      <w:r>
        <w:rPr/>
        <w:t>年</w:t>
      </w:r>
      <w:r>
        <w:rPr>
          <w:rFonts w:ascii="宋体" w:hAnsi="宋体" w:cs="宋体" w:eastAsia="宋体" w:hint="default"/>
        </w:rPr>
        <w:t>4</w:t>
      </w:r>
    </w:p>
    <w:p>
      <w:pPr>
        <w:pStyle w:val="BodyText"/>
        <w:spacing w:line="316" w:lineRule="auto" w:before="2"/>
        <w:ind w:right="1033"/>
        <w:jc w:val="left"/>
      </w:pPr>
      <w:r>
        <w:rPr/>
        <w:t>月</w:t>
      </w:r>
      <w:r>
        <w:rPr>
          <w:rFonts w:ascii="宋体" w:hAnsi="宋体" w:cs="宋体" w:eastAsia="宋体" w:hint="default"/>
        </w:rPr>
        <w:t>19</w:t>
      </w:r>
      <w:r>
        <w:rPr/>
        <w:t>日公司召开第三届董事会第二十六次会议审议通过《关于公司</w:t>
      </w:r>
      <w:r>
        <w:rPr>
          <w:rFonts w:ascii="宋体" w:hAnsi="宋体" w:cs="宋体" w:eastAsia="宋体" w:hint="default"/>
        </w:rPr>
        <w:t>2014</w:t>
      </w:r>
      <w:r>
        <w:rPr/>
        <w:t>年股票期权激励计划第二个行权期可行权的议案》， 公司</w:t>
      </w:r>
      <w:r>
        <w:rPr>
          <w:rFonts w:ascii="宋体" w:hAnsi="宋体" w:cs="宋体" w:eastAsia="宋体" w:hint="default"/>
        </w:rPr>
        <w:t>2014</w:t>
      </w:r>
      <w:r>
        <w:rPr/>
        <w:t>年股票期权激励计划第二个行权期行权时间为</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9</w:t>
      </w:r>
      <w:r>
        <w:rPr/>
        <w:t>日至</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8</w:t>
      </w:r>
      <w:r>
        <w:rPr/>
        <w:t>日。</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24</w:t>
      </w:r>
      <w:r>
        <w:rPr/>
        <w:t>日公司召开第三届董事</w:t>
      </w:r>
      <w:r>
        <w:rPr>
          <w:spacing w:val="-83"/>
        </w:rPr>
        <w:t> </w:t>
      </w:r>
      <w:r>
        <w:rPr>
          <w:spacing w:val="-83"/>
        </w:rPr>
      </w:r>
      <w:r>
        <w:rPr>
          <w:spacing w:val="-2"/>
        </w:rPr>
        <w:t>会第四十二次（临时）次会议审议通过《关于公司</w:t>
      </w:r>
      <w:r>
        <w:rPr>
          <w:rFonts w:ascii="宋体" w:hAnsi="宋体" w:cs="宋体" w:eastAsia="宋体" w:hint="default"/>
          <w:spacing w:val="-2"/>
        </w:rPr>
        <w:t>2014</w:t>
      </w:r>
      <w:r>
        <w:rPr>
          <w:spacing w:val="-2"/>
        </w:rPr>
        <w:t>年股票期权激励计划第三个行权期可行权的议案》，公司</w:t>
      </w:r>
      <w:r>
        <w:rPr>
          <w:rFonts w:ascii="宋体" w:hAnsi="宋体" w:cs="宋体" w:eastAsia="宋体" w:hint="default"/>
          <w:spacing w:val="-2"/>
        </w:rPr>
        <w:t>2014</w:t>
      </w:r>
      <w:r>
        <w:rPr>
          <w:spacing w:val="-2"/>
        </w:rPr>
        <w:t>年股票</w:t>
      </w:r>
      <w:r>
        <w:rPr>
          <w:spacing w:val="-57"/>
        </w:rPr>
        <w:t> </w:t>
      </w:r>
      <w:r>
        <w:rPr>
          <w:spacing w:val="-2"/>
        </w:rPr>
        <w:t>期权激励计划第三个行权期行权时间为</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9</w:t>
      </w:r>
      <w:r>
        <w:rPr>
          <w:spacing w:val="-2"/>
        </w:rPr>
        <w:t>日至</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8</w:t>
      </w:r>
      <w:r>
        <w:rPr>
          <w:spacing w:val="-2"/>
        </w:rPr>
        <w:t>日。报告期间，公司</w:t>
      </w:r>
      <w:r>
        <w:rPr>
          <w:rFonts w:ascii="宋体" w:hAnsi="宋体" w:cs="宋体" w:eastAsia="宋体" w:hint="default"/>
          <w:spacing w:val="-2"/>
        </w:rPr>
        <w:t>2014</w:t>
      </w:r>
      <w:r>
        <w:rPr>
          <w:spacing w:val="-2"/>
        </w:rPr>
        <w:t>年股票期权激励计划第二、第三</w:t>
      </w:r>
      <w:r>
        <w:rPr>
          <w:spacing w:val="-51"/>
        </w:rPr>
        <w:t> </w:t>
      </w:r>
      <w:r>
        <w:rPr>
          <w:spacing w:val="-51"/>
        </w:rPr>
      </w:r>
      <w:r>
        <w:rPr/>
        <w:t>个行权期已行权期权数量为</w:t>
      </w:r>
      <w:r>
        <w:rPr>
          <w:rFonts w:ascii="宋体" w:hAnsi="宋体" w:cs="宋体" w:eastAsia="宋体" w:hint="default"/>
        </w:rPr>
        <w:t>5,005,420</w:t>
      </w:r>
      <w:r>
        <w:rPr/>
        <w:t>份。</w:t>
      </w:r>
    </w:p>
    <w:p>
      <w:pPr>
        <w:pStyle w:val="BodyText"/>
        <w:spacing w:line="316" w:lineRule="auto" w:before="19"/>
        <w:ind w:right="1129" w:firstLine="360"/>
        <w:jc w:val="both"/>
      </w:pPr>
      <w:r>
        <w:rPr>
          <w:rFonts w:ascii="宋体" w:hAnsi="宋体" w:cs="宋体" w:eastAsia="宋体" w:hint="default"/>
          <w:spacing w:val="-2"/>
        </w:rPr>
        <w:t>2</w:t>
      </w:r>
      <w:r>
        <w:rPr>
          <w:spacing w:val="-2"/>
        </w:rPr>
        <w:t>、公司</w:t>
      </w:r>
      <w:r>
        <w:rPr>
          <w:rFonts w:ascii="宋体" w:hAnsi="宋体" w:cs="宋体" w:eastAsia="宋体" w:hint="default"/>
          <w:spacing w:val="-2"/>
        </w:rPr>
        <w:t>2016</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9</w:t>
      </w:r>
      <w:r>
        <w:rPr>
          <w:spacing w:val="-2"/>
        </w:rPr>
        <w:t>日召开的第三届董事会第二十八次（临时）会议决议、</w:t>
      </w:r>
      <w:r>
        <w:rPr>
          <w:rFonts w:ascii="宋体" w:hAnsi="宋体" w:cs="宋体" w:eastAsia="宋体" w:hint="default"/>
          <w:spacing w:val="-2"/>
        </w:rPr>
        <w:t>2016</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25</w:t>
      </w:r>
      <w:r>
        <w:rPr>
          <w:spacing w:val="-2"/>
        </w:rPr>
        <w:t>日召开的</w:t>
      </w:r>
      <w:r>
        <w:rPr>
          <w:rFonts w:ascii="宋体" w:hAnsi="宋体" w:cs="宋体" w:eastAsia="宋体" w:hint="default"/>
          <w:spacing w:val="-2"/>
        </w:rPr>
        <w:t>2016</w:t>
      </w:r>
      <w:r>
        <w:rPr>
          <w:spacing w:val="-2"/>
        </w:rPr>
        <w:t>年第三次临时股东</w:t>
      </w:r>
      <w:r>
        <w:rPr/>
        <w:t> </w:t>
      </w:r>
      <w:r>
        <w:rPr>
          <w:spacing w:val="-3"/>
        </w:rPr>
        <w:t>大会会议决议、</w:t>
      </w:r>
      <w:r>
        <w:rPr>
          <w:rFonts w:ascii="宋体" w:hAnsi="宋体" w:cs="宋体" w:eastAsia="宋体" w:hint="default"/>
          <w:spacing w:val="-3"/>
        </w:rPr>
        <w:t>2016</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7</w:t>
      </w:r>
      <w:r>
        <w:rPr>
          <w:spacing w:val="-3"/>
        </w:rPr>
        <w:t>日召开的第三届董事会第三十四次会议决议、</w:t>
      </w:r>
      <w:r>
        <w:rPr>
          <w:rFonts w:ascii="宋体" w:hAnsi="宋体" w:cs="宋体" w:eastAsia="宋体" w:hint="default"/>
          <w:spacing w:val="-3"/>
        </w:rPr>
        <w:t>2017</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3</w:t>
      </w:r>
      <w:r>
        <w:rPr>
          <w:spacing w:val="-3"/>
        </w:rPr>
        <w:t>日召开的第三届董事会第三十七次（临</w:t>
      </w:r>
      <w:r>
        <w:rPr>
          <w:spacing w:val="-81"/>
        </w:rPr>
        <w:t> </w:t>
      </w:r>
      <w:r>
        <w:rPr>
          <w:spacing w:val="-81"/>
        </w:rPr>
      </w:r>
      <w:r>
        <w:rPr>
          <w:spacing w:val="-2"/>
        </w:rPr>
        <w:t>时）会议决议、</w:t>
      </w:r>
      <w:r>
        <w:rPr>
          <w:rFonts w:ascii="宋体" w:hAnsi="宋体" w:cs="宋体" w:eastAsia="宋体" w:hint="default"/>
          <w:spacing w:val="-2"/>
        </w:rPr>
        <w:t>2017</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27</w:t>
      </w:r>
      <w:r>
        <w:rPr>
          <w:spacing w:val="-2"/>
        </w:rPr>
        <w:t>日召开的第三届董事会第三十八次会议决议、</w:t>
      </w:r>
      <w:r>
        <w:rPr>
          <w:rFonts w:ascii="宋体" w:hAnsi="宋体" w:cs="宋体" w:eastAsia="宋体" w:hint="default"/>
          <w:spacing w:val="-2"/>
        </w:rPr>
        <w:t>2017</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22</w:t>
      </w:r>
      <w:r>
        <w:rPr>
          <w:spacing w:val="-2"/>
        </w:rPr>
        <w:t>日召开的第三届董事会第三十九次会</w:t>
      </w:r>
      <w:r>
        <w:rPr>
          <w:spacing w:val="-52"/>
        </w:rPr>
        <w:t> </w:t>
      </w:r>
      <w:r>
        <w:rPr/>
        <w:t>议决议、</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8</w:t>
      </w:r>
      <w:r>
        <w:rPr/>
        <w:t>日召开的第三届董事会第四十三次会议决议、</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24</w:t>
      </w:r>
      <w:r>
        <w:rPr/>
        <w:t>日召开的</w:t>
      </w:r>
      <w:r>
        <w:rPr>
          <w:rFonts w:ascii="宋体" w:hAnsi="宋体" w:cs="宋体" w:eastAsia="宋体" w:hint="default"/>
        </w:rPr>
        <w:t>2017</w:t>
      </w:r>
      <w:r>
        <w:rPr/>
        <w:t>年第一次临时股东大会会议决</w:t>
      </w:r>
      <w:r>
        <w:rPr>
          <w:spacing w:val="-83"/>
        </w:rPr>
        <w:t> </w:t>
      </w:r>
      <w:r>
        <w:rPr>
          <w:spacing w:val="-83"/>
        </w:rPr>
      </w:r>
      <w:r>
        <w:rPr/>
        <w:t>议通过公司非公开发行股份</w:t>
      </w:r>
      <w:r>
        <w:rPr>
          <w:rFonts w:ascii="宋体" w:hAnsi="宋体" w:cs="宋体" w:eastAsia="宋体" w:hint="default"/>
        </w:rPr>
        <w:t>25,000,000</w:t>
      </w:r>
      <w:r>
        <w:rPr/>
        <w:t>股，用于募集资金收购长沙公信诚丰信息技术服务有限公司</w:t>
      </w:r>
      <w:r>
        <w:rPr>
          <w:rFonts w:ascii="宋体" w:hAnsi="宋体" w:cs="宋体" w:eastAsia="宋体" w:hint="default"/>
        </w:rPr>
        <w:t>100%</w:t>
      </w:r>
      <w:r>
        <w:rPr/>
        <w:t>股权。</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22</w:t>
      </w:r>
      <w:r>
        <w:rPr>
          <w:rFonts w:ascii="宋体" w:hAnsi="宋体" w:cs="宋体" w:eastAsia="宋体" w:hint="default"/>
          <w:spacing w:val="-83"/>
        </w:rPr>
        <w:t> </w:t>
      </w:r>
      <w:r>
        <w:rPr/>
        <w:t>日，公司本次发行经中国证券监督管理委员会（以下简称“中国证监会”）发行审核委员会审核通过。</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24</w:t>
      </w:r>
      <w:r>
        <w:rPr/>
        <w:t>日，公</w:t>
      </w:r>
      <w:r>
        <w:rPr>
          <w:spacing w:val="-83"/>
        </w:rPr>
        <w:t> </w:t>
      </w:r>
      <w:r>
        <w:rPr/>
        <w:t>司收到中国证监会《关于核准深圳市新国都技术股份有限公司非公开发行股票的批复》（证监许可</w:t>
      </w:r>
      <w:r>
        <w:rPr>
          <w:rFonts w:ascii="宋体" w:hAnsi="宋体" w:cs="宋体" w:eastAsia="宋体" w:hint="default"/>
        </w:rPr>
        <w:t>[2017]1146</w:t>
      </w:r>
      <w:r>
        <w:rPr/>
        <w:t>号）。</w:t>
      </w:r>
      <w:r>
        <w:rPr>
          <w:rFonts w:ascii="宋体" w:hAnsi="宋体" w:cs="宋体" w:eastAsia="宋体" w:hint="default"/>
        </w:rPr>
        <w:t>2017</w:t>
      </w:r>
      <w:r>
        <w:rPr>
          <w:rFonts w:ascii="宋体" w:hAnsi="宋体" w:cs="宋体" w:eastAsia="宋体" w:hint="default"/>
          <w:spacing w:val="2"/>
        </w:rPr>
        <w:t> </w:t>
      </w:r>
      <w:r>
        <w:rPr/>
        <w:t>年</w:t>
      </w:r>
      <w:r>
        <w:rPr>
          <w:rFonts w:ascii="宋体" w:hAnsi="宋体" w:cs="宋体" w:eastAsia="宋体" w:hint="default"/>
        </w:rPr>
        <w:t>10</w:t>
      </w:r>
      <w:r>
        <w:rPr/>
        <w:t>月</w:t>
      </w:r>
      <w:r>
        <w:rPr>
          <w:rFonts w:ascii="宋体" w:hAnsi="宋体" w:cs="宋体" w:eastAsia="宋体" w:hint="default"/>
        </w:rPr>
        <w:t>27</w:t>
      </w:r>
      <w:r>
        <w:rPr/>
        <w:t>日，公司新增股份在深圳证券交易所上市。</w:t>
      </w:r>
    </w:p>
    <w:p>
      <w:pPr>
        <w:pStyle w:val="BodyText"/>
        <w:spacing w:line="240" w:lineRule="auto" w:before="59"/>
        <w:ind w:left="1134" w:right="994"/>
        <w:jc w:val="left"/>
      </w:pPr>
      <w:r>
        <w:rPr/>
        <w:t>股份变动的过户情况</w:t>
      </w:r>
    </w:p>
    <w:p>
      <w:pPr>
        <w:pStyle w:val="BodyText"/>
        <w:spacing w:line="338" w:lineRule="auto" w:before="117"/>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240" w:lineRule="auto" w:before="42"/>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9" w:lineRule="auto" w:before="102"/>
        <w:ind w:right="1272"/>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年度公司基本每股收益为</w:t>
      </w:r>
      <w:r>
        <w:rPr>
          <w:spacing w:val="-46"/>
        </w:rPr>
        <w:t> </w:t>
      </w:r>
      <w:r>
        <w:rPr>
          <w:rFonts w:ascii="Times New Roman" w:hAnsi="Times New Roman" w:cs="Times New Roman" w:eastAsia="Times New Roman" w:hint="default"/>
        </w:rPr>
        <w:t>0.29</w:t>
      </w:r>
      <w:r>
        <w:rPr>
          <w:rFonts w:ascii="Times New Roman" w:hAnsi="Times New Roman" w:cs="Times New Roman" w:eastAsia="Times New Roman" w:hint="default"/>
          <w:spacing w:val="-9"/>
        </w:rPr>
        <w:t> </w:t>
      </w:r>
      <w:r>
        <w:rPr/>
        <w:t>元，截止至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日公司最新总股本</w:t>
      </w:r>
      <w:r>
        <w:rPr>
          <w:spacing w:val="-46"/>
        </w:rPr>
        <w:t> </w:t>
      </w:r>
      <w:r>
        <w:rPr>
          <w:rFonts w:ascii="Times New Roman" w:hAnsi="Times New Roman" w:cs="Times New Roman" w:eastAsia="Times New Roman" w:hint="default"/>
        </w:rPr>
        <w:t>265,501,200</w:t>
      </w:r>
      <w:r>
        <w:rPr>
          <w:rFonts w:ascii="Times New Roman" w:hAnsi="Times New Roman" w:cs="Times New Roman" w:eastAsia="Times New Roman" w:hint="default"/>
          <w:spacing w:val="-9"/>
        </w:rPr>
        <w:t> </w:t>
      </w:r>
      <w:r>
        <w:rPr/>
        <w:t>股，稀释每股收益为</w:t>
      </w:r>
      <w:r>
        <w:rPr>
          <w:spacing w:val="-46"/>
        </w:rPr>
        <w:t> </w:t>
      </w:r>
      <w:r>
        <w:rPr>
          <w:rFonts w:ascii="Times New Roman" w:hAnsi="Times New Roman" w:cs="Times New Roman" w:eastAsia="Times New Roman" w:hint="default"/>
        </w:rPr>
        <w:t>0.2709 </w:t>
      </w:r>
      <w:r>
        <w:rPr/>
        <w:t>元，股份变动致使最近一期每股收益下降</w:t>
      </w:r>
      <w:r>
        <w:rPr>
          <w:spacing w:val="-46"/>
        </w:rPr>
        <w:t> </w:t>
      </w:r>
      <w:r>
        <w:rPr>
          <w:rFonts w:ascii="Times New Roman" w:hAnsi="Times New Roman" w:cs="Times New Roman" w:eastAsia="Times New Roman" w:hint="default"/>
        </w:rPr>
        <w:t>0.31</w:t>
      </w:r>
      <w:r>
        <w:rPr>
          <w:rFonts w:ascii="Times New Roman" w:hAnsi="Times New Roman" w:cs="Times New Roman" w:eastAsia="Times New Roman" w:hint="default"/>
          <w:spacing w:val="-9"/>
        </w:rPr>
        <w:t> </w:t>
      </w:r>
      <w:r>
        <w:rPr/>
        <w:t>元。归属于公司普通股股东的每股净资产上升</w:t>
      </w:r>
      <w:r>
        <w:rPr>
          <w:spacing w:val="-45"/>
        </w:rPr>
        <w:t> </w:t>
      </w:r>
      <w:r>
        <w:rPr>
          <w:rFonts w:ascii="Times New Roman" w:hAnsi="Times New Roman" w:cs="Times New Roman" w:eastAsia="Times New Roman" w:hint="default"/>
        </w:rPr>
        <w:t>21.82%</w:t>
      </w:r>
      <w:r>
        <w:rPr/>
        <w:t>。 公司认为必要或证券监管机构要求披露的其他内容</w:t>
      </w:r>
    </w:p>
    <w:p>
      <w:pPr>
        <w:pStyle w:val="BodyText"/>
        <w:spacing w:line="240" w:lineRule="auto" w:before="56"/>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994"/>
        <w:jc w:val="left"/>
        <w:rPr>
          <w:b w:val="0"/>
          <w:bCs w:val="0"/>
        </w:rPr>
      </w:pPr>
      <w:bookmarkStart w:name="2、限售股份变动情况" w:id="106"/>
      <w:bookmarkEnd w:id="106"/>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51"/>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57,480,000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57,480,000</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2" w:lineRule="auto" w:before="51"/>
              <w:ind w:left="2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年首个交易 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19,054,320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19,054,320</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2" w:lineRule="auto" w:before="51"/>
              <w:ind w:left="2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年首个交易 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646,875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826,875</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2" w:lineRule="auto" w:before="51"/>
              <w:ind w:left="22"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年首个交易 日</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840,000</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年首个交易</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362"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654,225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798,225</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年首个交易 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137,250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227,250</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年首个交易 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118,125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190,125</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年首个交易 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15,001</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年首个交易 日</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750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年首个交易 日</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渤海国际信托股 份有限公司－渤 海信托－恒利丰 </w:t>
            </w:r>
            <w:r>
              <w:rPr>
                <w:rFonts w:ascii="Times New Roman" w:hAnsi="Times New Roman" w:cs="Times New Roman" w:eastAsia="Times New Roman" w:hint="default"/>
                <w:sz w:val="18"/>
                <w:szCs w:val="18"/>
              </w:rPr>
              <w:t>215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 信托计划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12,499,781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12,499,781</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2018-10-27</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鹏华资产－浦发 银行－粤财信托</w:t>
            </w:r>
          </w:p>
          <w:p>
            <w:pPr>
              <w:pStyle w:val="TableParagraph"/>
              <w:spacing w:line="309" w:lineRule="auto" w:before="19"/>
              <w:ind w:left="22" w:right="67"/>
              <w:jc w:val="both"/>
              <w:rPr>
                <w:rFonts w:ascii="宋体" w:hAnsi="宋体" w:cs="宋体" w:eastAsia="宋体" w:hint="default"/>
                <w:sz w:val="18"/>
                <w:szCs w:val="18"/>
              </w:rPr>
            </w:pPr>
            <w:r>
              <w:rPr>
                <w:rFonts w:ascii="宋体" w:hAnsi="宋体" w:cs="宋体" w:eastAsia="宋体" w:hint="default"/>
                <w:sz w:val="18"/>
                <w:szCs w:val="18"/>
              </w:rPr>
              <w:t>－粤财信托－菁 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期单一资 金信托计划</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7,497,475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7,497,475</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2018-10-27</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泰达宏利基金－ 浦发银行－云南 信托－云信富春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 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5,002,744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5,002,744</w:t>
            </w:r>
          </w:p>
        </w:tc>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2018-10-27</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78,759,046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25,673,500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104,432,546</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4"/>
        <w:spacing w:line="240" w:lineRule="auto" w:before="26"/>
        <w:ind w:left="1134" w:right="994"/>
        <w:jc w:val="left"/>
        <w:rPr>
          <w:b w:val="0"/>
          <w:bCs w:val="0"/>
        </w:rPr>
      </w:pPr>
      <w:bookmarkStart w:name="二、证券发行与上市情况" w:id="107"/>
      <w:bookmarkEnd w:id="107"/>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1、报告期内证券发行（不含优先股）情况" w:id="108"/>
      <w:bookmarkEnd w:id="108"/>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94"/>
        <w:jc w:val="left"/>
      </w:pPr>
      <w:r>
        <w:rPr/>
        <w:pict>
          <v:group style="position:absolute;margin-left:128.720001pt;margin-top:90.931717pt;width:61.9pt;height:17.6pt;mso-position-horizontal-relative:page;mso-position-vertical-relative:paragraph;z-index:-1159192" coordorigin="2574,1819" coordsize="1238,352">
            <v:shape style="position:absolute;left:2574;top:1819;width:1238;height:352" coordorigin="2574,1819" coordsize="1238,352" path="m2574,2170l3812,2170,3812,1819,2574,1819,2574,2170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413"/>
        <w:gridCol w:w="1293"/>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3" w:type="dxa"/>
            <w:tcBorders>
              <w:top w:val="single" w:sz="4" w:space="0" w:color="000000"/>
              <w:left w:val="single" w:sz="4" w:space="0" w:color="000000"/>
              <w:bottom w:val="single" w:sz="4" w:space="0" w:color="000000"/>
              <w:right w:val="single" w:sz="9" w:space="0" w:color="FFFFFF"/>
            </w:tcBorders>
            <w:shd w:val="clear" w:color="auto" w:fill="CCE8CF"/>
          </w:tcPr>
          <w:p>
            <w:pPr>
              <w:pStyle w:val="TableParagraph"/>
              <w:spacing w:line="319" w:lineRule="auto" w:before="52"/>
              <w:ind w:left="22" w:right="-40"/>
              <w:jc w:val="left"/>
              <w:rPr>
                <w:rFonts w:ascii="宋体" w:hAnsi="宋体" w:cs="宋体" w:eastAsia="宋体" w:hint="default"/>
                <w:sz w:val="18"/>
                <w:szCs w:val="18"/>
              </w:rPr>
            </w:pPr>
            <w:r>
              <w:rPr>
                <w:rFonts w:ascii="宋体" w:hAnsi="宋体" w:cs="宋体" w:eastAsia="宋体" w:hint="default"/>
                <w:sz w:val="18"/>
                <w:szCs w:val="18"/>
              </w:rPr>
              <w:t>境内上市的人民 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股）</w:t>
            </w:r>
            <w:r>
              <w:rPr>
                <w:rFonts w:ascii="宋体" w:hAnsi="宋体" w:cs="宋体" w:eastAsia="宋体" w:hint="default"/>
                <w:sz w:val="18"/>
                <w:szCs w:val="18"/>
              </w:rPr>
            </w:r>
          </w:p>
        </w:tc>
        <w:tc>
          <w:tcPr>
            <w:tcW w:w="1293"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2"/>
              <w:ind w:left="-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18.22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25,000,000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25,000,000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994"/>
        <w:jc w:val="left"/>
      </w:pPr>
      <w:r>
        <w:rPr/>
        <w:t>报告期内证券发行（不含优先股）情况的说明</w:t>
      </w:r>
    </w:p>
    <w:p>
      <w:pPr>
        <w:pStyle w:val="BodyText"/>
        <w:spacing w:line="316" w:lineRule="auto" w:before="115"/>
        <w:ind w:left="1493" w:right="1123"/>
        <w:jc w:val="left"/>
      </w:pPr>
      <w:r>
        <w:rPr/>
        <w:t>（一）本次发行履行的内部决策程序 公司本次发行已获得于</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9</w:t>
      </w:r>
      <w:r>
        <w:rPr/>
        <w:t>日召开的公司第三届董事会第二十八次（临时）会议、于</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25</w:t>
      </w:r>
      <w:r>
        <w:rPr/>
        <w:t>日召开的公司</w:t>
      </w:r>
    </w:p>
    <w:p>
      <w:pPr>
        <w:pStyle w:val="BodyText"/>
        <w:spacing w:line="319" w:lineRule="auto" w:before="19"/>
        <w:ind w:left="1494" w:right="1122" w:hanging="360"/>
        <w:jc w:val="left"/>
      </w:pPr>
      <w:r>
        <w:rPr>
          <w:rFonts w:ascii="宋体" w:hAnsi="宋体" w:cs="宋体" w:eastAsia="宋体" w:hint="default"/>
        </w:rPr>
        <w:t>2016</w:t>
      </w:r>
      <w:r>
        <w:rPr/>
        <w:t>年第三次临时股东大会的批准。 根据</w:t>
      </w:r>
      <w:r>
        <w:rPr>
          <w:rFonts w:ascii="宋体" w:hAnsi="宋体" w:cs="宋体" w:eastAsia="宋体" w:hint="default"/>
        </w:rPr>
        <w:t>2016</w:t>
      </w:r>
      <w:r>
        <w:rPr/>
        <w:t>年第三次临时股东大会授权，公司于</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7</w:t>
      </w:r>
      <w:r>
        <w:rPr/>
        <w:t>日召开第三届董事会第三十四次会议，审议通过《关于调整</w:t>
      </w:r>
    </w:p>
    <w:p>
      <w:pPr>
        <w:pStyle w:val="BodyText"/>
        <w:spacing w:line="316" w:lineRule="auto" w:before="17"/>
        <w:ind w:left="1493" w:right="994" w:hanging="360"/>
        <w:jc w:val="left"/>
      </w:pPr>
      <w:r>
        <w:rPr/>
        <w:t>公司</w:t>
      </w:r>
      <w:r>
        <w:rPr>
          <w:rFonts w:ascii="宋体" w:hAnsi="宋体" w:cs="宋体" w:eastAsia="宋体" w:hint="default"/>
        </w:rPr>
        <w:t>2016</w:t>
      </w:r>
      <w:r>
        <w:rPr/>
        <w:t>年非公开发行股票方案的议案》、《关于公司</w:t>
      </w:r>
      <w:r>
        <w:rPr>
          <w:rFonts w:ascii="宋体" w:hAnsi="宋体" w:cs="宋体" w:eastAsia="宋体" w:hint="default"/>
        </w:rPr>
        <w:t>2016</w:t>
      </w:r>
      <w:r>
        <w:rPr/>
        <w:t>年非公开发行股票预案（修订稿）的议案》等相关议案。 </w:t>
      </w:r>
      <w:r>
        <w:rPr>
          <w:spacing w:val="-2"/>
        </w:rPr>
        <w:t>根据</w:t>
      </w:r>
      <w:r>
        <w:rPr>
          <w:rFonts w:ascii="宋体" w:hAnsi="宋体" w:cs="宋体" w:eastAsia="宋体" w:hint="default"/>
          <w:spacing w:val="-2"/>
        </w:rPr>
        <w:t>2016</w:t>
      </w:r>
      <w:r>
        <w:rPr>
          <w:spacing w:val="-2"/>
        </w:rPr>
        <w:t>年第三次临时股东大会授权，公司于</w:t>
      </w:r>
      <w:r>
        <w:rPr>
          <w:rFonts w:ascii="宋体" w:hAnsi="宋体" w:cs="宋体" w:eastAsia="宋体" w:hint="default"/>
          <w:spacing w:val="-2"/>
        </w:rPr>
        <w:t>2017</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3</w:t>
      </w:r>
      <w:r>
        <w:rPr>
          <w:spacing w:val="-2"/>
        </w:rPr>
        <w:t>日召开第三届董事会第三十七次（临时）会议，审议通过《关</w:t>
      </w:r>
    </w:p>
    <w:p>
      <w:pPr>
        <w:pStyle w:val="BodyText"/>
        <w:spacing w:line="316" w:lineRule="auto" w:before="19"/>
        <w:ind w:right="994"/>
        <w:jc w:val="left"/>
      </w:pPr>
      <w:r>
        <w:rPr>
          <w:spacing w:val="-2"/>
        </w:rPr>
        <w:t>于调整公司</w:t>
      </w:r>
      <w:r>
        <w:rPr>
          <w:rFonts w:ascii="宋体" w:hAnsi="宋体" w:cs="宋体" w:eastAsia="宋体" w:hint="default"/>
          <w:spacing w:val="-2"/>
        </w:rPr>
        <w:t>2016</w:t>
      </w:r>
      <w:r>
        <w:rPr>
          <w:spacing w:val="-2"/>
        </w:rPr>
        <w:t>年非公开发行股票方案（二次修订）的议案》、《关于公司</w:t>
      </w:r>
      <w:r>
        <w:rPr>
          <w:rFonts w:ascii="宋体" w:hAnsi="宋体" w:cs="宋体" w:eastAsia="宋体" w:hint="default"/>
          <w:spacing w:val="-2"/>
        </w:rPr>
        <w:t>2016</w:t>
      </w:r>
      <w:r>
        <w:rPr>
          <w:spacing w:val="-2"/>
        </w:rPr>
        <w:t>年非公开发行股票预案（二次修订稿）的议</w:t>
      </w:r>
      <w:r>
        <w:rPr>
          <w:spacing w:val="-62"/>
        </w:rPr>
        <w:t> </w:t>
      </w:r>
      <w:r>
        <w:rPr>
          <w:spacing w:val="-62"/>
        </w:rPr>
      </w:r>
      <w:r>
        <w:rPr/>
        <w:t>案》等相关议案。</w:t>
      </w:r>
    </w:p>
    <w:p>
      <w:pPr>
        <w:pStyle w:val="BodyText"/>
        <w:spacing w:line="316" w:lineRule="auto" w:before="19"/>
        <w:ind w:left="1134" w:right="1130" w:firstLine="360"/>
        <w:jc w:val="both"/>
      </w:pPr>
      <w:r>
        <w:rPr/>
        <w:t>根据</w:t>
      </w:r>
      <w:r>
        <w:rPr>
          <w:rFonts w:ascii="宋体" w:hAnsi="宋体" w:cs="宋体" w:eastAsia="宋体" w:hint="default"/>
        </w:rPr>
        <w:t>2016</w:t>
      </w:r>
      <w:r>
        <w:rPr/>
        <w:t>年第三次临时股东大会授权，公司于</w:t>
      </w:r>
      <w:r>
        <w:rPr>
          <w:rFonts w:ascii="宋体" w:hAnsi="宋体" w:cs="宋体" w:eastAsia="宋体" w:hint="default"/>
        </w:rPr>
        <w:t>2017</w:t>
      </w:r>
      <w:r>
        <w:rPr/>
        <w:t>年</w:t>
      </w:r>
      <w:r>
        <w:rPr>
          <w:rFonts w:ascii="宋体" w:hAnsi="宋体" w:cs="宋体" w:eastAsia="宋体" w:hint="default"/>
        </w:rPr>
        <w:t>2</w:t>
      </w:r>
      <w:r>
        <w:rPr/>
        <w:t>月</w:t>
      </w:r>
      <w:r>
        <w:rPr>
          <w:rFonts w:ascii="宋体" w:hAnsi="宋体" w:cs="宋体" w:eastAsia="宋体" w:hint="default"/>
        </w:rPr>
        <w:t>27</w:t>
      </w:r>
      <w:r>
        <w:rPr/>
        <w:t>日召开第三届董事会第三十八次会议，审议通过《关于调整 </w:t>
      </w:r>
      <w:r>
        <w:rPr>
          <w:spacing w:val="-2"/>
        </w:rPr>
        <w:t>公司</w:t>
      </w:r>
      <w:r>
        <w:rPr>
          <w:rFonts w:ascii="宋体" w:hAnsi="宋体" w:cs="宋体" w:eastAsia="宋体" w:hint="default"/>
          <w:spacing w:val="-2"/>
        </w:rPr>
        <w:t>2016</w:t>
      </w:r>
      <w:r>
        <w:rPr>
          <w:spacing w:val="-2"/>
        </w:rPr>
        <w:t>年非公开发行股票方案（三次修订）的议案》、《关于公司</w:t>
      </w:r>
      <w:r>
        <w:rPr>
          <w:rFonts w:ascii="宋体" w:hAnsi="宋体" w:cs="宋体" w:eastAsia="宋体" w:hint="default"/>
          <w:spacing w:val="-2"/>
        </w:rPr>
        <w:t>2016</w:t>
      </w:r>
      <w:r>
        <w:rPr>
          <w:spacing w:val="-2"/>
        </w:rPr>
        <w:t>年非公开发行股票预案（三次修订稿）的议案》等</w:t>
      </w:r>
      <w:r>
        <w:rPr>
          <w:spacing w:val="-59"/>
        </w:rPr>
        <w:t> </w:t>
      </w:r>
      <w:r>
        <w:rPr>
          <w:spacing w:val="-59"/>
        </w:rPr>
      </w:r>
      <w:r>
        <w:rPr/>
        <w:t>相关议案。</w:t>
      </w:r>
    </w:p>
    <w:p>
      <w:pPr>
        <w:pStyle w:val="BodyText"/>
        <w:spacing w:line="316" w:lineRule="auto" w:before="19"/>
        <w:ind w:left="1134" w:right="1130" w:firstLine="360"/>
        <w:jc w:val="both"/>
      </w:pPr>
      <w:r>
        <w:rPr/>
        <w:t>根据</w:t>
      </w:r>
      <w:r>
        <w:rPr>
          <w:rFonts w:ascii="宋体" w:hAnsi="宋体" w:cs="宋体" w:eastAsia="宋体" w:hint="default"/>
        </w:rPr>
        <w:t>2016</w:t>
      </w:r>
      <w:r>
        <w:rPr/>
        <w:t>年第三次临时股东大会授权，公司于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22</w:t>
      </w:r>
      <w:r>
        <w:rPr/>
        <w:t>日召开第三届董事会第三十九次会议，审议通过《关于调整 </w:t>
      </w:r>
      <w:r>
        <w:rPr>
          <w:spacing w:val="-2"/>
        </w:rPr>
        <w:t>公司</w:t>
      </w:r>
      <w:r>
        <w:rPr>
          <w:rFonts w:ascii="宋体" w:hAnsi="宋体" w:cs="宋体" w:eastAsia="宋体" w:hint="default"/>
          <w:spacing w:val="-2"/>
        </w:rPr>
        <w:t>2016</w:t>
      </w:r>
      <w:r>
        <w:rPr>
          <w:spacing w:val="-2"/>
        </w:rPr>
        <w:t>年非公开发行股票方案（四次修订）的议案》、《关于公司</w:t>
      </w:r>
      <w:r>
        <w:rPr>
          <w:rFonts w:ascii="宋体" w:hAnsi="宋体" w:cs="宋体" w:eastAsia="宋体" w:hint="default"/>
          <w:spacing w:val="-2"/>
        </w:rPr>
        <w:t>2016</w:t>
      </w:r>
      <w:r>
        <w:rPr>
          <w:spacing w:val="-2"/>
        </w:rPr>
        <w:t>年非公开发行股票预案（四次修订稿）的议案》等</w:t>
      </w:r>
      <w:r>
        <w:rPr>
          <w:spacing w:val="-59"/>
        </w:rPr>
        <w:t> </w:t>
      </w:r>
      <w:r>
        <w:rPr>
          <w:spacing w:val="-59"/>
        </w:rPr>
      </w:r>
      <w:r>
        <w:rPr/>
        <w:t>相关议案。</w:t>
      </w:r>
    </w:p>
    <w:p>
      <w:pPr>
        <w:pStyle w:val="BodyText"/>
        <w:spacing w:line="316" w:lineRule="auto" w:before="19"/>
        <w:ind w:left="1134" w:right="1130" w:firstLine="360"/>
        <w:jc w:val="both"/>
      </w:pPr>
      <w:r>
        <w:rPr/>
        <w:t>公司于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24</w:t>
      </w:r>
      <w:r>
        <w:rPr/>
        <w:t>日召开</w:t>
      </w:r>
      <w:r>
        <w:rPr>
          <w:rFonts w:ascii="宋体" w:hAnsi="宋体" w:cs="宋体" w:eastAsia="宋体" w:hint="default"/>
        </w:rPr>
        <w:t>2017</w:t>
      </w:r>
      <w:r>
        <w:rPr/>
        <w:t>年第一次临时股东大会审议通过《关于延长</w:t>
      </w:r>
      <w:r>
        <w:rPr>
          <w:rFonts w:ascii="宋体" w:hAnsi="宋体" w:cs="宋体" w:eastAsia="宋体" w:hint="default"/>
        </w:rPr>
        <w:t>2016</w:t>
      </w:r>
      <w:r>
        <w:rPr/>
        <w:t>年非公开发行股票决议有效期及股东大 </w:t>
      </w:r>
      <w:r>
        <w:rPr>
          <w:spacing w:val="-2"/>
        </w:rPr>
        <w:t>会授权董事会办理本次非公开发行股票相关事项有效期的议案》，批准延长本次非公开发行股票方案决议有效期及对董事会</w:t>
      </w:r>
      <w:r>
        <w:rPr>
          <w:spacing w:val="-64"/>
        </w:rPr>
        <w:t> </w:t>
      </w:r>
      <w:r>
        <w:rPr>
          <w:spacing w:val="-64"/>
        </w:rPr>
      </w:r>
      <w:r>
        <w:rPr/>
        <w:t>授权有效期至</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23</w:t>
      </w:r>
      <w:r>
        <w:rPr/>
        <w:t>日，决议的有效期为</w:t>
      </w:r>
      <w:r>
        <w:rPr>
          <w:rFonts w:ascii="宋体" w:hAnsi="宋体" w:cs="宋体" w:eastAsia="宋体" w:hint="default"/>
        </w:rPr>
        <w:t>12</w:t>
      </w:r>
      <w:r>
        <w:rPr/>
        <w:t>个月。</w:t>
      </w:r>
    </w:p>
    <w:p>
      <w:pPr>
        <w:pStyle w:val="BodyText"/>
        <w:spacing w:line="316" w:lineRule="auto" w:before="19"/>
        <w:ind w:left="1134" w:right="994" w:firstLine="360"/>
        <w:jc w:val="left"/>
      </w:pPr>
      <w:r>
        <w:rPr>
          <w:spacing w:val="-4"/>
        </w:rPr>
        <w:t>公司股东大会已经依法定程序作出批准本次非公开发行的决议，上述股东大会的召开程序、表决方式符合国家有关法律、</w:t>
      </w:r>
      <w:r>
        <w:rPr/>
        <w:t> </w:t>
      </w:r>
      <w:r>
        <w:rPr>
          <w:spacing w:val="-2"/>
        </w:rPr>
        <w:t>法规、规范性文件及公司章程的规定，合法、有效。截至本发行情况报告书出具日，公司关于本次发行的批准及授权尚在有</w:t>
      </w:r>
      <w:r>
        <w:rPr>
          <w:spacing w:val="-66"/>
        </w:rPr>
        <w:t> </w:t>
      </w:r>
      <w:r>
        <w:rPr>
          <w:spacing w:val="-66"/>
        </w:rPr>
      </w:r>
      <w:r>
        <w:rPr/>
        <w:t>效期内。</w:t>
      </w:r>
    </w:p>
    <w:p>
      <w:pPr>
        <w:pStyle w:val="BodyText"/>
        <w:spacing w:line="319" w:lineRule="auto" w:before="19"/>
        <w:ind w:left="1493" w:right="6433"/>
        <w:jc w:val="left"/>
      </w:pPr>
      <w:r>
        <w:rPr/>
        <w:t>（二）本次发行履行的监管部门核准过程 本次非公开发行股票已经取得中国证监会的核准。</w:t>
      </w:r>
    </w:p>
    <w:p>
      <w:pPr>
        <w:pStyle w:val="BodyText"/>
        <w:spacing w:line="240" w:lineRule="auto" w:before="17"/>
        <w:ind w:left="1494" w:right="994"/>
        <w:jc w:val="left"/>
      </w:pP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22</w:t>
      </w:r>
      <w:r>
        <w:rPr/>
        <w:t>日，公司本次发行已经中国证券监督管理委员会（以下简称“中国证监会”）发行审核委员会审核通过。</w:t>
      </w:r>
    </w:p>
    <w:p>
      <w:pPr>
        <w:pStyle w:val="BodyText"/>
        <w:spacing w:line="316" w:lineRule="auto" w:before="76"/>
        <w:ind w:left="1134" w:right="1131" w:firstLine="360"/>
        <w:jc w:val="both"/>
      </w:pP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24</w:t>
      </w:r>
      <w:r>
        <w:rPr/>
        <w:t>日，公司收到中国证监会《关于核准深圳市新国都技术股份有限公司非公开发行股票的批复》（证监许可 </w:t>
      </w:r>
      <w:r>
        <w:rPr>
          <w:rFonts w:ascii="宋体" w:hAnsi="宋体" w:cs="宋体" w:eastAsia="宋体" w:hint="default"/>
        </w:rPr>
        <w:t>[2017]1146</w:t>
      </w:r>
      <w:r>
        <w:rPr/>
        <w:t>号）。</w:t>
      </w:r>
    </w:p>
    <w:p>
      <w:pPr>
        <w:pStyle w:val="BodyText"/>
        <w:spacing w:line="316" w:lineRule="auto" w:before="19"/>
        <w:ind w:left="1493" w:right="994"/>
        <w:jc w:val="left"/>
      </w:pPr>
      <w:r>
        <w:rPr/>
        <w:t>（三）募集资金到账及验资情况 </w:t>
      </w:r>
      <w:r>
        <w:rPr>
          <w:spacing w:val="-2"/>
        </w:rPr>
        <w:t>截至</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29</w:t>
      </w:r>
      <w:r>
        <w:rPr>
          <w:spacing w:val="-2"/>
        </w:rPr>
        <w:t>日，</w:t>
      </w:r>
      <w:r>
        <w:rPr>
          <w:rFonts w:ascii="宋体" w:hAnsi="宋体" w:cs="宋体" w:eastAsia="宋体" w:hint="default"/>
          <w:spacing w:val="-2"/>
        </w:rPr>
        <w:t>3</w:t>
      </w:r>
      <w:r>
        <w:rPr>
          <w:spacing w:val="-2"/>
        </w:rPr>
        <w:t>名发行对象已将本次发行认购获配的全额资金汇入中信证券为本次发行开立的账户，同日中信证</w:t>
      </w:r>
    </w:p>
    <w:p>
      <w:pPr>
        <w:pStyle w:val="BodyText"/>
        <w:spacing w:line="316" w:lineRule="auto" w:before="19"/>
        <w:ind w:right="1033"/>
        <w:jc w:val="left"/>
      </w:pPr>
      <w:r>
        <w:rPr>
          <w:spacing w:val="-2"/>
        </w:rPr>
        <w:t>券将扣除保荐机构（主承销商）保荐承销费后的上述认购资金的剩余款项划转至公司开立的募集资金专项存储账户中。本次</w:t>
      </w:r>
      <w:r>
        <w:rPr>
          <w:spacing w:val="-66"/>
        </w:rPr>
        <w:t> </w:t>
      </w:r>
      <w:r>
        <w:rPr>
          <w:spacing w:val="-66"/>
        </w:rPr>
      </w:r>
      <w:r>
        <w:rPr/>
        <w:t>发行不涉及购买资产或者以资产支付，认购款项全部以现金支付。亚太会计师进行了验资，确认本次发行的认购资金到位， </w:t>
      </w:r>
      <w:r>
        <w:rPr>
          <w:spacing w:val="-3"/>
        </w:rPr>
        <w:t>确认本次发行的新增注册资本及股本情况，并于</w:t>
      </w:r>
      <w:r>
        <w:rPr>
          <w:rFonts w:ascii="宋体" w:hAnsi="宋体" w:cs="宋体" w:eastAsia="宋体" w:hint="default"/>
          <w:spacing w:val="-3"/>
        </w:rPr>
        <w:t>2017</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30</w:t>
      </w:r>
      <w:r>
        <w:rPr>
          <w:spacing w:val="-3"/>
        </w:rPr>
        <w:t>日出具了“亚会</w:t>
      </w:r>
      <w:r>
        <w:rPr>
          <w:rFonts w:ascii="宋体" w:hAnsi="宋体" w:cs="宋体" w:eastAsia="宋体" w:hint="default"/>
          <w:spacing w:val="-3"/>
        </w:rPr>
        <w:t>A</w:t>
      </w:r>
      <w:r>
        <w:rPr>
          <w:spacing w:val="-3"/>
        </w:rPr>
        <w:t>验字（</w:t>
      </w:r>
      <w:r>
        <w:rPr>
          <w:rFonts w:ascii="宋体" w:hAnsi="宋体" w:cs="宋体" w:eastAsia="宋体" w:hint="default"/>
          <w:spacing w:val="-3"/>
        </w:rPr>
        <w:t>2017</w:t>
      </w:r>
      <w:r>
        <w:rPr>
          <w:spacing w:val="-3"/>
        </w:rPr>
        <w:t>）第</w:t>
      </w:r>
      <w:r>
        <w:rPr>
          <w:rFonts w:ascii="宋体" w:hAnsi="宋体" w:cs="宋体" w:eastAsia="宋体" w:hint="default"/>
          <w:spacing w:val="-3"/>
        </w:rPr>
        <w:t>0026</w:t>
      </w:r>
      <w:r>
        <w:rPr>
          <w:spacing w:val="-3"/>
        </w:rPr>
        <w:t>号”验资报告（认购总额）</w:t>
      </w:r>
      <w:r>
        <w:rPr>
          <w:spacing w:val="-77"/>
        </w:rPr>
        <w:t> </w:t>
      </w:r>
      <w:r>
        <w:rPr>
          <w:spacing w:val="-77"/>
        </w:rPr>
      </w:r>
      <w:r>
        <w:rPr/>
        <w:t>和“亚会</w:t>
      </w:r>
      <w:r>
        <w:rPr>
          <w:rFonts w:ascii="宋体" w:hAnsi="宋体" w:cs="宋体" w:eastAsia="宋体" w:hint="default"/>
        </w:rPr>
        <w:t>A</w:t>
      </w:r>
      <w:r>
        <w:rPr/>
        <w:t>验字（</w:t>
      </w:r>
      <w:r>
        <w:rPr>
          <w:rFonts w:ascii="宋体" w:hAnsi="宋体" w:cs="宋体" w:eastAsia="宋体" w:hint="default"/>
        </w:rPr>
        <w:t>2017</w:t>
      </w:r>
      <w:r>
        <w:rPr/>
        <w:t>）第</w:t>
      </w:r>
      <w:r>
        <w:rPr>
          <w:rFonts w:ascii="宋体" w:hAnsi="宋体" w:cs="宋体" w:eastAsia="宋体" w:hint="default"/>
        </w:rPr>
        <w:t>0027</w:t>
      </w:r>
      <w:r>
        <w:rPr/>
        <w:t>号”验资报告（募集净额）。</w:t>
      </w:r>
    </w:p>
    <w:p>
      <w:pPr>
        <w:pStyle w:val="BodyText"/>
        <w:spacing w:line="316" w:lineRule="auto" w:before="19"/>
        <w:ind w:left="1493" w:right="1933"/>
        <w:jc w:val="left"/>
      </w:pPr>
      <w:r>
        <w:rPr/>
        <w:t>（四）股份登记情况 公司于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20</w:t>
      </w:r>
      <w:r>
        <w:rPr/>
        <w:t>日在中国证券登记结算有限责任公司深圳分公司办理完成本次发行新增股份登记手续。 二、本次发行的具体条款</w:t>
      </w:r>
    </w:p>
    <w:p>
      <w:pPr>
        <w:pStyle w:val="BodyText"/>
        <w:spacing w:line="316" w:lineRule="auto" w:before="19"/>
        <w:ind w:left="1493" w:right="5803"/>
        <w:jc w:val="left"/>
      </w:pPr>
      <w:r>
        <w:rPr/>
        <w:t>（一）股票类型 本次上市的股票种类为境内上市的人民币普通股（</w:t>
      </w:r>
      <w:r>
        <w:rPr>
          <w:rFonts w:ascii="宋体" w:hAnsi="宋体" w:cs="宋体" w:eastAsia="宋体" w:hint="default"/>
        </w:rPr>
        <w:t>A</w:t>
      </w:r>
      <w:r>
        <w:rPr/>
        <w:t>股）。</w:t>
      </w:r>
    </w:p>
    <w:p>
      <w:pPr>
        <w:pStyle w:val="BodyText"/>
        <w:spacing w:line="316" w:lineRule="auto" w:before="19"/>
        <w:ind w:left="1494" w:right="7332"/>
        <w:jc w:val="left"/>
      </w:pPr>
      <w:r>
        <w:rPr/>
        <w:t>（二）股票面值 本次上市的股票面值为人民币</w:t>
      </w:r>
      <w:r>
        <w:rPr>
          <w:rFonts w:ascii="宋体" w:hAnsi="宋体" w:cs="宋体" w:eastAsia="宋体" w:hint="default"/>
        </w:rPr>
        <w:t>1.00</w:t>
      </w:r>
      <w:r>
        <w:rPr/>
        <w:t>元。</w:t>
      </w:r>
    </w:p>
    <w:p>
      <w:pPr>
        <w:pStyle w:val="BodyText"/>
        <w:spacing w:line="319" w:lineRule="auto" w:before="19"/>
        <w:ind w:left="1493" w:right="994"/>
        <w:jc w:val="left"/>
      </w:pPr>
      <w:r>
        <w:rPr/>
        <w:t>（三）发行数量 </w:t>
      </w:r>
      <w:r>
        <w:rPr>
          <w:spacing w:val="-2"/>
        </w:rPr>
        <w:t>本次非公开发行股份数量为</w:t>
      </w:r>
      <w:r>
        <w:rPr>
          <w:rFonts w:ascii="宋体" w:hAnsi="宋体" w:cs="宋体" w:eastAsia="宋体" w:hint="default"/>
          <w:spacing w:val="-2"/>
        </w:rPr>
        <w:t>25,000,000</w:t>
      </w:r>
      <w:r>
        <w:rPr>
          <w:spacing w:val="-2"/>
        </w:rPr>
        <w:t>股，未超过公司</w:t>
      </w:r>
      <w:r>
        <w:rPr>
          <w:rFonts w:ascii="宋体" w:hAnsi="宋体" w:cs="宋体" w:eastAsia="宋体" w:hint="default"/>
          <w:spacing w:val="-2"/>
        </w:rPr>
        <w:t>2016</w:t>
      </w:r>
      <w:r>
        <w:rPr>
          <w:spacing w:val="-2"/>
        </w:rPr>
        <w:t>年第三次临时股东大会审议通过及中国证监会核准的发行上</w:t>
      </w:r>
    </w:p>
    <w:p>
      <w:pPr>
        <w:pStyle w:val="BodyText"/>
        <w:spacing w:line="240" w:lineRule="auto" w:before="17"/>
        <w:ind w:left="1134" w:right="994"/>
        <w:jc w:val="left"/>
      </w:pPr>
      <w:r>
        <w:rPr/>
        <w:t>限</w:t>
      </w:r>
      <w:r>
        <w:rPr>
          <w:rFonts w:ascii="宋体" w:hAnsi="宋体" w:cs="宋体" w:eastAsia="宋体" w:hint="default"/>
        </w:rPr>
        <w:t>2,500</w:t>
      </w:r>
      <w:r>
        <w:rPr/>
        <w:t>万股，不存在申购不足的情况。</w:t>
      </w:r>
    </w:p>
    <w:p>
      <w:pPr>
        <w:pStyle w:val="BodyText"/>
        <w:spacing w:line="316" w:lineRule="auto" w:before="76"/>
        <w:ind w:left="1493" w:right="1123"/>
        <w:jc w:val="left"/>
      </w:pPr>
      <w:r>
        <w:rPr/>
        <w:t>（四）发行价格 本次非公开发行价格为</w:t>
      </w:r>
      <w:r>
        <w:rPr>
          <w:rFonts w:ascii="宋体" w:hAnsi="宋体" w:cs="宋体" w:eastAsia="宋体" w:hint="default"/>
        </w:rPr>
        <w:t>18.22</w:t>
      </w:r>
      <w:r>
        <w:rPr/>
        <w:t>元</w:t>
      </w:r>
      <w:r>
        <w:rPr>
          <w:rFonts w:ascii="宋体" w:hAnsi="宋体" w:cs="宋体" w:eastAsia="宋体" w:hint="default"/>
        </w:rPr>
        <w:t>/</w:t>
      </w:r>
      <w:r>
        <w:rPr/>
        <w:t>股，相当于发行期首日前二十个交易日公司股票均价</w:t>
      </w:r>
      <w:r>
        <w:rPr>
          <w:rFonts w:ascii="宋体" w:hAnsi="宋体" w:cs="宋体" w:eastAsia="宋体" w:hint="default"/>
        </w:rPr>
        <w:t>20.23</w:t>
      </w:r>
      <w:r>
        <w:rPr/>
        <w:t>元的</w:t>
      </w:r>
      <w:r>
        <w:rPr>
          <w:rFonts w:ascii="宋体" w:hAnsi="宋体" w:cs="宋体" w:eastAsia="宋体" w:hint="default"/>
        </w:rPr>
        <w:t>90.06%</w:t>
      </w:r>
      <w:r>
        <w:rPr/>
        <w:t>，相当于发行底</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left="1494" w:right="1122" w:hanging="360"/>
        <w:jc w:val="left"/>
      </w:pPr>
      <w:r>
        <w:rPr/>
        <w:t>价</w:t>
      </w:r>
      <w:r>
        <w:rPr>
          <w:rFonts w:ascii="宋体" w:hAnsi="宋体" w:cs="宋体" w:eastAsia="宋体" w:hint="default"/>
        </w:rPr>
        <w:t>18.21</w:t>
      </w:r>
      <w:r>
        <w:rPr/>
        <w:t>元</w:t>
      </w:r>
      <w:r>
        <w:rPr>
          <w:rFonts w:ascii="宋体" w:hAnsi="宋体" w:cs="宋体" w:eastAsia="宋体" w:hint="default"/>
        </w:rPr>
        <w:t>/</w:t>
      </w:r>
      <w:r>
        <w:rPr/>
        <w:t>股的</w:t>
      </w:r>
      <w:r>
        <w:rPr>
          <w:rFonts w:ascii="宋体" w:hAnsi="宋体" w:cs="宋体" w:eastAsia="宋体" w:hint="default"/>
        </w:rPr>
        <w:t>100.05%</w:t>
      </w:r>
      <w:r>
        <w:rPr/>
        <w:t>。 本次非公开发行的定价基准日为发行期首日，发行期首日为认购邀请书发送日的次一交易日，即</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26</w:t>
      </w:r>
      <w:r>
        <w:rPr/>
        <w:t>日。本次</w:t>
      </w:r>
    </w:p>
    <w:p>
      <w:pPr>
        <w:pStyle w:val="BodyText"/>
        <w:spacing w:line="240" w:lineRule="auto" w:before="19"/>
        <w:ind w:right="994"/>
        <w:jc w:val="left"/>
      </w:pPr>
      <w:r>
        <w:rPr/>
        <w:t>非公开发行价格不低于发行期首日前二十个交易日公司股票均价的</w:t>
      </w:r>
      <w:r>
        <w:rPr>
          <w:rFonts w:ascii="宋体" w:hAnsi="宋体" w:cs="宋体" w:eastAsia="宋体" w:hint="default"/>
        </w:rPr>
        <w:t>90%</w:t>
      </w:r>
      <w:r>
        <w:rPr/>
        <w:t>，即不低于</w:t>
      </w:r>
      <w:r>
        <w:rPr>
          <w:rFonts w:ascii="宋体" w:hAnsi="宋体" w:cs="宋体" w:eastAsia="宋体" w:hint="default"/>
        </w:rPr>
        <w:t>18.21</w:t>
      </w:r>
      <w:r>
        <w:rPr/>
        <w:t>元</w:t>
      </w:r>
      <w:r>
        <w:rPr>
          <w:rFonts w:ascii="宋体" w:hAnsi="宋体" w:cs="宋体" w:eastAsia="宋体" w:hint="default"/>
        </w:rPr>
        <w:t>/</w:t>
      </w:r>
      <w:r>
        <w:rPr/>
        <w:t>股。</w:t>
      </w:r>
    </w:p>
    <w:p>
      <w:pPr>
        <w:pStyle w:val="BodyText"/>
        <w:spacing w:line="319" w:lineRule="auto" w:before="76"/>
        <w:ind w:left="1493" w:right="1132"/>
        <w:jc w:val="left"/>
      </w:pPr>
      <w:r>
        <w:rPr/>
        <w:t>（五）募集资金金额                                                                </w:t>
      </w:r>
      <w:r>
        <w:rPr>
          <w:spacing w:val="13"/>
        </w:rPr>
        <w:t>本次发行募集资金总额</w:t>
      </w:r>
      <w:r>
        <w:rPr>
          <w:spacing w:val="-64"/>
        </w:rPr>
        <w:t> </w:t>
      </w:r>
      <w:r>
        <w:rPr>
          <w:rFonts w:ascii="宋体" w:hAnsi="宋体" w:cs="宋体" w:eastAsia="宋体" w:hint="default"/>
        </w:rPr>
        <w:t>455,500,000.00</w:t>
      </w:r>
      <w:r>
        <w:rPr/>
        <w:t>元，</w:t>
      </w:r>
      <w:r>
        <w:rPr>
          <w:spacing w:val="-67"/>
        </w:rPr>
        <w:t> </w:t>
      </w:r>
      <w:r>
        <w:rPr>
          <w:spacing w:val="13"/>
        </w:rPr>
        <w:t>扣除保荐及承销费用人民币</w:t>
      </w:r>
      <w:r>
        <w:rPr>
          <w:spacing w:val="-64"/>
        </w:rPr>
        <w:t> </w:t>
      </w:r>
      <w:r>
        <w:rPr>
          <w:rFonts w:ascii="宋体" w:hAnsi="宋体" w:cs="宋体" w:eastAsia="宋体" w:hint="default"/>
          <w:spacing w:val="2"/>
        </w:rPr>
        <w:t>10,000,000.00</w:t>
      </w:r>
      <w:r>
        <w:rPr>
          <w:spacing w:val="2"/>
        </w:rPr>
        <w:t>元，</w:t>
      </w:r>
      <w:r>
        <w:rPr>
          <w:spacing w:val="-67"/>
        </w:rPr>
        <w:t> </w:t>
      </w:r>
      <w:r>
        <w:rPr>
          <w:spacing w:val="13"/>
        </w:rPr>
        <w:t>其他发行费用人民币</w:t>
      </w:r>
    </w:p>
    <w:p>
      <w:pPr>
        <w:pStyle w:val="BodyText"/>
        <w:spacing w:line="240" w:lineRule="auto" w:before="17"/>
        <w:ind w:right="994"/>
        <w:jc w:val="left"/>
      </w:pPr>
      <w:r>
        <w:rPr>
          <w:rFonts w:ascii="宋体" w:hAnsi="宋体" w:cs="宋体" w:eastAsia="宋体" w:hint="default"/>
        </w:rPr>
        <w:t>880,000.00</w:t>
      </w:r>
      <w:r>
        <w:rPr/>
        <w:t>元，实际募集资金净额为人民币</w:t>
      </w:r>
      <w:r>
        <w:rPr>
          <w:rFonts w:ascii="宋体" w:hAnsi="宋体" w:cs="宋体" w:eastAsia="宋体" w:hint="default"/>
        </w:rPr>
        <w:t>444,620,000.00</w:t>
      </w:r>
      <w:r>
        <w:rPr/>
        <w:t>元。</w:t>
      </w:r>
    </w:p>
    <w:p>
      <w:pPr>
        <w:pStyle w:val="BodyText"/>
        <w:spacing w:line="316" w:lineRule="auto" w:before="76"/>
        <w:ind w:left="1494" w:right="3732"/>
        <w:jc w:val="left"/>
      </w:pPr>
      <w:r>
        <w:rPr/>
        <w:t>（六）发行股票的锁定期 本次非公开发行中发行对象认购的股份自发行结束之日起十二个月内不得上市交易。</w:t>
      </w:r>
    </w:p>
    <w:p>
      <w:pPr>
        <w:pStyle w:val="BodyText"/>
        <w:spacing w:line="316" w:lineRule="auto" w:before="19"/>
        <w:ind w:left="1134" w:right="1130" w:firstLine="360"/>
        <w:jc w:val="both"/>
      </w:pPr>
      <w:r>
        <w:rPr>
          <w:spacing w:val="-2"/>
        </w:rPr>
        <w:t>本次非公开发行的发行对象因由本次发行取得的公司股份在锁定期届满后减持还需遵守中国证监会、深圳证券交易所以</w:t>
      </w:r>
      <w:r>
        <w:rPr/>
        <w:t> </w:t>
      </w:r>
      <w:r>
        <w:rPr>
          <w:spacing w:val="-2"/>
        </w:rPr>
        <w:t>及《公司章程》等相关规定。本次非公开发行结束后，由于公司送红股、资本公积金转增股本等原因增加的公司股份，亦应</w:t>
      </w:r>
      <w:r>
        <w:rPr>
          <w:spacing w:val="-68"/>
        </w:rPr>
        <w:t> </w:t>
      </w:r>
      <w:r>
        <w:rPr>
          <w:spacing w:val="-68"/>
        </w:rPr>
      </w:r>
      <w:r>
        <w:rPr/>
        <w:t>遵守上述限售期安排。</w:t>
      </w:r>
    </w:p>
    <w:p>
      <w:pPr>
        <w:pStyle w:val="BodyText"/>
        <w:spacing w:line="316" w:lineRule="auto" w:before="19"/>
        <w:ind w:left="1134" w:right="994" w:firstLine="360"/>
        <w:jc w:val="left"/>
      </w:pPr>
      <w:r>
        <w:rPr>
          <w:spacing w:val="-2"/>
        </w:rPr>
        <w:t>根据相关法律、法规或其承诺，认购本次非公开发行股票的特定对象持有股份的锁定期另有规定或约定的，则服从相关</w:t>
      </w:r>
      <w:r>
        <w:rPr/>
        <w:t> 规定或约定。</w:t>
      </w:r>
    </w:p>
    <w:p>
      <w:pPr>
        <w:pStyle w:val="BodyText"/>
        <w:spacing w:line="240" w:lineRule="auto" w:before="19"/>
        <w:ind w:left="1494" w:right="994"/>
        <w:jc w:val="left"/>
      </w:pPr>
      <w:r>
        <w:rPr/>
        <w:t>三、本次发行的发行对象情况</w:t>
      </w:r>
    </w:p>
    <w:p>
      <w:pPr>
        <w:pStyle w:val="BodyText"/>
        <w:spacing w:line="316" w:lineRule="auto" w:before="76"/>
        <w:ind w:left="1494" w:right="8232"/>
        <w:jc w:val="left"/>
      </w:pPr>
      <w:r>
        <w:rPr/>
        <w:t>（一）发行对象及配售情况 </w:t>
      </w:r>
      <w:r>
        <w:rPr>
          <w:rFonts w:ascii="宋体" w:hAnsi="宋体" w:cs="宋体" w:eastAsia="宋体" w:hint="default"/>
        </w:rPr>
        <w:t>1</w:t>
      </w:r>
      <w:r>
        <w:rPr/>
        <w:t>、申购报价情况</w:t>
      </w:r>
    </w:p>
    <w:p>
      <w:pPr>
        <w:pStyle w:val="BodyText"/>
        <w:spacing w:line="316" w:lineRule="auto" w:before="19"/>
        <w:ind w:right="994" w:firstLine="360"/>
        <w:jc w:val="left"/>
      </w:pPr>
      <w:r>
        <w:rPr>
          <w:spacing w:val="-4"/>
        </w:rPr>
        <w:t>取得核准批文后，公司与中信共同确定了本次发行认购邀请书的发送对象名单，向符合规定的投资者发出了认购邀请书，</w:t>
      </w:r>
      <w:r>
        <w:rPr/>
        <w:t> </w:t>
      </w:r>
      <w:r>
        <w:rPr>
          <w:spacing w:val="-2"/>
        </w:rPr>
        <w:t>其中包括：截至</w:t>
      </w:r>
      <w:r>
        <w:rPr>
          <w:rFonts w:ascii="宋体" w:hAnsi="宋体" w:cs="宋体" w:eastAsia="宋体" w:hint="default"/>
          <w:spacing w:val="-2"/>
        </w:rPr>
        <w:t>2017</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25</w:t>
      </w:r>
      <w:r>
        <w:rPr>
          <w:spacing w:val="-2"/>
        </w:rPr>
        <w:t>日公司前</w:t>
      </w:r>
      <w:r>
        <w:rPr>
          <w:rFonts w:ascii="宋体" w:hAnsi="宋体" w:cs="宋体" w:eastAsia="宋体" w:hint="default"/>
          <w:spacing w:val="-2"/>
        </w:rPr>
        <w:t>20</w:t>
      </w:r>
      <w:r>
        <w:rPr>
          <w:spacing w:val="-2"/>
        </w:rPr>
        <w:t>名股东、基金公司</w:t>
      </w:r>
      <w:r>
        <w:rPr>
          <w:rFonts w:ascii="宋体" w:hAnsi="宋体" w:cs="宋体" w:eastAsia="宋体" w:hint="default"/>
          <w:spacing w:val="-2"/>
        </w:rPr>
        <w:t>28</w:t>
      </w:r>
      <w:r>
        <w:rPr>
          <w:spacing w:val="-2"/>
        </w:rPr>
        <w:t>家、证券公司</w:t>
      </w:r>
      <w:r>
        <w:rPr>
          <w:rFonts w:ascii="宋体" w:hAnsi="宋体" w:cs="宋体" w:eastAsia="宋体" w:hint="default"/>
          <w:spacing w:val="-2"/>
        </w:rPr>
        <w:t>10</w:t>
      </w:r>
      <w:r>
        <w:rPr>
          <w:spacing w:val="-2"/>
        </w:rPr>
        <w:t>家、保险公司</w:t>
      </w:r>
      <w:r>
        <w:rPr>
          <w:rFonts w:ascii="宋体" w:hAnsi="宋体" w:cs="宋体" w:eastAsia="宋体" w:hint="default"/>
          <w:spacing w:val="-2"/>
        </w:rPr>
        <w:t>5</w:t>
      </w:r>
      <w:r>
        <w:rPr>
          <w:spacing w:val="-2"/>
        </w:rPr>
        <w:t>家、其他类型投资者</w:t>
      </w:r>
      <w:r>
        <w:rPr>
          <w:rFonts w:ascii="宋体" w:hAnsi="宋体" w:cs="宋体" w:eastAsia="宋体" w:hint="default"/>
          <w:spacing w:val="-2"/>
        </w:rPr>
        <w:t>59</w:t>
      </w:r>
      <w:r>
        <w:rPr>
          <w:spacing w:val="-2"/>
        </w:rPr>
        <w:t>家，共计</w:t>
      </w:r>
      <w:r>
        <w:rPr>
          <w:spacing w:val="-54"/>
        </w:rPr>
        <w:t> </w:t>
      </w:r>
      <w:r>
        <w:rPr>
          <w:spacing w:val="-54"/>
        </w:rPr>
      </w:r>
      <w:r>
        <w:rPr>
          <w:rFonts w:ascii="宋体" w:hAnsi="宋体" w:cs="宋体" w:eastAsia="宋体" w:hint="default"/>
        </w:rPr>
        <w:t>122</w:t>
      </w:r>
      <w:r>
        <w:rPr/>
        <w:t>家机构及个人。</w:t>
      </w:r>
    </w:p>
    <w:p>
      <w:pPr>
        <w:pStyle w:val="BodyText"/>
        <w:spacing w:line="316" w:lineRule="auto" w:before="19"/>
        <w:ind w:right="1123" w:firstLine="360"/>
        <w:jc w:val="left"/>
      </w:pPr>
      <w:r>
        <w:rPr/>
        <w:t>截至</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28</w:t>
      </w:r>
      <w:r>
        <w:rPr/>
        <w:t>日</w:t>
      </w:r>
      <w:r>
        <w:rPr>
          <w:rFonts w:ascii="宋体" w:hAnsi="宋体" w:cs="宋体" w:eastAsia="宋体" w:hint="default"/>
        </w:rPr>
        <w:t>12</w:t>
      </w:r>
      <w:r>
        <w:rPr/>
        <w:t>：</w:t>
      </w:r>
      <w:r>
        <w:rPr>
          <w:rFonts w:ascii="宋体" w:hAnsi="宋体" w:cs="宋体" w:eastAsia="宋体" w:hint="default"/>
        </w:rPr>
        <w:t>00</w:t>
      </w:r>
      <w:r>
        <w:rPr/>
        <w:t>之前，公司及主承销商共收到</w:t>
      </w:r>
      <w:r>
        <w:rPr>
          <w:rFonts w:ascii="宋体" w:hAnsi="宋体" w:cs="宋体" w:eastAsia="宋体" w:hint="default"/>
        </w:rPr>
        <w:t>3</w:t>
      </w:r>
      <w:r>
        <w:rPr/>
        <w:t>家询价对象提交的申购报价单，</w:t>
      </w:r>
      <w:r>
        <w:rPr>
          <w:rFonts w:ascii="宋体" w:hAnsi="宋体" w:cs="宋体" w:eastAsia="宋体" w:hint="default"/>
        </w:rPr>
        <w:t>3</w:t>
      </w:r>
      <w:r>
        <w:rPr/>
        <w:t>家投资者均及时发送相关申 购文件。除证券投资基金管理公司无需缴纳保证金外，其余投资者亦均按认购邀请书的约定及时足额缴纳保证金。</w:t>
      </w:r>
    </w:p>
    <w:p>
      <w:pPr>
        <w:pStyle w:val="BodyText"/>
        <w:spacing w:line="319" w:lineRule="auto" w:before="19"/>
        <w:ind w:left="1134" w:right="994" w:firstLine="360"/>
        <w:jc w:val="left"/>
      </w:pPr>
      <w:r>
        <w:rPr>
          <w:spacing w:val="-2"/>
        </w:rPr>
        <w:t>本次发行申购报价的投资者及其管理的产品不存在“公司的控股股东、实际控制人或其控制的关联人、董事、监事、高</w:t>
      </w:r>
      <w:r>
        <w:rPr/>
        <w:t> 级管理人员、主承销商及与上述机构及人员存在关联关系的关联方通过直接或间接形式参与本次发行认购。”的情形。</w:t>
      </w:r>
    </w:p>
    <w:p>
      <w:pPr>
        <w:pStyle w:val="BodyText"/>
        <w:spacing w:line="316" w:lineRule="auto" w:before="17"/>
        <w:ind w:left="1493" w:right="994"/>
        <w:jc w:val="left"/>
      </w:pPr>
      <w:r>
        <w:rPr>
          <w:rFonts w:ascii="宋体" w:hAnsi="宋体" w:cs="宋体" w:eastAsia="宋体" w:hint="default"/>
        </w:rPr>
        <w:t>2</w:t>
      </w:r>
      <w:r>
        <w:rPr/>
        <w:t>、确定的发行对象股份配售情况 </w:t>
      </w:r>
      <w:r>
        <w:rPr>
          <w:spacing w:val="-2"/>
        </w:rPr>
        <w:t>根据投资者申购报价情况，并严格按照认购邀请书中确定发行价格、发行对象及获配股份数量的程序和规则，确定本次</w:t>
      </w:r>
    </w:p>
    <w:p>
      <w:pPr>
        <w:pStyle w:val="BodyText"/>
        <w:spacing w:line="316" w:lineRule="auto" w:before="19"/>
        <w:ind w:right="994"/>
        <w:jc w:val="left"/>
      </w:pPr>
      <w:r>
        <w:rPr>
          <w:spacing w:val="-2"/>
        </w:rPr>
        <w:t>发行价格为</w:t>
      </w:r>
      <w:r>
        <w:rPr>
          <w:rFonts w:ascii="宋体" w:hAnsi="宋体" w:cs="宋体" w:eastAsia="宋体" w:hint="default"/>
          <w:spacing w:val="-2"/>
        </w:rPr>
        <w:t>18.22</w:t>
      </w:r>
      <w:r>
        <w:rPr>
          <w:spacing w:val="-2"/>
        </w:rPr>
        <w:t>元</w:t>
      </w:r>
      <w:r>
        <w:rPr>
          <w:rFonts w:ascii="宋体" w:hAnsi="宋体" w:cs="宋体" w:eastAsia="宋体" w:hint="default"/>
          <w:spacing w:val="-2"/>
        </w:rPr>
        <w:t>/</w:t>
      </w:r>
      <w:r>
        <w:rPr>
          <w:spacing w:val="-2"/>
        </w:rPr>
        <w:t>股。本次发行股数</w:t>
      </w:r>
      <w:r>
        <w:rPr>
          <w:rFonts w:ascii="宋体" w:hAnsi="宋体" w:cs="宋体" w:eastAsia="宋体" w:hint="default"/>
          <w:spacing w:val="-2"/>
        </w:rPr>
        <w:t>25,000,000</w:t>
      </w:r>
      <w:r>
        <w:rPr>
          <w:spacing w:val="-2"/>
        </w:rPr>
        <w:t>股，募集资金总额</w:t>
      </w:r>
      <w:r>
        <w:rPr>
          <w:rFonts w:ascii="宋体" w:hAnsi="宋体" w:cs="宋体" w:eastAsia="宋体" w:hint="default"/>
          <w:spacing w:val="-2"/>
        </w:rPr>
        <w:t>455,500,000.00</w:t>
      </w:r>
      <w:r>
        <w:rPr>
          <w:spacing w:val="-2"/>
        </w:rPr>
        <w:t>元，未超过募投项目资金需求，不存在</w:t>
      </w:r>
      <w:r>
        <w:rPr>
          <w:spacing w:val="-37"/>
        </w:rPr>
        <w:t> </w:t>
      </w:r>
      <w:r>
        <w:rPr>
          <w:spacing w:val="-37"/>
        </w:rPr>
      </w:r>
      <w:r>
        <w:rPr/>
        <w:t>申购不足的情况。</w:t>
      </w:r>
    </w:p>
    <w:p>
      <w:pPr>
        <w:pStyle w:val="BodyText"/>
        <w:spacing w:line="240" w:lineRule="auto" w:before="19"/>
        <w:ind w:left="1493" w:right="994"/>
        <w:jc w:val="left"/>
      </w:pPr>
      <w:r>
        <w:rPr/>
        <w:t>最终确定的发行对象及其获得配售的情况如下：</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701"/>
        <w:gridCol w:w="2701"/>
        <w:gridCol w:w="1721"/>
        <w:gridCol w:w="1823"/>
        <w:gridCol w:w="1361"/>
      </w:tblGrid>
      <w:tr>
        <w:trPr>
          <w:trHeight w:val="355" w:hRule="exact"/>
        </w:trPr>
        <w:tc>
          <w:tcPr>
            <w:tcW w:w="701" w:type="dxa"/>
            <w:tcBorders>
              <w:top w:val="single" w:sz="6"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701" w:type="dxa"/>
            <w:tcBorders>
              <w:top w:val="single" w:sz="6"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21"/>
              <w:ind w:left="801" w:right="0"/>
              <w:jc w:val="left"/>
              <w:rPr>
                <w:rFonts w:ascii="宋体" w:hAnsi="宋体" w:cs="宋体" w:eastAsia="宋体" w:hint="default"/>
                <w:sz w:val="18"/>
                <w:szCs w:val="18"/>
              </w:rPr>
            </w:pPr>
            <w:r>
              <w:rPr>
                <w:rFonts w:ascii="宋体" w:hAnsi="宋体" w:cs="宋体" w:eastAsia="宋体" w:hint="default"/>
                <w:b/>
                <w:bCs/>
                <w:sz w:val="18"/>
                <w:szCs w:val="18"/>
              </w:rPr>
              <w:t>发行对象名称</w:t>
            </w:r>
            <w:r>
              <w:rPr>
                <w:rFonts w:ascii="宋体" w:hAnsi="宋体" w:cs="宋体" w:eastAsia="宋体" w:hint="default"/>
                <w:sz w:val="18"/>
                <w:szCs w:val="18"/>
              </w:rPr>
            </w:r>
          </w:p>
        </w:tc>
        <w:tc>
          <w:tcPr>
            <w:tcW w:w="1721" w:type="dxa"/>
            <w:tcBorders>
              <w:top w:val="single" w:sz="6"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21"/>
              <w:ind w:left="220" w:right="0"/>
              <w:jc w:val="left"/>
              <w:rPr>
                <w:rFonts w:ascii="宋体" w:hAnsi="宋体" w:cs="宋体" w:eastAsia="宋体" w:hint="default"/>
                <w:sz w:val="18"/>
                <w:szCs w:val="18"/>
              </w:rPr>
            </w:pPr>
            <w:r>
              <w:rPr>
                <w:rFonts w:ascii="宋体" w:hAnsi="宋体" w:cs="宋体" w:eastAsia="宋体" w:hint="default"/>
                <w:b/>
                <w:bCs/>
                <w:sz w:val="18"/>
                <w:szCs w:val="18"/>
              </w:rPr>
              <w:t>获配股数（股）</w:t>
            </w:r>
            <w:r>
              <w:rPr>
                <w:rFonts w:ascii="宋体" w:hAnsi="宋体" w:cs="宋体" w:eastAsia="宋体" w:hint="default"/>
                <w:sz w:val="18"/>
                <w:szCs w:val="18"/>
              </w:rPr>
            </w:r>
          </w:p>
        </w:tc>
        <w:tc>
          <w:tcPr>
            <w:tcW w:w="1823" w:type="dxa"/>
            <w:tcBorders>
              <w:top w:val="single" w:sz="6" w:space="0" w:color="000000"/>
              <w:left w:val="single" w:sz="6" w:space="0" w:color="000000"/>
              <w:bottom w:val="single" w:sz="12" w:space="0" w:color="000000"/>
              <w:right w:val="single" w:sz="6" w:space="0" w:color="000000"/>
            </w:tcBorders>
            <w:shd w:val="clear" w:color="auto" w:fill="BEBEBE"/>
          </w:tcPr>
          <w:p>
            <w:pPr>
              <w:pStyle w:val="TableParagraph"/>
              <w:spacing w:line="240" w:lineRule="auto" w:before="21"/>
              <w:ind w:left="271" w:right="0"/>
              <w:jc w:val="left"/>
              <w:rPr>
                <w:rFonts w:ascii="宋体" w:hAnsi="宋体" w:cs="宋体" w:eastAsia="宋体" w:hint="default"/>
                <w:sz w:val="18"/>
                <w:szCs w:val="18"/>
              </w:rPr>
            </w:pPr>
            <w:r>
              <w:rPr>
                <w:rFonts w:ascii="宋体" w:hAnsi="宋体" w:cs="宋体" w:eastAsia="宋体" w:hint="default"/>
                <w:b/>
                <w:bCs/>
                <w:sz w:val="18"/>
                <w:szCs w:val="18"/>
              </w:rPr>
              <w:t>获配金额（元）</w:t>
            </w:r>
            <w:r>
              <w:rPr>
                <w:rFonts w:ascii="宋体" w:hAnsi="宋体" w:cs="宋体" w:eastAsia="宋体" w:hint="default"/>
                <w:sz w:val="18"/>
                <w:szCs w:val="18"/>
              </w:rPr>
            </w:r>
          </w:p>
        </w:tc>
        <w:tc>
          <w:tcPr>
            <w:tcW w:w="1361" w:type="dxa"/>
            <w:tcBorders>
              <w:top w:val="single" w:sz="6" w:space="0" w:color="000000"/>
              <w:left w:val="single" w:sz="6" w:space="0" w:color="000000"/>
              <w:bottom w:val="single" w:sz="12" w:space="0" w:color="000000"/>
              <w:right w:val="nil" w:sz="6" w:space="0" w:color="auto"/>
            </w:tcBorders>
            <w:shd w:val="clear" w:color="auto" w:fill="BEBEBE"/>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b/>
                <w:bCs/>
                <w:sz w:val="18"/>
                <w:szCs w:val="18"/>
              </w:rPr>
              <w:t>锁定期（月）</w:t>
            </w:r>
            <w:r>
              <w:rPr>
                <w:rFonts w:ascii="宋体" w:hAnsi="宋体" w:cs="宋体" w:eastAsia="宋体" w:hint="default"/>
                <w:sz w:val="18"/>
                <w:szCs w:val="18"/>
              </w:rPr>
            </w:r>
          </w:p>
        </w:tc>
      </w:tr>
      <w:tr>
        <w:trPr>
          <w:trHeight w:val="352" w:hRule="exact"/>
        </w:trPr>
        <w:tc>
          <w:tcPr>
            <w:tcW w:w="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w:t>
            </w:r>
          </w:p>
        </w:tc>
        <w:tc>
          <w:tcPr>
            <w:tcW w:w="2701"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3" w:right="0"/>
              <w:jc w:val="left"/>
              <w:rPr>
                <w:rFonts w:ascii="宋体" w:hAnsi="宋体" w:cs="宋体" w:eastAsia="宋体" w:hint="default"/>
                <w:sz w:val="20"/>
                <w:szCs w:val="20"/>
              </w:rPr>
            </w:pPr>
            <w:r>
              <w:rPr>
                <w:rFonts w:ascii="宋体" w:hAnsi="宋体" w:cs="宋体" w:eastAsia="宋体" w:hint="default"/>
                <w:sz w:val="20"/>
                <w:szCs w:val="20"/>
              </w:rPr>
              <w:t>泰达宏利基金管理有限公司</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5,002,744</w:t>
            </w:r>
          </w:p>
        </w:tc>
        <w:tc>
          <w:tcPr>
            <w:tcW w:w="18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91,149,995.68</w:t>
            </w:r>
          </w:p>
        </w:tc>
        <w:tc>
          <w:tcPr>
            <w:tcW w:w="13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4"/>
              <w:jc w:val="center"/>
              <w:rPr>
                <w:rFonts w:ascii="Times New Roman" w:hAnsi="Times New Roman" w:cs="Times New Roman" w:eastAsia="Times New Roman" w:hint="default"/>
                <w:sz w:val="21"/>
                <w:szCs w:val="21"/>
              </w:rPr>
            </w:pPr>
            <w:r>
              <w:rPr>
                <w:rFonts w:ascii="Times New Roman"/>
                <w:sz w:val="21"/>
              </w:rPr>
              <w:t>12</w:t>
            </w:r>
          </w:p>
        </w:tc>
      </w:tr>
      <w:tr>
        <w:trPr>
          <w:trHeight w:val="353" w:hRule="exact"/>
        </w:trPr>
        <w:tc>
          <w:tcPr>
            <w:tcW w:w="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w:t>
            </w:r>
          </w:p>
        </w:tc>
        <w:tc>
          <w:tcPr>
            <w:tcW w:w="2701"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3" w:right="0"/>
              <w:jc w:val="left"/>
              <w:rPr>
                <w:rFonts w:ascii="宋体" w:hAnsi="宋体" w:cs="宋体" w:eastAsia="宋体" w:hint="default"/>
                <w:sz w:val="20"/>
                <w:szCs w:val="20"/>
              </w:rPr>
            </w:pPr>
            <w:r>
              <w:rPr>
                <w:rFonts w:ascii="宋体" w:hAnsi="宋体" w:cs="宋体" w:eastAsia="宋体" w:hint="default"/>
                <w:sz w:val="20"/>
                <w:szCs w:val="20"/>
              </w:rPr>
              <w:t>鹏华资产管理有限公司</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7,497,475</w:t>
            </w:r>
          </w:p>
        </w:tc>
        <w:tc>
          <w:tcPr>
            <w:tcW w:w="18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136,603,994.50</w:t>
            </w:r>
          </w:p>
        </w:tc>
        <w:tc>
          <w:tcPr>
            <w:tcW w:w="13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12</w:t>
            </w:r>
          </w:p>
        </w:tc>
      </w:tr>
      <w:tr>
        <w:trPr>
          <w:trHeight w:val="352" w:hRule="exact"/>
        </w:trPr>
        <w:tc>
          <w:tcPr>
            <w:tcW w:w="7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w:t>
            </w:r>
          </w:p>
        </w:tc>
        <w:tc>
          <w:tcPr>
            <w:tcW w:w="2701"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3" w:right="0"/>
              <w:jc w:val="left"/>
              <w:rPr>
                <w:rFonts w:ascii="宋体" w:hAnsi="宋体" w:cs="宋体" w:eastAsia="宋体" w:hint="default"/>
                <w:sz w:val="20"/>
                <w:szCs w:val="20"/>
              </w:rPr>
            </w:pPr>
            <w:r>
              <w:rPr>
                <w:rFonts w:ascii="宋体" w:hAnsi="宋体" w:cs="宋体" w:eastAsia="宋体" w:hint="default"/>
                <w:sz w:val="20"/>
                <w:szCs w:val="20"/>
              </w:rPr>
              <w:t>财通证券资产管理有限公司</w:t>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12,499,781</w:t>
            </w:r>
          </w:p>
        </w:tc>
        <w:tc>
          <w:tcPr>
            <w:tcW w:w="18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0"/>
              <w:jc w:val="right"/>
              <w:rPr>
                <w:rFonts w:ascii="Times New Roman" w:hAnsi="Times New Roman" w:cs="Times New Roman" w:eastAsia="Times New Roman" w:hint="default"/>
                <w:sz w:val="21"/>
                <w:szCs w:val="21"/>
              </w:rPr>
            </w:pPr>
            <w:r>
              <w:rPr>
                <w:rFonts w:ascii="Times New Roman"/>
                <w:spacing w:val="-1"/>
                <w:sz w:val="21"/>
              </w:rPr>
              <w:t>227,746,009.82</w:t>
            </w:r>
          </w:p>
        </w:tc>
        <w:tc>
          <w:tcPr>
            <w:tcW w:w="13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12</w:t>
            </w:r>
          </w:p>
        </w:tc>
      </w:tr>
      <w:tr>
        <w:trPr>
          <w:trHeight w:val="352" w:hRule="exact"/>
        </w:trPr>
        <w:tc>
          <w:tcPr>
            <w:tcW w:w="3402"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2"/>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17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1"/>
              <w:jc w:val="right"/>
              <w:rPr>
                <w:rFonts w:ascii="Times New Roman" w:hAnsi="Times New Roman" w:cs="Times New Roman" w:eastAsia="Times New Roman" w:hint="default"/>
                <w:sz w:val="21"/>
                <w:szCs w:val="21"/>
              </w:rPr>
            </w:pPr>
            <w:r>
              <w:rPr>
                <w:rFonts w:ascii="Times New Roman"/>
                <w:b/>
                <w:sz w:val="21"/>
              </w:rPr>
              <w:t>25,000,000</w:t>
            </w:r>
            <w:r>
              <w:rPr>
                <w:rFonts w:ascii="Times New Roman"/>
                <w:sz w:val="21"/>
              </w:rPr>
            </w:r>
          </w:p>
        </w:tc>
        <w:tc>
          <w:tcPr>
            <w:tcW w:w="182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6"/>
              <w:ind w:right="0"/>
              <w:jc w:val="right"/>
              <w:rPr>
                <w:rFonts w:ascii="Times New Roman" w:hAnsi="Times New Roman" w:cs="Times New Roman" w:eastAsia="Times New Roman" w:hint="default"/>
                <w:sz w:val="21"/>
                <w:szCs w:val="21"/>
              </w:rPr>
            </w:pPr>
            <w:r>
              <w:rPr>
                <w:rFonts w:ascii="Times New Roman"/>
                <w:b/>
                <w:spacing w:val="-1"/>
                <w:sz w:val="21"/>
              </w:rPr>
              <w:t>455,500,000.00</w:t>
            </w:r>
            <w:r>
              <w:rPr>
                <w:rFonts w:ascii="Times New Roman"/>
                <w:spacing w:val="-1"/>
                <w:sz w:val="21"/>
              </w:rPr>
            </w:r>
          </w:p>
        </w:tc>
        <w:tc>
          <w:tcPr>
            <w:tcW w:w="136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6"/>
              <w:ind w:right="4"/>
              <w:jc w:val="center"/>
              <w:rPr>
                <w:rFonts w:ascii="Times New Roman" w:hAnsi="Times New Roman" w:cs="Times New Roman" w:eastAsia="Times New Roman" w:hint="default"/>
                <w:sz w:val="21"/>
                <w:szCs w:val="21"/>
              </w:rPr>
            </w:pPr>
            <w:r>
              <w:rPr>
                <w:rFonts w:ascii="Times New Roman"/>
                <w:b/>
                <w:w w:val="99"/>
                <w:sz w:val="21"/>
              </w:rPr>
              <w:t>-</w:t>
            </w:r>
            <w:r>
              <w:rPr>
                <w:rFonts w:ascii="Times New Roman"/>
                <w:sz w:val="21"/>
              </w:rPr>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公司股份总数及股东结构的变动、公司资产和负债结构的变动情况说明" w:id="109"/>
      <w:bookmarkEnd w:id="109"/>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1493" w:right="994" w:hanging="360"/>
        <w:jc w:val="left"/>
        <w:rPr>
          <w:rFonts w:ascii="宋体" w:hAnsi="宋体" w:cs="宋体" w:eastAsia="宋体"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2"/>
        </w:rPr>
        <w:t>1.</w:t>
      </w:r>
      <w:r>
        <w:rPr>
          <w:spacing w:val="-2"/>
        </w:rPr>
        <w:t>报告期间，公司</w:t>
      </w:r>
      <w:r>
        <w:rPr>
          <w:rFonts w:ascii="宋体" w:hAnsi="宋体" w:cs="宋体" w:eastAsia="宋体" w:hint="default"/>
          <w:spacing w:val="-2"/>
        </w:rPr>
        <w:t>2014</w:t>
      </w:r>
      <w:r>
        <w:rPr>
          <w:spacing w:val="-2"/>
        </w:rPr>
        <w:t>年股票期权激励计划第二、第三个行权期合计行权期权数量为</w:t>
      </w:r>
      <w:r>
        <w:rPr>
          <w:rFonts w:ascii="宋体" w:hAnsi="宋体" w:cs="宋体" w:eastAsia="宋体" w:hint="default"/>
          <w:spacing w:val="-2"/>
        </w:rPr>
        <w:t>5,005,420</w:t>
      </w:r>
      <w:r>
        <w:rPr>
          <w:spacing w:val="-2"/>
        </w:rPr>
        <w:t>份，增加股份</w:t>
      </w:r>
      <w:r>
        <w:rPr>
          <w:rFonts w:ascii="宋体" w:hAnsi="宋体" w:cs="宋体" w:eastAsia="宋体" w:hint="default"/>
          <w:spacing w:val="-2"/>
        </w:rPr>
        <w:t>5,005,420</w:t>
      </w:r>
    </w:p>
    <w:p>
      <w:pPr>
        <w:pStyle w:val="BodyText"/>
        <w:spacing w:line="240" w:lineRule="auto" w:before="2"/>
        <w:ind w:right="994"/>
        <w:jc w:val="left"/>
      </w:pPr>
      <w:r>
        <w:rPr/>
        <w:t>股。</w:t>
      </w:r>
    </w:p>
    <w:p>
      <w:pPr>
        <w:pStyle w:val="BodyText"/>
        <w:spacing w:line="316" w:lineRule="auto" w:before="77"/>
        <w:ind w:right="1130" w:firstLine="360"/>
        <w:jc w:val="both"/>
      </w:pPr>
      <w:r>
        <w:rPr>
          <w:rFonts w:ascii="宋体" w:hAnsi="宋体" w:cs="宋体" w:eastAsia="宋体" w:hint="default"/>
        </w:rPr>
        <w:t>2.</w:t>
      </w:r>
      <w:r>
        <w:rPr/>
        <w:t>报告期间，公司以每股</w:t>
      </w:r>
      <w:r>
        <w:rPr>
          <w:rFonts w:ascii="宋体" w:hAnsi="宋体" w:cs="宋体" w:eastAsia="宋体" w:hint="default"/>
        </w:rPr>
        <w:t>18.22</w:t>
      </w:r>
      <w:r>
        <w:rPr/>
        <w:t>元的价格向泰达宏利基金管理有限公司、鹏华资产管理有限公司、财通证券资产管理有 </w:t>
      </w:r>
      <w:r>
        <w:rPr>
          <w:spacing w:val="-2"/>
        </w:rPr>
        <w:t>限公司合计非公开发行股票</w:t>
      </w:r>
      <w:r>
        <w:rPr>
          <w:rFonts w:ascii="宋体" w:hAnsi="宋体" w:cs="宋体" w:eastAsia="宋体" w:hint="default"/>
          <w:spacing w:val="-2"/>
        </w:rPr>
        <w:t>25,000,000</w:t>
      </w:r>
      <w:r>
        <w:rPr>
          <w:spacing w:val="-2"/>
        </w:rPr>
        <w:t>股，新发行股票于</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20</w:t>
      </w:r>
      <w:r>
        <w:rPr>
          <w:spacing w:val="-2"/>
        </w:rPr>
        <w:t>日在中国结算公司登记完成，于</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27</w:t>
      </w:r>
      <w:r>
        <w:rPr>
          <w:spacing w:val="-2"/>
        </w:rPr>
        <w:t>日在深</w:t>
      </w:r>
      <w:r>
        <w:rPr>
          <w:spacing w:val="-38"/>
        </w:rPr>
        <w:t> </w:t>
      </w:r>
      <w:r>
        <w:rPr/>
        <w:t>圳证券交易所上市。</w:t>
      </w:r>
    </w:p>
    <w:p>
      <w:pPr>
        <w:pStyle w:val="BodyText"/>
        <w:spacing w:line="316" w:lineRule="auto" w:before="19"/>
        <w:ind w:left="1493" w:right="1933"/>
        <w:jc w:val="left"/>
      </w:pPr>
      <w:r>
        <w:rPr/>
        <w:t>上述股份变动增加公司资产中货币资金项目，增加股东权益中股本及资本公积项目，降低公司资产负债率。 股份总数及股东结构变动详情如下：</w:t>
      </w:r>
    </w:p>
    <w:p>
      <w:pPr>
        <w:spacing w:after="0" w:line="316"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34" w:type="dxa"/>
        <w:tblLayout w:type="fixed"/>
        <w:tblCellMar>
          <w:top w:w="0" w:type="dxa"/>
          <w:left w:w="0" w:type="dxa"/>
          <w:bottom w:w="0" w:type="dxa"/>
          <w:right w:w="0" w:type="dxa"/>
        </w:tblCellMar>
        <w:tblLook w:val="01E0"/>
      </w:tblPr>
      <w:tblGrid>
        <w:gridCol w:w="1660"/>
        <w:gridCol w:w="1658"/>
        <w:gridCol w:w="1660"/>
        <w:gridCol w:w="1658"/>
        <w:gridCol w:w="1661"/>
      </w:tblGrid>
      <w:tr>
        <w:trPr>
          <w:trHeight w:val="342" w:hRule="exact"/>
        </w:trPr>
        <w:tc>
          <w:tcPr>
            <w:tcW w:w="1660"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股东类别</w:t>
            </w:r>
          </w:p>
        </w:tc>
        <w:tc>
          <w:tcPr>
            <w:tcW w:w="3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上一报告期末</w:t>
            </w:r>
          </w:p>
        </w:tc>
        <w:tc>
          <w:tcPr>
            <w:tcW w:w="33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本报告期末</w:t>
            </w:r>
          </w:p>
        </w:tc>
      </w:tr>
      <w:tr>
        <w:trPr>
          <w:trHeight w:val="342" w:hRule="exact"/>
        </w:trPr>
        <w:tc>
          <w:tcPr>
            <w:tcW w:w="1660" w:type="dxa"/>
            <w:vMerge/>
            <w:tcBorders>
              <w:left w:val="single" w:sz="4" w:space="0" w:color="000000"/>
              <w:bottom w:val="single" w:sz="4" w:space="0" w:color="000000"/>
              <w:right w:val="single" w:sz="4" w:space="0" w:color="000000"/>
            </w:tcBorders>
          </w:tcPr>
          <w:p>
            <w:pP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数量（股）</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数量（股）</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42"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883,984</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0.37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868,300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43"/>
              <w:jc w:val="right"/>
              <w:rPr>
                <w:rFonts w:ascii="宋体" w:hAnsi="宋体" w:cs="宋体" w:eastAsia="宋体" w:hint="default"/>
                <w:sz w:val="18"/>
                <w:szCs w:val="18"/>
              </w:rPr>
            </w:pPr>
            <w:r>
              <w:rPr>
                <w:rFonts w:ascii="宋体"/>
                <w:sz w:val="18"/>
              </w:rPr>
              <w:t>0.33</w:t>
            </w:r>
          </w:p>
        </w:tc>
      </w:tr>
      <w:tr>
        <w:trPr>
          <w:trHeight w:val="654"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563"/>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1,032,145</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0.43</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412,066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sz w:val="18"/>
              </w:rPr>
              <w:t>0.16</w:t>
            </w:r>
          </w:p>
        </w:tc>
      </w:tr>
      <w:tr>
        <w:trPr>
          <w:trHeight w:val="342"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213,987,923</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90.87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208,784,043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sz w:val="18"/>
              </w:rPr>
              <w:t>78.64</w:t>
            </w:r>
          </w:p>
        </w:tc>
      </w:tr>
      <w:tr>
        <w:trPr>
          <w:trHeight w:val="342"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335,199</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0.14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622,948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sz w:val="18"/>
              </w:rPr>
              <w:t>0.23</w:t>
            </w:r>
          </w:p>
        </w:tc>
      </w:tr>
      <w:tr>
        <w:trPr>
          <w:trHeight w:val="342"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247,768</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0.10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422,900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43"/>
              <w:jc w:val="right"/>
              <w:rPr>
                <w:rFonts w:ascii="宋体" w:hAnsi="宋体" w:cs="宋体" w:eastAsia="宋体" w:hint="default"/>
                <w:sz w:val="18"/>
                <w:szCs w:val="18"/>
              </w:rPr>
            </w:pPr>
            <w:r>
              <w:rPr>
                <w:rFonts w:ascii="宋体"/>
                <w:sz w:val="18"/>
              </w:rPr>
              <w:t>0.16</w:t>
            </w:r>
          </w:p>
        </w:tc>
      </w:tr>
      <w:tr>
        <w:trPr>
          <w:trHeight w:val="342"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基金理财产品等</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18,994,261</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8.06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54,376,443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99"/>
              <w:jc w:val="right"/>
              <w:rPr>
                <w:rFonts w:ascii="宋体" w:hAnsi="宋体" w:cs="宋体" w:eastAsia="宋体" w:hint="default"/>
                <w:sz w:val="18"/>
                <w:szCs w:val="18"/>
              </w:rPr>
            </w:pPr>
            <w:r>
              <w:rPr>
                <w:rFonts w:ascii="宋体"/>
                <w:sz w:val="18"/>
              </w:rPr>
              <w:t>20.48</w:t>
            </w:r>
          </w:p>
        </w:tc>
      </w:tr>
      <w:tr>
        <w:trPr>
          <w:trHeight w:val="342" w:hRule="exact"/>
        </w:trPr>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235,481,280</w:t>
            </w:r>
          </w:p>
        </w:tc>
        <w:tc>
          <w:tcPr>
            <w:tcW w:w="1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100.00</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sz w:val="18"/>
              </w:rPr>
              <w:t>265,486,700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53"/>
              <w:jc w:val="right"/>
              <w:rPr>
                <w:rFonts w:ascii="宋体" w:hAnsi="宋体" w:cs="宋体" w:eastAsia="宋体" w:hint="default"/>
                <w:sz w:val="18"/>
                <w:szCs w:val="18"/>
              </w:rPr>
            </w:pPr>
            <w:r>
              <w:rPr>
                <w:rFonts w:ascii="宋体"/>
                <w:sz w:val="18"/>
              </w:rPr>
              <w:t>100.00</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3、现存的内部职工股情况" w:id="110"/>
      <w:bookmarkEnd w:id="110"/>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4"/>
        <w:spacing w:line="240" w:lineRule="auto"/>
        <w:ind w:right="994"/>
        <w:jc w:val="left"/>
        <w:rPr>
          <w:b w:val="0"/>
          <w:bCs w:val="0"/>
        </w:rPr>
      </w:pPr>
      <w:bookmarkStart w:name="三、股东和实际控制人情况" w:id="111"/>
      <w:bookmarkEnd w:id="111"/>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1、公司股东数量及持股情况" w:id="112"/>
      <w:bookmarkEnd w:id="112"/>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pict>
          <v:shape style="position:absolute;margin-left:449.277008pt;margin-top:70.511711pt;width:85.6pt;height:31.2pt;mso-position-horizontal-relative:page;mso-position-vertical-relative:paragraph;z-index:-1159168" type="#_x0000_t202" filled="false" stroked="false">
            <v:textbox inset="0,0,0,0">
              <w:txbxContent>
                <w:p>
                  <w:pPr>
                    <w:pStyle w:val="BodyText"/>
                    <w:spacing w:line="207" w:lineRule="exact" w:before="0"/>
                    <w:ind w:left="0" w:right="0"/>
                    <w:jc w:val="left"/>
                  </w:pPr>
                  <w:r>
                    <w:rPr/>
                    <w:t>（如有）</w:t>
                  </w:r>
                </w:p>
              </w:txbxContent>
            </v:textbox>
            <w10:wrap type="none"/>
          </v:shape>
        </w:pict>
      </w:r>
      <w:r>
        <w:rPr/>
        <w:pict>
          <v:group style="position:absolute;margin-left:482.399994pt;margin-top:70.511711pt;width:52.45pt;height:31.2pt;mso-position-horizontal-relative:page;mso-position-vertical-relative:paragraph;z-index:-1159144" coordorigin="9648,1410" coordsize="1049,624">
            <v:shape style="position:absolute;left:9648;top:1410;width:1049;height:624" coordorigin="9648,1410" coordsize="1049,624" path="m9648,2034l10697,2034,10697,1410,9648,1410,9648,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13,008</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5" w:right="0"/>
              <w:jc w:val="left"/>
              <w:rPr>
                <w:rFonts w:ascii="Times New Roman" w:hAnsi="Times New Roman" w:cs="Times New Roman" w:eastAsia="Times New Roman" w:hint="default"/>
                <w:sz w:val="18"/>
                <w:szCs w:val="18"/>
              </w:rPr>
            </w:pPr>
            <w:r>
              <w:rPr>
                <w:rFonts w:ascii="Times New Roman"/>
                <w:sz w:val="18"/>
              </w:rPr>
              <w:t>11,786</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8"/>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8"/>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1"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1"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28.87%</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76,640,00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57,480,00</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19,160,00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5" w:space="0" w:color="D2D2D2"/>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15,700,000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9.57%</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25,405,76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19,054,32</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6,351,440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13,050,000</w:t>
            </w:r>
          </w:p>
        </w:tc>
      </w:tr>
      <w:tr>
        <w:trPr>
          <w:trHeight w:val="165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渤海国际信托股 份有限公司－渤 海信托－恒利丰 </w:t>
            </w:r>
            <w:r>
              <w:rPr>
                <w:rFonts w:ascii="Times New Roman" w:hAnsi="Times New Roman" w:cs="Times New Roman" w:eastAsia="Times New Roman" w:hint="default"/>
                <w:sz w:val="18"/>
                <w:szCs w:val="18"/>
              </w:rPr>
              <w:t>215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 托计划</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4.71%</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12,499,78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12,499,78</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12,499,78</w:t>
            </w:r>
          </w:p>
          <w:p>
            <w:pPr>
              <w:pStyle w:val="TableParagraph"/>
              <w:spacing w:line="240" w:lineRule="auto" w:before="106"/>
              <w:ind w:right="59"/>
              <w:jc w:val="right"/>
              <w:rPr>
                <w:rFonts w:ascii="Times New Roman" w:hAnsi="Times New Roman" w:cs="Times New Roman" w:eastAsia="Times New Roman" w:hint="default"/>
                <w:sz w:val="18"/>
                <w:szCs w:val="18"/>
              </w:rPr>
            </w:pPr>
            <w:r>
              <w:rPr>
                <w:rFonts w:ascii="Times New Roman"/>
                <w:sz w:val="18"/>
              </w:rPr>
              <w:t>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杨艳</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4.29%</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3" w:right="0"/>
              <w:jc w:val="left"/>
              <w:rPr>
                <w:rFonts w:ascii="Times New Roman" w:hAnsi="Times New Roman" w:cs="Times New Roman" w:eastAsia="Times New Roman" w:hint="default"/>
                <w:sz w:val="18"/>
                <w:szCs w:val="18"/>
              </w:rPr>
            </w:pPr>
            <w:r>
              <w:rPr>
                <w:rFonts w:ascii="Times New Roman"/>
                <w:sz w:val="18"/>
              </w:rPr>
              <w:t>11,400,000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3.49%</w:t>
            </w:r>
          </w:p>
        </w:tc>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9,260,000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6" w:right="0"/>
              <w:jc w:val="left"/>
              <w:rPr>
                <w:rFonts w:ascii="Times New Roman" w:hAnsi="Times New Roman" w:cs="Times New Roman" w:eastAsia="Times New Roman" w:hint="default"/>
                <w:sz w:val="18"/>
                <w:szCs w:val="18"/>
              </w:rPr>
            </w:pPr>
            <w:r>
              <w:rPr>
                <w:rFonts w:ascii="Times New Roman"/>
                <w:sz w:val="18"/>
              </w:rPr>
              <w:t>8,210,000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李霞</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8,497,000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鹏华资产－浦发 银行－粤财信托</w:t>
            </w:r>
          </w:p>
          <w:p>
            <w:pPr>
              <w:pStyle w:val="TableParagraph"/>
              <w:spacing w:line="309"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－粤财信托－菁 英</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156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期单一资金 信托计划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7,497,475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7,497,475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7,497,475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30"/>
              <w:jc w:val="both"/>
              <w:rPr>
                <w:rFonts w:ascii="宋体" w:hAnsi="宋体" w:cs="宋体" w:eastAsia="宋体" w:hint="default"/>
                <w:sz w:val="18"/>
                <w:szCs w:val="18"/>
              </w:rPr>
            </w:pPr>
            <w:r>
              <w:rPr>
                <w:rFonts w:ascii="宋体" w:hAnsi="宋体" w:cs="宋体" w:eastAsia="宋体" w:hint="default"/>
                <w:sz w:val="18"/>
                <w:szCs w:val="18"/>
              </w:rPr>
              <w:t>泰达宏利基金－ 浦发银行－云南 信托－云信富春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 托</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5,002,744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5,002,744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5,002,744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份有限公司－富 国天惠精选成长 混合型证券投资 基金（</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3,839,335</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3,839,335</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刘必兰</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3,513,654</w:t>
            </w: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3,513,654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shd w:val="clear" w:color="auto" w:fill="CCE8CF"/>
          </w:tcPr>
          <w:p>
            <w:pPr>
              <w:pStyle w:val="TableParagraph"/>
              <w:spacing w:line="319" w:lineRule="auto" w:before="51"/>
              <w:ind w:left="16" w:right="22"/>
              <w:jc w:val="both"/>
              <w:rPr>
                <w:rFonts w:ascii="宋体" w:hAnsi="宋体" w:cs="宋体" w:eastAsia="宋体" w:hint="default"/>
                <w:sz w:val="18"/>
                <w:szCs w:val="18"/>
              </w:rPr>
            </w:pPr>
            <w:r>
              <w:rPr>
                <w:rFonts w:ascii="宋体" w:hAnsi="宋体" w:cs="宋体" w:eastAsia="宋体" w:hint="default"/>
                <w:spacing w:val="-1"/>
                <w:sz w:val="18"/>
                <w:szCs w:val="18"/>
              </w:rPr>
              <w:t>刘亚先生为刘祥先生之弟弟，江汉先生为刘祥先生妹妹之配偶，杨艳女士为刘亚先生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之配偶，杨艳女士与刘亚先生为一致行动人；除此之外，未发现公司股东之间存在关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联关系或属于《上市公司股东持股变动信息披露管理办法》规定的一致行动人。</w:t>
            </w:r>
          </w:p>
        </w:tc>
      </w:tr>
      <w:tr>
        <w:trPr>
          <w:trHeight w:val="705"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9" w:space="0" w:color="D2D2D2"/>
              <w:right w:val="single" w:sz="4" w:space="0" w:color="000000"/>
            </w:tcBorders>
            <w:shd w:val="clear" w:color="auto" w:fill="CCE8CF"/>
          </w:tcPr>
          <w:p>
            <w:pPr/>
          </w:p>
        </w:tc>
      </w:tr>
      <w:tr>
        <w:trPr>
          <w:trHeight w:val="161"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shd w:val="clear" w:color="auto" w:fill="CCE8CF"/>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19,160,000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杨艳</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11,400,000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9,260,000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李霞</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8,497,000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8,497,000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6,351,440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6,351,440</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中国工商银行股份有限公司－富国 天惠精选成长混合型证券投资基金</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3,839,335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3,839,335</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刘必兰</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3,513,654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3,513,654</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中国银行股份有限公司－富国改革 动力混合型证券投资基金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3,277,944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3,277,944</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中国建设银行股份有限公司－富国 国家安全主题混合型证券投资基金</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2,642,680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2,642,680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69"/>
        <w:gridCol w:w="4001"/>
        <w:gridCol w:w="1349"/>
        <w:gridCol w:w="1349"/>
      </w:tblGrid>
      <w:tr>
        <w:trPr>
          <w:trHeight w:val="402" w:hRule="exact"/>
        </w:trPr>
        <w:tc>
          <w:tcPr>
            <w:tcW w:w="2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4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2,172,900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6" w:right="0"/>
              <w:jc w:val="left"/>
              <w:rPr>
                <w:rFonts w:ascii="Times New Roman" w:hAnsi="Times New Roman" w:cs="Times New Roman" w:eastAsia="Times New Roman" w:hint="default"/>
                <w:sz w:val="18"/>
                <w:szCs w:val="18"/>
              </w:rPr>
            </w:pPr>
            <w:r>
              <w:rPr>
                <w:rFonts w:ascii="Times New Roman"/>
                <w:sz w:val="18"/>
              </w:rPr>
              <w:t>2,172,900</w:t>
            </w:r>
          </w:p>
        </w:tc>
      </w:tr>
      <w:tr>
        <w:trPr>
          <w:trHeight w:val="1338" w:hRule="exact"/>
        </w:trPr>
        <w:tc>
          <w:tcPr>
            <w:tcW w:w="2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10"/>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9"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7" w:right="22"/>
              <w:jc w:val="both"/>
              <w:rPr>
                <w:rFonts w:ascii="宋体" w:hAnsi="宋体" w:cs="宋体" w:eastAsia="宋体" w:hint="default"/>
                <w:sz w:val="18"/>
                <w:szCs w:val="18"/>
              </w:rPr>
            </w:pPr>
            <w:r>
              <w:rPr>
                <w:rFonts w:ascii="宋体" w:hAnsi="宋体" w:cs="宋体" w:eastAsia="宋体" w:hint="default"/>
                <w:spacing w:val="-1"/>
                <w:sz w:val="18"/>
                <w:szCs w:val="18"/>
              </w:rPr>
              <w:t>刘亚先生为刘祥先生之弟弟，江汉先生为刘祥先生妹妹之配偶，杨艳女士为刘亚先生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之配偶，杨艳女士与刘亚先生为一致行动人；除此之外，未发现公司股东之间存在关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联关系或属于《上市公司股东持股变动信息披露管理办法》规定的一致行动人。</w:t>
            </w:r>
          </w:p>
        </w:tc>
      </w:tr>
      <w:tr>
        <w:trPr>
          <w:trHeight w:val="714" w:hRule="exact"/>
        </w:trPr>
        <w:tc>
          <w:tcPr>
            <w:tcW w:w="2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9" w:type="dxa"/>
            <w:gridSpan w:val="3"/>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994"/>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994"/>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5"/>
        <w:spacing w:line="240" w:lineRule="auto"/>
        <w:ind w:right="994"/>
        <w:jc w:val="left"/>
        <w:rPr>
          <w:b w:val="0"/>
          <w:bCs w:val="0"/>
        </w:rPr>
      </w:pPr>
      <w:bookmarkStart w:name="2、公司控股股东情况" w:id="113"/>
      <w:bookmarkEnd w:id="113"/>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593"/>
        <w:jc w:val="left"/>
      </w:pPr>
      <w:r>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29"/>
        <w:gridCol w:w="2018"/>
        <w:gridCol w:w="4121"/>
      </w:tblGrid>
      <w:tr>
        <w:trPr>
          <w:trHeight w:val="397" w:hRule="exact"/>
        </w:trPr>
        <w:tc>
          <w:tcPr>
            <w:tcW w:w="3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7" w:hRule="exact"/>
        </w:trPr>
        <w:tc>
          <w:tcPr>
            <w:tcW w:w="342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20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29" w:type="dxa"/>
            <w:tcBorders>
              <w:top w:val="single" w:sz="4" w:space="0" w:color="000000"/>
              <w:left w:val="single" w:sz="4" w:space="0" w:color="000000"/>
              <w:bottom w:val="single" w:sz="4" w:space="0" w:color="000000"/>
              <w:right w:val="single" w:sz="9"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39"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深圳市新国都技术股份有限公司董事长兼总经理</w:t>
            </w:r>
          </w:p>
        </w:tc>
      </w:tr>
      <w:tr>
        <w:trPr>
          <w:trHeight w:val="161" w:hRule="exact"/>
        </w:trPr>
        <w:tc>
          <w:tcPr>
            <w:tcW w:w="3429" w:type="dxa"/>
            <w:vMerge w:val="restart"/>
            <w:tcBorders>
              <w:top w:val="single" w:sz="4" w:space="0" w:color="000000"/>
              <w:left w:val="single" w:sz="4" w:space="0" w:color="000000"/>
              <w:right w:val="single" w:sz="9" w:space="0" w:color="CCE8CF"/>
            </w:tcBorders>
            <w:shd w:val="clear" w:color="auto" w:fill="D2D2D2"/>
          </w:tcPr>
          <w:p>
            <w:pPr>
              <w:pStyle w:val="TableParagraph"/>
              <w:spacing w:line="319" w:lineRule="auto" w:before="51"/>
              <w:ind w:left="22" w:right="148"/>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39" w:type="dxa"/>
            <w:gridSpan w:val="2"/>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2" w:hRule="exact"/>
        </w:trPr>
        <w:tc>
          <w:tcPr>
            <w:tcW w:w="3429" w:type="dxa"/>
            <w:vMerge/>
            <w:tcBorders>
              <w:left w:val="single" w:sz="4" w:space="0" w:color="000000"/>
              <w:right w:val="single" w:sz="9" w:space="0" w:color="CCE8CF"/>
            </w:tcBorders>
            <w:shd w:val="clear" w:color="auto" w:fill="D2D2D2"/>
          </w:tcPr>
          <w:p>
            <w:pPr/>
          </w:p>
        </w:tc>
        <w:tc>
          <w:tcPr>
            <w:tcW w:w="6139" w:type="dxa"/>
            <w:gridSpan w:val="2"/>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429" w:type="dxa"/>
            <w:vMerge/>
            <w:tcBorders>
              <w:left w:val="single" w:sz="4" w:space="0" w:color="000000"/>
              <w:bottom w:val="single" w:sz="4" w:space="0" w:color="000000"/>
              <w:right w:val="single" w:sz="9" w:space="0" w:color="CCE8CF"/>
            </w:tcBorders>
            <w:shd w:val="clear" w:color="auto" w:fill="D2D2D2"/>
          </w:tcPr>
          <w:p>
            <w:pPr/>
          </w:p>
        </w:tc>
        <w:tc>
          <w:tcPr>
            <w:tcW w:w="6139" w:type="dxa"/>
            <w:gridSpan w:val="2"/>
            <w:tcBorders>
              <w:top w:val="nil" w:sz="6" w:space="0" w:color="auto"/>
              <w:left w:val="single" w:sz="4" w:space="0" w:color="000000"/>
              <w:bottom w:val="single" w:sz="4" w:space="0" w:color="000000"/>
              <w:right w:val="single" w:sz="4" w:space="0" w:color="000000"/>
            </w:tcBorders>
            <w:shd w:val="clear" w:color="auto" w:fill="CCE8CF"/>
          </w:tcPr>
          <w:p>
            <w:pPr/>
          </w:p>
        </w:tc>
      </w:tr>
    </w:tbl>
    <w:p>
      <w:pPr>
        <w:pStyle w:val="BodyText"/>
        <w:spacing w:line="240" w:lineRule="auto" w:before="65"/>
        <w:ind w:left="1134" w:right="994"/>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5"/>
        <w:spacing w:line="240" w:lineRule="auto"/>
        <w:ind w:right="994"/>
        <w:jc w:val="left"/>
        <w:rPr>
          <w:b w:val="0"/>
          <w:bCs w:val="0"/>
        </w:rPr>
      </w:pPr>
      <w:bookmarkStart w:name="3、公司实际控制人情况" w:id="114"/>
      <w:bookmarkEnd w:id="114"/>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20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gridSpan w:val="2"/>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深圳市新国都技术股份有限公司董事长兼总经理</w:t>
            </w:r>
          </w:p>
        </w:tc>
      </w:tr>
      <w:tr>
        <w:trPr>
          <w:trHeight w:val="402" w:hRule="exact"/>
        </w:trPr>
        <w:tc>
          <w:tcPr>
            <w:tcW w:w="3335"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9" w:space="0" w:color="D2D2D2"/>
              <w:bottom w:val="single" w:sz="4" w:space="0" w:color="000000"/>
              <w:right w:val="single" w:sz="4" w:space="0" w:color="000000"/>
            </w:tcBorders>
            <w:shd w:val="clear" w:color="auto" w:fill="CCE8CF"/>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left="1134" w:right="994"/>
        <w:jc w:val="left"/>
      </w:pPr>
      <w:r>
        <w:rPr/>
        <w:t>实际控制人报告期内变更</w:t>
      </w:r>
    </w:p>
    <w:p>
      <w:pPr>
        <w:pStyle w:val="BodyText"/>
        <w:spacing w:line="350"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5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line="2535" w:lineRule="exact"/>
        <w:ind w:left="2336" w:right="0" w:firstLine="0"/>
        <w:rPr>
          <w:rFonts w:ascii="宋体" w:hAnsi="宋体" w:cs="宋体" w:eastAsia="宋体" w:hint="default"/>
          <w:sz w:val="20"/>
          <w:szCs w:val="20"/>
        </w:rPr>
      </w:pPr>
      <w:r>
        <w:rPr>
          <w:rFonts w:ascii="宋体" w:hAnsi="宋体" w:cs="宋体" w:eastAsia="宋体" w:hint="default"/>
          <w:position w:val="-50"/>
          <w:sz w:val="20"/>
          <w:szCs w:val="20"/>
        </w:rPr>
        <w:drawing>
          <wp:inline distT="0" distB="0" distL="0" distR="0">
            <wp:extent cx="4593589" cy="16097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5" cstate="print"/>
                    <a:stretch>
                      <a:fillRect/>
                    </a:stretch>
                  </pic:blipFill>
                  <pic:spPr>
                    <a:xfrm>
                      <a:off x="0" y="0"/>
                      <a:ext cx="4593589" cy="1609725"/>
                    </a:xfrm>
                    <a:prstGeom prst="rect">
                      <a:avLst/>
                    </a:prstGeom>
                  </pic:spPr>
                </pic:pic>
              </a:graphicData>
            </a:graphic>
          </wp:inline>
        </w:drawing>
      </w:r>
      <w:r>
        <w:rPr>
          <w:rFonts w:ascii="宋体" w:hAnsi="宋体" w:cs="宋体" w:eastAsia="宋体" w:hint="default"/>
          <w:position w:val="-50"/>
          <w:sz w:val="20"/>
          <w:szCs w:val="20"/>
        </w:rPr>
      </w:r>
    </w:p>
    <w:p>
      <w:pPr>
        <w:spacing w:line="240" w:lineRule="auto" w:before="4"/>
        <w:rPr>
          <w:rFonts w:ascii="宋体" w:hAnsi="宋体" w:cs="宋体" w:eastAsia="宋体" w:hint="default"/>
          <w:sz w:val="23"/>
          <w:szCs w:val="23"/>
        </w:rPr>
      </w:pPr>
    </w:p>
    <w:p>
      <w:pPr>
        <w:pStyle w:val="BodyText"/>
        <w:spacing w:line="240" w:lineRule="auto"/>
        <w:ind w:right="994"/>
        <w:jc w:val="left"/>
      </w:pPr>
      <w:r>
        <w:rPr/>
        <w:t>实际控制人通过信托或其他资产管理方式控制公司</w:t>
      </w:r>
    </w:p>
    <w:p>
      <w:pPr>
        <w:pStyle w:val="BodyText"/>
        <w:spacing w:line="240" w:lineRule="auto" w:before="116"/>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94"/>
        <w:jc w:val="left"/>
        <w:rPr>
          <w:b w:val="0"/>
          <w:bCs w:val="0"/>
        </w:rPr>
      </w:pPr>
      <w:bookmarkStart w:name="4、其他持股在10%以上的法人股东" w:id="115"/>
      <w:bookmarkEnd w:id="115"/>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94"/>
        <w:jc w:val="left"/>
        <w:rPr>
          <w:b w:val="0"/>
          <w:bCs w:val="0"/>
        </w:rPr>
      </w:pPr>
      <w:bookmarkStart w:name="5、控股股东、实际控制人、重组方及其他承诺主体股份限制减持情况" w:id="116"/>
      <w:bookmarkEnd w:id="116"/>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5"/>
        <w:jc w:val="center"/>
        <w:rPr>
          <w:b w:val="0"/>
          <w:bCs w:val="0"/>
        </w:rPr>
      </w:pPr>
      <w:bookmarkStart w:name="第七节 优先股相关情况" w:id="117"/>
      <w:bookmarkEnd w:id="117"/>
      <w:r>
        <w:rPr>
          <w:b w:val="0"/>
          <w:bCs w:val="0"/>
        </w:rPr>
      </w:r>
      <w:bookmarkStart w:name="_bookmark5" w:id="118"/>
      <w:bookmarkEnd w:id="118"/>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994"/>
        <w:jc w:val="left"/>
        <w:rPr>
          <w:b w:val="0"/>
          <w:bCs w:val="0"/>
        </w:rPr>
      </w:pPr>
      <w:bookmarkStart w:name="第八节 董事、监事、高级管理人员和员工情况" w:id="119"/>
      <w:bookmarkEnd w:id="119"/>
      <w:r>
        <w:rPr>
          <w:b w:val="0"/>
          <w:bCs w:val="0"/>
        </w:rPr>
      </w:r>
      <w:bookmarkStart w:name="_bookmark6" w:id="120"/>
      <w:bookmarkEnd w:id="120"/>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4"/>
        <w:spacing w:line="240" w:lineRule="auto"/>
        <w:ind w:right="994"/>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76,640,00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76,640,00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25,405,76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25,405,76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1,102,500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贾巍</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何佳</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陈京琳</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蔡艳红</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梅培培</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钱瑜</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张金燕</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872,300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1,025,400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宋菁</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姚骏</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253,500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江勇</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2,172,900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2,172,900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李艳芳</w:t>
            </w: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186,100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108,683,0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968,000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108,093,9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61</w:t>
            </w:r>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994"/>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329"/>
        <w:gridCol w:w="1330"/>
        <w:gridCol w:w="1330"/>
        <w:gridCol w:w="1331"/>
        <w:gridCol w:w="4248"/>
      </w:tblGrid>
      <w:tr>
        <w:trPr>
          <w:trHeight w:val="401"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2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9" w:space="0" w:color="CCE8CF"/>
            </w:tcBorders>
          </w:tcPr>
          <w:p>
            <w:pPr>
              <w:pStyle w:val="TableParagraph"/>
              <w:spacing w:line="240" w:lineRule="auto" w:before="71"/>
              <w:ind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tc>
        <w:tc>
          <w:tcPr>
            <w:tcW w:w="424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362" w:hRule="exact"/>
        </w:trPr>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任期届满离任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李艳芳</w:t>
            </w:r>
          </w:p>
        </w:tc>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个人原因离职</w:t>
            </w:r>
          </w:p>
        </w:tc>
      </w:tr>
    </w:tbl>
    <w:p>
      <w:pPr>
        <w:spacing w:line="240" w:lineRule="auto" w:before="2"/>
        <w:rPr>
          <w:rFonts w:ascii="宋体" w:hAnsi="宋体" w:cs="宋体" w:eastAsia="宋体" w:hint="default"/>
          <w:sz w:val="18"/>
          <w:szCs w:val="18"/>
        </w:rPr>
      </w:pPr>
    </w:p>
    <w:p>
      <w:pPr>
        <w:pStyle w:val="Heading4"/>
        <w:spacing w:line="240" w:lineRule="auto" w:before="26"/>
        <w:ind w:left="1134" w:right="994"/>
        <w:jc w:val="left"/>
        <w:rPr>
          <w:b w:val="0"/>
          <w:bCs w:val="0"/>
        </w:rPr>
      </w:pPr>
      <w:bookmarkStart w:name="三、任职情况" w:id="123"/>
      <w:bookmarkEnd w:id="123"/>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493" w:right="994"/>
        <w:jc w:val="left"/>
      </w:pPr>
      <w:r>
        <w:rPr/>
        <w:t>公司现任董事、监事、高级管理人员专业背景、主要工作经历以及目前在公司的主要职责</w:t>
      </w:r>
    </w:p>
    <w:p>
      <w:pPr>
        <w:pStyle w:val="BodyText"/>
        <w:spacing w:line="300" w:lineRule="auto" w:before="115"/>
        <w:ind w:left="1493" w:right="994" w:firstLine="73"/>
        <w:jc w:val="left"/>
      </w:pPr>
      <w:r>
        <w:rPr>
          <w:rFonts w:ascii="Times New Roman" w:hAnsi="Times New Roman" w:cs="Times New Roman" w:eastAsia="Times New Roman" w:hint="default"/>
        </w:rPr>
        <w:t>1</w:t>
      </w:r>
      <w:r>
        <w:rPr/>
        <w:t>、董事会成员简介 </w:t>
      </w:r>
      <w:r>
        <w:rPr>
          <w:spacing w:val="-2"/>
        </w:rPr>
        <w:t>刘祥，男，</w:t>
      </w:r>
      <w:r>
        <w:rPr>
          <w:rFonts w:ascii="Times New Roman" w:hAnsi="Times New Roman" w:cs="Times New Roman" w:eastAsia="Times New Roman" w:hint="default"/>
          <w:spacing w:val="-2"/>
        </w:rPr>
        <w:t>51</w:t>
      </w:r>
      <w:r>
        <w:rPr>
          <w:spacing w:val="-2"/>
        </w:rPr>
        <w:t>岁，中国国籍，无境外居留权，毕业于东南大学，本科学历，现任本公司董事长兼总经理。</w:t>
      </w:r>
      <w:r>
        <w:rPr>
          <w:rFonts w:ascii="Times New Roman" w:hAnsi="Times New Roman" w:cs="Times New Roman" w:eastAsia="Times New Roman" w:hint="default"/>
          <w:spacing w:val="-2"/>
        </w:rPr>
        <w:t>2001</w:t>
      </w:r>
      <w:r>
        <w:rPr>
          <w:spacing w:val="-2"/>
        </w:rPr>
        <w:t>年创建深</w:t>
      </w:r>
    </w:p>
    <w:p>
      <w:pPr>
        <w:pStyle w:val="BodyText"/>
        <w:spacing w:line="316" w:lineRule="auto" w:before="13"/>
        <w:ind w:left="1493" w:right="994" w:hanging="360"/>
        <w:jc w:val="left"/>
      </w:pPr>
      <w:r>
        <w:rPr/>
        <w:t>圳市新国都技术有限公司，现兼任曲水格立创业投资有限公司执行董事，深圳市泰德信实业有限公司董事。 江汉，男，</w:t>
      </w:r>
      <w:r>
        <w:rPr>
          <w:rFonts w:ascii="Times New Roman" w:hAnsi="Times New Roman" w:cs="Times New Roman" w:eastAsia="Times New Roman" w:hint="default"/>
        </w:rPr>
        <w:t>47</w:t>
      </w:r>
      <w:r>
        <w:rPr/>
        <w:t>岁，中国国籍，无境外居留权，工商管理硕士（</w:t>
      </w:r>
      <w:r>
        <w:rPr>
          <w:rFonts w:ascii="Times New Roman" w:hAnsi="Times New Roman" w:cs="Times New Roman" w:eastAsia="Times New Roman" w:hint="default"/>
        </w:rPr>
        <w:t>MBA</w:t>
      </w:r>
      <w:r>
        <w:rPr/>
        <w:t>），现任本公司董事兼副总经理。现任深圳市泰德</w:t>
      </w:r>
    </w:p>
    <w:p>
      <w:pPr>
        <w:pStyle w:val="BodyText"/>
        <w:spacing w:line="316" w:lineRule="auto" w:before="0"/>
        <w:ind w:right="994"/>
        <w:jc w:val="left"/>
      </w:pPr>
      <w:r>
        <w:rPr>
          <w:spacing w:val="-2"/>
        </w:rPr>
        <w:t>信实业有限公司董事，深圳市信联征信有限公司执行董事，浙江中正智能科技有限公司董事，长沙公信诚丰信息技术服务有</w:t>
      </w:r>
      <w:r>
        <w:rPr>
          <w:spacing w:val="-66"/>
        </w:rPr>
        <w:t> </w:t>
      </w:r>
      <w:r>
        <w:rPr>
          <w:spacing w:val="-66"/>
        </w:rPr>
      </w:r>
      <w:r>
        <w:rPr/>
        <w:t>限公司董事长。</w:t>
      </w:r>
    </w:p>
    <w:p>
      <w:pPr>
        <w:pStyle w:val="BodyText"/>
        <w:spacing w:line="300" w:lineRule="auto" w:before="19"/>
        <w:ind w:left="1134" w:right="994" w:firstLine="360"/>
        <w:jc w:val="left"/>
      </w:pPr>
      <w:r>
        <w:rPr>
          <w:spacing w:val="-2"/>
        </w:rPr>
        <w:t>汪洋，男，</w:t>
      </w:r>
      <w:r>
        <w:rPr>
          <w:rFonts w:ascii="Times New Roman" w:hAnsi="Times New Roman" w:cs="Times New Roman" w:eastAsia="Times New Roman" w:hint="default"/>
          <w:spacing w:val="-2"/>
        </w:rPr>
        <w:t>55</w:t>
      </w:r>
      <w:r>
        <w:rPr>
          <w:spacing w:val="-2"/>
        </w:rPr>
        <w:t>岁，中国国籍，无境外居留权，本科学历，现任本公司董事兼副总经理。现任深圳市新国都支付技术有限</w:t>
      </w:r>
      <w:r>
        <w:rPr/>
        <w:t> 公司执行董事兼总经理。</w:t>
      </w:r>
    </w:p>
    <w:p>
      <w:pPr>
        <w:pStyle w:val="BodyText"/>
        <w:spacing w:line="300" w:lineRule="auto" w:before="31"/>
        <w:ind w:left="1134" w:right="994" w:firstLine="360"/>
        <w:jc w:val="left"/>
      </w:pPr>
      <w:r>
        <w:rPr>
          <w:spacing w:val="-2"/>
        </w:rPr>
        <w:t>韦余红，男，</w:t>
      </w:r>
      <w:r>
        <w:rPr>
          <w:rFonts w:ascii="Times New Roman" w:hAnsi="Times New Roman" w:cs="Times New Roman" w:eastAsia="Times New Roman" w:hint="default"/>
          <w:spacing w:val="-2"/>
        </w:rPr>
        <w:t>49</w:t>
      </w:r>
      <w:r>
        <w:rPr>
          <w:spacing w:val="-2"/>
        </w:rPr>
        <w:t>岁，中国国籍，无境外居留权，研究生学历，现任本公司董事兼副总经理，现任深圳市新国都支付技术</w:t>
      </w:r>
      <w:r>
        <w:rPr/>
        <w:t> 有限公司监事。</w:t>
      </w:r>
    </w:p>
    <w:p>
      <w:pPr>
        <w:pStyle w:val="BodyText"/>
        <w:spacing w:line="300" w:lineRule="auto" w:before="32"/>
        <w:ind w:right="1123" w:firstLine="360"/>
        <w:jc w:val="left"/>
      </w:pPr>
      <w:r>
        <w:rPr/>
        <w:t>贾巍，女，</w:t>
      </w:r>
      <w:r>
        <w:rPr>
          <w:rFonts w:ascii="Times New Roman" w:hAnsi="Times New Roman" w:cs="Times New Roman" w:eastAsia="Times New Roman" w:hint="default"/>
        </w:rPr>
        <w:t>45</w:t>
      </w:r>
      <w:r>
        <w:rPr/>
        <w:t>岁，中国国籍，无境外居留权，硕士学历，中国注册会计师协会非执业会员，现任本公司董事。</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 </w:t>
      </w:r>
      <w:r>
        <w:rPr/>
        <w:t>月至今任深圳国中创业投资管理有限公司合伙人。</w:t>
      </w:r>
    </w:p>
    <w:p>
      <w:pPr>
        <w:pStyle w:val="BodyText"/>
        <w:spacing w:line="300" w:lineRule="auto" w:before="31"/>
        <w:ind w:left="1134" w:right="994" w:firstLine="360"/>
        <w:jc w:val="left"/>
      </w:pPr>
      <w:r>
        <w:rPr>
          <w:spacing w:val="-2"/>
        </w:rPr>
        <w:t>何佳，男，</w:t>
      </w:r>
      <w:r>
        <w:rPr>
          <w:rFonts w:ascii="Times New Roman" w:hAnsi="Times New Roman" w:cs="Times New Roman" w:eastAsia="Times New Roman" w:hint="default"/>
          <w:spacing w:val="-2"/>
        </w:rPr>
        <w:t>64</w:t>
      </w:r>
      <w:r>
        <w:rPr>
          <w:spacing w:val="-2"/>
        </w:rPr>
        <w:t>岁，香港居民，博士学历，毕业于美国宾夕凡尼亚大学沃顿商学院，现任本公司独立董事，任职于南方科</w:t>
      </w:r>
      <w:r>
        <w:rPr/>
        <w:t> 技大学，担任财政学教授职务。</w:t>
      </w:r>
    </w:p>
    <w:p>
      <w:pPr>
        <w:pStyle w:val="BodyText"/>
        <w:spacing w:line="300" w:lineRule="auto" w:before="31"/>
        <w:ind w:right="994" w:firstLine="360"/>
        <w:jc w:val="left"/>
      </w:pPr>
      <w:r>
        <w:rPr>
          <w:spacing w:val="-2"/>
        </w:rPr>
        <w:t>陈京琳，男，</w:t>
      </w:r>
      <w:r>
        <w:rPr>
          <w:rFonts w:ascii="Times New Roman" w:hAnsi="Times New Roman" w:cs="Times New Roman" w:eastAsia="Times New Roman" w:hint="default"/>
          <w:spacing w:val="-2"/>
        </w:rPr>
        <w:t>46</w:t>
      </w:r>
      <w:r>
        <w:rPr>
          <w:spacing w:val="-2"/>
        </w:rPr>
        <w:t>岁，中国国籍，无境外居留权，硕士研究生学历，毕业于中欧工商管理学院，现任本公司独立董事，任</w:t>
      </w:r>
      <w:r>
        <w:rPr/>
        <w:t> 职于广东华商律师事务所，担任高级合伙人职务。</w:t>
      </w:r>
    </w:p>
    <w:p>
      <w:pPr>
        <w:pStyle w:val="BodyText"/>
        <w:spacing w:line="300" w:lineRule="auto" w:before="31"/>
        <w:ind w:right="994" w:firstLine="360"/>
        <w:jc w:val="left"/>
      </w:pPr>
      <w:r>
        <w:rPr>
          <w:spacing w:val="-5"/>
        </w:rPr>
        <w:t>蔡艳红，女，</w:t>
      </w:r>
      <w:r>
        <w:rPr>
          <w:rFonts w:ascii="Times New Roman" w:hAnsi="Times New Roman" w:cs="Times New Roman" w:eastAsia="Times New Roman" w:hint="default"/>
          <w:spacing w:val="-5"/>
        </w:rPr>
        <w:t>44</w:t>
      </w:r>
      <w:r>
        <w:rPr>
          <w:spacing w:val="-5"/>
        </w:rPr>
        <w:t>岁，中国国籍，无境外居留权，本科学历，中国注册会计师协会非执业会员。现任本公司独立董事。</w:t>
      </w:r>
      <w:r>
        <w:rPr>
          <w:rFonts w:ascii="Times New Roman" w:hAnsi="Times New Roman" w:cs="Times New Roman" w:eastAsia="Times New Roman" w:hint="default"/>
          <w:spacing w:val="-5"/>
        </w:rPr>
        <w:t>2017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4</w:t>
      </w:r>
      <w:r>
        <w:rPr/>
        <w:t>月至今任深圳市杨邦胜室内设计有限公司任财务总监、董事会秘书，兼任湖南科力远新能源股份有限公司独立董事。</w:t>
      </w:r>
    </w:p>
    <w:p>
      <w:pPr>
        <w:pStyle w:val="BodyText"/>
        <w:spacing w:line="300" w:lineRule="auto" w:before="13"/>
        <w:ind w:left="1493" w:right="1933" w:firstLine="73"/>
        <w:jc w:val="left"/>
      </w:pPr>
      <w:r>
        <w:rPr>
          <w:rFonts w:ascii="Times New Roman" w:hAnsi="Times New Roman" w:cs="Times New Roman" w:eastAsia="Times New Roman" w:hint="default"/>
        </w:rPr>
        <w:t>2</w:t>
      </w:r>
      <w:r>
        <w:rPr/>
        <w:t>、监事会成员简介 梅培培，女，</w:t>
      </w:r>
      <w:r>
        <w:rPr>
          <w:rFonts w:ascii="Times New Roman" w:hAnsi="Times New Roman" w:cs="Times New Roman" w:eastAsia="Times New Roman" w:hint="default"/>
        </w:rPr>
        <w:t>30</w:t>
      </w:r>
      <w:r>
        <w:rPr/>
        <w:t>岁，中国国籍，无境外居留权，研究生学历，现任本公司监事会主席兼战略规划副经理。 钱瑜，女，</w:t>
      </w:r>
      <w:r>
        <w:rPr>
          <w:rFonts w:ascii="Times New Roman" w:hAnsi="Times New Roman" w:cs="Times New Roman" w:eastAsia="Times New Roman" w:hint="default"/>
        </w:rPr>
        <w:t>37</w:t>
      </w:r>
      <w:r>
        <w:rPr/>
        <w:t>岁，中国国籍，无境外居留权，本科学历，现任本公司职工监事兼任计划财务中心总账会计。 张金燕，女，</w:t>
      </w:r>
      <w:r>
        <w:rPr>
          <w:rFonts w:ascii="Times New Roman" w:hAnsi="Times New Roman" w:cs="Times New Roman" w:eastAsia="Times New Roman" w:hint="default"/>
        </w:rPr>
        <w:t>39</w:t>
      </w:r>
      <w:r>
        <w:rPr/>
        <w:t>岁，中国国籍，无境外居留权，本科学历，现任本公司职工监事兼计划财务中心出纳。 </w:t>
      </w:r>
      <w:r>
        <w:rPr>
          <w:rFonts w:ascii="Times New Roman" w:hAnsi="Times New Roman" w:cs="Times New Roman" w:eastAsia="Times New Roman" w:hint="default"/>
        </w:rPr>
        <w:t>3</w:t>
      </w:r>
      <w:r>
        <w:rPr/>
        <w:t>、高级管理人员简介</w:t>
      </w:r>
    </w:p>
    <w:p>
      <w:pPr>
        <w:pStyle w:val="BodyText"/>
        <w:spacing w:line="316" w:lineRule="auto" w:before="13"/>
        <w:ind w:left="1493" w:right="6433"/>
        <w:jc w:val="left"/>
      </w:pPr>
      <w:r>
        <w:rPr/>
        <w:t>刘祥，总经理，简介及工作经历见董事介绍。 江汉，副总经理，简介及工作经历见董事介绍。 汪洋，副总经理，简介及工作经历见董事介绍。 韦余红，副总经理，简介及工作经历见董事介绍。</w:t>
      </w:r>
    </w:p>
    <w:p>
      <w:pPr>
        <w:pStyle w:val="BodyText"/>
        <w:spacing w:line="300" w:lineRule="auto" w:before="19"/>
        <w:ind w:left="1493" w:right="994"/>
        <w:jc w:val="left"/>
      </w:pPr>
      <w:r>
        <w:rPr/>
        <w:t>童卫东，男，</w:t>
      </w:r>
      <w:r>
        <w:rPr>
          <w:rFonts w:ascii="Times New Roman" w:hAnsi="Times New Roman" w:cs="Times New Roman" w:eastAsia="Times New Roman" w:hint="default"/>
        </w:rPr>
        <w:t>51</w:t>
      </w:r>
      <w:r>
        <w:rPr/>
        <w:t>岁，硕士学历，工程师，现任公司副总经理，控股子公司苏州市新国都电子技术有限公司总经理。 赵辉，男，</w:t>
      </w:r>
      <w:r>
        <w:rPr>
          <w:rFonts w:ascii="Times New Roman" w:hAnsi="Times New Roman" w:cs="Times New Roman" w:eastAsia="Times New Roman" w:hint="default"/>
        </w:rPr>
        <w:t>49</w:t>
      </w:r>
      <w:r>
        <w:rPr/>
        <w:t>岁，中国国籍，无境外居留权，本科学历，现任本公司财务总监，负责财务工作。 </w:t>
      </w:r>
      <w:r>
        <w:rPr>
          <w:spacing w:val="-2"/>
        </w:rPr>
        <w:t>宋菁，女，</w:t>
      </w:r>
      <w:r>
        <w:rPr>
          <w:rFonts w:ascii="Times New Roman" w:hAnsi="Times New Roman" w:cs="Times New Roman" w:eastAsia="Times New Roman" w:hint="default"/>
          <w:spacing w:val="-2"/>
        </w:rPr>
        <w:t>33</w:t>
      </w:r>
      <w:r>
        <w:rPr>
          <w:spacing w:val="-2"/>
        </w:rPr>
        <w:t>岁，中国国籍，无境外居留权，硕士研究生学历，现任公司董事会秘书。</w:t>
      </w:r>
      <w:r>
        <w:rPr>
          <w:rFonts w:ascii="Times New Roman" w:hAnsi="Times New Roman" w:cs="Times New Roman" w:eastAsia="Times New Roman" w:hint="default"/>
          <w:spacing w:val="-2"/>
        </w:rPr>
        <w:t>2011</w:t>
      </w:r>
      <w:r>
        <w:rPr>
          <w:spacing w:val="-2"/>
        </w:rPr>
        <w:t>年至今，就职于深圳市新国</w:t>
      </w:r>
    </w:p>
    <w:p>
      <w:pPr>
        <w:pStyle w:val="BodyText"/>
        <w:spacing w:line="316" w:lineRule="auto" w:before="13"/>
        <w:ind w:left="1494" w:right="994" w:hanging="360"/>
        <w:jc w:val="left"/>
      </w:pPr>
      <w:r>
        <w:rPr/>
        <w:t>都技术股份有限公司。 </w:t>
      </w:r>
      <w:r>
        <w:rPr>
          <w:spacing w:val="-4"/>
        </w:rPr>
        <w:t>姚骏，男，</w:t>
      </w:r>
      <w:r>
        <w:rPr>
          <w:rFonts w:ascii="Times New Roman" w:hAnsi="Times New Roman" w:cs="Times New Roman" w:eastAsia="Times New Roman" w:hint="default"/>
          <w:spacing w:val="-4"/>
        </w:rPr>
        <w:t>40</w:t>
      </w:r>
      <w:r>
        <w:rPr>
          <w:spacing w:val="-4"/>
        </w:rPr>
        <w:t>岁，中国国籍，无境外居留权，本科学历，中级人力资源管理师职称，深圳市人力资源开发研究协会会员，</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ind w:left="1493" w:right="994" w:hanging="360"/>
        <w:jc w:val="left"/>
      </w:pPr>
      <w:r>
        <w:rPr/>
        <w:t>现任公司副总经理。 李健，男，</w:t>
      </w:r>
      <w:r>
        <w:rPr>
          <w:rFonts w:ascii="Times New Roman" w:hAnsi="Times New Roman" w:cs="Times New Roman" w:eastAsia="Times New Roman" w:hint="default"/>
        </w:rPr>
        <w:t>50</w:t>
      </w:r>
      <w:r>
        <w:rPr/>
        <w:t>岁，中国国籍，无境外居留权，硕士学历，现任本公司副总经理，浙江中正智能科技有限公司总经理。 </w:t>
      </w:r>
      <w:r>
        <w:rPr>
          <w:spacing w:val="-2"/>
        </w:rPr>
        <w:t>江勇，男，</w:t>
      </w:r>
      <w:r>
        <w:rPr>
          <w:rFonts w:ascii="Times New Roman" w:hAnsi="Times New Roman" w:cs="Times New Roman" w:eastAsia="Times New Roman" w:hint="default"/>
          <w:spacing w:val="-2"/>
        </w:rPr>
        <w:t>47</w:t>
      </w:r>
      <w:r>
        <w:rPr>
          <w:spacing w:val="-2"/>
        </w:rPr>
        <w:t>岁，中国国籍，无境外居留权，本科学历，现任本公司副总经理，长沙公信诚丰信息技术服务有限公司总</w:t>
      </w:r>
    </w:p>
    <w:p>
      <w:pPr>
        <w:pStyle w:val="BodyText"/>
        <w:spacing w:line="360" w:lineRule="auto" w:before="5"/>
        <w:ind w:left="1134" w:right="9132"/>
        <w:jc w:val="left"/>
      </w:pPr>
      <w:r>
        <w:rPr/>
        <w:t>经理。 在股东单位任职情况</w:t>
      </w:r>
    </w:p>
    <w:p>
      <w:pPr>
        <w:pStyle w:val="BodyText"/>
        <w:spacing w:line="338" w:lineRule="auto" w:before="2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190"/>
        <w:gridCol w:w="3190"/>
        <w:gridCol w:w="1052"/>
        <w:gridCol w:w="1208"/>
        <w:gridCol w:w="1324"/>
        <w:gridCol w:w="1594"/>
      </w:tblGrid>
      <w:tr>
        <w:trPr>
          <w:trHeight w:val="709"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4"/>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166" w:hRule="exact"/>
        </w:trPr>
        <w:tc>
          <w:tcPr>
            <w:tcW w:w="1190" w:type="dxa"/>
            <w:tcBorders>
              <w:top w:val="single" w:sz="4" w:space="0" w:color="000000"/>
              <w:left w:val="single" w:sz="4" w:space="0" w:color="000000"/>
              <w:bottom w:val="nil" w:sz="6" w:space="0" w:color="auto"/>
              <w:right w:val="single" w:sz="4" w:space="0" w:color="000000"/>
            </w:tcBorders>
            <w:shd w:val="clear" w:color="auto" w:fill="CCE8CF"/>
          </w:tcPr>
          <w:p>
            <w:pPr/>
          </w:p>
        </w:tc>
        <w:tc>
          <w:tcPr>
            <w:tcW w:w="3190" w:type="dxa"/>
            <w:tcBorders>
              <w:top w:val="single" w:sz="4" w:space="0" w:color="000000"/>
              <w:left w:val="single" w:sz="4" w:space="0" w:color="000000"/>
              <w:bottom w:val="nil" w:sz="6" w:space="0" w:color="auto"/>
              <w:right w:val="single" w:sz="4" w:space="0" w:color="000000"/>
            </w:tcBorders>
            <w:shd w:val="clear" w:color="auto" w:fill="CCE8CF"/>
          </w:tcPr>
          <w:p>
            <w:pPr/>
          </w:p>
        </w:tc>
        <w:tc>
          <w:tcPr>
            <w:tcW w:w="1052" w:type="dxa"/>
            <w:tcBorders>
              <w:top w:val="single" w:sz="4" w:space="0" w:color="000000"/>
              <w:left w:val="single" w:sz="4" w:space="0" w:color="000000"/>
              <w:bottom w:val="nil" w:sz="6" w:space="0" w:color="auto"/>
              <w:right w:val="single" w:sz="4" w:space="0" w:color="000000"/>
            </w:tcBorders>
            <w:shd w:val="clear" w:color="auto" w:fill="CCE8CF"/>
          </w:tcPr>
          <w:p>
            <w:pPr/>
          </w:p>
        </w:tc>
        <w:tc>
          <w:tcPr>
            <w:tcW w:w="1208" w:type="dxa"/>
            <w:vMerge w:val="restart"/>
            <w:tcBorders>
              <w:top w:val="single" w:sz="4" w:space="0" w:color="000000"/>
              <w:left w:val="single" w:sz="9" w:space="0" w:color="CCE8CF"/>
              <w:right w:val="single" w:sz="4" w:space="0" w:color="000000"/>
            </w:tcBorders>
          </w:tcPr>
          <w:p>
            <w:pPr>
              <w:pStyle w:val="TableParagraph"/>
              <w:spacing w:line="240" w:lineRule="auto" w:before="56"/>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vMerge w:val="restart"/>
            <w:tcBorders>
              <w:top w:val="single" w:sz="4" w:space="0" w:color="000000"/>
              <w:left w:val="single" w:sz="4" w:space="0" w:color="000000"/>
              <w:right w:val="single" w:sz="4" w:space="0" w:color="000000"/>
            </w:tcBorders>
          </w:tcPr>
          <w:p>
            <w:pPr>
              <w:pStyle w:val="TableParagraph"/>
              <w:spacing w:line="240" w:lineRule="auto" w:before="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19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贾巍</w:t>
            </w:r>
          </w:p>
        </w:tc>
        <w:tc>
          <w:tcPr>
            <w:tcW w:w="319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深圳国中创业投资管理有限公司</w:t>
            </w:r>
          </w:p>
        </w:tc>
        <w:tc>
          <w:tcPr>
            <w:tcW w:w="105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08" w:type="dxa"/>
            <w:vMerge/>
            <w:tcBorders>
              <w:left w:val="single" w:sz="9" w:space="0" w:color="CCE8CF"/>
              <w:right w:val="single" w:sz="4" w:space="0" w:color="000000"/>
            </w:tcBorders>
          </w:tcPr>
          <w:p>
            <w:pPr/>
          </w:p>
        </w:tc>
        <w:tc>
          <w:tcPr>
            <w:tcW w:w="132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CCE8CF"/>
          </w:tcPr>
          <w:p>
            <w:pPr/>
          </w:p>
        </w:tc>
        <w:tc>
          <w:tcPr>
            <w:tcW w:w="3190" w:type="dxa"/>
            <w:tcBorders>
              <w:top w:val="nil" w:sz="6" w:space="0" w:color="auto"/>
              <w:left w:val="single" w:sz="4" w:space="0" w:color="000000"/>
              <w:bottom w:val="single" w:sz="4" w:space="0" w:color="000000"/>
              <w:right w:val="single" w:sz="4" w:space="0" w:color="000000"/>
            </w:tcBorders>
            <w:shd w:val="clear" w:color="auto" w:fill="CCE8CF"/>
          </w:tcPr>
          <w:p>
            <w:pPr/>
          </w:p>
        </w:tc>
        <w:tc>
          <w:tcPr>
            <w:tcW w:w="1052" w:type="dxa"/>
            <w:tcBorders>
              <w:top w:val="nil" w:sz="6" w:space="0" w:color="auto"/>
              <w:left w:val="single" w:sz="4" w:space="0" w:color="000000"/>
              <w:bottom w:val="single" w:sz="4" w:space="0" w:color="000000"/>
              <w:right w:val="single" w:sz="4" w:space="0" w:color="000000"/>
            </w:tcBorders>
            <w:shd w:val="clear" w:color="auto" w:fill="CCE8CF"/>
          </w:tcPr>
          <w:p>
            <w:pPr/>
          </w:p>
        </w:tc>
        <w:tc>
          <w:tcPr>
            <w:tcW w:w="1208" w:type="dxa"/>
            <w:vMerge/>
            <w:tcBorders>
              <w:left w:val="single" w:sz="9" w:space="0" w:color="CCE8CF"/>
              <w:bottom w:val="single" w:sz="4" w:space="0" w:color="000000"/>
              <w:right w:val="single" w:sz="4" w:space="0" w:color="000000"/>
            </w:tcBorders>
          </w:tcPr>
          <w:p>
            <w:pPr/>
          </w:p>
        </w:tc>
        <w:tc>
          <w:tcPr>
            <w:tcW w:w="132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CCE8CF"/>
          </w:tcPr>
          <w:p>
            <w:pPr/>
          </w:p>
        </w:tc>
        <w:tc>
          <w:tcPr>
            <w:tcW w:w="3190" w:type="dxa"/>
            <w:tcBorders>
              <w:top w:val="single" w:sz="4" w:space="0" w:color="000000"/>
              <w:left w:val="single" w:sz="4" w:space="0" w:color="000000"/>
              <w:bottom w:val="nil" w:sz="6" w:space="0" w:color="auto"/>
              <w:right w:val="single" w:sz="4" w:space="0" w:color="000000"/>
            </w:tcBorders>
            <w:shd w:val="clear" w:color="auto" w:fill="CCE8CF"/>
          </w:tcPr>
          <w:p>
            <w:pPr/>
          </w:p>
        </w:tc>
        <w:tc>
          <w:tcPr>
            <w:tcW w:w="1052" w:type="dxa"/>
            <w:tcBorders>
              <w:top w:val="single" w:sz="4" w:space="0" w:color="000000"/>
              <w:left w:val="single" w:sz="4" w:space="0" w:color="000000"/>
              <w:bottom w:val="nil" w:sz="6" w:space="0" w:color="auto"/>
              <w:right w:val="single" w:sz="4" w:space="0" w:color="000000"/>
            </w:tcBorders>
            <w:shd w:val="clear" w:color="auto" w:fill="CCE8CF"/>
          </w:tcPr>
          <w:p>
            <w:pPr/>
          </w:p>
        </w:tc>
        <w:tc>
          <w:tcPr>
            <w:tcW w:w="1208" w:type="dxa"/>
            <w:vMerge w:val="restart"/>
            <w:tcBorders>
              <w:top w:val="single" w:sz="4" w:space="0" w:color="000000"/>
              <w:left w:val="single" w:sz="9" w:space="0" w:color="CCE8CF"/>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19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何佳</w:t>
            </w:r>
          </w:p>
        </w:tc>
        <w:tc>
          <w:tcPr>
            <w:tcW w:w="319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南方科技大学</w:t>
            </w:r>
          </w:p>
        </w:tc>
        <w:tc>
          <w:tcPr>
            <w:tcW w:w="105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08" w:type="dxa"/>
            <w:vMerge/>
            <w:tcBorders>
              <w:left w:val="single" w:sz="9" w:space="0" w:color="CCE8CF"/>
              <w:right w:val="single" w:sz="4" w:space="0" w:color="000000"/>
            </w:tcBorders>
          </w:tcPr>
          <w:p>
            <w:pPr/>
          </w:p>
        </w:tc>
        <w:tc>
          <w:tcPr>
            <w:tcW w:w="132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CCE8CF"/>
          </w:tcPr>
          <w:p>
            <w:pPr/>
          </w:p>
        </w:tc>
        <w:tc>
          <w:tcPr>
            <w:tcW w:w="3190" w:type="dxa"/>
            <w:tcBorders>
              <w:top w:val="nil" w:sz="6" w:space="0" w:color="auto"/>
              <w:left w:val="single" w:sz="4" w:space="0" w:color="000000"/>
              <w:bottom w:val="single" w:sz="4" w:space="0" w:color="000000"/>
              <w:right w:val="single" w:sz="4" w:space="0" w:color="000000"/>
            </w:tcBorders>
            <w:shd w:val="clear" w:color="auto" w:fill="CCE8CF"/>
          </w:tcPr>
          <w:p>
            <w:pPr/>
          </w:p>
        </w:tc>
        <w:tc>
          <w:tcPr>
            <w:tcW w:w="1052" w:type="dxa"/>
            <w:tcBorders>
              <w:top w:val="nil" w:sz="6" w:space="0" w:color="auto"/>
              <w:left w:val="single" w:sz="4" w:space="0" w:color="000000"/>
              <w:bottom w:val="single" w:sz="4" w:space="0" w:color="000000"/>
              <w:right w:val="single" w:sz="4" w:space="0" w:color="000000"/>
            </w:tcBorders>
            <w:shd w:val="clear" w:color="auto" w:fill="CCE8CF"/>
          </w:tcPr>
          <w:p>
            <w:pPr/>
          </w:p>
        </w:tc>
        <w:tc>
          <w:tcPr>
            <w:tcW w:w="1208" w:type="dxa"/>
            <w:vMerge/>
            <w:tcBorders>
              <w:left w:val="single" w:sz="9" w:space="0" w:color="CCE8CF"/>
              <w:bottom w:val="single" w:sz="4" w:space="0" w:color="000000"/>
              <w:right w:val="single" w:sz="4" w:space="0" w:color="000000"/>
            </w:tcBorders>
          </w:tcPr>
          <w:p>
            <w:pPr/>
          </w:p>
        </w:tc>
        <w:tc>
          <w:tcPr>
            <w:tcW w:w="132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CCE8CF"/>
          </w:tcPr>
          <w:p>
            <w:pPr/>
          </w:p>
        </w:tc>
        <w:tc>
          <w:tcPr>
            <w:tcW w:w="3190" w:type="dxa"/>
            <w:tcBorders>
              <w:top w:val="single" w:sz="4" w:space="0" w:color="000000"/>
              <w:left w:val="single" w:sz="4" w:space="0" w:color="000000"/>
              <w:bottom w:val="nil" w:sz="6" w:space="0" w:color="auto"/>
              <w:right w:val="single" w:sz="4" w:space="0" w:color="000000"/>
            </w:tcBorders>
            <w:shd w:val="clear" w:color="auto" w:fill="CCE8CF"/>
          </w:tcPr>
          <w:p>
            <w:pPr/>
          </w:p>
        </w:tc>
        <w:tc>
          <w:tcPr>
            <w:tcW w:w="1052" w:type="dxa"/>
            <w:tcBorders>
              <w:top w:val="single" w:sz="4" w:space="0" w:color="000000"/>
              <w:left w:val="single" w:sz="4" w:space="0" w:color="000000"/>
              <w:bottom w:val="nil" w:sz="6" w:space="0" w:color="auto"/>
              <w:right w:val="single" w:sz="4" w:space="0" w:color="000000"/>
            </w:tcBorders>
            <w:shd w:val="clear" w:color="auto" w:fill="CCE8CF"/>
          </w:tcPr>
          <w:p>
            <w:pPr/>
          </w:p>
        </w:tc>
        <w:tc>
          <w:tcPr>
            <w:tcW w:w="1208" w:type="dxa"/>
            <w:vMerge w:val="restart"/>
            <w:tcBorders>
              <w:top w:val="single" w:sz="4" w:space="0" w:color="000000"/>
              <w:left w:val="single" w:sz="9" w:space="0" w:color="CCE8CF"/>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19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陈京琳</w:t>
            </w:r>
          </w:p>
        </w:tc>
        <w:tc>
          <w:tcPr>
            <w:tcW w:w="319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广东华商律师事务所</w:t>
            </w:r>
          </w:p>
        </w:tc>
        <w:tc>
          <w:tcPr>
            <w:tcW w:w="105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208" w:type="dxa"/>
            <w:vMerge/>
            <w:tcBorders>
              <w:left w:val="single" w:sz="9" w:space="0" w:color="CCE8CF"/>
              <w:right w:val="single" w:sz="4" w:space="0" w:color="000000"/>
            </w:tcBorders>
          </w:tcPr>
          <w:p>
            <w:pPr/>
          </w:p>
        </w:tc>
        <w:tc>
          <w:tcPr>
            <w:tcW w:w="132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CCE8CF"/>
          </w:tcPr>
          <w:p>
            <w:pPr/>
          </w:p>
        </w:tc>
        <w:tc>
          <w:tcPr>
            <w:tcW w:w="3190" w:type="dxa"/>
            <w:tcBorders>
              <w:top w:val="nil" w:sz="6" w:space="0" w:color="auto"/>
              <w:left w:val="single" w:sz="4" w:space="0" w:color="000000"/>
              <w:bottom w:val="single" w:sz="4" w:space="0" w:color="000000"/>
              <w:right w:val="single" w:sz="4" w:space="0" w:color="000000"/>
            </w:tcBorders>
            <w:shd w:val="clear" w:color="auto" w:fill="CCE8CF"/>
          </w:tcPr>
          <w:p>
            <w:pPr/>
          </w:p>
        </w:tc>
        <w:tc>
          <w:tcPr>
            <w:tcW w:w="1052" w:type="dxa"/>
            <w:tcBorders>
              <w:top w:val="nil" w:sz="6" w:space="0" w:color="auto"/>
              <w:left w:val="single" w:sz="4" w:space="0" w:color="000000"/>
              <w:bottom w:val="single" w:sz="4" w:space="0" w:color="000000"/>
              <w:right w:val="single" w:sz="4" w:space="0" w:color="000000"/>
            </w:tcBorders>
            <w:shd w:val="clear" w:color="auto" w:fill="CCE8CF"/>
          </w:tcPr>
          <w:p>
            <w:pPr/>
          </w:p>
        </w:tc>
        <w:tc>
          <w:tcPr>
            <w:tcW w:w="1208" w:type="dxa"/>
            <w:vMerge/>
            <w:tcBorders>
              <w:left w:val="single" w:sz="9" w:space="0" w:color="CCE8CF"/>
              <w:bottom w:val="single" w:sz="4" w:space="0" w:color="000000"/>
              <w:right w:val="single" w:sz="4" w:space="0" w:color="000000"/>
            </w:tcBorders>
          </w:tcPr>
          <w:p>
            <w:pPr/>
          </w:p>
        </w:tc>
        <w:tc>
          <w:tcPr>
            <w:tcW w:w="132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CCE8CF"/>
          </w:tcPr>
          <w:p>
            <w:pPr/>
          </w:p>
        </w:tc>
        <w:tc>
          <w:tcPr>
            <w:tcW w:w="3190" w:type="dxa"/>
            <w:tcBorders>
              <w:top w:val="single" w:sz="4" w:space="0" w:color="000000"/>
              <w:left w:val="single" w:sz="4" w:space="0" w:color="000000"/>
              <w:bottom w:val="nil" w:sz="6" w:space="0" w:color="auto"/>
              <w:right w:val="single" w:sz="4" w:space="0" w:color="000000"/>
            </w:tcBorders>
            <w:shd w:val="clear" w:color="auto" w:fill="CCE8CF"/>
          </w:tcPr>
          <w:p>
            <w:pPr/>
          </w:p>
        </w:tc>
        <w:tc>
          <w:tcPr>
            <w:tcW w:w="1052" w:type="dxa"/>
            <w:vMerge w:val="restart"/>
            <w:tcBorders>
              <w:top w:val="single" w:sz="4" w:space="0" w:color="000000"/>
              <w:left w:val="single" w:sz="4" w:space="0" w:color="000000"/>
              <w:right w:val="single" w:sz="13" w:space="0" w:color="FFFFFF"/>
            </w:tcBorders>
            <w:shd w:val="clear" w:color="auto" w:fill="CCE8CF"/>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董事会秘书 财务总监</w:t>
            </w:r>
          </w:p>
        </w:tc>
        <w:tc>
          <w:tcPr>
            <w:tcW w:w="1208" w:type="dxa"/>
            <w:vMerge w:val="restart"/>
            <w:tcBorders>
              <w:top w:val="single" w:sz="4" w:space="0" w:color="000000"/>
              <w:left w:val="single" w:sz="9" w:space="0" w:color="FFFFFF"/>
              <w:right w:val="single" w:sz="4" w:space="0" w:color="000000"/>
            </w:tcBorders>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19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蔡艳红</w:t>
            </w:r>
          </w:p>
        </w:tc>
        <w:tc>
          <w:tcPr>
            <w:tcW w:w="319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深圳市杨邦胜室内设计有限公司</w:t>
            </w:r>
          </w:p>
        </w:tc>
        <w:tc>
          <w:tcPr>
            <w:tcW w:w="1052" w:type="dxa"/>
            <w:vMerge/>
            <w:tcBorders>
              <w:left w:val="single" w:sz="4" w:space="0" w:color="000000"/>
              <w:right w:val="single" w:sz="13" w:space="0" w:color="FFFFFF"/>
            </w:tcBorders>
            <w:shd w:val="clear" w:color="auto" w:fill="CCE8CF"/>
          </w:tcPr>
          <w:p>
            <w:pPr/>
          </w:p>
        </w:tc>
        <w:tc>
          <w:tcPr>
            <w:tcW w:w="1208" w:type="dxa"/>
            <w:vMerge/>
            <w:tcBorders>
              <w:left w:val="single" w:sz="9" w:space="0" w:color="FFFFFF"/>
              <w:right w:val="single" w:sz="4" w:space="0" w:color="000000"/>
            </w:tcBorders>
          </w:tcPr>
          <w:p>
            <w:pPr/>
          </w:p>
        </w:tc>
        <w:tc>
          <w:tcPr>
            <w:tcW w:w="132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6" w:hRule="exact"/>
        </w:trPr>
        <w:tc>
          <w:tcPr>
            <w:tcW w:w="1190" w:type="dxa"/>
            <w:tcBorders>
              <w:top w:val="nil" w:sz="6" w:space="0" w:color="auto"/>
              <w:left w:val="single" w:sz="4" w:space="0" w:color="000000"/>
              <w:bottom w:val="single" w:sz="4" w:space="0" w:color="000000"/>
              <w:right w:val="single" w:sz="4" w:space="0" w:color="000000"/>
            </w:tcBorders>
            <w:shd w:val="clear" w:color="auto" w:fill="CCE8CF"/>
          </w:tcPr>
          <w:p>
            <w:pPr/>
          </w:p>
        </w:tc>
        <w:tc>
          <w:tcPr>
            <w:tcW w:w="3190" w:type="dxa"/>
            <w:tcBorders>
              <w:top w:val="nil" w:sz="6" w:space="0" w:color="auto"/>
              <w:left w:val="single" w:sz="4" w:space="0" w:color="000000"/>
              <w:bottom w:val="single" w:sz="4" w:space="0" w:color="000000"/>
              <w:right w:val="single" w:sz="4" w:space="0" w:color="000000"/>
            </w:tcBorders>
            <w:shd w:val="clear" w:color="auto" w:fill="CCE8CF"/>
          </w:tcPr>
          <w:p>
            <w:pPr/>
          </w:p>
        </w:tc>
        <w:tc>
          <w:tcPr>
            <w:tcW w:w="1052" w:type="dxa"/>
            <w:vMerge/>
            <w:tcBorders>
              <w:left w:val="single" w:sz="4" w:space="0" w:color="000000"/>
              <w:bottom w:val="single" w:sz="4" w:space="0" w:color="000000"/>
              <w:right w:val="single" w:sz="13" w:space="0" w:color="FFFFFF"/>
            </w:tcBorders>
            <w:shd w:val="clear" w:color="auto" w:fill="CCE8CF"/>
          </w:tcPr>
          <w:p>
            <w:pPr/>
          </w:p>
        </w:tc>
        <w:tc>
          <w:tcPr>
            <w:tcW w:w="1208" w:type="dxa"/>
            <w:vMerge/>
            <w:tcBorders>
              <w:left w:val="single" w:sz="9" w:space="0" w:color="FFFFFF"/>
              <w:bottom w:val="single" w:sz="4" w:space="0" w:color="000000"/>
              <w:right w:val="single" w:sz="4" w:space="0" w:color="000000"/>
            </w:tcBorders>
          </w:tcPr>
          <w:p>
            <w:pPr/>
          </w:p>
        </w:tc>
        <w:tc>
          <w:tcPr>
            <w:tcW w:w="132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56" w:hRule="exact"/>
        </w:trPr>
        <w:tc>
          <w:tcPr>
            <w:tcW w:w="1190" w:type="dxa"/>
            <w:vMerge w:val="restart"/>
            <w:tcBorders>
              <w:top w:val="single" w:sz="4" w:space="0" w:color="000000"/>
              <w:left w:val="single" w:sz="4" w:space="0" w:color="000000"/>
              <w:right w:val="single" w:sz="9" w:space="0" w:color="CCE8CF"/>
            </w:tcBorders>
            <w:shd w:val="clear" w:color="auto" w:fill="D2D2D2"/>
          </w:tcPr>
          <w:p>
            <w:pPr>
              <w:pStyle w:val="TableParagraph"/>
              <w:spacing w:line="316" w:lineRule="auto" w:before="46"/>
              <w:ind w:left="11" w:right="80"/>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2" w:hRule="exact"/>
        </w:trPr>
        <w:tc>
          <w:tcPr>
            <w:tcW w:w="1190" w:type="dxa"/>
            <w:vMerge/>
            <w:tcBorders>
              <w:left w:val="single" w:sz="4" w:space="0" w:color="000000"/>
              <w:right w:val="single" w:sz="9" w:space="0" w:color="CCE8CF"/>
            </w:tcBorders>
            <w:shd w:val="clear" w:color="auto" w:fill="D2D2D2"/>
          </w:tcPr>
          <w:p>
            <w:pPr/>
          </w:p>
        </w:tc>
        <w:tc>
          <w:tcPr>
            <w:tcW w:w="8367" w:type="dxa"/>
            <w:gridSpan w:val="5"/>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以上单位与公司均不存在关联关系。</w:t>
            </w:r>
          </w:p>
        </w:tc>
      </w:tr>
      <w:tr>
        <w:trPr>
          <w:trHeight w:val="161" w:hRule="exact"/>
        </w:trPr>
        <w:tc>
          <w:tcPr>
            <w:tcW w:w="1190" w:type="dxa"/>
            <w:vMerge/>
            <w:tcBorders>
              <w:left w:val="single" w:sz="4" w:space="0" w:color="000000"/>
              <w:bottom w:val="single" w:sz="4" w:space="0" w:color="000000"/>
              <w:right w:val="single" w:sz="9" w:space="0" w:color="CCE8CF"/>
            </w:tcBorders>
            <w:shd w:val="clear" w:color="auto" w:fill="D2D2D2"/>
          </w:tcPr>
          <w:p>
            <w:pPr/>
          </w:p>
        </w:tc>
        <w:tc>
          <w:tcPr>
            <w:tcW w:w="8367" w:type="dxa"/>
            <w:gridSpan w:val="5"/>
            <w:tcBorders>
              <w:top w:val="nil" w:sz="6" w:space="0" w:color="auto"/>
              <w:left w:val="single" w:sz="4" w:space="0" w:color="000000"/>
              <w:bottom w:val="single" w:sz="4" w:space="0" w:color="000000"/>
              <w:right w:val="single" w:sz="4" w:space="0" w:color="000000"/>
            </w:tcBorders>
            <w:shd w:val="clear" w:color="auto" w:fill="CCE8CF"/>
          </w:tcPr>
          <w:p>
            <w:pPr/>
          </w:p>
        </w:tc>
      </w:tr>
    </w:tbl>
    <w:p>
      <w:pPr>
        <w:pStyle w:val="BodyText"/>
        <w:spacing w:line="240" w:lineRule="auto" w:before="51"/>
        <w:ind w:left="1134" w:right="994"/>
        <w:jc w:val="left"/>
      </w:pPr>
      <w:r>
        <w:rPr/>
        <w:t>公司现任及报告期内离任董事、监事和高级管理人员近三年证券监管机构处罚的情况</w:t>
      </w:r>
    </w:p>
    <w:p>
      <w:pPr>
        <w:pStyle w:val="BodyText"/>
        <w:spacing w:line="240" w:lineRule="auto" w:before="117"/>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994"/>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94"/>
        <w:jc w:val="left"/>
      </w:pPr>
      <w:r>
        <w:rPr/>
        <w:t>董事、监事、高级管理人员报酬的决策程序、确定依据、实际支付情况</w:t>
      </w:r>
    </w:p>
    <w:p>
      <w:pPr>
        <w:spacing w:line="240" w:lineRule="auto" w:before="13"/>
        <w:rPr>
          <w:rFonts w:ascii="宋体" w:hAnsi="宋体" w:cs="宋体" w:eastAsia="宋体" w:hint="default"/>
          <w:sz w:val="7"/>
          <w:szCs w:val="7"/>
        </w:rPr>
      </w:pPr>
    </w:p>
    <w:tbl>
      <w:tblPr>
        <w:tblW w:w="0" w:type="auto"/>
        <w:jc w:val="left"/>
        <w:tblInd w:w="1126" w:type="dxa"/>
        <w:tblLayout w:type="fixed"/>
        <w:tblCellMar>
          <w:top w:w="0" w:type="dxa"/>
          <w:left w:w="0" w:type="dxa"/>
          <w:bottom w:w="0" w:type="dxa"/>
          <w:right w:w="0" w:type="dxa"/>
        </w:tblCellMar>
        <w:tblLook w:val="01E0"/>
      </w:tblPr>
      <w:tblGrid>
        <w:gridCol w:w="4261"/>
        <w:gridCol w:w="5308"/>
      </w:tblGrid>
      <w:tr>
        <w:trPr>
          <w:trHeight w:val="1057"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69"/>
              <w:jc w:val="both"/>
              <w:rPr>
                <w:rFonts w:ascii="宋体" w:hAnsi="宋体" w:cs="宋体" w:eastAsia="宋体" w:hint="default"/>
                <w:sz w:val="18"/>
                <w:szCs w:val="18"/>
              </w:rPr>
            </w:pPr>
            <w:r>
              <w:rPr>
                <w:rFonts w:ascii="宋体" w:hAnsi="宋体" w:cs="宋体" w:eastAsia="宋体" w:hint="default"/>
                <w:sz w:val="18"/>
                <w:szCs w:val="18"/>
              </w:rPr>
              <w:t>公司董事、监事、高级管理人员的薪酬需提请公司股东大会予以审 议，董事、监事、高级管理人员报酬由公司支付；独立董事津贴需 经股东大会审议决策。</w:t>
            </w:r>
          </w:p>
        </w:tc>
      </w:tr>
      <w:tr>
        <w:trPr>
          <w:trHeight w:val="1051"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6"/>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6"/>
              <w:ind w:left="2" w:right="69"/>
              <w:jc w:val="both"/>
              <w:rPr>
                <w:rFonts w:ascii="宋体" w:hAnsi="宋体" w:cs="宋体" w:eastAsia="宋体" w:hint="default"/>
                <w:sz w:val="18"/>
                <w:szCs w:val="18"/>
              </w:rPr>
            </w:pPr>
            <w:r>
              <w:rPr>
                <w:rFonts w:ascii="宋体" w:hAnsi="宋体" w:cs="宋体" w:eastAsia="宋体" w:hint="default"/>
                <w:sz w:val="18"/>
                <w:szCs w:val="18"/>
              </w:rPr>
              <w:t>公司董事、监事和高级管理人员的报酬按照公司董事会《薪酬与考 核委员会工作细则》的规定，结合其经营绩效、工作能力、岗位职 级等为依据考核确定并发放。</w:t>
            </w:r>
          </w:p>
        </w:tc>
      </w:tr>
      <w:tr>
        <w:trPr>
          <w:trHeight w:val="734"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2" w:right="0"/>
              <w:jc w:val="left"/>
              <w:rPr>
                <w:rFonts w:ascii="宋体" w:hAnsi="宋体" w:cs="宋体" w:eastAsia="宋体" w:hint="default"/>
                <w:sz w:val="18"/>
                <w:szCs w:val="18"/>
              </w:rPr>
            </w:pPr>
            <w:r>
              <w:rPr>
                <w:rFonts w:ascii="宋体" w:hAnsi="宋体" w:cs="宋体" w:eastAsia="宋体" w:hint="default"/>
                <w:sz w:val="18"/>
                <w:szCs w:val="18"/>
              </w:rPr>
              <w:t>公司董事、监事、高级管理人员</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年度在公司领取的报酬总额为</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747.06</w:t>
            </w:r>
            <w:r>
              <w:rPr>
                <w:rFonts w:ascii="宋体" w:hAnsi="宋体" w:cs="宋体" w:eastAsia="宋体" w:hint="default"/>
                <w:sz w:val="18"/>
                <w:szCs w:val="18"/>
              </w:rPr>
              <w:t>万元。</w:t>
            </w:r>
          </w:p>
        </w:tc>
      </w:tr>
    </w:tbl>
    <w:p>
      <w:pPr>
        <w:pStyle w:val="BodyText"/>
        <w:spacing w:line="300" w:lineRule="auto" w:before="10"/>
        <w:ind w:left="1134" w:right="994"/>
        <w:jc w:val="left"/>
      </w:pPr>
      <w:r>
        <w:rPr>
          <w:spacing w:val="-2"/>
        </w:rPr>
        <w:t>由于</w:t>
      </w:r>
      <w:r>
        <w:rPr>
          <w:rFonts w:ascii="Times New Roman" w:hAnsi="Times New Roman" w:cs="Times New Roman" w:eastAsia="Times New Roman" w:hint="default"/>
          <w:spacing w:val="-2"/>
        </w:rPr>
        <w:t>2017</w:t>
      </w:r>
      <w:r>
        <w:rPr>
          <w:spacing w:val="-2"/>
        </w:rPr>
        <w:t>年业绩不及预期，公司高级管理人员刘祥、江汉、汪洋、韦余红、童卫东、姚骏、李健、江勇、赵辉、宋菁主动放</w:t>
      </w:r>
      <w:r>
        <w:rPr>
          <w:spacing w:val="-67"/>
        </w:rPr>
        <w:t> </w:t>
      </w:r>
      <w:r>
        <w:rPr>
          <w:spacing w:val="-67"/>
        </w:rPr>
      </w:r>
      <w:r>
        <w:rPr/>
        <w:t>弃</w:t>
      </w:r>
      <w:r>
        <w:rPr>
          <w:rFonts w:ascii="Times New Roman" w:hAnsi="Times New Roman" w:cs="Times New Roman" w:eastAsia="Times New Roman" w:hint="default"/>
        </w:rPr>
        <w:t>2017</w:t>
      </w:r>
      <w:r>
        <w:rPr/>
        <w:t>年度奖金。</w:t>
      </w:r>
    </w:p>
    <w:p>
      <w:pPr>
        <w:pStyle w:val="BodyText"/>
        <w:spacing w:line="240" w:lineRule="auto" w:before="54"/>
        <w:ind w:left="1134" w:right="994"/>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总工程师，副总 经理，董事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贾巍</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陈京琳</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何佳</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蔡艳红</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梅培培</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钱瑜</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张金燕</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宋菁</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姚骏</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李健</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江勇</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李艳芳</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747.06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公司董事、高级管理人员报告期内被授予的股权激励情况</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113" w:right="1112"/>
        <w:jc w:val="center"/>
      </w:pPr>
      <w:r>
        <w:rPr/>
        <w:t>单位：股</w:t>
      </w:r>
    </w:p>
    <w:p>
      <w:pPr>
        <w:spacing w:after="0" w:line="240" w:lineRule="auto"/>
        <w:jc w:val="center"/>
        <w:sectPr>
          <w:type w:val="continuous"/>
          <w:pgSz w:w="11910" w:h="16840"/>
          <w:pgMar w:top="1060" w:bottom="1160" w:left="0" w:right="0"/>
          <w:cols w:num="2" w:equalWidth="0">
            <w:col w:w="5635" w:space="328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69"/>
        <w:gridCol w:w="869"/>
        <w:gridCol w:w="870"/>
        <w:gridCol w:w="870"/>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8"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4"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66"/>
        <w:gridCol w:w="870"/>
        <w:gridCol w:w="869"/>
        <w:gridCol w:w="869"/>
        <w:gridCol w:w="870"/>
        <w:gridCol w:w="870"/>
        <w:gridCol w:w="870"/>
        <w:gridCol w:w="870"/>
        <w:gridCol w:w="870"/>
        <w:gridCol w:w="870"/>
        <w:gridCol w:w="870"/>
      </w:tblGrid>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23.86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23.86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23.86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童卫东</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23.86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姚骏</w:t>
            </w:r>
          </w:p>
        </w:tc>
        <w:tc>
          <w:tcPr>
            <w:tcW w:w="8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7.535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23.86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888,000</w:t>
            </w:r>
          </w:p>
        </w:tc>
        <w:tc>
          <w:tcPr>
            <w:tcW w:w="86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888,000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4"/>
        <w:spacing w:line="240" w:lineRule="auto" w:before="26"/>
        <w:ind w:left="1134" w:right="994"/>
        <w:jc w:val="left"/>
        <w:rPr>
          <w:b w:val="0"/>
          <w:bCs w:val="0"/>
        </w:rPr>
      </w:pPr>
      <w:bookmarkStart w:name="五、公司员工情况" w:id="125"/>
      <w:bookmarkEnd w:id="125"/>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1、员工数量、专业构成及教育程度" w:id="126"/>
      <w:bookmarkEnd w:id="12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5"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职能人员</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1,851</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w:t>
            </w:r>
          </w:p>
        </w:tc>
      </w:tr>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1,851</w:t>
            </w:r>
          </w:p>
        </w:tc>
      </w:tr>
    </w:tbl>
    <w:p>
      <w:pPr>
        <w:spacing w:line="240" w:lineRule="auto" w:before="2"/>
        <w:rPr>
          <w:rFonts w:ascii="宋体" w:hAnsi="宋体" w:cs="宋体" w:eastAsia="宋体" w:hint="default"/>
          <w:b/>
          <w:bCs/>
          <w:sz w:val="19"/>
          <w:szCs w:val="19"/>
        </w:rPr>
      </w:pPr>
    </w:p>
    <w:p>
      <w:pPr>
        <w:pStyle w:val="Heading5"/>
        <w:spacing w:line="240" w:lineRule="auto" w:before="35"/>
        <w:ind w:left="1134" w:right="994"/>
        <w:jc w:val="left"/>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494" w:right="994"/>
        <w:jc w:val="left"/>
      </w:pP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1</w:t>
      </w:r>
      <w:r>
        <w:rPr/>
        <w:t>日根据公司发展现状及人力资源管理战略制定《薪酬管理制度》</w:t>
      </w:r>
      <w:r>
        <w:rPr>
          <w:rFonts w:ascii="宋体" w:hAnsi="宋体" w:cs="宋体" w:eastAsia="宋体" w:hint="default"/>
        </w:rPr>
        <w:t>A0</w:t>
      </w:r>
      <w:r>
        <w:rPr/>
        <w:t>版；</w:t>
      </w: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25</w:t>
      </w:r>
      <w:r>
        <w:rPr/>
        <w:t>日公司发布《薪酬管理</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1129"/>
        <w:jc w:val="both"/>
      </w:pPr>
      <w:r>
        <w:rPr/>
        <w:t>制度》</w:t>
      </w:r>
      <w:r>
        <w:rPr>
          <w:rFonts w:ascii="宋体" w:hAnsi="宋体" w:cs="宋体" w:eastAsia="宋体" w:hint="default"/>
        </w:rPr>
        <w:t>A1</w:t>
      </w:r>
      <w:r>
        <w:rPr/>
        <w:t>版，对此制度进行修订，增加“办公地点变动调薪”相关规定；</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22</w:t>
      </w:r>
      <w:r>
        <w:rPr/>
        <w:t>日，发布《薪酬管理制度》</w:t>
      </w:r>
      <w:r>
        <w:rPr>
          <w:rFonts w:ascii="宋体" w:hAnsi="宋体" w:cs="宋体" w:eastAsia="宋体" w:hint="default"/>
        </w:rPr>
        <w:t>A2</w:t>
      </w:r>
      <w:r>
        <w:rPr/>
        <w:t>版，对</w:t>
      </w:r>
      <w:r>
        <w:rPr>
          <w:spacing w:val="-84"/>
        </w:rPr>
        <w:t> </w:t>
      </w:r>
      <w:r>
        <w:rPr>
          <w:spacing w:val="-2"/>
        </w:rPr>
        <w:t>此制度进行修订，增加“</w:t>
      </w:r>
      <w:r>
        <w:rPr>
          <w:rFonts w:ascii="宋体" w:hAnsi="宋体" w:cs="宋体" w:eastAsia="宋体" w:hint="default"/>
          <w:spacing w:val="-2"/>
        </w:rPr>
        <w:t>3.6.6</w:t>
      </w:r>
      <w:r>
        <w:rPr>
          <w:spacing w:val="-2"/>
        </w:rPr>
        <w:t>办公地点调动增减特殊津贴”和修订“</w:t>
      </w:r>
      <w:r>
        <w:rPr>
          <w:rFonts w:ascii="宋体" w:hAnsi="宋体" w:cs="宋体" w:eastAsia="宋体" w:hint="default"/>
          <w:spacing w:val="-2"/>
        </w:rPr>
        <w:t>3.6.7</w:t>
      </w:r>
      <w:r>
        <w:rPr>
          <w:spacing w:val="-2"/>
        </w:rPr>
        <w:t>办公地点变动的调薪”。旨在更好的实施保障与</w:t>
      </w:r>
      <w:r>
        <w:rPr>
          <w:spacing w:val="-61"/>
        </w:rPr>
        <w:t> </w:t>
      </w:r>
      <w:r>
        <w:rPr>
          <w:spacing w:val="-61"/>
        </w:rPr>
      </w:r>
      <w:r>
        <w:rPr>
          <w:spacing w:val="-2"/>
        </w:rPr>
        <w:t>激励相结合的薪酬分配制度，建立兼顾内部公平性及外部竞争力的薪酬体系，体现以岗定级、以绩定奖的薪酬理念，实现价</w:t>
      </w:r>
      <w:r>
        <w:rPr>
          <w:spacing w:val="-66"/>
        </w:rPr>
        <w:t> </w:t>
      </w:r>
      <w:r>
        <w:rPr>
          <w:spacing w:val="-66"/>
        </w:rPr>
      </w:r>
      <w:r>
        <w:rPr/>
        <w:t>值差异和宽带薪酬结构。从制度上来规范公司的薪酬管理工作，促进薪酬管理工作持续、稳定、健康的开展。</w:t>
      </w:r>
    </w:p>
    <w:p>
      <w:pPr>
        <w:spacing w:line="240" w:lineRule="auto" w:before="7"/>
        <w:rPr>
          <w:rFonts w:ascii="宋体" w:hAnsi="宋体" w:cs="宋体" w:eastAsia="宋体" w:hint="default"/>
          <w:sz w:val="22"/>
          <w:szCs w:val="22"/>
        </w:rPr>
      </w:pPr>
    </w:p>
    <w:p>
      <w:pPr>
        <w:pStyle w:val="Heading5"/>
        <w:spacing w:line="240" w:lineRule="auto"/>
        <w:ind w:left="1134" w:right="0"/>
        <w:jc w:val="both"/>
        <w:rPr>
          <w:b w:val="0"/>
          <w:bCs w:val="0"/>
        </w:rPr>
      </w:pPr>
      <w:bookmarkStart w:name="3、培训计划" w:id="128"/>
      <w:bookmarkEnd w:id="12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134" w:right="1130" w:firstLine="360"/>
        <w:jc w:val="both"/>
      </w:pPr>
      <w:r>
        <w:rPr>
          <w:spacing w:val="-2"/>
        </w:rPr>
        <w:t>培训计划分为公司级培训计划、部门内部培训计划、外派学习培训计划及各类型外聘内训培训计划，其中以部门内训为</w:t>
      </w:r>
      <w:r>
        <w:rPr/>
        <w:t> </w:t>
      </w:r>
      <w:r>
        <w:rPr>
          <w:spacing w:val="-2"/>
        </w:rPr>
        <w:t>主，其他类型培训为辅。部门内部培训方面，部门内部根据各自工作情况，制定部门内部培训计划，并组织实施。人力资源</w:t>
      </w:r>
      <w:r>
        <w:rPr>
          <w:spacing w:val="-68"/>
        </w:rPr>
        <w:t> </w:t>
      </w:r>
      <w:r>
        <w:rPr>
          <w:spacing w:val="-68"/>
        </w:rPr>
      </w:r>
      <w:r>
        <w:rPr/>
        <w:t>中心根据各部门的培训计划进行各部门培训学习的跟踪和监督，确保部门内部培训的落实。</w:t>
      </w:r>
    </w:p>
    <w:p>
      <w:pPr>
        <w:pStyle w:val="BodyText"/>
        <w:spacing w:line="300" w:lineRule="auto" w:before="19"/>
        <w:ind w:right="1132" w:firstLine="360"/>
        <w:jc w:val="both"/>
      </w:pPr>
      <w:r>
        <w:rPr>
          <w:rFonts w:ascii="Times New Roman" w:hAnsi="Times New Roman" w:cs="Times New Roman" w:eastAsia="Times New Roman" w:hint="default"/>
        </w:rPr>
        <w:t>2017</w:t>
      </w:r>
      <w:r>
        <w:rPr/>
        <w:t>年，公司累计开展</w:t>
      </w:r>
      <w:r>
        <w:rPr>
          <w:rFonts w:ascii="Times New Roman" w:hAnsi="Times New Roman" w:cs="Times New Roman" w:eastAsia="Times New Roman" w:hint="default"/>
        </w:rPr>
        <w:t>232</w:t>
      </w:r>
      <w:r>
        <w:rPr/>
        <w:t>场培训，其中内训</w:t>
      </w:r>
      <w:r>
        <w:rPr>
          <w:rFonts w:ascii="Times New Roman" w:hAnsi="Times New Roman" w:cs="Times New Roman" w:eastAsia="Times New Roman" w:hint="default"/>
        </w:rPr>
        <w:t>206</w:t>
      </w:r>
      <w:r>
        <w:rPr/>
        <w:t>场，外派培训</w:t>
      </w:r>
      <w:r>
        <w:rPr>
          <w:rFonts w:ascii="Times New Roman" w:hAnsi="Times New Roman" w:cs="Times New Roman" w:eastAsia="Times New Roman" w:hint="default"/>
        </w:rPr>
        <w:t>/</w:t>
      </w:r>
      <w:r>
        <w:rPr/>
        <w:t>外聘内训</w:t>
      </w:r>
      <w:r>
        <w:rPr>
          <w:rFonts w:ascii="Times New Roman" w:hAnsi="Times New Roman" w:cs="Times New Roman" w:eastAsia="Times New Roman" w:hint="default"/>
        </w:rPr>
        <w:t>26</w:t>
      </w:r>
      <w:r>
        <w:rPr/>
        <w:t>场，覆盖人数</w:t>
      </w:r>
      <w:r>
        <w:rPr>
          <w:rFonts w:ascii="Times New Roman" w:hAnsi="Times New Roman" w:cs="Times New Roman" w:eastAsia="Times New Roman" w:hint="default"/>
        </w:rPr>
        <w:t>4207</w:t>
      </w:r>
      <w:r>
        <w:rPr/>
        <w:t>人次，培训满意度评估均 分</w:t>
      </w:r>
      <w:r>
        <w:rPr>
          <w:rFonts w:ascii="Times New Roman" w:hAnsi="Times New Roman" w:cs="Times New Roman" w:eastAsia="Times New Roman" w:hint="default"/>
        </w:rPr>
        <w:t>93.2</w:t>
      </w:r>
      <w:r>
        <w:rPr/>
        <w:t>分，相比</w:t>
      </w:r>
      <w:r>
        <w:rPr>
          <w:rFonts w:ascii="Times New Roman" w:hAnsi="Times New Roman" w:cs="Times New Roman" w:eastAsia="Times New Roman" w:hint="default"/>
        </w:rPr>
        <w:t>2016</w:t>
      </w:r>
      <w:r>
        <w:rPr/>
        <w:t>年略微上升，连续三年保持强劲，为保证公司业务可持续性发展贡献一份力量。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29"/>
        <w:ind w:left="1134" w:right="0"/>
        <w:jc w:val="both"/>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5"/>
        <w:jc w:val="center"/>
        <w:rPr>
          <w:b w:val="0"/>
          <w:bCs w:val="0"/>
        </w:rPr>
      </w:pPr>
      <w:bookmarkStart w:name="第九节 公司治理" w:id="130"/>
      <w:bookmarkEnd w:id="130"/>
      <w:r>
        <w:rPr>
          <w:b w:val="0"/>
          <w:bCs w:val="0"/>
        </w:rPr>
      </w:r>
      <w:bookmarkStart w:name="_bookmark7" w:id="131"/>
      <w:bookmarkEnd w:id="131"/>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0"/>
        <w:jc w:val="both"/>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493" w:right="994"/>
        <w:jc w:val="left"/>
      </w:pPr>
      <w:r>
        <w:rPr>
          <w:spacing w:val="-4"/>
        </w:rPr>
        <w:t>报告期内，公司严格按照《公司法》、《证券法》、《上市公司治理准则》、《深圳证券交易所创业板股票上市规则》、</w:t>
      </w:r>
    </w:p>
    <w:p>
      <w:pPr>
        <w:pStyle w:val="BodyText"/>
        <w:spacing w:line="316" w:lineRule="auto" w:before="76"/>
        <w:ind w:right="1033"/>
        <w:jc w:val="left"/>
      </w:pPr>
      <w:r>
        <w:rPr>
          <w:spacing w:val="-2"/>
        </w:rPr>
        <w:t>《深圳证券交易所创业板上市公司规范运作指引》等法律、法规和中国证监会有关法律法规等的要求，不断完善公司的法人</w:t>
      </w:r>
      <w:r>
        <w:rPr>
          <w:spacing w:val="-66"/>
        </w:rPr>
        <w:t> </w:t>
      </w:r>
      <w:r>
        <w:rPr>
          <w:spacing w:val="-66"/>
        </w:rPr>
      </w:r>
      <w:r>
        <w:rPr/>
        <w:t>治理结构，建立健全公司内部管理和控制制度，持续深入开展公司治理活动，促进了公司规范运作，提高了公司治理水平。 </w:t>
      </w:r>
      <w:r>
        <w:rPr>
          <w:spacing w:val="-4"/>
        </w:rPr>
        <w:t>截至报告期末，公司治理的实际状况符合《上市公司治理准则》和《深圳证券交易所创业板上市公司规范运作指引》的要求。</w:t>
      </w:r>
    </w:p>
    <w:p>
      <w:pPr>
        <w:pStyle w:val="BodyText"/>
        <w:spacing w:line="300" w:lineRule="auto" w:before="19"/>
        <w:ind w:left="1134" w:right="1050" w:firstLine="360"/>
        <w:jc w:val="both"/>
      </w:pPr>
      <w:r>
        <w:rPr>
          <w:rFonts w:ascii="Times New Roman" w:hAnsi="Times New Roman" w:cs="Times New Roman" w:eastAsia="Times New Roman" w:hint="default"/>
        </w:rPr>
        <w:t>1</w:t>
      </w:r>
      <w:r>
        <w:rPr/>
        <w:t>、关于股东与股东大会：公司严格按照《上市公司股东大会规则》、《公司章程》、《股东大会议事规则》等规定和 要求，规范地召集、召开股东大会，平等对待所有股东，并尽可能为股东参加股东大会提供便利，使其充分行使股东权利。</w:t>
      </w:r>
    </w:p>
    <w:p>
      <w:pPr>
        <w:pStyle w:val="BodyText"/>
        <w:spacing w:line="309" w:lineRule="auto" w:before="31"/>
        <w:ind w:left="1134" w:right="1133" w:firstLine="360"/>
        <w:jc w:val="both"/>
      </w:pPr>
      <w:r>
        <w:rPr>
          <w:rFonts w:ascii="Times New Roman" w:hAnsi="Times New Roman" w:cs="Times New Roman" w:eastAsia="Times New Roman" w:hint="default"/>
        </w:rPr>
        <w:t>2</w:t>
      </w:r>
      <w:r>
        <w:rPr/>
        <w:t>、关于公司与控股股东：公司控股股东严格规范自己的行为，没有超越股东大会直接或间接干预公司的决策和经营活 </w:t>
      </w:r>
      <w:r>
        <w:rPr>
          <w:spacing w:val="-2"/>
        </w:rPr>
        <w:t>动。公司拥有独立完整的业务和自主经营能力，在业务、人员、资产、机构、财务上独立于控股股东，公司董事会、监事会</w:t>
      </w:r>
      <w:r>
        <w:rPr>
          <w:spacing w:val="-67"/>
        </w:rPr>
        <w:t> </w:t>
      </w:r>
      <w:r>
        <w:rPr>
          <w:spacing w:val="-67"/>
        </w:rPr>
      </w:r>
      <w:r>
        <w:rPr/>
        <w:t>和内部机构独立运作。</w:t>
      </w:r>
    </w:p>
    <w:p>
      <w:pPr>
        <w:pStyle w:val="BodyText"/>
        <w:spacing w:line="314" w:lineRule="auto" w:before="24"/>
        <w:ind w:right="1130" w:firstLine="360"/>
        <w:jc w:val="both"/>
      </w:pPr>
      <w:r>
        <w:rPr>
          <w:rFonts w:ascii="Times New Roman" w:hAnsi="Times New Roman" w:cs="Times New Roman" w:eastAsia="Times New Roman" w:hint="default"/>
        </w:rPr>
        <w:t>3</w:t>
      </w:r>
      <w:r>
        <w:rPr/>
        <w:t>、关于董事和董事会：公司董事会设有董事</w:t>
      </w:r>
      <w:r>
        <w:rPr>
          <w:rFonts w:ascii="Times New Roman" w:hAnsi="Times New Roman" w:cs="Times New Roman" w:eastAsia="Times New Roman" w:hint="default"/>
        </w:rPr>
        <w:t>8</w:t>
      </w:r>
      <w:r>
        <w:rPr/>
        <w:t>名，其中独立董事</w:t>
      </w:r>
      <w:r>
        <w:rPr>
          <w:rFonts w:ascii="Times New Roman" w:hAnsi="Times New Roman" w:cs="Times New Roman" w:eastAsia="Times New Roman" w:hint="default"/>
        </w:rPr>
        <w:t>3</w:t>
      </w:r>
      <w:r>
        <w:rPr/>
        <w:t>名。董事会的人数及人员构成符合法律、法规和《公 </w:t>
      </w:r>
      <w:r>
        <w:rPr>
          <w:spacing w:val="-2"/>
        </w:rPr>
        <w:t>司章程》的要求。各位董事能够依据《董事会议事规则》、《独立董事工作细则》、《深圳证券交易所创业板上市公司规范</w:t>
      </w:r>
      <w:r>
        <w:rPr>
          <w:spacing w:val="-69"/>
        </w:rPr>
        <w:t> </w:t>
      </w:r>
      <w:r>
        <w:rPr>
          <w:spacing w:val="-69"/>
        </w:rPr>
      </w:r>
      <w:r>
        <w:rPr>
          <w:spacing w:val="-3"/>
        </w:rPr>
        <w:t>运作指引》等开展工作，出席董事会和股东大会，尽责地履行职责和义务。公司董事通过自学熟悉并掌握相关法律法规，</w:t>
      </w:r>
      <w:r>
        <w:rPr>
          <w:spacing w:val="-23"/>
        </w:rPr>
        <w:t> </w:t>
      </w:r>
      <w:r>
        <w:rPr/>
        <w:t>从</w:t>
      </w:r>
      <w:r>
        <w:rPr>
          <w:spacing w:val="-84"/>
        </w:rPr>
        <w:t> </w:t>
      </w:r>
      <w:r>
        <w:rPr>
          <w:spacing w:val="-84"/>
        </w:rPr>
      </w:r>
      <w:r>
        <w:rPr>
          <w:spacing w:val="-2"/>
        </w:rPr>
        <w:t>根本上保证董事立足于维护公司和全体股东的最大利益，忠实、诚信、勤勉地履行职责，全体董事均能做到以认真负责，勤</w:t>
      </w:r>
      <w:r>
        <w:rPr>
          <w:spacing w:val="-66"/>
        </w:rPr>
        <w:t> </w:t>
      </w:r>
      <w:r>
        <w:rPr>
          <w:spacing w:val="-66"/>
        </w:rPr>
      </w:r>
      <w:r>
        <w:rPr/>
        <w:t>勉诚信的态度忠实履行职责。</w:t>
      </w:r>
    </w:p>
    <w:p>
      <w:pPr>
        <w:pStyle w:val="BodyText"/>
        <w:spacing w:line="312" w:lineRule="auto" w:before="20"/>
        <w:ind w:right="1131" w:firstLine="360"/>
        <w:jc w:val="both"/>
      </w:pPr>
      <w:r>
        <w:rPr>
          <w:rFonts w:ascii="Times New Roman" w:hAnsi="Times New Roman" w:cs="Times New Roman" w:eastAsia="Times New Roman" w:hint="default"/>
        </w:rPr>
        <w:t>4</w:t>
      </w:r>
      <w:r>
        <w:rPr/>
        <w:t>、关于监事和监事会：公司监事会设有监事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2</w:t>
      </w:r>
      <w:r>
        <w:rPr/>
        <w:t>名，人数和人员构成符合法律、法规和《公司章程》 </w:t>
      </w:r>
      <w:r>
        <w:rPr>
          <w:spacing w:val="-2"/>
        </w:rPr>
        <w:t>的规定与要求；监事会会议的召集、召开程序，完全按照《监事会议事规则》的要求履行，并按照拟定的会议议程进行。公</w:t>
      </w:r>
      <w:r>
        <w:rPr>
          <w:spacing w:val="-71"/>
        </w:rPr>
        <w:t> </w:t>
      </w:r>
      <w:r>
        <w:rPr>
          <w:spacing w:val="-71"/>
        </w:rPr>
      </w:r>
      <w:r>
        <w:rPr>
          <w:spacing w:val="-2"/>
        </w:rPr>
        <w:t>司监事能够认真履行自己的职责，本着对公司和全体股东负责的精神，依法、独立对公司财务及公司董事、经理和其他高级</w:t>
      </w:r>
      <w:r>
        <w:rPr>
          <w:spacing w:val="-66"/>
        </w:rPr>
        <w:t> </w:t>
      </w:r>
      <w:r>
        <w:rPr>
          <w:spacing w:val="-66"/>
        </w:rPr>
      </w:r>
      <w:r>
        <w:rPr/>
        <w:t>管理人员履行职责的合法性、合规性进行监督。</w:t>
      </w:r>
    </w:p>
    <w:p>
      <w:pPr>
        <w:pStyle w:val="BodyText"/>
        <w:spacing w:line="300" w:lineRule="auto" w:before="22"/>
        <w:ind w:left="1134" w:right="1140" w:firstLine="360"/>
        <w:jc w:val="both"/>
      </w:pPr>
      <w:r>
        <w:rPr>
          <w:rFonts w:ascii="Times New Roman" w:hAnsi="Times New Roman" w:cs="Times New Roman" w:eastAsia="Times New Roman" w:hint="default"/>
        </w:rPr>
        <w:t>5</w:t>
      </w:r>
      <w:r>
        <w:rPr/>
        <w:t>、关于绩效评价与激励约束机制：公司董事会下设的薪酬与考核委员会，负责对公司的董事、监事、高管进行绩效考 核，公司现有的考核及激励约束机制符合公司的发展现状并且在不断完善。</w:t>
      </w:r>
    </w:p>
    <w:p>
      <w:pPr>
        <w:pStyle w:val="BodyText"/>
        <w:spacing w:line="304" w:lineRule="auto" w:before="31"/>
        <w:ind w:left="1134" w:right="1132" w:firstLine="360"/>
        <w:jc w:val="both"/>
      </w:pPr>
      <w:r>
        <w:rPr>
          <w:rFonts w:ascii="Times New Roman" w:hAnsi="Times New Roman" w:cs="Times New Roman" w:eastAsia="Times New Roman" w:hint="default"/>
        </w:rPr>
        <w:t>6</w:t>
      </w:r>
      <w:r>
        <w:rPr/>
        <w:t>、关于信息披露与透明度：公司严格按照有关法律法规以及《信息披露管理制度》、《投资者管理制度》、《重大信 </w:t>
      </w:r>
      <w:r>
        <w:rPr>
          <w:spacing w:val="-2"/>
        </w:rPr>
        <w:t>息内部报告和保密制度》等要求，真实、准确、及时、公平、完整地披露有关信息。</w:t>
      </w:r>
      <w:r>
        <w:rPr>
          <w:rFonts w:ascii="Times New Roman" w:hAnsi="Times New Roman" w:cs="Times New Roman" w:eastAsia="Times New Roman" w:hint="default"/>
          <w:spacing w:val="-2"/>
        </w:rPr>
        <w:t>2016</w:t>
      </w:r>
      <w:r>
        <w:rPr>
          <w:spacing w:val="-2"/>
        </w:rPr>
        <w:t>年公司设立信息披露委员会并选举</w:t>
      </w:r>
      <w:r>
        <w:rPr>
          <w:spacing w:val="-66"/>
        </w:rPr>
        <w:t> </w:t>
      </w:r>
      <w:r>
        <w:rPr>
          <w:spacing w:val="-66"/>
        </w:rPr>
      </w:r>
      <w:r>
        <w:rPr>
          <w:rFonts w:ascii="Times New Roman" w:hAnsi="Times New Roman" w:cs="Times New Roman" w:eastAsia="Times New Roman" w:hint="default"/>
        </w:rPr>
        <w:t>5</w:t>
      </w:r>
      <w:r>
        <w:rPr/>
        <w:t>名委员定期对公司信息披露工作进行考核。同时公司指定董事会秘书负责信息披露工作，协调公司与投资者的关系，接待 </w:t>
      </w:r>
      <w:r>
        <w:rPr>
          <w:spacing w:val="-2"/>
        </w:rPr>
        <w:t>股东来访，回答投资者咨询，向投资者提供公司已披露的资料；并指定《中国证券报》、《证券时报》、《上海证券报》和</w:t>
      </w:r>
      <w:r>
        <w:rPr>
          <w:spacing w:val="-72"/>
        </w:rPr>
        <w:t> </w:t>
      </w:r>
      <w:r>
        <w:rPr>
          <w:spacing w:val="-72"/>
        </w:rPr>
      </w:r>
      <w:r>
        <w:rPr/>
        <w:t>巨潮网（</w:t>
      </w:r>
      <w:hyperlink r:id="rId13">
        <w:r>
          <w:rPr>
            <w:rFonts w:ascii="Times New Roman" w:hAnsi="Times New Roman" w:cs="Times New Roman" w:eastAsia="Times New Roman" w:hint="default"/>
          </w:rPr>
          <w:t>www.cninfo.com.cn</w:t>
        </w:r>
      </w:hyperlink>
      <w:r>
        <w:rPr/>
        <w:t>）为公司信息披露的指定报纸和网站，确保公司所有股东能够以平等的机会获得信息。</w:t>
      </w:r>
    </w:p>
    <w:p>
      <w:pPr>
        <w:pStyle w:val="BodyText"/>
        <w:spacing w:line="300" w:lineRule="auto" w:before="9"/>
        <w:ind w:left="1134" w:right="1140" w:firstLine="360"/>
        <w:jc w:val="both"/>
      </w:pPr>
      <w:r>
        <w:rPr>
          <w:rFonts w:ascii="Times New Roman" w:hAnsi="Times New Roman" w:cs="Times New Roman" w:eastAsia="Times New Roman" w:hint="default"/>
        </w:rPr>
        <w:t>7</w:t>
      </w:r>
      <w:r>
        <w:rPr/>
        <w:t>、关于相关利益者：公司充分尊重和维护相关利益者的合法权益，实现股东、员工、社会等各方利益的协调平衡，共 同推动公司持续、健康的发展。</w:t>
      </w:r>
    </w:p>
    <w:p>
      <w:pPr>
        <w:pStyle w:val="BodyText"/>
        <w:spacing w:line="240" w:lineRule="auto" w:before="72"/>
        <w:ind w:left="1134" w:right="0"/>
        <w:jc w:val="both"/>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4"/>
        <w:spacing w:line="240" w:lineRule="auto"/>
        <w:ind w:right="0"/>
        <w:jc w:val="both"/>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493" w:right="994"/>
        <w:jc w:val="left"/>
      </w:pPr>
      <w:r>
        <w:rPr/>
        <w:t>为防止控股股东及关联方占用公司资金，杜绝控股股东及关联方资金占用行为的发生，根据《公司法》、《证券法》、</w:t>
      </w:r>
    </w:p>
    <w:p>
      <w:pPr>
        <w:pStyle w:val="BodyText"/>
        <w:spacing w:line="316" w:lineRule="auto" w:before="76"/>
        <w:ind w:right="1131"/>
        <w:jc w:val="both"/>
      </w:pPr>
      <w:r>
        <w:rPr>
          <w:spacing w:val="-2"/>
        </w:rPr>
        <w:t>《深圳证券交易所创业板股票上市规则》、《深圳证券交易所创业板上市公司规范运作指引》等有关法律法规和《深圳市新</w:t>
      </w:r>
      <w:r>
        <w:rPr>
          <w:spacing w:val="-66"/>
        </w:rPr>
        <w:t> </w:t>
      </w:r>
      <w:r>
        <w:rPr>
          <w:spacing w:val="-66"/>
        </w:rPr>
      </w:r>
      <w:r>
        <w:rPr>
          <w:spacing w:val="-2"/>
        </w:rPr>
        <w:t>国都技术股份有限公司章程》，公司制定了《防范控股股东及关联方占用公司资金制度》，明确关联方占用情况及相关责任</w:t>
      </w:r>
      <w:r>
        <w:rPr>
          <w:spacing w:val="-65"/>
        </w:rPr>
        <w:t> </w:t>
      </w:r>
      <w:r>
        <w:rPr>
          <w:spacing w:val="-65"/>
        </w:rPr>
      </w:r>
      <w:r>
        <w:rPr/>
        <w:t>追究制度。独立董事及监事会对关联方资金占用情况进行监督检查。</w:t>
      </w:r>
    </w:p>
    <w:p>
      <w:pPr>
        <w:pStyle w:val="BodyText"/>
        <w:spacing w:line="240" w:lineRule="auto" w:before="19"/>
        <w:ind w:left="1494" w:right="994"/>
        <w:jc w:val="left"/>
      </w:pPr>
      <w:r>
        <w:rPr/>
        <w:t>本报告期内，公司不存在与控股股东在业务、人员、资产、机构、财务等方面存在不能保证独立性、不能保持自主经营</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ind w:right="994"/>
        <w:jc w:val="left"/>
      </w:pPr>
      <w:r>
        <w:rPr/>
        <w:t>能力的情况。</w:t>
      </w:r>
    </w:p>
    <w:p>
      <w:pPr>
        <w:spacing w:line="240" w:lineRule="auto" w:before="2"/>
        <w:rPr>
          <w:rFonts w:ascii="宋体" w:hAnsi="宋体" w:cs="宋体" w:eastAsia="宋体" w:hint="default"/>
          <w:sz w:val="25"/>
          <w:szCs w:val="25"/>
        </w:rPr>
      </w:pPr>
    </w:p>
    <w:p>
      <w:pPr>
        <w:pStyle w:val="Heading4"/>
        <w:spacing w:line="240" w:lineRule="auto"/>
        <w:ind w:right="994"/>
        <w:jc w:val="left"/>
        <w:rPr>
          <w:b w:val="0"/>
          <w:bCs w:val="0"/>
        </w:rPr>
      </w:pPr>
      <w:bookmarkStart w:name="三、同业竞争情况" w:id="134"/>
      <w:bookmarkEnd w:id="134"/>
      <w:r>
        <w:rPr>
          <w:b w:val="0"/>
          <w:bCs w:val="0"/>
        </w:rPr>
      </w:r>
      <w:r>
        <w:rPr/>
        <w:t>三、同业竞争情况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994"/>
        <w:jc w:val="left"/>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94"/>
        <w:jc w:val="left"/>
        <w:rPr>
          <w:b w:val="0"/>
          <w:bCs w:val="0"/>
        </w:rPr>
      </w:pPr>
      <w:bookmarkStart w:name="1、本报告期股东大会情况" w:id="136"/>
      <w:bookmarkEnd w:id="13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5"/>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2"/>
              <w:ind w:left="23" w:right="119"/>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年年度股东大会会 议决议》</w:t>
            </w:r>
            <w:r>
              <w:rPr>
                <w:rFonts w:ascii="Times New Roman" w:hAnsi="Times New Roman" w:cs="Times New Roman" w:eastAsia="Times New Roman" w:hint="default"/>
                <w:sz w:val="18"/>
                <w:szCs w:val="18"/>
              </w:rPr>
              <w:t>2017-061</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2"/>
              <w:ind w:left="23" w:right="119"/>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年第一次临时股东 大会会议决议》</w:t>
            </w:r>
          </w:p>
          <w:p>
            <w:pPr>
              <w:pStyle w:val="TableParagraph"/>
              <w:spacing w:line="240" w:lineRule="auto" w:before="65"/>
              <w:ind w:left="23" w:right="0"/>
              <w:jc w:val="both"/>
              <w:rPr>
                <w:rFonts w:ascii="Times New Roman" w:hAnsi="Times New Roman" w:cs="Times New Roman" w:eastAsia="Times New Roman" w:hint="default"/>
                <w:sz w:val="18"/>
                <w:szCs w:val="18"/>
              </w:rPr>
            </w:pPr>
            <w:r>
              <w:rPr>
                <w:rFonts w:ascii="Times New Roman"/>
                <w:sz w:val="18"/>
              </w:rPr>
              <w:t>2017-076</w:t>
            </w: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2"/>
              <w:ind w:left="23" w:right="119"/>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年第二次临时股东 大会会议决议》</w:t>
            </w:r>
          </w:p>
          <w:p>
            <w:pPr>
              <w:pStyle w:val="TableParagraph"/>
              <w:spacing w:line="240" w:lineRule="auto" w:before="65"/>
              <w:ind w:left="23" w:right="0"/>
              <w:jc w:val="both"/>
              <w:rPr>
                <w:rFonts w:ascii="Times New Roman" w:hAnsi="Times New Roman" w:cs="Times New Roman" w:eastAsia="Times New Roman" w:hint="default"/>
                <w:sz w:val="18"/>
                <w:szCs w:val="18"/>
              </w:rPr>
            </w:pPr>
            <w:r>
              <w:rPr>
                <w:rFonts w:ascii="Times New Roman"/>
                <w:sz w:val="18"/>
              </w:rPr>
              <w:t>2017-138</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2"/>
              <w:ind w:left="23" w:right="119"/>
              <w:jc w:val="both"/>
              <w:rPr>
                <w:rFonts w:ascii="宋体" w:hAnsi="宋体" w:cs="宋体" w:eastAsia="宋体"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年第三次临时股东 大会会议决议》</w:t>
            </w:r>
          </w:p>
          <w:p>
            <w:pPr>
              <w:pStyle w:val="TableParagraph"/>
              <w:spacing w:line="240" w:lineRule="auto" w:before="65"/>
              <w:ind w:left="23" w:right="0"/>
              <w:jc w:val="both"/>
              <w:rPr>
                <w:rFonts w:ascii="Times New Roman" w:hAnsi="Times New Roman" w:cs="Times New Roman" w:eastAsia="Times New Roman" w:hint="default"/>
                <w:sz w:val="18"/>
                <w:szCs w:val="18"/>
              </w:rPr>
            </w:pPr>
            <w:r>
              <w:rPr>
                <w:rFonts w:ascii="Times New Roman"/>
                <w:sz w:val="18"/>
              </w:rPr>
              <w:t>2017-152</w:t>
            </w:r>
          </w:p>
        </w:tc>
      </w:tr>
    </w:tbl>
    <w:p>
      <w:pPr>
        <w:spacing w:line="240" w:lineRule="auto" w:before="2"/>
        <w:rPr>
          <w:rFonts w:ascii="宋体" w:hAnsi="宋体" w:cs="宋体" w:eastAsia="宋体" w:hint="default"/>
          <w:b/>
          <w:bCs/>
          <w:sz w:val="19"/>
          <w:szCs w:val="19"/>
        </w:rPr>
      </w:pPr>
    </w:p>
    <w:p>
      <w:pPr>
        <w:pStyle w:val="Heading5"/>
        <w:spacing w:line="240" w:lineRule="auto" w:before="35"/>
        <w:ind w:left="1134" w:right="994"/>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4"/>
        <w:spacing w:line="240" w:lineRule="auto"/>
        <w:ind w:right="994"/>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94"/>
        <w:jc w:val="left"/>
        <w:rPr>
          <w:b w:val="0"/>
          <w:bCs w:val="0"/>
        </w:rPr>
      </w:pPr>
      <w:bookmarkStart w:name="1、独立董事出席董事会及股东大会的情况" w:id="139"/>
      <w:bookmarkEnd w:id="13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何佳</w:t>
            </w:r>
          </w:p>
        </w:tc>
        <w:tc>
          <w:tcPr>
            <w:tcW w:w="116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蔡艳红</w:t>
            </w:r>
          </w:p>
        </w:tc>
        <w:tc>
          <w:tcPr>
            <w:tcW w:w="116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陈京琳</w:t>
            </w:r>
          </w:p>
        </w:tc>
        <w:tc>
          <w:tcPr>
            <w:tcW w:w="1164"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b/>
          <w:bCs/>
          <w:sz w:val="25"/>
          <w:szCs w:val="25"/>
        </w:rPr>
      </w:pPr>
    </w:p>
    <w:p>
      <w:pPr>
        <w:pStyle w:val="BodyText"/>
        <w:spacing w:line="240" w:lineRule="auto"/>
        <w:ind w:right="0"/>
        <w:jc w:val="both"/>
      </w:pPr>
      <w:r>
        <w:rPr/>
        <w:t>连续两次未亲自出席董事会的说明</w:t>
      </w:r>
    </w:p>
    <w:p>
      <w:pPr>
        <w:spacing w:line="240" w:lineRule="auto" w:before="10"/>
        <w:rPr>
          <w:rFonts w:ascii="宋体" w:hAnsi="宋体" w:cs="宋体" w:eastAsia="宋体" w:hint="default"/>
          <w:sz w:val="26"/>
          <w:szCs w:val="26"/>
        </w:rPr>
      </w:pPr>
    </w:p>
    <w:p>
      <w:pPr>
        <w:pStyle w:val="Heading5"/>
        <w:spacing w:line="240" w:lineRule="auto"/>
        <w:ind w:right="0"/>
        <w:jc w:val="both"/>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5"/>
        <w:spacing w:line="240" w:lineRule="auto"/>
        <w:ind w:right="0"/>
        <w:jc w:val="both"/>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994" w:firstLine="360"/>
        <w:jc w:val="left"/>
      </w:pPr>
      <w:r>
        <w:rPr>
          <w:spacing w:val="-2"/>
        </w:rPr>
        <w:t>报告期内，公司独立董事严格按照《公司法》、《证券法》、《深圳证券交易所创业板股票上市规则》、《深圳证券交</w:t>
      </w:r>
      <w:r>
        <w:rPr/>
        <w:t> </w:t>
      </w:r>
      <w:r>
        <w:rPr>
          <w:spacing w:val="-4"/>
        </w:rPr>
        <w:t>易所创业板上市公司规范运作指引》、《关于在上市公司建立独立董事制度的指导意见》及《公司章程》等规范性文件要求，</w:t>
      </w:r>
      <w:r>
        <w:rPr>
          <w:spacing w:val="-44"/>
        </w:rPr>
        <w:t> </w:t>
      </w:r>
      <w:r>
        <w:rPr>
          <w:spacing w:val="-44"/>
        </w:rPr>
      </w:r>
      <w:r>
        <w:rPr>
          <w:spacing w:val="-2"/>
        </w:rPr>
        <w:t>积极出席公司董事会、股东大会，认真履行独立董事职责，对公司的发展决策提出了建设性的意见或建议，与其他董事、监</w:t>
      </w:r>
      <w:r>
        <w:rPr>
          <w:spacing w:val="-66"/>
        </w:rPr>
        <w:t> </w:t>
      </w:r>
      <w:r>
        <w:rPr>
          <w:spacing w:val="-66"/>
        </w:rPr>
      </w:r>
      <w:r>
        <w:rPr>
          <w:spacing w:val="-2"/>
        </w:rPr>
        <w:t>事及管理层及时沟通交流，掌握公司发展动态。同时，对公司完善内控制度、生产经营、财务管理等方面提出了很多专业性</w:t>
      </w:r>
      <w:r>
        <w:rPr>
          <w:spacing w:val="-66"/>
        </w:rPr>
        <w:t> </w:t>
      </w:r>
      <w:r>
        <w:rPr>
          <w:spacing w:val="-66"/>
        </w:rPr>
      </w:r>
      <w:r>
        <w:rPr>
          <w:spacing w:val="-2"/>
        </w:rPr>
        <w:t>建议，有效保证了公司董事会决策的公正性和客观性，维护了公司整体利益和广大中小股东的合法权益，为公司的规范运作</w:t>
      </w:r>
      <w:r>
        <w:rPr>
          <w:spacing w:val="-66"/>
        </w:rPr>
        <w:t> </w:t>
      </w:r>
      <w:r>
        <w:rPr>
          <w:spacing w:val="-66"/>
        </w:rPr>
      </w:r>
      <w:r>
        <w:rPr/>
        <w:t>和健康发展发挥了积极作用。</w:t>
      </w:r>
    </w:p>
    <w:p>
      <w:pPr>
        <w:pStyle w:val="BodyText"/>
        <w:spacing w:line="316" w:lineRule="auto" w:before="19"/>
        <w:ind w:left="1134" w:right="994" w:firstLine="360"/>
        <w:jc w:val="left"/>
      </w:pPr>
      <w:r>
        <w:rPr>
          <w:spacing w:val="-2"/>
        </w:rPr>
        <w:t>针对第三届董事会第四十一次会议议案《关于公司</w:t>
      </w:r>
      <w:r>
        <w:rPr>
          <w:rFonts w:ascii="宋体" w:hAnsi="宋体" w:cs="宋体" w:eastAsia="宋体" w:hint="default"/>
          <w:spacing w:val="-2"/>
        </w:rPr>
        <w:t>2016</w:t>
      </w:r>
      <w:r>
        <w:rPr>
          <w:spacing w:val="-2"/>
        </w:rPr>
        <w:t>年度资产核销及计提大额资产减值的议案》，独立董事何佳先生</w:t>
      </w:r>
      <w:r>
        <w:rPr/>
        <w:t> 建议不仅要加强对投资公司的前期尽职调查，同时需加强投后管理和监督，帮助其提高经营业绩，该建议已被采纳。</w:t>
      </w:r>
    </w:p>
    <w:p>
      <w:pPr>
        <w:pStyle w:val="BodyText"/>
        <w:spacing w:line="319" w:lineRule="auto" w:before="19"/>
        <w:ind w:left="1134" w:right="1131" w:firstLine="360"/>
        <w:jc w:val="both"/>
      </w:pPr>
      <w:r>
        <w:rPr>
          <w:spacing w:val="-2"/>
        </w:rPr>
        <w:t>针对第四届董事会第八次会议议案《关于收购嘉联支付有限公司</w:t>
      </w:r>
      <w:r>
        <w:rPr>
          <w:rFonts w:ascii="宋体" w:hAnsi="宋体" w:cs="宋体" w:eastAsia="宋体" w:hint="default"/>
          <w:spacing w:val="-2"/>
        </w:rPr>
        <w:t>100%</w:t>
      </w:r>
      <w:r>
        <w:rPr>
          <w:spacing w:val="-2"/>
        </w:rPr>
        <w:t>股权的议案》，独立董事蔡艳红女士建议：由于本</w:t>
      </w:r>
      <w:r>
        <w:rPr/>
        <w:t> </w:t>
      </w:r>
      <w:r>
        <w:rPr>
          <w:spacing w:val="-2"/>
        </w:rPr>
        <w:t>次收购事项交易方不在嘉联运营、管理及技术方面担任关键职位，建议上市公司为嘉联支付核心技术人员制定针对性激励方</w:t>
      </w:r>
      <w:r>
        <w:rPr>
          <w:spacing w:val="-64"/>
        </w:rPr>
        <w:t> </w:t>
      </w:r>
      <w:r>
        <w:rPr>
          <w:spacing w:val="-64"/>
        </w:rPr>
      </w:r>
      <w:r>
        <w:rPr/>
        <w:t>案，鼓励其在上市公司平台上创造更大价值，公司经营管理层表示将会考虑该建议。</w:t>
      </w:r>
    </w:p>
    <w:p>
      <w:pPr>
        <w:pStyle w:val="BodyText"/>
        <w:spacing w:line="316" w:lineRule="auto" w:before="17"/>
        <w:ind w:left="1134" w:right="994" w:firstLine="360"/>
        <w:jc w:val="left"/>
      </w:pPr>
      <w:r>
        <w:rPr>
          <w:spacing w:val="-2"/>
        </w:rPr>
        <w:t>针对第四届董事会第五次会议议案《关于投资设立全资子公司的议案》，独立董事陈京琳先生建议关注小额贷款公司的</w:t>
      </w:r>
      <w:r>
        <w:rPr/>
        <w:t> 监管方向与法律政策的监管方向，加强与监管部门的沟通，保证公司业务依法合规开展，该建议经董事会协商一致通过。</w:t>
      </w:r>
    </w:p>
    <w:p>
      <w:pPr>
        <w:spacing w:line="240" w:lineRule="auto" w:before="10"/>
        <w:rPr>
          <w:rFonts w:ascii="宋体" w:hAnsi="宋体" w:cs="宋体" w:eastAsia="宋体" w:hint="default"/>
          <w:sz w:val="20"/>
          <w:szCs w:val="20"/>
        </w:rPr>
      </w:pPr>
    </w:p>
    <w:p>
      <w:pPr>
        <w:pStyle w:val="Heading4"/>
        <w:spacing w:line="240" w:lineRule="auto"/>
        <w:ind w:right="0"/>
        <w:jc w:val="both"/>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1493" w:right="994"/>
        <w:jc w:val="left"/>
      </w:pPr>
      <w:r>
        <w:rPr>
          <w:rFonts w:ascii="宋体" w:hAnsi="宋体" w:cs="宋体" w:eastAsia="宋体" w:hint="default"/>
        </w:rPr>
        <w:t>1</w:t>
      </w:r>
      <w:r>
        <w:rPr/>
        <w:t>、第三届董事会审计委员会和第四届董事会审计委员会</w:t>
      </w:r>
    </w:p>
    <w:p>
      <w:pPr>
        <w:pStyle w:val="BodyText"/>
        <w:spacing w:line="240" w:lineRule="auto" w:before="76"/>
        <w:ind w:left="1494" w:right="994"/>
        <w:jc w:val="left"/>
      </w:pP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2</w:t>
      </w:r>
      <w:r>
        <w:rPr/>
        <w:t>日，公司召开第三届董事会审计委员会第十一次会议，审议通过《关于</w:t>
      </w:r>
      <w:r>
        <w:rPr>
          <w:rFonts w:ascii="宋体" w:hAnsi="宋体" w:cs="宋体" w:eastAsia="宋体" w:hint="default"/>
        </w:rPr>
        <w:t>2016</w:t>
      </w:r>
      <w:r>
        <w:rPr/>
        <w:t>年度利润分配的议案》、《关于</w:t>
      </w:r>
    </w:p>
    <w:p>
      <w:pPr>
        <w:pStyle w:val="BodyText"/>
        <w:spacing w:line="316" w:lineRule="auto" w:before="76"/>
        <w:ind w:right="1130"/>
        <w:jc w:val="both"/>
      </w:pPr>
      <w:r>
        <w:rPr>
          <w:rFonts w:ascii="宋体" w:hAnsi="宋体" w:cs="宋体" w:eastAsia="宋体" w:hint="default"/>
          <w:spacing w:val="-2"/>
        </w:rPr>
        <w:t>2016</w:t>
      </w:r>
      <w:r>
        <w:rPr>
          <w:spacing w:val="-2"/>
        </w:rPr>
        <w:t>年度募集资金存放与使用情况专项报告的议案》、《关于</w:t>
      </w:r>
      <w:r>
        <w:rPr>
          <w:rFonts w:ascii="宋体" w:hAnsi="宋体" w:cs="宋体" w:eastAsia="宋体" w:hint="default"/>
          <w:spacing w:val="-2"/>
        </w:rPr>
        <w:t>2016</w:t>
      </w:r>
      <w:r>
        <w:rPr>
          <w:spacing w:val="-2"/>
        </w:rPr>
        <w:t>年度财务决算报告的议案》、《关于</w:t>
      </w:r>
      <w:r>
        <w:rPr>
          <w:rFonts w:ascii="宋体" w:hAnsi="宋体" w:cs="宋体" w:eastAsia="宋体" w:hint="default"/>
          <w:spacing w:val="-2"/>
        </w:rPr>
        <w:t>2016</w:t>
      </w:r>
      <w:r>
        <w:rPr>
          <w:spacing w:val="-2"/>
        </w:rPr>
        <w:t>年度内部控制自</w:t>
      </w:r>
      <w:r>
        <w:rPr>
          <w:spacing w:val="-56"/>
        </w:rPr>
        <w:t> </w:t>
      </w:r>
      <w:r>
        <w:rPr>
          <w:spacing w:val="-2"/>
        </w:rPr>
        <w:t>我评价报告的议案》、《关于</w:t>
      </w:r>
      <w:r>
        <w:rPr>
          <w:rFonts w:ascii="宋体" w:hAnsi="宋体" w:cs="宋体" w:eastAsia="宋体" w:hint="default"/>
          <w:spacing w:val="-2"/>
        </w:rPr>
        <w:t>2016</w:t>
      </w:r>
      <w:r>
        <w:rPr>
          <w:spacing w:val="-2"/>
        </w:rPr>
        <w:t>年度审计监察部工作总结及</w:t>
      </w:r>
      <w:r>
        <w:rPr>
          <w:rFonts w:ascii="宋体" w:hAnsi="宋体" w:cs="宋体" w:eastAsia="宋体" w:hint="default"/>
          <w:spacing w:val="-2"/>
        </w:rPr>
        <w:t>2017</w:t>
      </w:r>
      <w:r>
        <w:rPr>
          <w:spacing w:val="-2"/>
        </w:rPr>
        <w:t>年审计监察部工作计划的议案》、《关于聘请</w:t>
      </w:r>
      <w:r>
        <w:rPr>
          <w:rFonts w:ascii="宋体" w:hAnsi="宋体" w:cs="宋体" w:eastAsia="宋体" w:hint="default"/>
          <w:spacing w:val="-2"/>
        </w:rPr>
        <w:t>2017</w:t>
      </w:r>
      <w:r>
        <w:rPr>
          <w:spacing w:val="-2"/>
        </w:rPr>
        <w:t>年度审</w:t>
      </w:r>
      <w:r>
        <w:rPr>
          <w:spacing w:val="-55"/>
        </w:rPr>
        <w:t> </w:t>
      </w:r>
      <w:r>
        <w:rPr>
          <w:spacing w:val="-2"/>
        </w:rPr>
        <w:t>计机构的议案》，并对公司利润分配方案发表意见：公司本次分配预案结合公司实际经营情况，并充分考虑公司股东，特别</w:t>
      </w:r>
      <w:r>
        <w:rPr>
          <w:spacing w:val="-65"/>
        </w:rPr>
        <w:t> </w:t>
      </w:r>
      <w:r>
        <w:rPr>
          <w:spacing w:val="-65"/>
        </w:rPr>
      </w:r>
      <w:r>
        <w:rPr/>
        <w:t>是中小股东的利益，决策程序符合相关法律法规、预案内容符合公司利润分配政策及《公司章程》的相关规定。</w:t>
      </w:r>
    </w:p>
    <w:p>
      <w:pPr>
        <w:pStyle w:val="BodyText"/>
        <w:spacing w:line="316" w:lineRule="auto" w:before="19"/>
        <w:ind w:right="994" w:firstLine="360"/>
        <w:jc w:val="left"/>
      </w:pP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6</w:t>
      </w:r>
      <w:r>
        <w:rPr>
          <w:spacing w:val="-2"/>
        </w:rPr>
        <w:t>日，公司召开第三届董事会审计委员会第十二次会议，审议通过《关于</w:t>
      </w:r>
      <w:r>
        <w:rPr>
          <w:rFonts w:ascii="宋体" w:hAnsi="宋体" w:cs="宋体" w:eastAsia="宋体" w:hint="default"/>
          <w:spacing w:val="-2"/>
        </w:rPr>
        <w:t>2017</w:t>
      </w:r>
      <w:r>
        <w:rPr>
          <w:spacing w:val="-2"/>
        </w:rPr>
        <w:t>年第一季度募集资金使用存放与</w:t>
      </w:r>
      <w:r>
        <w:rPr/>
        <w:t> 实际使用情况专项报告的议案》、《关于</w:t>
      </w:r>
      <w:r>
        <w:rPr>
          <w:rFonts w:ascii="宋体" w:hAnsi="宋体" w:cs="宋体" w:eastAsia="宋体" w:hint="default"/>
        </w:rPr>
        <w:t>2017</w:t>
      </w:r>
      <w:r>
        <w:rPr/>
        <w:t>年审计监察部第一季度工作总结及第二季度工作计划的议案》。</w:t>
      </w:r>
    </w:p>
    <w:p>
      <w:pPr>
        <w:pStyle w:val="BodyText"/>
        <w:spacing w:line="316" w:lineRule="auto" w:before="19"/>
        <w:ind w:left="1134" w:right="1122" w:firstLine="360"/>
        <w:jc w:val="left"/>
      </w:pP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15</w:t>
      </w:r>
      <w:r>
        <w:rPr/>
        <w:t>日，公司召开第四届董事会审计委员会第一次会议，审议通过《</w:t>
      </w:r>
      <w:r>
        <w:rPr>
          <w:rFonts w:ascii="宋体" w:hAnsi="宋体" w:cs="宋体" w:eastAsia="宋体" w:hint="default"/>
        </w:rPr>
        <w:t>2017</w:t>
      </w:r>
      <w:r>
        <w:rPr/>
        <w:t>年审计监察部上半年工作总结及下半 年工作计划》、《</w:t>
      </w:r>
      <w:r>
        <w:rPr>
          <w:rFonts w:ascii="宋体" w:hAnsi="宋体" w:cs="宋体" w:eastAsia="宋体" w:hint="default"/>
        </w:rPr>
        <w:t>2017</w:t>
      </w:r>
      <w:r>
        <w:rPr/>
        <w:t>年上半年募集资金存放与使用情况报告》。</w:t>
      </w:r>
    </w:p>
    <w:p>
      <w:pPr>
        <w:pStyle w:val="BodyText"/>
        <w:spacing w:line="319" w:lineRule="auto" w:before="19"/>
        <w:ind w:right="994" w:firstLine="360"/>
        <w:jc w:val="left"/>
      </w:pP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13</w:t>
      </w:r>
      <w:r>
        <w:rPr>
          <w:spacing w:val="-2"/>
        </w:rPr>
        <w:t>日，公司召开第四届董事会审计委员会第二次会议，审议通过《关于</w:t>
      </w:r>
      <w:r>
        <w:rPr>
          <w:rFonts w:ascii="宋体" w:hAnsi="宋体" w:cs="宋体" w:eastAsia="宋体" w:hint="default"/>
          <w:spacing w:val="-2"/>
        </w:rPr>
        <w:t>2017</w:t>
      </w:r>
      <w:r>
        <w:rPr>
          <w:spacing w:val="-2"/>
        </w:rPr>
        <w:t>年三季度募集资金使用存放与实</w:t>
      </w:r>
      <w:r>
        <w:rPr/>
        <w:t> 际使用情况专项报告的议案》、《关于</w:t>
      </w:r>
      <w:r>
        <w:rPr>
          <w:rFonts w:ascii="宋体" w:hAnsi="宋体" w:cs="宋体" w:eastAsia="宋体" w:hint="default"/>
        </w:rPr>
        <w:t>2017</w:t>
      </w:r>
      <w:r>
        <w:rPr/>
        <w:t>年审计监察部第三季度工作总结及第四季度工作计划的议案》。</w:t>
      </w:r>
    </w:p>
    <w:p>
      <w:pPr>
        <w:pStyle w:val="BodyText"/>
        <w:spacing w:line="240" w:lineRule="auto" w:before="17"/>
        <w:ind w:left="1493" w:right="994"/>
        <w:jc w:val="left"/>
      </w:pPr>
      <w:r>
        <w:rPr>
          <w:rFonts w:ascii="宋体" w:hAnsi="宋体" w:cs="宋体" w:eastAsia="宋体" w:hint="default"/>
        </w:rPr>
        <w:t>2</w:t>
      </w:r>
      <w:r>
        <w:rPr/>
        <w:t>、第三届董事会薪酬与考核委员会和第四届董事会薪酬与考核委员会</w:t>
      </w:r>
    </w:p>
    <w:p>
      <w:pPr>
        <w:pStyle w:val="BodyText"/>
        <w:spacing w:line="316" w:lineRule="auto" w:before="76"/>
        <w:ind w:right="994" w:firstLine="360"/>
        <w:jc w:val="left"/>
      </w:pPr>
      <w:r>
        <w:rPr>
          <w:rFonts w:ascii="宋体" w:hAnsi="宋体" w:cs="宋体" w:eastAsia="宋体" w:hint="default"/>
          <w:spacing w:val="-2"/>
        </w:rPr>
        <w:t>2017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7</w:t>
      </w:r>
      <w:r>
        <w:rPr>
          <w:spacing w:val="-2"/>
        </w:rPr>
        <w:t>日，公司召开第三届董事会薪酬与考核委员会第九次会议，审议通过《关于注销</w:t>
      </w:r>
      <w:r>
        <w:rPr>
          <w:rFonts w:ascii="宋体" w:hAnsi="宋体" w:cs="宋体" w:eastAsia="宋体" w:hint="default"/>
          <w:spacing w:val="-2"/>
        </w:rPr>
        <w:t>2015</w:t>
      </w:r>
      <w:r>
        <w:rPr>
          <w:spacing w:val="-2"/>
        </w:rPr>
        <w:t>年股票期权激励计划部</w:t>
      </w:r>
      <w:r>
        <w:rPr/>
        <w:t> </w:t>
      </w:r>
      <w:r>
        <w:rPr>
          <w:spacing w:val="-2"/>
        </w:rPr>
        <w:t>分已获授股票期权的议案》、《关于确认公司高级管理人员</w:t>
      </w:r>
      <w:r>
        <w:rPr>
          <w:rFonts w:ascii="宋体" w:hAnsi="宋体" w:cs="宋体" w:eastAsia="宋体" w:hint="default"/>
          <w:spacing w:val="-2"/>
        </w:rPr>
        <w:t>2016</w:t>
      </w:r>
      <w:r>
        <w:rPr>
          <w:spacing w:val="-2"/>
        </w:rPr>
        <w:t>年度薪酬的议案》、《关于确认公司董事</w:t>
      </w:r>
      <w:r>
        <w:rPr>
          <w:rFonts w:ascii="宋体" w:hAnsi="宋体" w:cs="宋体" w:eastAsia="宋体" w:hint="default"/>
          <w:spacing w:val="-2"/>
        </w:rPr>
        <w:t>2016</w:t>
      </w:r>
      <w:r>
        <w:rPr>
          <w:spacing w:val="-2"/>
        </w:rPr>
        <w:t>年度绩效及薪</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left="1493" w:right="1123" w:hanging="360"/>
        <w:jc w:val="left"/>
      </w:pPr>
      <w:r>
        <w:rPr/>
        <w:t>酬情况的议案》、《关于公司</w:t>
      </w:r>
      <w:r>
        <w:rPr>
          <w:rFonts w:ascii="宋体" w:hAnsi="宋体" w:cs="宋体" w:eastAsia="宋体" w:hint="default"/>
        </w:rPr>
        <w:t>2015</w:t>
      </w:r>
      <w:r>
        <w:rPr/>
        <w:t>年股票期权激励计划第一个行权期未达到行权条件予以注销的议案》。 </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19</w:t>
      </w:r>
      <w:r>
        <w:rPr/>
        <w:t>日，公司召开第三届董事会薪酬与考核委员会第十次会议，审议通过《关于考核公司</w:t>
      </w:r>
      <w:r>
        <w:rPr>
          <w:rFonts w:ascii="宋体" w:hAnsi="宋体" w:cs="宋体" w:eastAsia="宋体" w:hint="default"/>
        </w:rPr>
        <w:t>2014</w:t>
      </w:r>
      <w:r>
        <w:rPr/>
        <w:t>年股票期权激励</w:t>
      </w:r>
    </w:p>
    <w:p>
      <w:pPr>
        <w:pStyle w:val="BodyText"/>
        <w:spacing w:line="316" w:lineRule="auto" w:before="19"/>
        <w:ind w:right="994"/>
        <w:jc w:val="left"/>
      </w:pPr>
      <w:r>
        <w:rPr>
          <w:spacing w:val="-4"/>
        </w:rPr>
        <w:t>计划第三个行权期可行权激励对象的议案》、《关于《深圳市新国都技术股份有限公司</w:t>
      </w:r>
      <w:r>
        <w:rPr>
          <w:rFonts w:ascii="宋体" w:hAnsi="宋体" w:cs="宋体" w:eastAsia="宋体" w:hint="default"/>
          <w:spacing w:val="-4"/>
        </w:rPr>
        <w:t>2017</w:t>
      </w:r>
      <w:r>
        <w:rPr>
          <w:spacing w:val="-4"/>
        </w:rPr>
        <w:t>年股票期权激励计划草案及摘要》</w:t>
      </w:r>
      <w:r>
        <w:rPr>
          <w:spacing w:val="-37"/>
        </w:rPr>
        <w:t> </w:t>
      </w:r>
      <w:r>
        <w:rPr/>
        <w:t>的议案》、《关于《深圳市新国都技术股份有限公司</w:t>
      </w:r>
      <w:r>
        <w:rPr>
          <w:rFonts w:ascii="宋体" w:hAnsi="宋体" w:cs="宋体" w:eastAsia="宋体" w:hint="default"/>
        </w:rPr>
        <w:t>2017</w:t>
      </w:r>
      <w:r>
        <w:rPr/>
        <w:t>年股票期权激励计划实施考核办法》的议案》。</w:t>
      </w:r>
    </w:p>
    <w:p>
      <w:pPr>
        <w:pStyle w:val="BodyText"/>
        <w:spacing w:line="316" w:lineRule="auto" w:before="19"/>
        <w:ind w:left="1494" w:right="5892"/>
        <w:jc w:val="left"/>
      </w:pPr>
      <w:r>
        <w:rPr/>
        <w:t>报告期内，第四届董事会薪酬与考核委员会未召开会议。 </w:t>
      </w:r>
      <w:r>
        <w:rPr>
          <w:rFonts w:ascii="宋体" w:hAnsi="宋体" w:cs="宋体" w:eastAsia="宋体" w:hint="default"/>
        </w:rPr>
        <w:t>3</w:t>
      </w:r>
      <w:r>
        <w:rPr/>
        <w:t>、第三届董事会提名委员会和第四届董事会提名委员会</w:t>
      </w:r>
    </w:p>
    <w:p>
      <w:pPr>
        <w:pStyle w:val="BodyText"/>
        <w:spacing w:line="240" w:lineRule="auto" w:before="19"/>
        <w:ind w:left="1494" w:right="994"/>
        <w:jc w:val="left"/>
      </w:pPr>
      <w:r>
        <w:rPr>
          <w:rFonts w:ascii="宋体" w:hAnsi="宋体" w:cs="宋体" w:eastAsia="宋体" w:hint="default"/>
          <w:spacing w:val="-4"/>
        </w:rPr>
        <w:t>2017</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5</w:t>
      </w:r>
      <w:r>
        <w:rPr>
          <w:spacing w:val="-4"/>
        </w:rPr>
        <w:t>日，公司召开第三届董事会提名委员会第二次会议，审议通过《关于提名公司第四届董事会候选人的议案》、</w:t>
      </w:r>
    </w:p>
    <w:p>
      <w:pPr>
        <w:pStyle w:val="BodyText"/>
        <w:spacing w:line="316" w:lineRule="auto" w:before="76"/>
        <w:ind w:left="1493" w:right="4813" w:hanging="360"/>
        <w:jc w:val="left"/>
      </w:pPr>
      <w:r>
        <w:rPr/>
        <w:t>《关于提名公司高级管理人员候选人的议案》。 报告期内，第四届董事会提名委员会未召开会议。 </w:t>
      </w:r>
      <w:r>
        <w:rPr>
          <w:rFonts w:ascii="宋体" w:hAnsi="宋体" w:cs="宋体" w:eastAsia="宋体" w:hint="default"/>
        </w:rPr>
        <w:t>4</w:t>
      </w:r>
      <w:r>
        <w:rPr/>
        <w:t>、第三届战略委员会和第四届战略委员会 报告期内，第三届董事会战略委员会及第四届战略委员会未召开会议。</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4"/>
        <w:spacing w:line="240" w:lineRule="auto"/>
        <w:ind w:right="994"/>
        <w:jc w:val="left"/>
        <w:rPr>
          <w:b w:val="0"/>
          <w:bCs w:val="0"/>
        </w:rPr>
      </w:pPr>
      <w:bookmarkStart w:name="七、监事会工作情况" w:id="143"/>
      <w:bookmarkEnd w:id="143"/>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94"/>
        <w:jc w:val="left"/>
      </w:pPr>
      <w:r>
        <w:rPr/>
        <w:t>监事会在报告期内的监督活动中发现公司是否存在风险</w:t>
      </w:r>
    </w:p>
    <w:p>
      <w:pPr>
        <w:pStyle w:val="BodyText"/>
        <w:spacing w:line="340" w:lineRule="auto" w:before="116"/>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4"/>
        <w:spacing w:line="240" w:lineRule="auto"/>
        <w:ind w:right="994"/>
        <w:jc w:val="left"/>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1</w:t>
      </w:r>
      <w:r>
        <w:rPr/>
        <w:t>、考评情况</w:t>
      </w:r>
    </w:p>
    <w:p>
      <w:pPr>
        <w:spacing w:line="240" w:lineRule="auto" w:before="13"/>
        <w:rPr>
          <w:rFonts w:ascii="宋体" w:hAnsi="宋体" w:cs="宋体" w:eastAsia="宋体" w:hint="default"/>
          <w:sz w:val="3"/>
          <w:szCs w:val="3"/>
        </w:rPr>
      </w:pPr>
    </w:p>
    <w:tbl>
      <w:tblPr>
        <w:tblW w:w="0" w:type="auto"/>
        <w:jc w:val="left"/>
        <w:tblInd w:w="1135" w:type="dxa"/>
        <w:tblLayout w:type="fixed"/>
        <w:tblCellMar>
          <w:top w:w="0" w:type="dxa"/>
          <w:left w:w="0" w:type="dxa"/>
          <w:bottom w:w="0" w:type="dxa"/>
          <w:right w:w="0" w:type="dxa"/>
        </w:tblCellMar>
        <w:tblLook w:val="01E0"/>
      </w:tblPr>
      <w:tblGrid>
        <w:gridCol w:w="3395"/>
        <w:gridCol w:w="851"/>
        <w:gridCol w:w="1138"/>
        <w:gridCol w:w="1812"/>
        <w:gridCol w:w="1019"/>
      </w:tblGrid>
      <w:tr>
        <w:trPr>
          <w:trHeight w:val="428" w:hRule="exact"/>
        </w:trPr>
        <w:tc>
          <w:tcPr>
            <w:tcW w:w="3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考核对象</w:t>
            </w:r>
            <w:r>
              <w:rPr>
                <w:rFonts w:ascii="宋体" w:hAnsi="宋体" w:cs="宋体" w:eastAsia="宋体" w:hint="default"/>
                <w:sz w:val="18"/>
                <w:szCs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6" w:right="0"/>
              <w:jc w:val="left"/>
              <w:rPr>
                <w:rFonts w:ascii="宋体" w:hAnsi="宋体" w:cs="宋体" w:eastAsia="宋体" w:hint="default"/>
                <w:sz w:val="18"/>
                <w:szCs w:val="18"/>
              </w:rPr>
            </w:pPr>
            <w:r>
              <w:rPr>
                <w:rFonts w:ascii="宋体" w:hAnsi="宋体" w:cs="宋体" w:eastAsia="宋体" w:hint="default"/>
                <w:b/>
                <w:bCs/>
                <w:sz w:val="18"/>
                <w:szCs w:val="18"/>
              </w:rPr>
              <w:t>考核周期</w:t>
            </w:r>
            <w:r>
              <w:rPr>
                <w:rFonts w:ascii="宋体" w:hAnsi="宋体" w:cs="宋体" w:eastAsia="宋体" w:hint="default"/>
                <w:sz w:val="18"/>
                <w:szCs w:val="18"/>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99" w:right="0"/>
              <w:jc w:val="left"/>
              <w:rPr>
                <w:rFonts w:ascii="宋体" w:hAnsi="宋体" w:cs="宋体" w:eastAsia="宋体" w:hint="default"/>
                <w:sz w:val="18"/>
                <w:szCs w:val="18"/>
              </w:rPr>
            </w:pPr>
            <w:r>
              <w:rPr>
                <w:rFonts w:ascii="宋体" w:hAnsi="宋体" w:cs="宋体" w:eastAsia="宋体" w:hint="default"/>
                <w:b/>
                <w:bCs/>
                <w:sz w:val="18"/>
                <w:szCs w:val="18"/>
              </w:rPr>
              <w:t>考核维度</w:t>
            </w:r>
            <w:r>
              <w:rPr>
                <w:rFonts w:ascii="宋体" w:hAnsi="宋体" w:cs="宋体" w:eastAsia="宋体" w:hint="default"/>
                <w:sz w:val="18"/>
                <w:szCs w:val="18"/>
              </w:rPr>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536" w:right="0"/>
              <w:jc w:val="left"/>
              <w:rPr>
                <w:rFonts w:ascii="宋体" w:hAnsi="宋体" w:cs="宋体" w:eastAsia="宋体" w:hint="default"/>
                <w:sz w:val="18"/>
                <w:szCs w:val="18"/>
              </w:rPr>
            </w:pPr>
            <w:r>
              <w:rPr>
                <w:rFonts w:ascii="宋体" w:hAnsi="宋体" w:cs="宋体" w:eastAsia="宋体" w:hint="default"/>
                <w:b/>
                <w:bCs/>
                <w:sz w:val="18"/>
                <w:szCs w:val="18"/>
              </w:rPr>
              <w:t>考核内容</w:t>
            </w:r>
            <w:r>
              <w:rPr>
                <w:rFonts w:ascii="宋体" w:hAnsi="宋体" w:cs="宋体" w:eastAsia="宋体" w:hint="default"/>
                <w:sz w:val="18"/>
                <w:szCs w:val="18"/>
              </w:rPr>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b/>
                <w:bCs/>
                <w:sz w:val="18"/>
                <w:szCs w:val="18"/>
              </w:rPr>
              <w:t>权重</w:t>
            </w:r>
            <w:r>
              <w:rPr>
                <w:rFonts w:ascii="宋体" w:hAnsi="宋体" w:cs="宋体" w:eastAsia="宋体" w:hint="default"/>
                <w:sz w:val="18"/>
                <w:szCs w:val="18"/>
              </w:rPr>
            </w:r>
          </w:p>
        </w:tc>
      </w:tr>
      <w:tr>
        <w:trPr>
          <w:trHeight w:val="426" w:hRule="exact"/>
        </w:trPr>
        <w:tc>
          <w:tcPr>
            <w:tcW w:w="3395" w:type="dxa"/>
            <w:vMerge w:val="restart"/>
            <w:tcBorders>
              <w:top w:val="single" w:sz="6" w:space="0" w:color="000000"/>
              <w:left w:val="single" w:sz="6" w:space="0" w:color="000000"/>
              <w:right w:val="single" w:sz="6" w:space="0" w:color="000000"/>
            </w:tcBorders>
          </w:tcPr>
          <w:p>
            <w:pPr>
              <w:pStyle w:val="TableParagraph"/>
              <w:spacing w:line="240" w:lineRule="auto" w:before="61"/>
              <w:ind w:left="34" w:right="0"/>
              <w:jc w:val="left"/>
              <w:rPr>
                <w:rFonts w:ascii="宋体" w:hAnsi="宋体" w:cs="宋体" w:eastAsia="宋体" w:hint="default"/>
                <w:sz w:val="18"/>
                <w:szCs w:val="18"/>
              </w:rPr>
            </w:pPr>
            <w:r>
              <w:rPr>
                <w:rFonts w:ascii="宋体" w:hAnsi="宋体" w:cs="宋体" w:eastAsia="宋体" w:hint="default"/>
                <w:sz w:val="18"/>
                <w:szCs w:val="18"/>
              </w:rPr>
              <w:t>高管（</w:t>
            </w:r>
            <w:r>
              <w:rPr>
                <w:rFonts w:ascii="Times New Roman" w:hAnsi="Times New Roman" w:cs="Times New Roman" w:eastAsia="Times New Roman" w:hint="default"/>
                <w:sz w:val="18"/>
                <w:szCs w:val="18"/>
              </w:rPr>
              <w:t>M5</w:t>
            </w:r>
            <w:r>
              <w:rPr>
                <w:rFonts w:ascii="宋体" w:hAnsi="宋体" w:cs="宋体" w:eastAsia="宋体" w:hint="default"/>
                <w:sz w:val="18"/>
                <w:szCs w:val="18"/>
              </w:rPr>
              <w:t>以上职级人员及各一级部门长）</w:t>
            </w:r>
          </w:p>
        </w:tc>
        <w:tc>
          <w:tcPr>
            <w:tcW w:w="851" w:type="dxa"/>
            <w:vMerge w:val="restart"/>
            <w:tcBorders>
              <w:top w:val="single" w:sz="6" w:space="0" w:color="000000"/>
              <w:left w:val="single" w:sz="6" w:space="0" w:color="000000"/>
              <w:right w:val="single" w:sz="6" w:space="0" w:color="000000"/>
            </w:tcBorders>
          </w:tcPr>
          <w:p>
            <w:pPr>
              <w:pStyle w:val="TableParagraph"/>
              <w:spacing w:line="240" w:lineRule="auto" w:before="61"/>
              <w:ind w:left="237"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KPI</w:t>
            </w:r>
            <w:r>
              <w:rPr>
                <w:rFonts w:ascii="宋体" w:hAnsi="宋体" w:cs="宋体" w:eastAsia="宋体" w:hint="default"/>
                <w:sz w:val="18"/>
                <w:szCs w:val="18"/>
              </w:rPr>
              <w:t>考核</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r>
              <w:rPr>
                <w:rFonts w:ascii="Times New Roman" w:hAnsi="Times New Roman" w:cs="Times New Roman" w:eastAsia="Times New Roman" w:hint="default"/>
                <w:sz w:val="18"/>
                <w:szCs w:val="18"/>
              </w:rPr>
              <w:t>KPI</w:t>
            </w:r>
            <w:r>
              <w:rPr>
                <w:rFonts w:ascii="宋体" w:hAnsi="宋体" w:cs="宋体" w:eastAsia="宋体" w:hint="default"/>
                <w:sz w:val="18"/>
                <w:szCs w:val="18"/>
              </w:rPr>
              <w:t>达成情况</w:t>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70%</w:t>
            </w:r>
          </w:p>
        </w:tc>
      </w:tr>
      <w:tr>
        <w:trPr>
          <w:trHeight w:val="428" w:hRule="exact"/>
        </w:trPr>
        <w:tc>
          <w:tcPr>
            <w:tcW w:w="3395" w:type="dxa"/>
            <w:vMerge/>
            <w:tcBorders>
              <w:left w:val="single" w:sz="6" w:space="0" w:color="000000"/>
              <w:bottom w:val="single" w:sz="6" w:space="0" w:color="000000"/>
              <w:right w:val="single" w:sz="6" w:space="0" w:color="000000"/>
            </w:tcBorders>
          </w:tcPr>
          <w:p>
            <w:pPr/>
          </w:p>
        </w:tc>
        <w:tc>
          <w:tcPr>
            <w:tcW w:w="851" w:type="dxa"/>
            <w:vMerge/>
            <w:tcBorders>
              <w:left w:val="single" w:sz="6"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宋体" w:hAnsi="宋体" w:cs="宋体" w:eastAsia="宋体" w:hint="default"/>
                <w:sz w:val="18"/>
                <w:szCs w:val="18"/>
              </w:rPr>
              <w:t>度测评</w:t>
            </w:r>
          </w:p>
        </w:tc>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核心价值观</w:t>
            </w:r>
          </w:p>
        </w:tc>
        <w:tc>
          <w:tcPr>
            <w:tcW w:w="10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30%</w:t>
            </w:r>
          </w:p>
        </w:tc>
      </w:tr>
    </w:tbl>
    <w:p>
      <w:pPr>
        <w:pStyle w:val="BodyText"/>
        <w:spacing w:line="316" w:lineRule="auto" w:before="10"/>
        <w:ind w:left="1134" w:right="1032" w:firstLine="360"/>
        <w:jc w:val="left"/>
      </w:pPr>
      <w:r>
        <w:rPr>
          <w:spacing w:val="-2"/>
        </w:rPr>
        <w:t>为进一步完善公司法人治理，健全内部约束和责任追究机制，提高公司决策与经营管理水平，建设廉洁、务实、高效的</w:t>
      </w:r>
      <w:r>
        <w:rPr/>
        <w:t> 管理团队，公司建立《总经理工作细则》、《董事会秘书工作制度》、《财务会计相关负责人管理制度》、《董事、监事、 高级管理人员内部问责制度》等管理制度。此外定期对高级管理人员实施绩效考核。</w:t>
      </w:r>
    </w:p>
    <w:p>
      <w:pPr>
        <w:spacing w:line="240" w:lineRule="auto" w:before="4"/>
        <w:rPr>
          <w:rFonts w:ascii="宋体" w:hAnsi="宋体" w:cs="宋体" w:eastAsia="宋体" w:hint="default"/>
          <w:sz w:val="25"/>
          <w:szCs w:val="25"/>
        </w:rPr>
      </w:pPr>
    </w:p>
    <w:p>
      <w:pPr>
        <w:pStyle w:val="BodyText"/>
        <w:spacing w:line="302" w:lineRule="auto" w:before="0"/>
        <w:ind w:right="6930"/>
        <w:jc w:val="left"/>
      </w:pPr>
      <w:r>
        <w:rPr/>
        <w:t>实施情况： 被考核人价值观考核自评：</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-28</w:t>
      </w:r>
      <w:r>
        <w:rPr/>
        <w:t>日 邮件发价值观</w:t>
      </w:r>
      <w:r>
        <w:rPr>
          <w:rFonts w:ascii="Times New Roman" w:hAnsi="Times New Roman" w:cs="Times New Roman" w:eastAsia="Times New Roman" w:hint="default"/>
        </w:rPr>
        <w:t>360</w:t>
      </w:r>
      <w:r>
        <w:rPr/>
        <w:t>测评网址：</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 </w:t>
      </w:r>
      <w:r>
        <w:rPr>
          <w:rFonts w:ascii="Times New Roman" w:hAnsi="Times New Roman" w:cs="Times New Roman" w:eastAsia="Times New Roman" w:hint="default"/>
        </w:rPr>
        <w:t>360</w:t>
      </w:r>
      <w:r>
        <w:rPr/>
        <w:t>测评：</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 </w:t>
      </w:r>
      <w:r>
        <w:rPr>
          <w:rFonts w:ascii="Times New Roman" w:hAnsi="Times New Roman" w:cs="Times New Roman" w:eastAsia="Times New Roman" w:hint="default"/>
        </w:rPr>
        <w:t>KPI</w:t>
      </w:r>
      <w:r>
        <w:rPr/>
        <w:t>述职：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19-20</w:t>
      </w:r>
      <w:r>
        <w:rPr/>
        <w:t>日 人力资源中心汇总报批：</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w:t>
      </w:r>
      <w:r>
        <w:rPr>
          <w:rFonts w:ascii="Times New Roman" w:hAnsi="Times New Roman" w:cs="Times New Roman" w:eastAsia="Times New Roman" w:hint="default"/>
        </w:rPr>
        <w:t>-24</w:t>
      </w:r>
      <w:r>
        <w:rPr/>
        <w:t>日 绩效面谈：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w:t>
      </w:r>
    </w:p>
    <w:p>
      <w:pPr>
        <w:pStyle w:val="BodyText"/>
        <w:spacing w:line="240" w:lineRule="auto" w:before="11"/>
        <w:ind w:right="994"/>
        <w:jc w:val="left"/>
      </w:pPr>
      <w:r>
        <w:rPr>
          <w:rFonts w:ascii="Times New Roman" w:hAnsi="Times New Roman" w:cs="Times New Roman" w:eastAsia="Times New Roman" w:hint="default"/>
        </w:rPr>
        <w:t>2</w:t>
      </w:r>
      <w:r>
        <w:rPr/>
        <w:t>、激励情况</w:t>
      </w:r>
    </w:p>
    <w:p>
      <w:pPr>
        <w:pStyle w:val="BodyText"/>
        <w:spacing w:line="319" w:lineRule="auto" w:before="63"/>
        <w:ind w:left="1134" w:right="1131" w:firstLine="360"/>
        <w:jc w:val="both"/>
      </w:pPr>
      <w:r>
        <w:rPr>
          <w:spacing w:val="-2"/>
        </w:rPr>
        <w:t>公司建立了完善的高级管理人员激励体系，薪酬理念与公司价值取向和企业文化相一致，支持公司发展战略的实施。高</w:t>
      </w:r>
      <w:r>
        <w:rPr/>
        <w:t> </w:t>
      </w:r>
      <w:r>
        <w:rPr>
          <w:spacing w:val="-2"/>
        </w:rPr>
        <w:t>级管理人员全薪收入由固定月薪、年度绩效奖金、长期激励和福利补贴构成。公司每年对高级管理人员进行绩效考评，工作</w:t>
      </w:r>
      <w:r>
        <w:rPr>
          <w:spacing w:val="-66"/>
        </w:rPr>
        <w:t> </w:t>
      </w:r>
      <w:r>
        <w:rPr>
          <w:spacing w:val="-66"/>
        </w:rPr>
      </w:r>
      <w:r>
        <w:rPr/>
        <w:t>绩效应用于调薪、奖金分配中，与个人收入直接挂钩。</w:t>
      </w:r>
    </w:p>
    <w:p>
      <w:pPr>
        <w:spacing w:after="0" w:line="319" w:lineRule="auto"/>
        <w:jc w:val="both"/>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4"/>
        <w:spacing w:line="240" w:lineRule="auto" w:before="26"/>
        <w:ind w:right="994"/>
        <w:jc w:val="left"/>
        <w:rPr>
          <w:b w:val="0"/>
          <w:bCs w:val="0"/>
        </w:rPr>
      </w:pPr>
      <w:bookmarkStart w:name="九、内部控制评价报告" w:id="145"/>
      <w:bookmarkEnd w:id="145"/>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5"/>
        <w:spacing w:line="240" w:lineRule="auto"/>
        <w:ind w:right="994"/>
        <w:jc w:val="left"/>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6"/>
          <w:szCs w:val="26"/>
        </w:rPr>
      </w:pPr>
    </w:p>
    <w:p>
      <w:pPr>
        <w:pStyle w:val="BodyText"/>
        <w:spacing w:line="240" w:lineRule="auto"/>
        <w:ind w:left="0" w:right="1139"/>
        <w:jc w:val="right"/>
      </w:pPr>
      <w:r>
        <w:rPr/>
        <w:pict>
          <v:shape style="position:absolute;margin-left:57.029999pt;margin-top:-183.848267pt;width:478.6pt;height:538.1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29"/>
                    <w:gridCol w:w="3051"/>
                  </w:tblGrid>
                  <w:tr>
                    <w:trPr>
                      <w:trHeight w:val="403"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2"/>
                          <w:ind w:left="16" w:right="-50"/>
                          <w:jc w:val="left"/>
                          <w:rPr>
                            <w:rFonts w:ascii="宋体" w:hAnsi="宋体" w:cs="宋体" w:eastAsia="宋体" w:hint="default"/>
                            <w:sz w:val="18"/>
                            <w:szCs w:val="18"/>
                          </w:rPr>
                        </w:pPr>
                        <w:r>
                          <w:rPr>
                            <w:rFonts w:ascii="宋体" w:hAnsi="宋体" w:cs="宋体" w:eastAsia="宋体" w:hint="default"/>
                            <w:sz w:val="18"/>
                            <w:szCs w:val="18"/>
                          </w:rPr>
                          <w:t>巨潮资讯网《深圳市新国都技术股份有限公司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878"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具有以下特征的缺陷，应认定为重大缺陷</w:t>
                        </w:r>
                        <w:r>
                          <w:rPr>
                            <w:rFonts w:ascii="Times New Roman" w:hAnsi="Times New Roman" w:cs="Times New Roman" w:eastAsia="Times New Roman" w:hint="default"/>
                            <w:sz w:val="18"/>
                            <w:szCs w:val="18"/>
                          </w:rPr>
                          <w:t>:</w:t>
                        </w:r>
                      </w:p>
                      <w:p>
                        <w:pPr>
                          <w:pStyle w:val="TableParagraph"/>
                          <w:spacing w:line="319" w:lineRule="auto" w:before="61"/>
                          <w:ind w:left="22" w:right="21"/>
                          <w:jc w:val="both"/>
                          <w:rPr>
                            <w:rFonts w:ascii="宋体" w:hAnsi="宋体" w:cs="宋体" w:eastAsia="宋体" w:hint="default"/>
                            <w:sz w:val="18"/>
                            <w:szCs w:val="18"/>
                          </w:rPr>
                        </w:pPr>
                        <w:r>
                          <w:rPr>
                            <w:rFonts w:ascii="宋体" w:hAnsi="宋体" w:cs="宋体" w:eastAsia="宋体" w:hint="default"/>
                            <w:spacing w:val="-9"/>
                            <w:sz w:val="18"/>
                            <w:szCs w:val="18"/>
                          </w:rPr>
                          <w:t>（一）财务报表造假；（二）更正或重述已</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9"/>
                            <w:sz w:val="18"/>
                            <w:szCs w:val="18"/>
                          </w:rPr>
                          <w:t>公布的关键财务数据；（三）注册会计师出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具保留、否定意见审计报告等。如果发现 的缺陷符合以下任何一条，应当认定为财 </w:t>
                        </w:r>
                        <w:r>
                          <w:rPr>
                            <w:rFonts w:ascii="宋体" w:hAnsi="宋体" w:cs="宋体" w:eastAsia="宋体" w:hint="default"/>
                            <w:spacing w:val="-9"/>
                            <w:sz w:val="18"/>
                            <w:szCs w:val="18"/>
                          </w:rPr>
                          <w:t>务报告内部控制重要缺陷：（一）未正确执</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9"/>
                            <w:sz w:val="18"/>
                            <w:szCs w:val="18"/>
                          </w:rPr>
                          <w:t>行国家相关会计政策；（二）外部审计发现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9"/>
                            <w:sz w:val="18"/>
                            <w:szCs w:val="18"/>
                          </w:rPr>
                          <w:t>的重大财务报表差错；（三）对财务报告的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产生缺乏有效审核、监督机制等。除重大 缺陷、重要缺陷以外的其他财务报告内部 控制缺陷认定为一般缺陷。</w:t>
                        </w:r>
                      </w:p>
                    </w:tc>
                    <w:tc>
                      <w:tcPr>
                        <w:tcW w:w="3051"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4"/>
                            <w:sz w:val="18"/>
                            <w:szCs w:val="18"/>
                          </w:rPr>
                          <w:t>具有以下特征的缺陷，应认定为重大缺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陷：（一）企业高管存在舞弊；（二）严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9"/>
                            <w:sz w:val="18"/>
                            <w:szCs w:val="18"/>
                          </w:rPr>
                          <w:t>重的违规、违纪且遭受处罚、警告；（三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被媒体频频曝光重大负面新闻，难以恢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复声誉；（四）已知的重大缺陷未得到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整改。如果发现的缺陷符合以下任何一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条，应当认定为非财务报告内部控制重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要缺陷：（一）未建立反舞弊程序和控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制措施；（二）缺失有效的内部管理与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6"/>
                            <w:sz w:val="18"/>
                            <w:szCs w:val="18"/>
                          </w:rPr>
                          <w:t>监督机制等；（三）已知的重要缺陷未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得到整改。除重大缺陷、重要缺陷以外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的其他非财务报告内部控制缺陷认定 为一般缺陷。</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shd w:val="clear" w:color="auto" w:fill="CCE8CF"/>
                      </w:tcPr>
                      <w:p>
                        <w:pPr/>
                      </w:p>
                    </w:tc>
                    <w:tc>
                      <w:tcPr>
                        <w:tcW w:w="3051" w:type="dxa"/>
                        <w:vMerge/>
                        <w:tcBorders>
                          <w:left w:val="single" w:sz="4" w:space="0" w:color="000000"/>
                          <w:right w:val="single" w:sz="4" w:space="0" w:color="000000"/>
                        </w:tcBorders>
                        <w:shd w:val="clear" w:color="auto" w:fill="CCE8CF"/>
                      </w:tcPr>
                      <w:p>
                        <w:pPr/>
                      </w:p>
                    </w:tc>
                  </w:tr>
                  <w:tr>
                    <w:trPr>
                      <w:trHeight w:val="1877"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shd w:val="clear" w:color="auto" w:fill="CCE8CF"/>
                      </w:tcPr>
                      <w:p>
                        <w:pPr/>
                      </w:p>
                    </w:tc>
                    <w:tc>
                      <w:tcPr>
                        <w:tcW w:w="3051" w:type="dxa"/>
                        <w:vMerge/>
                        <w:tcBorders>
                          <w:left w:val="single" w:sz="4" w:space="0" w:color="000000"/>
                          <w:bottom w:val="single" w:sz="4" w:space="0" w:color="000000"/>
                          <w:right w:val="single" w:sz="4" w:space="0" w:color="000000"/>
                        </w:tcBorders>
                        <w:shd w:val="clear" w:color="auto" w:fill="CCE8CF"/>
                      </w:tcPr>
                      <w:p>
                        <w:pPr/>
                      </w:p>
                    </w:tc>
                  </w:tr>
                  <w:tr>
                    <w:trPr>
                      <w:trHeight w:val="785"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shd w:val="clear" w:color="auto" w:fill="CCE8CF"/>
                      </w:tcPr>
                      <w:p>
                        <w:pPr>
                          <w:pStyle w:val="TableParagraph"/>
                          <w:spacing w:line="300" w:lineRule="auto" w:before="52"/>
                          <w:ind w:left="22"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重大缺陷：资产潜在错报</w:t>
                        </w:r>
                        <w:r>
                          <w:rPr>
                            <w:rFonts w:ascii="宋体" w:hAnsi="宋体" w:cs="宋体" w:eastAsia="宋体" w:hint="default"/>
                            <w:sz w:val="18"/>
                            <w:szCs w:val="18"/>
                          </w:rPr>
                          <w:t> </w:t>
                        </w:r>
                        <w:r>
                          <w:rPr>
                            <w:rFonts w:ascii="宋体" w:hAnsi="宋体" w:cs="宋体" w:eastAsia="宋体" w:hint="default"/>
                            <w:spacing w:val="-9"/>
                            <w:sz w:val="18"/>
                            <w:szCs w:val="18"/>
                          </w:rPr>
                          <w:t>错报</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9"/>
                            <w:sz w:val="18"/>
                            <w:szCs w:val="18"/>
                          </w:rPr>
                          <w:t>0.25%</w:t>
                        </w:r>
                        <w:r>
                          <w:rPr>
                            <w:rFonts w:ascii="宋体" w:hAnsi="宋体" w:cs="宋体" w:eastAsia="宋体" w:hint="default"/>
                            <w:spacing w:val="-9"/>
                            <w:sz w:val="18"/>
                            <w:szCs w:val="18"/>
                          </w:rPr>
                          <w:t>；营</w:t>
                        </w:r>
                        <w:r>
                          <w:rPr>
                            <w:rFonts w:ascii="宋体" w:hAnsi="宋体" w:cs="宋体" w:eastAsia="宋体" w:hint="default"/>
                            <w:spacing w:val="-44"/>
                            <w:sz w:val="18"/>
                            <w:szCs w:val="18"/>
                          </w:rPr>
                          <w:t> </w:t>
                        </w:r>
                        <w:r>
                          <w:rPr>
                            <w:rFonts w:ascii="宋体" w:hAnsi="宋体" w:cs="宋体" w:eastAsia="宋体" w:hint="default"/>
                            <w:sz w:val="18"/>
                            <w:szCs w:val="18"/>
                          </w:rPr>
                          <w:t>业收入潜在错报</w:t>
                        </w:r>
                        <w:r>
                          <w:rPr>
                            <w:rFonts w:ascii="宋体" w:hAnsi="宋体" w:cs="宋体" w:eastAsia="宋体" w:hint="default"/>
                            <w:spacing w:val="-1"/>
                            <w:sz w:val="18"/>
                            <w:szCs w:val="18"/>
                          </w:rPr>
                          <w:t> </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 资产潜在错报</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0.25%&gt;</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0.05%</w:t>
                        </w:r>
                        <w:r>
                          <w:rPr>
                            <w:rFonts w:ascii="宋体" w:hAnsi="宋体" w:cs="宋体" w:eastAsia="宋体" w:hint="default"/>
                            <w:sz w:val="18"/>
                            <w:szCs w:val="18"/>
                          </w:rPr>
                          <w:t>；营业 收入潜在错报</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0.5%&gt;</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0.1%</w:t>
                        </w:r>
                        <w:r>
                          <w:rPr>
                            <w:rFonts w:ascii="宋体" w:hAnsi="宋体" w:cs="宋体" w:eastAsia="宋体" w:hint="default"/>
                            <w:sz w:val="18"/>
                            <w:szCs w:val="18"/>
                          </w:rPr>
                          <w:t>；一般缺 </w:t>
                        </w:r>
                        <w:r>
                          <w:rPr>
                            <w:rFonts w:ascii="宋体" w:hAnsi="宋体" w:cs="宋体" w:eastAsia="宋体" w:hint="default"/>
                            <w:spacing w:val="-6"/>
                            <w:sz w:val="18"/>
                            <w:szCs w:val="18"/>
                          </w:rPr>
                          <w:t>陷：资产潜在错报</w:t>
                        </w:r>
                        <w:r>
                          <w:rPr>
                            <w:rFonts w:ascii="宋体" w:hAnsi="宋体" w:cs="宋体" w:eastAsia="宋体" w:hint="default"/>
                            <w:spacing w:val="7"/>
                            <w:sz w:val="18"/>
                            <w:szCs w:val="18"/>
                          </w:rPr>
                          <w:t> </w:t>
                        </w:r>
                        <w:r>
                          <w:rPr>
                            <w:rFonts w:ascii="宋体" w:hAnsi="宋体" w:cs="宋体" w:eastAsia="宋体" w:hint="default"/>
                            <w:spacing w:val="-4"/>
                            <w:sz w:val="18"/>
                            <w:szCs w:val="18"/>
                          </w:rPr>
                          <w:t>错报</w:t>
                        </w:r>
                        <w:r>
                          <w:rPr>
                            <w:rFonts w:ascii="Times New Roman" w:hAnsi="Times New Roman" w:cs="Times New Roman" w:eastAsia="Times New Roman" w:hint="default"/>
                            <w:spacing w:val="-4"/>
                            <w:sz w:val="18"/>
                            <w:szCs w:val="18"/>
                          </w:rPr>
                          <w:t>&lt;0.05%</w:t>
                        </w:r>
                        <w:r>
                          <w:rPr>
                            <w:rFonts w:ascii="宋体" w:hAnsi="宋体" w:cs="宋体" w:eastAsia="宋体" w:hint="default"/>
                            <w:spacing w:val="-4"/>
                            <w:sz w:val="18"/>
                            <w:szCs w:val="18"/>
                          </w:rPr>
                          <w:t>；营业收入</w:t>
                        </w:r>
                        <w:r>
                          <w:rPr>
                            <w:rFonts w:ascii="宋体" w:hAnsi="宋体" w:cs="宋体" w:eastAsia="宋体" w:hint="default"/>
                            <w:sz w:val="18"/>
                            <w:szCs w:val="18"/>
                          </w:rPr>
                          <w:t> 潜在错报 错报</w:t>
                        </w:r>
                        <w:r>
                          <w:rPr>
                            <w:rFonts w:ascii="Times New Roman" w:hAnsi="Times New Roman" w:cs="Times New Roman" w:eastAsia="Times New Roman" w:hint="default"/>
                            <w:sz w:val="18"/>
                            <w:szCs w:val="18"/>
                          </w:rPr>
                          <w:t>&lt;0.1%</w:t>
                        </w:r>
                      </w:p>
                    </w:tc>
                    <w:tc>
                      <w:tcPr>
                        <w:tcW w:w="3051"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0" w:lineRule="auto"/>
                          <w:ind w:left="22" w:right="23"/>
                          <w:jc w:val="both"/>
                          <w:rPr>
                            <w:rFonts w:ascii="宋体" w:hAnsi="宋体" w:cs="宋体" w:eastAsia="宋体" w:hint="default"/>
                            <w:sz w:val="18"/>
                            <w:szCs w:val="18"/>
                          </w:rPr>
                        </w:pPr>
                        <w:r>
                          <w:rPr>
                            <w:rFonts w:ascii="宋体" w:hAnsi="宋体" w:cs="宋体" w:eastAsia="宋体" w:hint="default"/>
                            <w:sz w:val="18"/>
                            <w:szCs w:val="18"/>
                          </w:rPr>
                          <w:t>重大缺陷：金额影响</w:t>
                        </w:r>
                        <w:r>
                          <w:rPr>
                            <w:rFonts w:ascii="宋体" w:hAnsi="宋体" w:cs="宋体" w:eastAsia="宋体" w:hint="default"/>
                            <w:spacing w:val="-1"/>
                            <w:sz w:val="18"/>
                            <w:szCs w:val="18"/>
                          </w:rPr>
                          <w:t> </w:t>
                        </w:r>
                        <w:r>
                          <w:rPr>
                            <w:rFonts w:ascii="宋体" w:hAnsi="宋体" w:cs="宋体" w:eastAsia="宋体" w:hint="default"/>
                            <w:sz w:val="18"/>
                            <w:szCs w:val="18"/>
                          </w:rPr>
                          <w:t>绝对值金额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500 </w:t>
                        </w:r>
                        <w:r>
                          <w:rPr>
                            <w:rFonts w:ascii="宋体" w:hAnsi="宋体" w:cs="宋体" w:eastAsia="宋体" w:hint="default"/>
                            <w:spacing w:val="-7"/>
                            <w:sz w:val="18"/>
                            <w:szCs w:val="18"/>
                          </w:rPr>
                          <w:t>万；重要缺陷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r>
                          <w:rPr>
                            <w:rFonts w:ascii="Times New Roman" w:hAnsi="Times New Roman" w:cs="Times New Roman" w:eastAsia="Times New Roman" w:hint="default"/>
                            <w:sz w:val="18"/>
                            <w:szCs w:val="18"/>
                          </w:rPr>
                          <w:t>&gt;</w:t>
                        </w:r>
                        <w:r>
                          <w:rPr>
                            <w:rFonts w:ascii="宋体" w:hAnsi="宋体" w:cs="宋体" w:eastAsia="宋体" w:hint="default"/>
                            <w:sz w:val="18"/>
                            <w:szCs w:val="18"/>
                          </w:rPr>
                          <w:t>绝对值金额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100 </w:t>
                        </w:r>
                        <w:r>
                          <w:rPr>
                            <w:rFonts w:ascii="宋体" w:hAnsi="宋体" w:cs="宋体" w:eastAsia="宋体" w:hint="default"/>
                            <w:sz w:val="18"/>
                            <w:szCs w:val="18"/>
                          </w:rPr>
                          <w:t>万；一般缺陷 绝对值金额</w:t>
                        </w:r>
                        <w:r>
                          <w:rPr>
                            <w:rFonts w:ascii="Times New Roman" w:hAnsi="Times New Roman" w:cs="Times New Roman" w:eastAsia="Times New Roman" w:hint="default"/>
                            <w:sz w:val="18"/>
                            <w:szCs w:val="18"/>
                          </w:rPr>
                          <w:t>&lt;100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shd w:val="clear" w:color="auto" w:fill="CCE8CF"/>
                      </w:tcPr>
                      <w:p>
                        <w:pPr/>
                      </w:p>
                    </w:tc>
                    <w:tc>
                      <w:tcPr>
                        <w:tcW w:w="3051" w:type="dxa"/>
                        <w:vMerge/>
                        <w:tcBorders>
                          <w:left w:val="single" w:sz="4" w:space="0" w:color="000000"/>
                          <w:right w:val="single" w:sz="4" w:space="0" w:color="000000"/>
                        </w:tcBorders>
                        <w:shd w:val="clear" w:color="auto" w:fill="CCE8CF"/>
                      </w:tcPr>
                      <w:p>
                        <w:pPr/>
                      </w:p>
                    </w:tc>
                  </w:tr>
                  <w:tr>
                    <w:trPr>
                      <w:trHeight w:val="785"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shd w:val="clear" w:color="auto" w:fill="CCE8CF"/>
                      </w:tcPr>
                      <w:p>
                        <w:pPr/>
                      </w:p>
                    </w:tc>
                    <w:tc>
                      <w:tcPr>
                        <w:tcW w:w="3051" w:type="dxa"/>
                        <w:vMerge/>
                        <w:tcBorders>
                          <w:left w:val="single" w:sz="4" w:space="0" w:color="000000"/>
                          <w:bottom w:val="single" w:sz="4" w:space="0" w:color="000000"/>
                          <w:right w:val="single" w:sz="4" w:space="0" w:color="000000"/>
                        </w:tcBorders>
                        <w:shd w:val="clear" w:color="auto" w:fill="CCE8CF"/>
                      </w:tcPr>
                      <w:p>
                        <w:pP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after="0" w:line="240" w:lineRule="auto"/>
        <w:jc w:val="righ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4"/>
        <w:spacing w:line="240" w:lineRule="auto" w:before="26"/>
        <w:ind w:right="994"/>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94"/>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我们认为，新国都技术公司按照《企业内部控制基本规范》和相关规定于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 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1" w:hRule="exact"/>
        </w:trPr>
        <w:tc>
          <w:tcPr>
            <w:tcW w:w="266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994"/>
        <w:jc w:val="left"/>
      </w:pPr>
      <w:r>
        <w:rPr/>
        <w:t>会计师事务所是否出具非标准意见的内部控制鉴证报告</w:t>
      </w:r>
    </w:p>
    <w:p>
      <w:pPr>
        <w:pStyle w:val="BodyText"/>
        <w:spacing w:line="340" w:lineRule="auto" w:before="116"/>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5"/>
        <w:jc w:val="center"/>
        <w:rPr>
          <w:b w:val="0"/>
          <w:bCs w:val="0"/>
        </w:rPr>
      </w:pPr>
      <w:bookmarkStart w:name="第十节 公司债券相关情况" w:id="149"/>
      <w:bookmarkEnd w:id="149"/>
      <w:r>
        <w:rPr>
          <w:b w:val="0"/>
          <w:bCs w:val="0"/>
        </w:rPr>
      </w:r>
      <w:bookmarkStart w:name="_bookmark8" w:id="150"/>
      <w:bookmarkEnd w:id="150"/>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before="0"/>
        <w:ind w:right="2113"/>
        <w:jc w:val="left"/>
      </w:pPr>
      <w:r>
        <w:rPr/>
        <w:t>公司是否存在公开发行并在证券交易所上市，且在年度报告批准报出日未到期或到期未能全额兑付的公司债券 是</w:t>
      </w:r>
    </w:p>
    <w:p>
      <w:pPr>
        <w:spacing w:line="240" w:lineRule="auto" w:before="4"/>
        <w:rPr>
          <w:rFonts w:ascii="宋体" w:hAnsi="宋体" w:cs="宋体" w:eastAsia="宋体" w:hint="default"/>
          <w:sz w:val="18"/>
          <w:szCs w:val="18"/>
        </w:rPr>
      </w:pPr>
    </w:p>
    <w:p>
      <w:pPr>
        <w:pStyle w:val="Heading4"/>
        <w:spacing w:line="240" w:lineRule="auto"/>
        <w:ind w:left="1134" w:right="994"/>
        <w:jc w:val="left"/>
        <w:rPr>
          <w:b w:val="0"/>
          <w:bCs w:val="0"/>
        </w:rPr>
      </w:pPr>
      <w:bookmarkStart w:name="一、公司债券基本信息" w:id="151"/>
      <w:bookmarkEnd w:id="151"/>
      <w:r>
        <w:rPr>
          <w:b w:val="0"/>
          <w:bCs w:val="0"/>
        </w:rPr>
      </w:r>
      <w:r>
        <w:rPr/>
        <w:t>一、公司债券基本信息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9"/>
          <w:szCs w:val="29"/>
        </w:rPr>
      </w:pPr>
    </w:p>
    <w:p>
      <w:pPr>
        <w:pStyle w:val="BodyText"/>
        <w:spacing w:line="240" w:lineRule="auto"/>
        <w:ind w:left="0" w:right="1139"/>
        <w:jc w:val="right"/>
      </w:pPr>
      <w:r>
        <w:rPr/>
        <w:pict>
          <v:shape style="position:absolute;margin-left:56.459999pt;margin-top:-67.688301pt;width:478.6pt;height:386.3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8"/>
                    <w:gridCol w:w="1194"/>
                    <w:gridCol w:w="1196"/>
                    <w:gridCol w:w="1197"/>
                    <w:gridCol w:w="1195"/>
                    <w:gridCol w:w="1197"/>
                    <w:gridCol w:w="1208"/>
                    <w:gridCol w:w="1172"/>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利率</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473" w:hRule="exact"/>
                    </w:trPr>
                    <w:tc>
                      <w:tcPr>
                        <w:tcW w:w="1198" w:type="dxa"/>
                        <w:tcBorders>
                          <w:top w:val="single" w:sz="4" w:space="0" w:color="000000"/>
                          <w:left w:val="single" w:sz="4" w:space="0" w:color="000000"/>
                          <w:bottom w:val="nil" w:sz="6" w:space="0" w:color="auto"/>
                          <w:right w:val="single" w:sz="4" w:space="0" w:color="000000"/>
                        </w:tcBorders>
                        <w:shd w:val="clear" w:color="auto" w:fill="CCE8CF"/>
                      </w:tcPr>
                      <w:p>
                        <w:pPr/>
                      </w:p>
                    </w:tc>
                    <w:tc>
                      <w:tcPr>
                        <w:tcW w:w="1194" w:type="dxa"/>
                        <w:vMerge w:val="restart"/>
                        <w:tcBorders>
                          <w:top w:val="single" w:sz="4" w:space="0" w:color="000000"/>
                          <w:left w:val="single" w:sz="4" w:space="0" w:color="000000"/>
                          <w:right w:val="single" w:sz="4" w:space="0" w:color="000000"/>
                        </w:tcBorders>
                        <w:shd w:val="clear" w:color="auto" w:fill="CCE8CF"/>
                      </w:tcPr>
                      <w:p>
                        <w:pPr/>
                      </w:p>
                    </w:tc>
                    <w:tc>
                      <w:tcPr>
                        <w:tcW w:w="1196" w:type="dxa"/>
                        <w:vMerge w:val="restart"/>
                        <w:tcBorders>
                          <w:top w:val="single" w:sz="4" w:space="0" w:color="000000"/>
                          <w:left w:val="single" w:sz="4" w:space="0" w:color="000000"/>
                          <w:right w:val="single" w:sz="4" w:space="0" w:color="000000"/>
                        </w:tcBorders>
                        <w:shd w:val="clear" w:color="auto" w:fill="CCE8CF"/>
                      </w:tcPr>
                      <w:p>
                        <w:pPr/>
                      </w:p>
                    </w:tc>
                    <w:tc>
                      <w:tcPr>
                        <w:tcW w:w="1197" w:type="dxa"/>
                        <w:vMerge w:val="restart"/>
                        <w:tcBorders>
                          <w:top w:val="single" w:sz="4" w:space="0" w:color="000000"/>
                          <w:left w:val="single" w:sz="9" w:space="0" w:color="CCE8CF"/>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669" w:right="0"/>
                          <w:jc w:val="left"/>
                          <w:rPr>
                            <w:rFonts w:ascii="Times New Roman" w:hAnsi="Times New Roman" w:cs="Times New Roman" w:eastAsia="Times New Roman" w:hint="default"/>
                            <w:sz w:val="18"/>
                            <w:szCs w:val="18"/>
                          </w:rPr>
                        </w:pPr>
                        <w:r>
                          <w:rPr>
                            <w:rFonts w:ascii="Times New Roman"/>
                            <w:sz w:val="18"/>
                          </w:rPr>
                          <w:t>40,000</w:t>
                        </w:r>
                      </w:p>
                    </w:tc>
                    <w:tc>
                      <w:tcPr>
                        <w:tcW w:w="1208" w:type="dxa"/>
                        <w:vMerge w:val="restart"/>
                        <w:tcBorders>
                          <w:top w:val="single" w:sz="4" w:space="0" w:color="000000"/>
                          <w:left w:val="single" w:sz="4" w:space="0" w:color="000000"/>
                          <w:right w:val="single" w:sz="13" w:space="0" w:color="CCE8C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698" w:right="0"/>
                          <w:jc w:val="left"/>
                          <w:rPr>
                            <w:rFonts w:ascii="Times New Roman" w:hAnsi="Times New Roman" w:cs="Times New Roman" w:eastAsia="Times New Roman" w:hint="default"/>
                            <w:sz w:val="18"/>
                            <w:szCs w:val="18"/>
                          </w:rPr>
                        </w:pPr>
                        <w:r>
                          <w:rPr>
                            <w:rFonts w:ascii="Times New Roman"/>
                            <w:sz w:val="18"/>
                          </w:rPr>
                          <w:t>5.60%</w:t>
                        </w:r>
                      </w:p>
                    </w:tc>
                    <w:tc>
                      <w:tcPr>
                        <w:tcW w:w="1172"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1"/>
                          <w:ind w:left="11" w:right="69"/>
                          <w:jc w:val="left"/>
                          <w:rPr>
                            <w:rFonts w:ascii="宋体" w:hAnsi="宋体" w:cs="宋体" w:eastAsia="宋体" w:hint="default"/>
                            <w:sz w:val="18"/>
                            <w:szCs w:val="18"/>
                          </w:rPr>
                        </w:pPr>
                        <w:r>
                          <w:rPr>
                            <w:rFonts w:ascii="宋体" w:hAnsi="宋体" w:cs="宋体" w:eastAsia="宋体" w:hint="default"/>
                            <w:sz w:val="18"/>
                            <w:szCs w:val="18"/>
                          </w:rPr>
                          <w:t>本次债券采用 单利按年计 </w:t>
                        </w:r>
                        <w:r>
                          <w:rPr>
                            <w:rFonts w:ascii="宋体" w:hAnsi="宋体" w:cs="宋体" w:eastAsia="宋体" w:hint="default"/>
                            <w:spacing w:val="-6"/>
                            <w:sz w:val="18"/>
                            <w:szCs w:val="18"/>
                          </w:rPr>
                          <w:t>息，不计复利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每年付息一 次，到期一次 还本，最后一 期利息随本金 的兑付一起支 付。</w:t>
                        </w:r>
                      </w:p>
                    </w:tc>
                  </w:tr>
                  <w:tr>
                    <w:trPr>
                      <w:trHeight w:val="780" w:hRule="exact"/>
                    </w:trPr>
                    <w:tc>
                      <w:tcPr>
                        <w:tcW w:w="1198" w:type="dxa"/>
                        <w:vMerge w:val="restart"/>
                        <w:tcBorders>
                          <w:top w:val="nil" w:sz="6" w:space="0" w:color="auto"/>
                          <w:left w:val="single" w:sz="4" w:space="0" w:color="000000"/>
                          <w:right w:val="single" w:sz="4" w:space="0" w:color="000000"/>
                        </w:tcBorders>
                        <w:shd w:val="clear" w:color="auto" w:fill="CCE8CF"/>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深圳市新国都 技术股份有限 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年面 向合格投资者 公开发行公司 债券</w:t>
                        </w:r>
                      </w:p>
                    </w:tc>
                    <w:tc>
                      <w:tcPr>
                        <w:tcW w:w="1194" w:type="dxa"/>
                        <w:vMerge/>
                        <w:tcBorders>
                          <w:left w:val="single" w:sz="4" w:space="0" w:color="000000"/>
                          <w:bottom w:val="nil" w:sz="6" w:space="0" w:color="auto"/>
                          <w:right w:val="single" w:sz="4" w:space="0" w:color="000000"/>
                        </w:tcBorders>
                        <w:shd w:val="clear" w:color="auto" w:fill="CCE8CF"/>
                      </w:tcPr>
                      <w:p>
                        <w:pPr/>
                      </w:p>
                    </w:tc>
                    <w:tc>
                      <w:tcPr>
                        <w:tcW w:w="1196" w:type="dxa"/>
                        <w:vMerge/>
                        <w:tcBorders>
                          <w:left w:val="single" w:sz="4" w:space="0" w:color="000000"/>
                          <w:bottom w:val="nil" w:sz="6" w:space="0" w:color="auto"/>
                          <w:right w:val="single" w:sz="4" w:space="0" w:color="000000"/>
                        </w:tcBorders>
                        <w:shd w:val="clear" w:color="auto" w:fill="CCE8CF"/>
                      </w:tcPr>
                      <w:p>
                        <w:pPr/>
                      </w:p>
                    </w:tc>
                    <w:tc>
                      <w:tcPr>
                        <w:tcW w:w="1197" w:type="dxa"/>
                        <w:vMerge/>
                        <w:tcBorders>
                          <w:left w:val="single" w:sz="9" w:space="0" w:color="CCE8CF"/>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208" w:type="dxa"/>
                        <w:vMerge/>
                        <w:tcBorders>
                          <w:left w:val="single" w:sz="4" w:space="0" w:color="000000"/>
                          <w:right w:val="single" w:sz="13" w:space="0" w:color="CCE8CF"/>
                        </w:tcBorders>
                      </w:tcPr>
                      <w:p>
                        <w:pPr/>
                      </w:p>
                    </w:tc>
                    <w:tc>
                      <w:tcPr>
                        <w:tcW w:w="1172" w:type="dxa"/>
                        <w:vMerge/>
                        <w:tcBorders>
                          <w:left w:val="single" w:sz="4" w:space="0" w:color="000000"/>
                          <w:right w:val="single" w:sz="4" w:space="0" w:color="000000"/>
                        </w:tcBorders>
                        <w:shd w:val="clear" w:color="auto" w:fill="CCE8CF"/>
                      </w:tcPr>
                      <w:p>
                        <w:pPr/>
                      </w:p>
                    </w:tc>
                  </w:tr>
                  <w:tr>
                    <w:trPr>
                      <w:trHeight w:val="392" w:hRule="exact"/>
                    </w:trPr>
                    <w:tc>
                      <w:tcPr>
                        <w:tcW w:w="1198" w:type="dxa"/>
                        <w:vMerge/>
                        <w:tcBorders>
                          <w:left w:val="single" w:sz="4" w:space="0" w:color="000000"/>
                          <w:right w:val="single" w:sz="4" w:space="0" w:color="000000"/>
                        </w:tcBorders>
                        <w:shd w:val="clear" w:color="auto" w:fill="CCE8CF"/>
                      </w:tcPr>
                      <w:p>
                        <w:pPr/>
                      </w:p>
                    </w:tc>
                    <w:tc>
                      <w:tcPr>
                        <w:tcW w:w="11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新国都</w:t>
                        </w:r>
                      </w:p>
                    </w:tc>
                    <w:tc>
                      <w:tcPr>
                        <w:tcW w:w="1196"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112379</w:t>
                        </w:r>
                      </w:p>
                    </w:tc>
                    <w:tc>
                      <w:tcPr>
                        <w:tcW w:w="1197" w:type="dxa"/>
                        <w:vMerge/>
                        <w:tcBorders>
                          <w:left w:val="single" w:sz="9" w:space="0" w:color="CCE8CF"/>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208" w:type="dxa"/>
                        <w:vMerge/>
                        <w:tcBorders>
                          <w:left w:val="single" w:sz="4" w:space="0" w:color="000000"/>
                          <w:right w:val="single" w:sz="13" w:space="0" w:color="CCE8CF"/>
                        </w:tcBorders>
                      </w:tcPr>
                      <w:p>
                        <w:pPr/>
                      </w:p>
                    </w:tc>
                    <w:tc>
                      <w:tcPr>
                        <w:tcW w:w="1172" w:type="dxa"/>
                        <w:vMerge/>
                        <w:tcBorders>
                          <w:left w:val="single" w:sz="4" w:space="0" w:color="000000"/>
                          <w:right w:val="single" w:sz="4" w:space="0" w:color="000000"/>
                        </w:tcBorders>
                        <w:shd w:val="clear" w:color="auto" w:fill="CCE8CF"/>
                      </w:tcPr>
                      <w:p>
                        <w:pPr/>
                      </w:p>
                    </w:tc>
                  </w:tr>
                  <w:tr>
                    <w:trPr>
                      <w:trHeight w:val="780" w:hRule="exact"/>
                    </w:trPr>
                    <w:tc>
                      <w:tcPr>
                        <w:tcW w:w="1198" w:type="dxa"/>
                        <w:vMerge/>
                        <w:tcBorders>
                          <w:left w:val="single" w:sz="4" w:space="0" w:color="000000"/>
                          <w:bottom w:val="nil" w:sz="6" w:space="0" w:color="auto"/>
                          <w:right w:val="single" w:sz="4" w:space="0" w:color="000000"/>
                        </w:tcBorders>
                        <w:shd w:val="clear" w:color="auto" w:fill="CCE8CF"/>
                      </w:tcPr>
                      <w:p>
                        <w:pPr/>
                      </w:p>
                    </w:tc>
                    <w:tc>
                      <w:tcPr>
                        <w:tcW w:w="1194" w:type="dxa"/>
                        <w:vMerge w:val="restart"/>
                        <w:tcBorders>
                          <w:top w:val="nil" w:sz="6" w:space="0" w:color="auto"/>
                          <w:left w:val="single" w:sz="4" w:space="0" w:color="000000"/>
                          <w:right w:val="single" w:sz="4" w:space="0" w:color="000000"/>
                        </w:tcBorders>
                        <w:shd w:val="clear" w:color="auto" w:fill="CCE8CF"/>
                      </w:tcPr>
                      <w:p>
                        <w:pPr/>
                      </w:p>
                    </w:tc>
                    <w:tc>
                      <w:tcPr>
                        <w:tcW w:w="1196" w:type="dxa"/>
                        <w:vMerge w:val="restart"/>
                        <w:tcBorders>
                          <w:top w:val="nil" w:sz="6" w:space="0" w:color="auto"/>
                          <w:left w:val="single" w:sz="4" w:space="0" w:color="000000"/>
                          <w:right w:val="single" w:sz="4" w:space="0" w:color="000000"/>
                        </w:tcBorders>
                        <w:shd w:val="clear" w:color="auto" w:fill="CCE8CF"/>
                      </w:tcPr>
                      <w:p>
                        <w:pPr/>
                      </w:p>
                    </w:tc>
                    <w:tc>
                      <w:tcPr>
                        <w:tcW w:w="1197" w:type="dxa"/>
                        <w:vMerge/>
                        <w:tcBorders>
                          <w:left w:val="single" w:sz="9" w:space="0" w:color="CCE8CF"/>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208" w:type="dxa"/>
                        <w:vMerge/>
                        <w:tcBorders>
                          <w:left w:val="single" w:sz="4" w:space="0" w:color="000000"/>
                          <w:right w:val="single" w:sz="13" w:space="0" w:color="CCE8CF"/>
                        </w:tcBorders>
                      </w:tcPr>
                      <w:p>
                        <w:pPr/>
                      </w:p>
                    </w:tc>
                    <w:tc>
                      <w:tcPr>
                        <w:tcW w:w="1172" w:type="dxa"/>
                        <w:vMerge/>
                        <w:tcBorders>
                          <w:left w:val="single" w:sz="4" w:space="0" w:color="000000"/>
                          <w:right w:val="single" w:sz="4" w:space="0" w:color="000000"/>
                        </w:tcBorders>
                        <w:shd w:val="clear" w:color="auto" w:fill="CCE8CF"/>
                      </w:tcPr>
                      <w:p>
                        <w:pPr/>
                      </w:p>
                    </w:tc>
                  </w:tr>
                  <w:tr>
                    <w:trPr>
                      <w:trHeight w:val="473" w:hRule="exact"/>
                    </w:trPr>
                    <w:tc>
                      <w:tcPr>
                        <w:tcW w:w="1198" w:type="dxa"/>
                        <w:tcBorders>
                          <w:top w:val="nil" w:sz="6" w:space="0" w:color="auto"/>
                          <w:left w:val="single" w:sz="4" w:space="0" w:color="000000"/>
                          <w:bottom w:val="single" w:sz="4" w:space="0" w:color="000000"/>
                          <w:right w:val="single" w:sz="4" w:space="0" w:color="000000"/>
                        </w:tcBorders>
                        <w:shd w:val="clear" w:color="auto" w:fill="CCE8CF"/>
                      </w:tcPr>
                      <w:p>
                        <w:pPr/>
                      </w:p>
                    </w:tc>
                    <w:tc>
                      <w:tcPr>
                        <w:tcW w:w="1194" w:type="dxa"/>
                        <w:vMerge/>
                        <w:tcBorders>
                          <w:left w:val="single" w:sz="4" w:space="0" w:color="000000"/>
                          <w:bottom w:val="single" w:sz="4" w:space="0" w:color="000000"/>
                          <w:right w:val="single" w:sz="4" w:space="0" w:color="000000"/>
                        </w:tcBorders>
                        <w:shd w:val="clear" w:color="auto" w:fill="CCE8CF"/>
                      </w:tcPr>
                      <w:p>
                        <w:pPr/>
                      </w:p>
                    </w:tc>
                    <w:tc>
                      <w:tcPr>
                        <w:tcW w:w="1196" w:type="dxa"/>
                        <w:vMerge/>
                        <w:tcBorders>
                          <w:left w:val="single" w:sz="4" w:space="0" w:color="000000"/>
                          <w:bottom w:val="single" w:sz="4" w:space="0" w:color="000000"/>
                          <w:right w:val="single" w:sz="4" w:space="0" w:color="000000"/>
                        </w:tcBorders>
                        <w:shd w:val="clear" w:color="auto" w:fill="CCE8CF"/>
                      </w:tcPr>
                      <w:p>
                        <w:pPr/>
                      </w:p>
                    </w:tc>
                    <w:tc>
                      <w:tcPr>
                        <w:tcW w:w="1197" w:type="dxa"/>
                        <w:vMerge/>
                        <w:tcBorders>
                          <w:left w:val="single" w:sz="9" w:space="0" w:color="CCE8CF"/>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208" w:type="dxa"/>
                        <w:vMerge/>
                        <w:tcBorders>
                          <w:left w:val="single" w:sz="4" w:space="0" w:color="000000"/>
                          <w:bottom w:val="single" w:sz="4" w:space="0" w:color="000000"/>
                          <w:right w:val="single" w:sz="13" w:space="0" w:color="CCE8CF"/>
                        </w:tcBorders>
                      </w:tcPr>
                      <w:p>
                        <w:pPr/>
                      </w:p>
                    </w:tc>
                    <w:tc>
                      <w:tcPr>
                        <w:tcW w:w="1172" w:type="dxa"/>
                        <w:vMerge/>
                        <w:tcBorders>
                          <w:left w:val="single" w:sz="4" w:space="0" w:color="000000"/>
                          <w:bottom w:val="single" w:sz="4" w:space="0" w:color="000000"/>
                          <w:right w:val="single" w:sz="4" w:space="0" w:color="000000"/>
                        </w:tcBorders>
                        <w:shd w:val="clear" w:color="auto" w:fill="CCE8CF"/>
                      </w:tcPr>
                      <w:p>
                        <w:pPr/>
                      </w:p>
                    </w:tc>
                  </w:tr>
                  <w:tr>
                    <w:trPr>
                      <w:trHeight w:val="161" w:hRule="exact"/>
                    </w:trPr>
                    <w:tc>
                      <w:tcPr>
                        <w:tcW w:w="2392" w:type="dxa"/>
                        <w:gridSpan w:val="2"/>
                        <w:vMerge w:val="restart"/>
                        <w:tcBorders>
                          <w:top w:val="single" w:sz="4" w:space="0" w:color="000000"/>
                          <w:left w:val="single" w:sz="4" w:space="0" w:color="000000"/>
                          <w:right w:val="single" w:sz="9" w:space="0" w:color="CCE8CF"/>
                        </w:tcBorders>
                        <w:shd w:val="clear" w:color="auto" w:fill="D2D2D2"/>
                      </w:tcPr>
                      <w:p>
                        <w:pPr>
                          <w:pStyle w:val="TableParagraph"/>
                          <w:spacing w:line="319" w:lineRule="auto" w:before="51"/>
                          <w:ind w:left="22" w:right="192"/>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65" w:type="dxa"/>
                        <w:gridSpan w:val="6"/>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3" w:hRule="exact"/>
                    </w:trPr>
                    <w:tc>
                      <w:tcPr>
                        <w:tcW w:w="2392" w:type="dxa"/>
                        <w:gridSpan w:val="2"/>
                        <w:vMerge/>
                        <w:tcBorders>
                          <w:left w:val="single" w:sz="4" w:space="0" w:color="000000"/>
                          <w:right w:val="single" w:sz="9" w:space="0" w:color="CCE8CF"/>
                        </w:tcBorders>
                        <w:shd w:val="clear" w:color="auto" w:fill="D2D2D2"/>
                      </w:tcPr>
                      <w:p>
                        <w:pPr/>
                      </w:p>
                    </w:tc>
                    <w:tc>
                      <w:tcPr>
                        <w:tcW w:w="7165" w:type="dxa"/>
                        <w:gridSpan w:val="6"/>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61" w:hRule="exact"/>
                    </w:trPr>
                    <w:tc>
                      <w:tcPr>
                        <w:tcW w:w="2392" w:type="dxa"/>
                        <w:gridSpan w:val="2"/>
                        <w:vMerge/>
                        <w:tcBorders>
                          <w:left w:val="single" w:sz="4" w:space="0" w:color="000000"/>
                          <w:bottom w:val="single" w:sz="4" w:space="0" w:color="000000"/>
                          <w:right w:val="single" w:sz="9" w:space="0" w:color="CCE8CF"/>
                        </w:tcBorders>
                        <w:shd w:val="clear" w:color="auto" w:fill="D2D2D2"/>
                      </w:tcPr>
                      <w:p>
                        <w:pPr/>
                      </w:p>
                    </w:tc>
                    <w:tc>
                      <w:tcPr>
                        <w:tcW w:w="7165" w:type="dxa"/>
                        <w:gridSpan w:val="6"/>
                        <w:tcBorders>
                          <w:top w:val="nil" w:sz="6" w:space="0" w:color="auto"/>
                          <w:left w:val="single" w:sz="4" w:space="0" w:color="000000"/>
                          <w:bottom w:val="single" w:sz="4" w:space="0" w:color="000000"/>
                          <w:right w:val="single" w:sz="4" w:space="0" w:color="000000"/>
                        </w:tcBorders>
                        <w:shd w:val="clear" w:color="auto" w:fill="CCE8CF"/>
                      </w:tcPr>
                      <w:p>
                        <w:pPr/>
                      </w:p>
                    </w:tc>
                  </w:tr>
                  <w:tr>
                    <w:trPr>
                      <w:trHeight w:val="1026" w:hRule="exact"/>
                    </w:trPr>
                    <w:tc>
                      <w:tcPr>
                        <w:tcW w:w="2392" w:type="dxa"/>
                        <w:gridSpan w:val="2"/>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65" w:type="dxa"/>
                        <w:gridSpan w:val="6"/>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3" w:right="10"/>
                          <w:jc w:val="both"/>
                          <w:rPr>
                            <w:rFonts w:ascii="宋体" w:hAnsi="宋体" w:cs="宋体" w:eastAsia="宋体" w:hint="default"/>
                            <w:sz w:val="18"/>
                            <w:szCs w:val="18"/>
                          </w:rPr>
                        </w:pPr>
                        <w:r>
                          <w:rPr>
                            <w:rFonts w:ascii="宋体" w:hAnsi="宋体" w:cs="宋体" w:eastAsia="宋体" w:hint="default"/>
                            <w:spacing w:val="-3"/>
                            <w:sz w:val="18"/>
                            <w:szCs w:val="18"/>
                          </w:rPr>
                          <w:t>根据《公司债发行与交易管理办法》相关规定，本次债券仅面向合格投资者发行，公众投资</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pacing w:val="-2"/>
                            <w:sz w:val="18"/>
                            <w:szCs w:val="18"/>
                          </w:rPr>
                          <w:t>者不得参与发行认购。本次债券上市后将被实施投资者适当性管理，仅限合格投资者参与交</w:t>
                        </w:r>
                        <w:r>
                          <w:rPr>
                            <w:rFonts w:ascii="宋体" w:hAnsi="宋体" w:cs="宋体" w:eastAsia="宋体" w:hint="default"/>
                            <w:sz w:val="18"/>
                            <w:szCs w:val="18"/>
                          </w:rPr>
                          <w:t> 易，公众投资者认购或买入的交易行为无效。</w:t>
                        </w:r>
                      </w:p>
                    </w:tc>
                  </w:tr>
                  <w:tr>
                    <w:trPr>
                      <w:trHeight w:val="1026" w:hRule="exact"/>
                    </w:trPr>
                    <w:tc>
                      <w:tcPr>
                        <w:tcW w:w="2392" w:type="dxa"/>
                        <w:gridSpan w:val="2"/>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185"/>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65" w:type="dxa"/>
                        <w:gridSpan w:val="6"/>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日已及时足额兑付本期债券在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02" w:lineRule="auto" w:before="61"/>
                          <w:ind w:left="23" w:right="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日期间的利息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张。具体内容详见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日刊登在巨潮资讯网 的《</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年面向合格投资者公开发行公司债券付息公告》（公告编号：</w:t>
                        </w:r>
                        <w:r>
                          <w:rPr>
                            <w:rFonts w:ascii="Times New Roman" w:hAnsi="Times New Roman" w:cs="Times New Roman" w:eastAsia="Times New Roman" w:hint="default"/>
                            <w:spacing w:val="-3"/>
                            <w:sz w:val="18"/>
                            <w:szCs w:val="18"/>
                          </w:rPr>
                          <w:t>2017-025</w:t>
                        </w:r>
                        <w:r>
                          <w:rPr>
                            <w:rFonts w:ascii="宋体" w:hAnsi="宋体" w:cs="宋体" w:eastAsia="宋体" w:hint="default"/>
                            <w:spacing w:val="-3"/>
                            <w:sz w:val="18"/>
                            <w:szCs w:val="18"/>
                          </w:rPr>
                          <w:t>）</w:t>
                        </w:r>
                      </w:p>
                    </w:tc>
                  </w:tr>
                  <w:tr>
                    <w:trPr>
                      <w:trHeight w:val="473" w:hRule="exact"/>
                    </w:trPr>
                    <w:tc>
                      <w:tcPr>
                        <w:tcW w:w="2392" w:type="dxa"/>
                        <w:gridSpan w:val="2"/>
                        <w:vMerge w:val="restart"/>
                        <w:tcBorders>
                          <w:top w:val="single" w:sz="4" w:space="0" w:color="000000"/>
                          <w:left w:val="single" w:sz="4" w:space="0" w:color="000000"/>
                          <w:right w:val="single" w:sz="9" w:space="0" w:color="CCE8CF"/>
                        </w:tcBorders>
                        <w:shd w:val="clear" w:color="auto" w:fill="D2D2D2"/>
                      </w:tcPr>
                      <w:p>
                        <w:pPr>
                          <w:pStyle w:val="TableParagraph"/>
                          <w:spacing w:line="316"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65" w:type="dxa"/>
                        <w:gridSpan w:val="6"/>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2" w:hRule="exact"/>
                    </w:trPr>
                    <w:tc>
                      <w:tcPr>
                        <w:tcW w:w="2392" w:type="dxa"/>
                        <w:gridSpan w:val="2"/>
                        <w:vMerge/>
                        <w:tcBorders>
                          <w:left w:val="single" w:sz="4" w:space="0" w:color="000000"/>
                          <w:right w:val="single" w:sz="9" w:space="0" w:color="CCE8CF"/>
                        </w:tcBorders>
                        <w:shd w:val="clear" w:color="auto" w:fill="D2D2D2"/>
                      </w:tcPr>
                      <w:p>
                        <w:pPr/>
                      </w:p>
                    </w:tc>
                    <w:tc>
                      <w:tcPr>
                        <w:tcW w:w="7165" w:type="dxa"/>
                        <w:gridSpan w:val="6"/>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73" w:hRule="exact"/>
                    </w:trPr>
                    <w:tc>
                      <w:tcPr>
                        <w:tcW w:w="2392" w:type="dxa"/>
                        <w:gridSpan w:val="2"/>
                        <w:vMerge/>
                        <w:tcBorders>
                          <w:left w:val="single" w:sz="4" w:space="0" w:color="000000"/>
                          <w:bottom w:val="single" w:sz="4" w:space="0" w:color="000000"/>
                          <w:right w:val="single" w:sz="9" w:space="0" w:color="CCE8CF"/>
                        </w:tcBorders>
                        <w:shd w:val="clear" w:color="auto" w:fill="D2D2D2"/>
                      </w:tcPr>
                      <w:p>
                        <w:pPr/>
                      </w:p>
                    </w:tc>
                    <w:tc>
                      <w:tcPr>
                        <w:tcW w:w="7165" w:type="dxa"/>
                        <w:gridSpan w:val="6"/>
                        <w:tcBorders>
                          <w:top w:val="nil" w:sz="6" w:space="0" w:color="auto"/>
                          <w:left w:val="single" w:sz="4" w:space="0" w:color="000000"/>
                          <w:bottom w:val="single" w:sz="4" w:space="0" w:color="000000"/>
                          <w:right w:val="single" w:sz="4" w:space="0" w:color="000000"/>
                        </w:tcBorders>
                        <w:shd w:val="clear" w:color="auto" w:fill="CCE8CF"/>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4"/>
        <w:spacing w:line="240" w:lineRule="auto" w:before="26"/>
        <w:ind w:left="1134" w:right="994"/>
        <w:jc w:val="left"/>
        <w:rPr>
          <w:b w:val="0"/>
          <w:bCs w:val="0"/>
        </w:rPr>
      </w:pPr>
      <w:bookmarkStart w:name="二、债券受托管理人和资信评级机构信息" w:id="152"/>
      <w:bookmarkEnd w:id="152"/>
      <w:r>
        <w:rPr>
          <w:b w:val="0"/>
          <w:bCs w:val="0"/>
        </w:rPr>
      </w:r>
      <w:r>
        <w:rPr/>
        <w:t>二、债券受托管理人和资信评级机构信息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203"/>
        <w:gridCol w:w="1195"/>
        <w:gridCol w:w="1208"/>
        <w:gridCol w:w="1185"/>
        <w:gridCol w:w="1201"/>
        <w:gridCol w:w="1191"/>
        <w:gridCol w:w="1196"/>
        <w:gridCol w:w="1196"/>
      </w:tblGrid>
      <w:tr>
        <w:trPr>
          <w:trHeight w:val="397" w:hRule="exact"/>
        </w:trPr>
        <w:tc>
          <w:tcPr>
            <w:tcW w:w="957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478" w:hRule="exact"/>
        </w:trPr>
        <w:tc>
          <w:tcPr>
            <w:tcW w:w="12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10" w:space="0" w:color="D2D2D2"/>
              <w:right w:val="single" w:sz="10" w:space="0" w:color="D2D2D2"/>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3"/>
              <w:ind w:left="15" w:right="73"/>
              <w:jc w:val="left"/>
              <w:rPr>
                <w:rFonts w:ascii="宋体" w:hAnsi="宋体" w:cs="宋体" w:eastAsia="宋体" w:hint="default"/>
                <w:sz w:val="18"/>
                <w:szCs w:val="18"/>
              </w:rPr>
            </w:pPr>
            <w:r>
              <w:rPr>
                <w:rFonts w:ascii="宋体" w:hAnsi="宋体" w:cs="宋体" w:eastAsia="宋体" w:hint="default"/>
                <w:sz w:val="18"/>
                <w:szCs w:val="18"/>
              </w:rPr>
              <w:t>渤海证券股份 有限公司</w:t>
            </w:r>
          </w:p>
        </w:tc>
        <w:tc>
          <w:tcPr>
            <w:tcW w:w="1208" w:type="dxa"/>
            <w:tcBorders>
              <w:top w:val="single" w:sz="4" w:space="0" w:color="000000"/>
              <w:left w:val="single" w:sz="4" w:space="0" w:color="000000"/>
              <w:bottom w:val="nil" w:sz="6" w:space="0" w:color="auto"/>
              <w:right w:val="single" w:sz="9" w:space="0" w:color="CCE8CF"/>
            </w:tcBorders>
            <w:shd w:val="clear" w:color="auto" w:fill="D2D2D2"/>
          </w:tcPr>
          <w:p>
            <w:pPr/>
          </w:p>
        </w:tc>
        <w:tc>
          <w:tcPr>
            <w:tcW w:w="1185" w:type="dxa"/>
            <w:vMerge w:val="restart"/>
            <w:tcBorders>
              <w:top w:val="single" w:sz="4" w:space="0" w:color="000000"/>
              <w:left w:val="single" w:sz="9" w:space="0" w:color="D2D2D2"/>
              <w:right w:val="single" w:sz="9" w:space="0" w:color="D2D2D2"/>
            </w:tcBorders>
            <w:shd w:val="clear" w:color="auto" w:fill="CCE8CF"/>
          </w:tcPr>
          <w:p>
            <w:pPr>
              <w:pStyle w:val="TableParagraph"/>
              <w:spacing w:line="319" w:lineRule="auto" w:before="56"/>
              <w:ind w:left="4" w:right="14"/>
              <w:jc w:val="both"/>
              <w:rPr>
                <w:rFonts w:ascii="宋体" w:hAnsi="宋体" w:cs="宋体" w:eastAsia="宋体" w:hint="default"/>
                <w:sz w:val="18"/>
                <w:szCs w:val="18"/>
              </w:rPr>
            </w:pPr>
            <w:r>
              <w:rPr>
                <w:rFonts w:ascii="宋体" w:hAnsi="宋体" w:cs="宋体" w:eastAsia="宋体" w:hint="default"/>
                <w:sz w:val="18"/>
                <w:szCs w:val="18"/>
              </w:rPr>
              <w:t>天津经济技术 开发区第二大 街</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号写字楼</w:t>
            </w:r>
          </w:p>
          <w:p>
            <w:pPr>
              <w:pStyle w:val="TableParagraph"/>
              <w:spacing w:line="247" w:lineRule="exact"/>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2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1" w:type="dxa"/>
            <w:vMerge w:val="restart"/>
            <w:tcBorders>
              <w:top w:val="single" w:sz="4" w:space="0" w:color="000000"/>
              <w:left w:val="single" w:sz="9" w:space="0" w:color="D2D2D2"/>
              <w:right w:val="single" w:sz="9" w:space="0" w:color="D2D2D2"/>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董向征</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5"/>
                <w:szCs w:val="2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021-68800201</w:t>
            </w:r>
          </w:p>
        </w:tc>
      </w:tr>
      <w:tr>
        <w:trPr>
          <w:trHeight w:val="393" w:hRule="exact"/>
        </w:trPr>
        <w:tc>
          <w:tcPr>
            <w:tcW w:w="12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5" w:type="dxa"/>
            <w:vMerge/>
            <w:tcBorders>
              <w:left w:val="single" w:sz="10" w:space="0" w:color="D2D2D2"/>
              <w:right w:val="single" w:sz="10" w:space="0" w:color="D2D2D2"/>
            </w:tcBorders>
            <w:shd w:val="clear" w:color="auto" w:fill="CCE8CF"/>
          </w:tcPr>
          <w:p>
            <w:pPr/>
          </w:p>
        </w:tc>
        <w:tc>
          <w:tcPr>
            <w:tcW w:w="1208" w:type="dxa"/>
            <w:tcBorders>
              <w:top w:val="nil" w:sz="6" w:space="0" w:color="auto"/>
              <w:left w:val="single" w:sz="4" w:space="0" w:color="000000"/>
              <w:bottom w:val="nil" w:sz="6" w:space="0" w:color="auto"/>
              <w:right w:val="single" w:sz="9" w:space="0" w:color="CCE8CF"/>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85" w:type="dxa"/>
            <w:vMerge/>
            <w:tcBorders>
              <w:left w:val="single" w:sz="9" w:space="0" w:color="D2D2D2"/>
              <w:right w:val="single" w:sz="9" w:space="0" w:color="D2D2D2"/>
            </w:tcBorders>
            <w:shd w:val="clear" w:color="auto" w:fill="CCE8CF"/>
          </w:tcPr>
          <w:p>
            <w:pP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1" w:type="dxa"/>
            <w:vMerge/>
            <w:tcBorders>
              <w:left w:val="single" w:sz="9" w:space="0" w:color="D2D2D2"/>
              <w:right w:val="single" w:sz="9" w:space="0" w:color="D2D2D2"/>
            </w:tcBorders>
            <w:shd w:val="clear" w:color="auto" w:fill="CCE8CF"/>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vMerge/>
            <w:tcBorders>
              <w:left w:val="single" w:sz="10" w:space="0" w:color="D2D2D2"/>
              <w:right w:val="single" w:sz="4" w:space="0" w:color="000000"/>
            </w:tcBorders>
            <w:shd w:val="clear" w:color="auto" w:fill="CCE8CF"/>
          </w:tcPr>
          <w:p>
            <w:pPr/>
          </w:p>
        </w:tc>
      </w:tr>
      <w:tr>
        <w:trPr>
          <w:trHeight w:val="478" w:hRule="exact"/>
        </w:trPr>
        <w:tc>
          <w:tcPr>
            <w:tcW w:w="12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10" w:space="0" w:color="D2D2D2"/>
              <w:bottom w:val="single" w:sz="4" w:space="0" w:color="000000"/>
              <w:right w:val="single" w:sz="10" w:space="0" w:color="D2D2D2"/>
            </w:tcBorders>
            <w:shd w:val="clear" w:color="auto" w:fill="CCE8CF"/>
          </w:tcPr>
          <w:p>
            <w:pPr/>
          </w:p>
        </w:tc>
        <w:tc>
          <w:tcPr>
            <w:tcW w:w="1208" w:type="dxa"/>
            <w:tcBorders>
              <w:top w:val="nil" w:sz="6" w:space="0" w:color="auto"/>
              <w:left w:val="single" w:sz="4" w:space="0" w:color="000000"/>
              <w:bottom w:val="single" w:sz="4" w:space="0" w:color="000000"/>
              <w:right w:val="single" w:sz="9" w:space="0" w:color="CCE8CF"/>
            </w:tcBorders>
            <w:shd w:val="clear" w:color="auto" w:fill="D2D2D2"/>
          </w:tcPr>
          <w:p>
            <w:pPr/>
          </w:p>
        </w:tc>
        <w:tc>
          <w:tcPr>
            <w:tcW w:w="1185" w:type="dxa"/>
            <w:vMerge/>
            <w:tcBorders>
              <w:left w:val="single" w:sz="9" w:space="0" w:color="D2D2D2"/>
              <w:bottom w:val="single" w:sz="4" w:space="0" w:color="000000"/>
              <w:right w:val="single" w:sz="9" w:space="0" w:color="D2D2D2"/>
            </w:tcBorders>
            <w:shd w:val="clear" w:color="auto" w:fill="CCE8CF"/>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1" w:type="dxa"/>
            <w:vMerge/>
            <w:tcBorders>
              <w:left w:val="single" w:sz="9" w:space="0" w:color="D2D2D2"/>
              <w:bottom w:val="single" w:sz="4" w:space="0" w:color="000000"/>
              <w:right w:val="single" w:sz="9" w:space="0" w:color="D2D2D2"/>
            </w:tcBorders>
            <w:shd w:val="clear" w:color="auto" w:fill="CCE8CF"/>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shd w:val="clear" w:color="auto" w:fill="CCE8CF"/>
          </w:tcPr>
          <w:p>
            <w:pPr/>
          </w:p>
        </w:tc>
      </w:tr>
      <w:tr>
        <w:trPr>
          <w:trHeight w:val="397" w:hRule="exact"/>
        </w:trPr>
        <w:tc>
          <w:tcPr>
            <w:tcW w:w="957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40" w:type="dxa"/>
        <w:tblLayout w:type="fixed"/>
        <w:tblCellMar>
          <w:top w:w="0" w:type="dxa"/>
          <w:left w:w="0" w:type="dxa"/>
          <w:bottom w:w="0" w:type="dxa"/>
          <w:right w:w="0" w:type="dxa"/>
        </w:tblCellMar>
        <w:tblLook w:val="01E0"/>
      </w:tblPr>
      <w:tblGrid>
        <w:gridCol w:w="1191"/>
        <w:gridCol w:w="1981"/>
        <w:gridCol w:w="1596"/>
        <w:gridCol w:w="1223"/>
        <w:gridCol w:w="3561"/>
      </w:tblGrid>
      <w:tr>
        <w:trPr>
          <w:trHeight w:val="402" w:hRule="exact"/>
        </w:trPr>
        <w:tc>
          <w:tcPr>
            <w:tcW w:w="1191"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77" w:type="dxa"/>
            <w:gridSpan w:val="2"/>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鹏元资信评估有限公司</w:t>
            </w:r>
          </w:p>
        </w:tc>
        <w:tc>
          <w:tcPr>
            <w:tcW w:w="1223" w:type="dxa"/>
            <w:tcBorders>
              <w:top w:val="single" w:sz="4" w:space="0" w:color="000000"/>
              <w:left w:val="single" w:sz="13" w:space="0" w:color="CCE8CF"/>
              <w:bottom w:val="single" w:sz="4" w:space="0" w:color="000000"/>
              <w:right w:val="single" w:sz="13" w:space="0" w:color="CCE8C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深圳市深南大道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号阳光高尔夫大厦三楼</w:t>
            </w:r>
          </w:p>
        </w:tc>
      </w:tr>
      <w:tr>
        <w:trPr>
          <w:trHeight w:val="473" w:hRule="exact"/>
        </w:trPr>
        <w:tc>
          <w:tcPr>
            <w:tcW w:w="3171" w:type="dxa"/>
            <w:gridSpan w:val="2"/>
            <w:vMerge w:val="restart"/>
            <w:tcBorders>
              <w:top w:val="single" w:sz="4" w:space="0" w:color="000000"/>
              <w:left w:val="single" w:sz="4" w:space="0" w:color="000000"/>
              <w:right w:val="single" w:sz="9" w:space="0" w:color="CCE8CF"/>
            </w:tcBorders>
            <w:shd w:val="clear" w:color="auto" w:fill="D2D2D2"/>
          </w:tcPr>
          <w:p>
            <w:pPr>
              <w:pStyle w:val="TableParagraph"/>
              <w:spacing w:line="319" w:lineRule="auto" w:before="51"/>
              <w:ind w:left="11" w:right="3"/>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适用）</w:t>
            </w:r>
          </w:p>
        </w:tc>
        <w:tc>
          <w:tcPr>
            <w:tcW w:w="6380" w:type="dxa"/>
            <w:gridSpan w:val="3"/>
            <w:tcBorders>
              <w:top w:val="single" w:sz="4" w:space="0" w:color="000000"/>
              <w:left w:val="single" w:sz="13" w:space="0" w:color="D2D2D2"/>
              <w:bottom w:val="nil" w:sz="6" w:space="0" w:color="auto"/>
              <w:right w:val="single" w:sz="4" w:space="0" w:color="000000"/>
            </w:tcBorders>
            <w:shd w:val="clear" w:color="auto" w:fill="CCE8CF"/>
          </w:tcPr>
          <w:p>
            <w:pPr/>
          </w:p>
        </w:tc>
      </w:tr>
      <w:tr>
        <w:trPr>
          <w:trHeight w:val="392" w:hRule="exact"/>
        </w:trPr>
        <w:tc>
          <w:tcPr>
            <w:tcW w:w="3171" w:type="dxa"/>
            <w:gridSpan w:val="2"/>
            <w:vMerge/>
            <w:tcBorders>
              <w:left w:val="single" w:sz="4" w:space="0" w:color="000000"/>
              <w:right w:val="single" w:sz="9" w:space="0" w:color="CCE8CF"/>
            </w:tcBorders>
            <w:shd w:val="clear" w:color="auto" w:fill="D2D2D2"/>
          </w:tcPr>
          <w:p>
            <w:pPr/>
          </w:p>
        </w:tc>
        <w:tc>
          <w:tcPr>
            <w:tcW w:w="1596" w:type="dxa"/>
            <w:tcBorders>
              <w:top w:val="nil" w:sz="6" w:space="0" w:color="auto"/>
              <w:left w:val="single" w:sz="13" w:space="0" w:color="D2D2D2"/>
              <w:bottom w:val="nil" w:sz="6" w:space="0" w:color="auto"/>
              <w:right w:val="nil" w:sz="6" w:space="0" w:color="auto"/>
            </w:tcBorders>
            <w:shd w:val="clear" w:color="auto" w:fill="CCE8CF"/>
          </w:tcPr>
          <w:p>
            <w:pPr>
              <w:pStyle w:val="TableParagraph"/>
              <w:spacing w:line="91"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223" w:type="dxa"/>
            <w:tcBorders>
              <w:top w:val="nil" w:sz="6" w:space="0" w:color="auto"/>
              <w:left w:val="nil" w:sz="6" w:space="0" w:color="auto"/>
              <w:bottom w:val="nil" w:sz="6" w:space="0" w:color="auto"/>
              <w:right w:val="nil" w:sz="6" w:space="0" w:color="auto"/>
            </w:tcBorders>
            <w:shd w:val="clear" w:color="auto" w:fill="CCE8CF"/>
          </w:tcPr>
          <w:p>
            <w:pPr/>
          </w:p>
        </w:tc>
        <w:tc>
          <w:tcPr>
            <w:tcW w:w="3561" w:type="dxa"/>
            <w:tcBorders>
              <w:top w:val="nil" w:sz="6" w:space="0" w:color="auto"/>
              <w:left w:val="nil" w:sz="6" w:space="0" w:color="auto"/>
              <w:bottom w:val="nil" w:sz="6" w:space="0" w:color="auto"/>
              <w:right w:val="single" w:sz="4" w:space="0" w:color="000000"/>
            </w:tcBorders>
            <w:shd w:val="clear" w:color="auto" w:fill="CCE8CF"/>
          </w:tcPr>
          <w:p>
            <w:pPr/>
          </w:p>
        </w:tc>
      </w:tr>
      <w:tr>
        <w:trPr>
          <w:trHeight w:val="473" w:hRule="exact"/>
        </w:trPr>
        <w:tc>
          <w:tcPr>
            <w:tcW w:w="3171" w:type="dxa"/>
            <w:gridSpan w:val="2"/>
            <w:vMerge/>
            <w:tcBorders>
              <w:left w:val="single" w:sz="4" w:space="0" w:color="000000"/>
              <w:bottom w:val="single" w:sz="4" w:space="0" w:color="000000"/>
              <w:right w:val="single" w:sz="9" w:space="0" w:color="CCE8CF"/>
            </w:tcBorders>
            <w:shd w:val="clear" w:color="auto" w:fill="D2D2D2"/>
          </w:tcPr>
          <w:p>
            <w:pPr/>
          </w:p>
        </w:tc>
        <w:tc>
          <w:tcPr>
            <w:tcW w:w="6380" w:type="dxa"/>
            <w:gridSpan w:val="3"/>
            <w:tcBorders>
              <w:top w:val="nil" w:sz="6" w:space="0" w:color="auto"/>
              <w:left w:val="single" w:sz="13" w:space="0" w:color="D2D2D2"/>
              <w:bottom w:val="single" w:sz="4" w:space="0" w:color="000000"/>
              <w:right w:val="single" w:sz="4" w:space="0" w:color="000000"/>
            </w:tcBorders>
            <w:shd w:val="clear" w:color="auto" w:fill="CCE8CF"/>
          </w:tcPr>
          <w:p>
            <w:pPr/>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994"/>
        <w:jc w:val="left"/>
        <w:rPr>
          <w:b w:val="0"/>
          <w:bCs w:val="0"/>
        </w:rPr>
      </w:pPr>
      <w:bookmarkStart w:name="三、公司债券募集资金使用情况" w:id="153"/>
      <w:bookmarkEnd w:id="153"/>
      <w:r>
        <w:rPr>
          <w:b w:val="0"/>
          <w:bCs w:val="0"/>
        </w:rPr>
      </w:r>
      <w:r>
        <w:rPr/>
        <w:t>三、公司债券募集资金使用情况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6379"/>
      </w:tblGrid>
      <w:tr>
        <w:trPr>
          <w:trHeight w:val="196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2" w:right="95"/>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2"/>
              <w:ind w:left="23" w:right="43"/>
              <w:jc w:val="both"/>
              <w:rPr>
                <w:rFonts w:ascii="宋体" w:hAnsi="宋体" w:cs="宋体" w:eastAsia="宋体" w:hint="default"/>
                <w:sz w:val="18"/>
                <w:szCs w:val="18"/>
              </w:rPr>
            </w:pPr>
            <w:r>
              <w:rPr>
                <w:rFonts w:ascii="宋体" w:hAnsi="宋体" w:cs="宋体" w:eastAsia="宋体" w:hint="default"/>
                <w:sz w:val="18"/>
                <w:szCs w:val="18"/>
              </w:rPr>
              <w:t>根据本期债券募集说明书的约定：募集资金扣除发行费用后，拟将不超过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 元用于偿还银行贷款，剩余部分用于补充流动资金。截止本报告期，本期债券募 集资金人民币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亿元严格按照募集说明书的规定进行募集资金的使用，其中人民</w:t>
            </w:r>
          </w:p>
          <w:p>
            <w:pPr>
              <w:pStyle w:val="TableParagraph"/>
              <w:spacing w:line="309" w:lineRule="auto" w:before="5"/>
              <w:ind w:left="23" w:right="19"/>
              <w:jc w:val="both"/>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万元用于偿还银行贷款，人民币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35,000.00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万元用于补充流动资金，与</w:t>
            </w:r>
            <w:r>
              <w:rPr>
                <w:rFonts w:ascii="宋体" w:hAnsi="宋体" w:cs="宋体" w:eastAsia="宋体" w:hint="default"/>
                <w:sz w:val="18"/>
                <w:szCs w:val="18"/>
              </w:rPr>
              <w:t> 募集说明书承诺的用途、使用计划及其他约定一致。募集资金的使用审批均依照 公司内部控制程序的相关规定执行。</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1650"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3" w:right="43"/>
              <w:jc w:val="both"/>
              <w:rPr>
                <w:rFonts w:ascii="宋体" w:hAnsi="宋体" w:cs="宋体" w:eastAsia="宋体" w:hint="default"/>
                <w:sz w:val="18"/>
                <w:szCs w:val="18"/>
              </w:rPr>
            </w:pPr>
            <w:r>
              <w:rPr>
                <w:rFonts w:ascii="宋体" w:hAnsi="宋体" w:cs="宋体" w:eastAsia="宋体" w:hint="default"/>
                <w:sz w:val="18"/>
                <w:szCs w:val="18"/>
              </w:rPr>
              <w:t>公司按照本期债券《监管协议》要求，在中国建设银行股份有限公司深圳泰然支 行开立募集资金专项账户，募集资金专项账户仅用于本期债券募集资金的存放和 使用，不得用于其他用途。本期债券发行后，公司制定专门的债券募集资金使用 计划，相关业务部门对资金使用情况将进行严格检查，保证募集资金的投入、运 用、稽核等方面的顺畅操作。</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b/>
          <w:bCs/>
          <w:sz w:val="18"/>
          <w:szCs w:val="18"/>
        </w:rPr>
      </w:pPr>
    </w:p>
    <w:p>
      <w:pPr>
        <w:pStyle w:val="Heading4"/>
        <w:spacing w:line="240" w:lineRule="auto" w:before="26"/>
        <w:ind w:left="1134" w:right="994"/>
        <w:jc w:val="left"/>
        <w:rPr>
          <w:b w:val="0"/>
          <w:bCs w:val="0"/>
        </w:rPr>
      </w:pPr>
      <w:bookmarkStart w:name="四、公司债券信息评级情况" w:id="154"/>
      <w:bookmarkEnd w:id="154"/>
      <w:r>
        <w:rPr>
          <w:b w:val="0"/>
          <w:bCs w:val="0"/>
        </w:rPr>
      </w:r>
      <w:r>
        <w:rPr/>
        <w:t>四、公司债券信息评级情况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right="1130"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27</w:t>
      </w:r>
      <w:r>
        <w:rPr>
          <w:spacing w:val="-2"/>
        </w:rPr>
        <w:t>日，鹏元资信评估有限公司对公司及公司于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日面向合格投资者公开发行的公司债券的</w:t>
      </w:r>
      <w:r>
        <w:rPr>
          <w:rFonts w:ascii="Times New Roman" w:hAnsi="Times New Roman" w:cs="Times New Roman" w:eastAsia="Times New Roman" w:hint="default"/>
          <w:spacing w:val="-2"/>
        </w:rPr>
        <w:t>2017</w:t>
      </w:r>
      <w:r>
        <w:rPr>
          <w:spacing w:val="-2"/>
        </w:rPr>
        <w:t>年度</w:t>
      </w:r>
      <w:r>
        <w:rPr/>
        <w:t> 跟踪评级结果为：本期债券信用等级维持为</w:t>
      </w:r>
      <w:r>
        <w:rPr>
          <w:rFonts w:ascii="Times New Roman" w:hAnsi="Times New Roman" w:cs="Times New Roman" w:eastAsia="Times New Roman" w:hint="default"/>
        </w:rPr>
        <w:t>AA+</w:t>
      </w:r>
      <w:r>
        <w:rPr/>
        <w:t>，公司主体长期信用等级维持为</w:t>
      </w:r>
      <w:r>
        <w:rPr>
          <w:rFonts w:ascii="Times New Roman" w:hAnsi="Times New Roman" w:cs="Times New Roman" w:eastAsia="Times New Roman" w:hint="default"/>
        </w:rPr>
        <w:t>AA-</w:t>
      </w:r>
      <w:r>
        <w:rPr/>
        <w:t>，评级展望维持为稳定。</w:t>
      </w:r>
    </w:p>
    <w:p>
      <w:pPr>
        <w:pStyle w:val="BodyText"/>
        <w:spacing w:line="300" w:lineRule="auto" w:before="13"/>
        <w:ind w:right="1130" w:firstLine="360"/>
        <w:jc w:val="both"/>
      </w:pPr>
      <w:r>
        <w:rPr/>
        <w:t>鹏元资信评估有限公司于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日将深圳中小担主体长期信用等级由</w:t>
      </w:r>
      <w:r>
        <w:rPr>
          <w:rFonts w:ascii="Times New Roman" w:hAnsi="Times New Roman" w:cs="Times New Roman" w:eastAsia="Times New Roman" w:hint="default"/>
        </w:rPr>
        <w:t>AA+</w:t>
      </w:r>
      <w:r>
        <w:rPr/>
        <w:t>上调至</w:t>
      </w:r>
      <w:r>
        <w:rPr>
          <w:rFonts w:ascii="Times New Roman" w:hAnsi="Times New Roman" w:cs="Times New Roman" w:eastAsia="Times New Roman" w:hint="default"/>
        </w:rPr>
        <w:t>AAA</w:t>
      </w:r>
      <w:r>
        <w:rPr/>
        <w:t>，评级展望维持为稳定。 </w:t>
      </w:r>
      <w:r>
        <w:rPr>
          <w:rFonts w:ascii="Times New Roman" w:hAnsi="Times New Roman" w:cs="Times New Roman" w:eastAsia="Times New Roman" w:hint="default"/>
        </w:rPr>
        <w:t>“16</w:t>
      </w:r>
      <w:r>
        <w:rPr/>
        <w:t>新国都</w:t>
      </w:r>
      <w:r>
        <w:rPr>
          <w:rFonts w:ascii="Times New Roman" w:hAnsi="Times New Roman" w:cs="Times New Roman" w:eastAsia="Times New Roman" w:hint="default"/>
        </w:rPr>
        <w:t>”</w:t>
      </w:r>
      <w:r>
        <w:rPr/>
        <w:t>系由深圳市中小企业信用融资担保集团有限公司提供无条件不可撤销连带责任保证担保。</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日，鹏元</w:t>
      </w:r>
      <w:r>
        <w:rPr>
          <w:spacing w:val="-65"/>
        </w:rPr>
        <w:t> </w:t>
      </w:r>
      <w:r>
        <w:rPr>
          <w:spacing w:val="-65"/>
        </w:rPr>
      </w:r>
      <w:r>
        <w:rPr/>
        <w:t>资信评估有限公司决定将</w:t>
      </w:r>
      <w:r>
        <w:rPr>
          <w:rFonts w:ascii="Times New Roman" w:hAnsi="Times New Roman" w:cs="Times New Roman" w:eastAsia="Times New Roman" w:hint="default"/>
        </w:rPr>
        <w:t>“16</w:t>
      </w:r>
      <w:r>
        <w:rPr/>
        <w:t>新国都</w:t>
      </w:r>
      <w:r>
        <w:rPr>
          <w:rFonts w:ascii="Times New Roman" w:hAnsi="Times New Roman" w:cs="Times New Roman" w:eastAsia="Times New Roman" w:hint="default"/>
        </w:rPr>
        <w:t>”</w:t>
      </w:r>
      <w:r>
        <w:rPr/>
        <w:t>债项级别由</w:t>
      </w:r>
      <w:r>
        <w:rPr>
          <w:rFonts w:ascii="Times New Roman" w:hAnsi="Times New Roman" w:cs="Times New Roman" w:eastAsia="Times New Roman" w:hint="default"/>
        </w:rPr>
        <w:t>AA+</w:t>
      </w:r>
      <w:r>
        <w:rPr/>
        <w:t>上调为</w:t>
      </w:r>
      <w:r>
        <w:rPr>
          <w:rFonts w:ascii="Times New Roman" w:hAnsi="Times New Roman" w:cs="Times New Roman" w:eastAsia="Times New Roman" w:hint="default"/>
        </w:rPr>
        <w:t>AAA</w:t>
      </w:r>
      <w:r>
        <w:rPr/>
        <w:t>。</w:t>
      </w:r>
    </w:p>
    <w:p>
      <w:pPr>
        <w:pStyle w:val="BodyText"/>
        <w:spacing w:line="300" w:lineRule="auto" w:before="13"/>
        <w:ind w:left="1493" w:right="1123"/>
        <w:jc w:val="left"/>
      </w:pPr>
      <w:r>
        <w:rPr/>
        <w:t>与</w:t>
      </w:r>
      <w:r>
        <w:rPr>
          <w:rFonts w:ascii="Times New Roman" w:hAnsi="Times New Roman" w:cs="Times New Roman" w:eastAsia="Times New Roman" w:hint="default"/>
        </w:rPr>
        <w:t>2016</w:t>
      </w:r>
      <w:r>
        <w:rPr/>
        <w:t>年相比，公司债项级别由</w:t>
      </w:r>
      <w:r>
        <w:rPr>
          <w:rFonts w:ascii="Times New Roman" w:hAnsi="Times New Roman" w:cs="Times New Roman" w:eastAsia="Times New Roman" w:hint="default"/>
        </w:rPr>
        <w:t>AA+</w:t>
      </w:r>
      <w:r>
        <w:rPr/>
        <w:t>上调为</w:t>
      </w:r>
      <w:r>
        <w:rPr>
          <w:rFonts w:ascii="Times New Roman" w:hAnsi="Times New Roman" w:cs="Times New Roman" w:eastAsia="Times New Roman" w:hint="default"/>
        </w:rPr>
        <w:t>AAA</w:t>
      </w:r>
      <w:r>
        <w:rPr/>
        <w:t>，其他评级不变。 根据募集说明书约定鹏元资信将在本次债券存续期内，在每年公司年报公告后</w:t>
      </w:r>
      <w:r>
        <w:rPr>
          <w:rFonts w:ascii="Times New Roman" w:hAnsi="Times New Roman" w:cs="Times New Roman" w:eastAsia="Times New Roman" w:hint="default"/>
        </w:rPr>
        <w:t>2</w:t>
      </w:r>
      <w:r>
        <w:rPr/>
        <w:t>个月内出具一次正式的定期跟踪评级报</w:t>
      </w:r>
    </w:p>
    <w:p>
      <w:pPr>
        <w:pStyle w:val="BodyText"/>
        <w:spacing w:line="240" w:lineRule="auto" w:before="13"/>
        <w:ind w:left="1134" w:right="994"/>
        <w:jc w:val="left"/>
      </w:pPr>
      <w:r>
        <w:rPr/>
        <w:t>告</w:t>
      </w:r>
      <w:r>
        <w:rPr>
          <w:spacing w:val="-58"/>
        </w:rPr>
        <w:t> </w:t>
      </w:r>
      <w:r>
        <w:rPr/>
        <w:t>。</w:t>
      </w:r>
      <w:r>
        <w:rPr>
          <w:spacing w:val="-58"/>
        </w:rPr>
        <w:t> </w:t>
      </w:r>
      <w:r>
        <w:rPr/>
        <w:t>本</w:t>
      </w:r>
      <w:r>
        <w:rPr>
          <w:spacing w:val="-57"/>
        </w:rPr>
        <w:t> </w:t>
      </w:r>
      <w:r>
        <w:rPr/>
        <w:t>期</w:t>
      </w:r>
      <w:r>
        <w:rPr>
          <w:spacing w:val="-58"/>
        </w:rPr>
        <w:t> </w:t>
      </w:r>
      <w:r>
        <w:rPr/>
        <w:t>公</w:t>
      </w:r>
      <w:r>
        <w:rPr>
          <w:spacing w:val="-57"/>
        </w:rPr>
        <w:t> </w:t>
      </w:r>
      <w:r>
        <w:rPr/>
        <w:t>司</w:t>
      </w:r>
      <w:r>
        <w:rPr>
          <w:spacing w:val="-58"/>
        </w:rPr>
        <w:t> </w:t>
      </w:r>
      <w:r>
        <w:rPr/>
        <w:t>债</w:t>
      </w:r>
      <w:r>
        <w:rPr>
          <w:spacing w:val="-58"/>
        </w:rPr>
        <w:t> </w:t>
      </w:r>
      <w:r>
        <w:rPr/>
        <w:t>券</w:t>
      </w:r>
      <w:r>
        <w:rPr>
          <w:spacing w:val="-57"/>
        </w:rPr>
        <w:t> </w:t>
      </w:r>
      <w:r>
        <w:rPr/>
        <w:t>最</w:t>
      </w:r>
      <w:r>
        <w:rPr>
          <w:spacing w:val="-58"/>
        </w:rPr>
        <w:t> </w:t>
      </w:r>
      <w:r>
        <w:rPr/>
        <w:t>新</w:t>
      </w:r>
      <w:r>
        <w:rPr>
          <w:spacing w:val="-57"/>
        </w:rPr>
        <w:t> </w:t>
      </w:r>
      <w:r>
        <w:rPr/>
        <w:t>定</w:t>
      </w:r>
      <w:r>
        <w:rPr>
          <w:spacing w:val="-58"/>
        </w:rPr>
        <w:t> </w:t>
      </w:r>
      <w:r>
        <w:rPr/>
        <w:t>期</w:t>
      </w:r>
      <w:r>
        <w:rPr>
          <w:spacing w:val="-58"/>
        </w:rPr>
        <w:t> </w:t>
      </w:r>
      <w:r>
        <w:rPr/>
        <w:t>跟</w:t>
      </w:r>
      <w:r>
        <w:rPr>
          <w:spacing w:val="-57"/>
        </w:rPr>
        <w:t> </w:t>
      </w:r>
      <w:r>
        <w:rPr/>
        <w:t>踪</w:t>
      </w:r>
      <w:r>
        <w:rPr>
          <w:spacing w:val="-58"/>
        </w:rPr>
        <w:t> </w:t>
      </w:r>
      <w:r>
        <w:rPr/>
        <w:t>评</w:t>
      </w:r>
      <w:r>
        <w:rPr>
          <w:spacing w:val="-57"/>
        </w:rPr>
        <w:t> </w:t>
      </w:r>
      <w:r>
        <w:rPr/>
        <w:t>级</w:t>
      </w:r>
      <w:r>
        <w:rPr>
          <w:spacing w:val="-58"/>
        </w:rPr>
        <w:t> </w:t>
      </w:r>
      <w:r>
        <w:rPr/>
        <w:t>报</w:t>
      </w:r>
      <w:r>
        <w:rPr>
          <w:spacing w:val="-58"/>
        </w:rPr>
        <w:t> </w:t>
      </w:r>
      <w:r>
        <w:rPr/>
        <w:t>告</w:t>
      </w:r>
      <w:r>
        <w:rPr>
          <w:spacing w:val="-57"/>
        </w:rPr>
        <w:t> </w:t>
      </w:r>
      <w:r>
        <w:rPr/>
        <w:t>预</w:t>
      </w:r>
      <w:r>
        <w:rPr>
          <w:spacing w:val="-58"/>
        </w:rPr>
        <w:t> </w:t>
      </w:r>
      <w:r>
        <w:rPr/>
        <w:t>计</w:t>
      </w:r>
      <w:r>
        <w:rPr>
          <w:spacing w:val="-57"/>
        </w:rPr>
        <w:t> </w:t>
      </w:r>
      <w:r>
        <w:rPr/>
        <w:t>将</w:t>
      </w:r>
      <w:r>
        <w:rPr>
          <w:spacing w:val="-58"/>
        </w:rPr>
        <w:t> </w:t>
      </w:r>
      <w:r>
        <w:rPr/>
        <w:t>于</w:t>
      </w:r>
      <w:r>
        <w:rPr>
          <w:spacing w:val="-58"/>
        </w:rPr>
        <w:t> </w:t>
      </w:r>
      <w:r>
        <w:rPr/>
        <w:t>公</w:t>
      </w:r>
      <w:r>
        <w:rPr>
          <w:spacing w:val="-57"/>
        </w:rPr>
        <w:t> </w:t>
      </w:r>
      <w:r>
        <w:rPr/>
        <w:t>司</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w:t>
      </w:r>
      <w:r>
        <w:rPr>
          <w:spacing w:val="-58"/>
        </w:rPr>
        <w:t> </w:t>
      </w:r>
      <w:r>
        <w:rPr/>
        <w:t>年</w:t>
      </w:r>
      <w:r>
        <w:rPr>
          <w:spacing w:val="-57"/>
        </w:rPr>
        <w:t> </w:t>
      </w:r>
      <w:r>
        <w:rPr/>
        <w:t>度</w:t>
      </w:r>
      <w:r>
        <w:rPr>
          <w:spacing w:val="-58"/>
        </w:rPr>
        <w:t> </w:t>
      </w:r>
      <w:r>
        <w:rPr/>
        <w:t>报</w:t>
      </w:r>
      <w:r>
        <w:rPr>
          <w:spacing w:val="-57"/>
        </w:rPr>
        <w:t> </w:t>
      </w:r>
      <w:r>
        <w:rPr/>
        <w:t>告</w:t>
      </w:r>
      <w:r>
        <w:rPr>
          <w:spacing w:val="-57"/>
        </w:rPr>
        <w:t> </w:t>
      </w:r>
      <w:r>
        <w:rPr/>
        <w:t>披</w:t>
      </w:r>
      <w:r>
        <w:rPr>
          <w:spacing w:val="-58"/>
        </w:rPr>
        <w:t> </w:t>
      </w:r>
      <w:r>
        <w:rPr/>
        <w:t>露</w:t>
      </w:r>
      <w:r>
        <w:rPr>
          <w:spacing w:val="-58"/>
        </w:rPr>
        <w:t> </w:t>
      </w:r>
      <w:r>
        <w:rPr/>
        <w:t>后</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个</w:t>
      </w:r>
      <w:r>
        <w:rPr>
          <w:spacing w:val="-57"/>
        </w:rPr>
        <w:t> </w:t>
      </w:r>
      <w:r>
        <w:rPr/>
        <w:t>月</w:t>
      </w:r>
      <w:r>
        <w:rPr>
          <w:spacing w:val="-57"/>
        </w:rPr>
        <w:t> </w:t>
      </w:r>
      <w:r>
        <w:rPr/>
        <w:t>内</w:t>
      </w:r>
      <w:r>
        <w:rPr>
          <w:spacing w:val="-58"/>
        </w:rPr>
        <w:t> </w:t>
      </w:r>
      <w:r>
        <w:rPr/>
        <w:t>公</w:t>
      </w:r>
      <w:r>
        <w:rPr>
          <w:spacing w:val="-58"/>
        </w:rPr>
        <w:t> </w:t>
      </w:r>
      <w:r>
        <w:rPr/>
        <w:t>布</w:t>
      </w:r>
      <w:r>
        <w:rPr>
          <w:spacing w:val="-57"/>
        </w:rPr>
        <w:t> </w:t>
      </w:r>
      <w:r>
        <w:rPr/>
        <w:t>于</w:t>
      </w:r>
      <w:r>
        <w:rPr>
          <w:spacing w:val="-58"/>
        </w:rPr>
        <w:t> </w:t>
      </w:r>
      <w:r>
        <w:rPr/>
        <w:t>深</w:t>
      </w:r>
      <w:r>
        <w:rPr>
          <w:spacing w:val="-57"/>
        </w:rPr>
        <w:t> </w:t>
      </w:r>
      <w:r>
        <w:rPr/>
        <w:t>交</w:t>
      </w:r>
      <w:r>
        <w:rPr>
          <w:spacing w:val="-58"/>
        </w:rPr>
        <w:t> </w:t>
      </w:r>
      <w:r>
        <w:rPr/>
        <w:t>所</w:t>
      </w:r>
      <w:r>
        <w:rPr>
          <w:spacing w:val="-58"/>
        </w:rPr>
        <w:t> </w:t>
      </w:r>
      <w:r>
        <w:rPr/>
        <w:t>网</w:t>
      </w:r>
      <w:r>
        <w:rPr>
          <w:spacing w:val="-58"/>
        </w:rPr>
        <w:t> </w:t>
      </w:r>
      <w:r>
        <w:rPr/>
        <w:t>站</w:t>
      </w:r>
    </w:p>
    <w:p>
      <w:pPr>
        <w:pStyle w:val="BodyText"/>
        <w:spacing w:line="300" w:lineRule="auto" w:before="63"/>
        <w:ind w:right="1119"/>
        <w:jc w:val="left"/>
      </w:pPr>
      <w:r>
        <w:rPr/>
        <w:t>（</w:t>
      </w:r>
      <w:hyperlink r:id="rId16">
        <w:r>
          <w:rPr>
            <w:rFonts w:ascii="Times New Roman" w:hAnsi="Times New Roman" w:cs="Times New Roman" w:eastAsia="Times New Roman" w:hint="default"/>
          </w:rPr>
          <w:t>http://www.szse.cn</w:t>
        </w:r>
      </w:hyperlink>
      <w:r>
        <w:rPr/>
        <w:t>）、鹏元资信公司网站（</w:t>
      </w:r>
      <w:hyperlink r:id="rId17">
        <w:r>
          <w:rPr>
            <w:rFonts w:ascii="Times New Roman" w:hAnsi="Times New Roman" w:cs="Times New Roman" w:eastAsia="Times New Roman" w:hint="default"/>
          </w:rPr>
          <w:t>http://www.pyrating.cn</w:t>
        </w:r>
      </w:hyperlink>
      <w:r>
        <w:rPr/>
        <w:t>）及巨潮资讯网（</w:t>
      </w:r>
      <w:hyperlink r:id="rId13">
        <w:r>
          <w:rPr>
            <w:rFonts w:ascii="Times New Roman" w:hAnsi="Times New Roman" w:cs="Times New Roman" w:eastAsia="Times New Roman" w:hint="default"/>
          </w:rPr>
          <w:t>http://www.cninfo.com.cn</w:t>
        </w:r>
      </w:hyperlink>
      <w:r>
        <w:rPr/>
        <w:t>），请投资者 注意查阅。</w:t>
      </w:r>
    </w:p>
    <w:p>
      <w:pPr>
        <w:pStyle w:val="BodyText"/>
        <w:spacing w:line="300" w:lineRule="auto" w:before="31"/>
        <w:ind w:right="1043" w:firstLine="360"/>
        <w:jc w:val="left"/>
      </w:pPr>
      <w:r>
        <w:rPr/>
        <w:t>根据鹏元资信评估有限公司的符号及定义，公司主体信用等级为</w:t>
      </w:r>
      <w:r>
        <w:rPr>
          <w:rFonts w:ascii="Times New Roman" w:hAnsi="Times New Roman" w:cs="Times New Roman" w:eastAsia="Times New Roman" w:hint="default"/>
        </w:rPr>
        <w:t>AA</w:t>
      </w:r>
      <w:r>
        <w:rPr/>
        <w:t>表示偿还债务的能力很强，受不利经济环境的影响 不大，违约风险很低。</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符号进行微调，表示略高或略低于本等级。债券信用等级为</w:t>
      </w:r>
      <w:r>
        <w:rPr>
          <w:rFonts w:ascii="Times New Roman" w:hAnsi="Times New Roman" w:cs="Times New Roman" w:eastAsia="Times New Roman" w:hint="default"/>
        </w:rPr>
        <w:t>AA</w:t>
      </w:r>
      <w:r>
        <w:rPr/>
        <w:t>表示债务安全性很高，违约</w:t>
      </w:r>
      <w:r>
        <w:rPr>
          <w:spacing w:val="-41"/>
        </w:rPr>
        <w:t> </w:t>
      </w:r>
      <w:r>
        <w:rPr/>
        <w:t>风险很低。债券信用等级为</w:t>
      </w:r>
      <w:r>
        <w:rPr>
          <w:rFonts w:ascii="Times New Roman" w:hAnsi="Times New Roman" w:cs="Times New Roman" w:eastAsia="Times New Roman" w:hint="default"/>
        </w:rPr>
        <w:t>AAA</w:t>
      </w:r>
      <w:r>
        <w:rPr/>
        <w:t>表示债务安全性极高，违约风险极低。</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符号进行微调，表示略高或略低于本等级。 展望评级为稳定的定义为情况稳定，未来信用等级大致不变。</w:t>
      </w:r>
    </w:p>
    <w:p>
      <w:pPr>
        <w:spacing w:after="0" w:line="300"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4"/>
        <w:spacing w:line="240" w:lineRule="auto" w:before="26"/>
        <w:ind w:right="994"/>
        <w:jc w:val="left"/>
        <w:rPr>
          <w:b w:val="0"/>
          <w:bCs w:val="0"/>
        </w:rPr>
      </w:pPr>
      <w:bookmarkStart w:name="五、公司债券增信机制、偿债计划及其他偿债保障措施" w:id="155"/>
      <w:bookmarkEnd w:id="155"/>
      <w:r>
        <w:rPr>
          <w:b w:val="0"/>
          <w:bCs w:val="0"/>
        </w:rPr>
      </w:r>
      <w:r>
        <w:rPr/>
        <w:t>五、公司债券增信机制、偿债计划及其他偿债保障措施</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left="1493" w:right="994"/>
        <w:jc w:val="left"/>
      </w:pPr>
      <w:r>
        <w:rPr/>
        <w:t>一、担保 </w:t>
      </w:r>
      <w:r>
        <w:rPr>
          <w:spacing w:val="-2"/>
        </w:rPr>
        <w:t>本次债券由深圳市中小企业信用融资担保集团有限公司出具《担保函》，对债券存续年度内应支付的债券本金及利息提</w:t>
      </w:r>
    </w:p>
    <w:p>
      <w:pPr>
        <w:pStyle w:val="BodyText"/>
        <w:spacing w:line="316" w:lineRule="auto" w:before="19"/>
        <w:ind w:right="994"/>
        <w:jc w:val="left"/>
      </w:pPr>
      <w:r>
        <w:rPr>
          <w:spacing w:val="-2"/>
        </w:rPr>
        <w:t>供全额无条件不可撤销的担保。担保机构已召开董事会审议通过了对公司提供担保事项，担保人内部决策程序符合其公司章</w:t>
      </w:r>
      <w:r>
        <w:rPr>
          <w:spacing w:val="-64"/>
        </w:rPr>
        <w:t> </w:t>
      </w:r>
      <w:r>
        <w:rPr>
          <w:spacing w:val="-64"/>
        </w:rPr>
      </w:r>
      <w:r>
        <w:rPr/>
        <w:t>程的规定。</w:t>
      </w:r>
    </w:p>
    <w:p>
      <w:pPr>
        <w:pStyle w:val="BodyText"/>
        <w:spacing w:line="316" w:lineRule="auto" w:before="19"/>
        <w:ind w:left="1493" w:right="994"/>
        <w:jc w:val="left"/>
      </w:pPr>
      <w:r>
        <w:rPr/>
        <w:t>二、反担保 </w:t>
      </w:r>
      <w:r>
        <w:rPr>
          <w:spacing w:val="-2"/>
        </w:rPr>
        <w:t>公司已与担保人签订《委托保证合同》，就担保人在《担保函》下的担保义务以及代偿安排向担保人提供进一步的反担</w:t>
      </w:r>
    </w:p>
    <w:p>
      <w:pPr>
        <w:pStyle w:val="BodyText"/>
        <w:spacing w:line="240" w:lineRule="auto" w:before="19"/>
        <w:ind w:right="994"/>
        <w:jc w:val="left"/>
      </w:pPr>
      <w:r>
        <w:rPr/>
        <w:t>保。</w:t>
      </w:r>
    </w:p>
    <w:p>
      <w:pPr>
        <w:pStyle w:val="BodyText"/>
        <w:spacing w:line="240" w:lineRule="auto" w:before="76"/>
        <w:ind w:left="1494" w:right="994"/>
        <w:jc w:val="left"/>
      </w:pPr>
      <w:r>
        <w:rPr/>
        <w:t>公司及苏州新国都电子技术有限公司（以下简称</w:t>
      </w:r>
      <w:r>
        <w:rPr>
          <w:rFonts w:ascii="Times New Roman" w:hAnsi="Times New Roman" w:cs="Times New Roman" w:eastAsia="Times New Roman" w:hint="default"/>
        </w:rPr>
        <w:t>“</w:t>
      </w:r>
      <w:r>
        <w:rPr/>
        <w:t>苏州新国都</w:t>
      </w:r>
      <w:r>
        <w:rPr>
          <w:rFonts w:ascii="Times New Roman" w:hAnsi="Times New Roman" w:cs="Times New Roman" w:eastAsia="Times New Roman" w:hint="default"/>
        </w:rPr>
        <w:t>”</w:t>
      </w:r>
      <w:r>
        <w:rPr/>
        <w:t>）已向担保机构出具承诺，苏州新国都以其拥有的昆国用</w:t>
      </w:r>
    </w:p>
    <w:p>
      <w:pPr>
        <w:pStyle w:val="BodyText"/>
        <w:spacing w:line="300" w:lineRule="auto" w:before="63"/>
        <w:ind w:left="1493" w:right="994" w:hanging="360"/>
        <w:jc w:val="left"/>
      </w:pPr>
      <w:r>
        <w:rPr/>
        <w:t>（</w:t>
      </w:r>
      <w:r>
        <w:rPr>
          <w:rFonts w:ascii="Times New Roman" w:hAnsi="Times New Roman" w:cs="Times New Roman" w:eastAsia="Times New Roman" w:hint="default"/>
        </w:rPr>
        <w:t>2012</w:t>
      </w:r>
      <w:r>
        <w:rPr/>
        <w:t>）第</w:t>
      </w:r>
      <w:r>
        <w:rPr>
          <w:rFonts w:ascii="Times New Roman" w:hAnsi="Times New Roman" w:cs="Times New Roman" w:eastAsia="Times New Roman" w:hint="default"/>
        </w:rPr>
        <w:t>2012111099</w:t>
      </w:r>
      <w:r>
        <w:rPr/>
        <w:t>号土地使用权及其上建筑物为担保机构提供反担保。 </w:t>
      </w:r>
      <w:r>
        <w:rPr>
          <w:spacing w:val="-2"/>
        </w:rPr>
        <w:t>同时，公司实际控制人刘祥先生、大股东江汉先生及刘亚先生拟与担保机构签订《保证反担保合同》，以其拥有合法处</w:t>
      </w:r>
    </w:p>
    <w:p>
      <w:pPr>
        <w:pStyle w:val="BodyText"/>
        <w:spacing w:line="316" w:lineRule="auto" w:before="31"/>
        <w:ind w:left="1493" w:right="6973" w:hanging="360"/>
        <w:jc w:val="left"/>
      </w:pPr>
      <w:r>
        <w:rPr/>
        <w:t>分权的财产为公司向担保机构提供保证反担保。 三、偿债计划</w:t>
      </w:r>
    </w:p>
    <w:p>
      <w:pPr>
        <w:pStyle w:val="BodyText"/>
        <w:spacing w:line="300" w:lineRule="auto" w:before="19"/>
        <w:ind w:right="1130" w:firstLine="360"/>
        <w:jc w:val="both"/>
      </w:pPr>
      <w:r>
        <w:rPr>
          <w:rFonts w:ascii="Times New Roman" w:hAnsi="Times New Roman" w:cs="Times New Roman" w:eastAsia="Times New Roman" w:hint="default"/>
          <w:spacing w:val="-1"/>
        </w:rPr>
        <w:t>1.</w:t>
      </w:r>
      <w:r>
        <w:rPr>
          <w:spacing w:val="-1"/>
        </w:rPr>
        <w:t>时间安排：本期债券利息在存续期内于每年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15</w:t>
      </w:r>
      <w:r>
        <w:rPr>
          <w:spacing w:val="-1"/>
        </w:rPr>
        <w:t>日（如遇法定假日或休息日则顺延至其后第</w:t>
      </w:r>
      <w:r>
        <w:rPr>
          <w:rFonts w:ascii="Times New Roman" w:hAnsi="Times New Roman" w:cs="Times New Roman" w:eastAsia="Times New Roman" w:hint="default"/>
          <w:spacing w:val="-1"/>
        </w:rPr>
        <w:t>1</w:t>
      </w:r>
      <w:r>
        <w:rPr>
          <w:spacing w:val="-1"/>
        </w:rPr>
        <w:t>个工作日）通过债券登</w:t>
      </w:r>
      <w:r>
        <w:rPr/>
        <w:t> 记机构和其他机构支付。本金于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日（如遇法定假日或休息日则顺延至其后第</w:t>
      </w:r>
      <w:r>
        <w:rPr>
          <w:rFonts w:ascii="Times New Roman" w:hAnsi="Times New Roman" w:cs="Times New Roman" w:eastAsia="Times New Roman" w:hint="default"/>
        </w:rPr>
        <w:t>1</w:t>
      </w:r>
      <w:r>
        <w:rPr/>
        <w:t>个工作日）支付。</w:t>
      </w:r>
    </w:p>
    <w:p>
      <w:pPr>
        <w:pStyle w:val="BodyText"/>
        <w:spacing w:line="300" w:lineRule="auto" w:before="13"/>
        <w:ind w:right="1132" w:firstLine="360"/>
        <w:jc w:val="both"/>
      </w:pPr>
      <w:r>
        <w:rPr>
          <w:rFonts w:ascii="Times New Roman" w:hAnsi="Times New Roman" w:cs="Times New Roman" w:eastAsia="Times New Roman" w:hint="default"/>
          <w:spacing w:val="-1"/>
        </w:rPr>
        <w:t>2.</w:t>
      </w:r>
      <w:r>
        <w:rPr>
          <w:spacing w:val="-1"/>
        </w:rPr>
        <w:t>资金来源：公司将根据本期债券本息未来到期支付安排制定年度、月度资金运用计划，合理调度分配资金，保证按期</w:t>
      </w:r>
      <w:r>
        <w:rPr/>
        <w:t> 支付到期利息和本金。本期债券偿债资金来源主要为公司主营业务收入，公司资产变现以及银行借款等。</w:t>
      </w:r>
    </w:p>
    <w:p>
      <w:pPr>
        <w:pStyle w:val="BodyText"/>
        <w:spacing w:line="316" w:lineRule="auto" w:before="31"/>
        <w:ind w:left="1493" w:right="1033"/>
        <w:jc w:val="left"/>
      </w:pPr>
      <w:r>
        <w:rPr/>
        <w:t>四、偿债应急保障方案 公司偿债应急保障的主要方案为流动资产变现。公司长期保持稳健的财务政策，资产结构相对合理，资产流动性较高，</w:t>
      </w:r>
    </w:p>
    <w:p>
      <w:pPr>
        <w:pStyle w:val="BodyText"/>
        <w:spacing w:line="300" w:lineRule="auto" w:before="19"/>
        <w:ind w:right="1033"/>
        <w:jc w:val="left"/>
      </w:pPr>
      <w:r>
        <w:rPr/>
        <w:t>必要时可以通过流动资产变现来补充偿债资金。截至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日，公司账面货币资金和应收账款分别为</w:t>
      </w:r>
      <w:r>
        <w:rPr>
          <w:rFonts w:ascii="Times New Roman" w:hAnsi="Times New Roman" w:cs="Times New Roman" w:eastAsia="Times New Roman" w:hint="default"/>
        </w:rPr>
        <w:t>112,024.33</w:t>
      </w:r>
      <w:r>
        <w:rPr/>
        <w:t>万元</w:t>
      </w:r>
      <w:r>
        <w:rPr>
          <w:spacing w:val="-83"/>
        </w:rPr>
        <w:t> </w:t>
      </w:r>
      <w:r>
        <w:rPr>
          <w:spacing w:val="-3"/>
        </w:rPr>
        <w:t>和</w:t>
      </w:r>
      <w:r>
        <w:rPr>
          <w:rFonts w:ascii="Times New Roman" w:hAnsi="Times New Roman" w:cs="Times New Roman" w:eastAsia="Times New Roman" w:hint="default"/>
          <w:spacing w:val="-3"/>
        </w:rPr>
        <w:t>42,497.27</w:t>
      </w:r>
      <w:r>
        <w:rPr>
          <w:spacing w:val="-3"/>
        </w:rPr>
        <w:t>万元。若出现公司不能按期足额偿付本次债券本息的情形时，公司拥有变现能力较强的高流动性资产可迅速变现，</w:t>
      </w:r>
      <w:r>
        <w:rPr>
          <w:spacing w:val="-86"/>
        </w:rPr>
        <w:t> </w:t>
      </w:r>
      <w:r>
        <w:rPr>
          <w:spacing w:val="-86"/>
        </w:rPr>
      </w:r>
      <w:r>
        <w:rPr/>
        <w:t>为本次债券的本息偿付提供良好支撑。</w:t>
      </w:r>
    </w:p>
    <w:p>
      <w:pPr>
        <w:pStyle w:val="BodyText"/>
        <w:spacing w:line="316" w:lineRule="auto" w:before="31"/>
        <w:ind w:left="1494" w:right="994"/>
        <w:jc w:val="left"/>
      </w:pPr>
      <w:r>
        <w:rPr/>
        <w:t>五、公司债券的偿债保障措施 </w:t>
      </w:r>
      <w:r>
        <w:rPr>
          <w:spacing w:val="-2"/>
        </w:rPr>
        <w:t>为了充分、有效地维护债券持有人的利益，公司为本期债券的按时、足额偿付制定了一系列工作计划，包括确定专门部</w:t>
      </w:r>
    </w:p>
    <w:p>
      <w:pPr>
        <w:pStyle w:val="BodyText"/>
        <w:spacing w:line="316" w:lineRule="auto" w:before="19"/>
        <w:ind w:left="1134" w:right="994"/>
        <w:jc w:val="left"/>
      </w:pPr>
      <w:r>
        <w:rPr>
          <w:spacing w:val="-4"/>
        </w:rPr>
        <w:t>门与人员、安排偿债资金、设立专项偿债账户、制定管理措施、做好组织协调、建立公司与债券受托管理人的长效沟通机制、</w:t>
      </w:r>
      <w:r>
        <w:rPr>
          <w:spacing w:val="-44"/>
        </w:rPr>
        <w:t> </w:t>
      </w:r>
      <w:r>
        <w:rPr>
          <w:spacing w:val="-44"/>
        </w:rPr>
      </w:r>
      <w:r>
        <w:rPr/>
        <w:t>加强信息披露等，努力形成一套确保本期债券本息按约定偿付的保障措施。</w:t>
      </w:r>
    </w:p>
    <w:p>
      <w:pPr>
        <w:pStyle w:val="BodyText"/>
        <w:spacing w:line="309" w:lineRule="auto" w:before="19"/>
        <w:ind w:left="1134" w:right="1131" w:firstLine="360"/>
        <w:jc w:val="both"/>
      </w:pPr>
      <w:r>
        <w:rPr>
          <w:rFonts w:ascii="Times New Roman" w:hAnsi="Times New Roman" w:cs="Times New Roman" w:eastAsia="Times New Roman" w:hint="default"/>
          <w:spacing w:val="-1"/>
        </w:rPr>
        <w:t>1.</w:t>
      </w:r>
      <w:r>
        <w:rPr>
          <w:spacing w:val="-1"/>
        </w:rPr>
        <w:t>制定《债券持有人会议规则》：公司和债券受托管理人按照《公司债券发行与交易管理办法》制定了本期债券的债券</w:t>
      </w:r>
      <w:r>
        <w:rPr/>
        <w:t> </w:t>
      </w:r>
      <w:r>
        <w:rPr>
          <w:spacing w:val="-2"/>
        </w:rPr>
        <w:t>持有人会议规则，约定债券持有人通过债券持有人会议行使权利的范围、程序和其他重要事项，为保障本期公司债券的本息</w:t>
      </w:r>
      <w:r>
        <w:rPr>
          <w:spacing w:val="-66"/>
        </w:rPr>
        <w:t> </w:t>
      </w:r>
      <w:r>
        <w:rPr>
          <w:spacing w:val="-66"/>
        </w:rPr>
      </w:r>
      <w:r>
        <w:rPr/>
        <w:t>及时足额偿付做出了合理的制度安排。</w:t>
      </w:r>
    </w:p>
    <w:p>
      <w:pPr>
        <w:pStyle w:val="BodyText"/>
        <w:spacing w:line="300" w:lineRule="auto" w:before="24"/>
        <w:ind w:left="1134" w:right="1132" w:firstLine="360"/>
        <w:jc w:val="both"/>
      </w:pPr>
      <w:r>
        <w:rPr>
          <w:rFonts w:ascii="Times New Roman" w:hAnsi="Times New Roman" w:cs="Times New Roman" w:eastAsia="Times New Roman" w:hint="default"/>
          <w:spacing w:val="-1"/>
        </w:rPr>
        <w:t>2.</w:t>
      </w:r>
      <w:r>
        <w:rPr>
          <w:spacing w:val="-1"/>
        </w:rPr>
        <w:t>聘请债券受托管理人：公司按照《公司债发行与交易管理办法》聘请了本期债券的债券受托管理人，签订了债券受托</w:t>
      </w:r>
      <w:r>
        <w:rPr/>
        <w:t> 管理协议。在本期债券的存续期内，债券受托管理人依照协议的约定维护债券持有人的利益。</w:t>
      </w:r>
    </w:p>
    <w:p>
      <w:pPr>
        <w:pStyle w:val="BodyText"/>
        <w:spacing w:line="300" w:lineRule="auto" w:before="31"/>
        <w:ind w:left="1134" w:right="1135" w:firstLine="360"/>
        <w:jc w:val="both"/>
      </w:pPr>
      <w:r>
        <w:rPr>
          <w:rFonts w:ascii="Times New Roman" w:hAnsi="Times New Roman" w:cs="Times New Roman" w:eastAsia="Times New Roman" w:hint="default"/>
        </w:rPr>
        <w:t>3.</w:t>
      </w:r>
      <w:r>
        <w:rPr/>
        <w:t>设立专项偿债账户：公司于本期债券到期日的前</w:t>
      </w:r>
      <w:r>
        <w:rPr>
          <w:rFonts w:ascii="Times New Roman" w:hAnsi="Times New Roman" w:cs="Times New Roman" w:eastAsia="Times New Roman" w:hint="default"/>
        </w:rPr>
        <w:t>3</w:t>
      </w:r>
      <w:r>
        <w:rPr/>
        <w:t>个月为支付本期债券的本金设立专项偿债账户，并通过该账户还本 付息。</w:t>
      </w:r>
    </w:p>
    <w:p>
      <w:pPr>
        <w:pStyle w:val="BodyText"/>
        <w:spacing w:line="309" w:lineRule="auto" w:before="31"/>
        <w:ind w:left="1134" w:right="1131" w:firstLine="360"/>
        <w:jc w:val="both"/>
      </w:pPr>
      <w:r>
        <w:rPr>
          <w:rFonts w:ascii="Times New Roman" w:hAnsi="Times New Roman" w:cs="Times New Roman" w:eastAsia="Times New Roman" w:hint="default"/>
          <w:spacing w:val="-1"/>
        </w:rPr>
        <w:t>4.</w:t>
      </w:r>
      <w:r>
        <w:rPr>
          <w:spacing w:val="-1"/>
        </w:rPr>
        <w:t>设立专门的偿付工作小组：本公司指定财务部等相关部门的人员组成专门的偿付工作小组，全面负责本期债券利息支</w:t>
      </w:r>
      <w:r>
        <w:rPr/>
        <w:t> </w:t>
      </w:r>
      <w:r>
        <w:rPr>
          <w:spacing w:val="-2"/>
        </w:rPr>
        <w:t>付、本金兑付及与之相关的工作。偿债工作小组将在每年财务预算中落实本期债券本息兑付资金，保证本息如期偿付，确保</w:t>
      </w:r>
      <w:r>
        <w:rPr>
          <w:spacing w:val="-66"/>
        </w:rPr>
        <w:t> </w:t>
      </w:r>
      <w:r>
        <w:rPr>
          <w:spacing w:val="-66"/>
        </w:rPr>
      </w:r>
      <w:r>
        <w:rPr/>
        <w:t>债券持有人利益。</w:t>
      </w:r>
    </w:p>
    <w:p>
      <w:pPr>
        <w:pStyle w:val="BodyText"/>
        <w:spacing w:line="309" w:lineRule="auto" w:before="24"/>
        <w:ind w:left="1134" w:right="1131" w:firstLine="360"/>
        <w:jc w:val="both"/>
      </w:pPr>
      <w:r>
        <w:rPr>
          <w:rFonts w:ascii="Times New Roman" w:hAnsi="Times New Roman" w:cs="Times New Roman" w:eastAsia="Times New Roman" w:hint="default"/>
          <w:spacing w:val="-1"/>
        </w:rPr>
        <w:t>5.</w:t>
      </w:r>
      <w:r>
        <w:rPr>
          <w:spacing w:val="-1"/>
        </w:rPr>
        <w:t>严格信息披露：公司将遵循真实、准确、完整的信息披露原则，使公司偿债能力、募集资金使用等情况受到债券持有</w:t>
      </w:r>
      <w:r>
        <w:rPr/>
        <w:t> </w:t>
      </w:r>
      <w:r>
        <w:rPr>
          <w:spacing w:val="-2"/>
        </w:rPr>
        <w:t>人、债券受托管理人和股东的监督，防范偿债风险。本期债券存续期内，公司应当根据法律、法规和规则的规定，及时、公</w:t>
      </w:r>
      <w:r>
        <w:rPr>
          <w:spacing w:val="-71"/>
        </w:rPr>
        <w:t> </w:t>
      </w:r>
      <w:r>
        <w:rPr>
          <w:spacing w:val="-71"/>
        </w:rPr>
      </w:r>
      <w:r>
        <w:rPr/>
        <w:t>平地履行信息披露义务，确保所披露或者报送的信息真实、准确、完整，不得有虚假记载、误导性陈述或者重大遗漏。</w:t>
      </w:r>
    </w:p>
    <w:p>
      <w:pPr>
        <w:pStyle w:val="BodyText"/>
        <w:spacing w:line="240" w:lineRule="auto" w:before="24"/>
        <w:ind w:left="1493" w:right="994"/>
        <w:jc w:val="left"/>
      </w:pPr>
      <w:r>
        <w:rPr>
          <w:rFonts w:ascii="Times New Roman" w:hAnsi="Times New Roman" w:cs="Times New Roman" w:eastAsia="Times New Roman" w:hint="default"/>
        </w:rPr>
        <w:t>6.</w:t>
      </w:r>
      <w:r>
        <w:rPr/>
        <w:t>公司股东、董事会对本期债券偿债保障的相关决议：经本公司于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日召开的董事会审议通过以及于</w:t>
      </w:r>
      <w:r>
        <w:rPr>
          <w:rFonts w:ascii="Times New Roman" w:hAnsi="Times New Roman" w:cs="Times New Roman" w:eastAsia="Times New Roman" w:hint="default"/>
        </w:rPr>
        <w:t>2015</w:t>
      </w:r>
      <w:r>
        <w:rPr/>
        <w:t>年</w:t>
      </w:r>
    </w:p>
    <w:p>
      <w:pPr>
        <w:pStyle w:val="BodyText"/>
        <w:spacing w:line="300" w:lineRule="auto" w:before="63"/>
        <w:ind w:right="1131"/>
        <w:jc w:val="both"/>
      </w:pP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17</w:t>
      </w:r>
      <w:r>
        <w:rPr>
          <w:spacing w:val="-2"/>
        </w:rPr>
        <w:t>日召开的股东大会批准，在出现预计不能按期偿付债券本息或者到期未能按期偿付债券本息时，公司将至少采取如下</w:t>
      </w:r>
      <w:r>
        <w:rPr>
          <w:spacing w:val="-60"/>
        </w:rPr>
        <w:t> </w:t>
      </w:r>
      <w:r>
        <w:rPr>
          <w:spacing w:val="-60"/>
        </w:rPr>
      </w:r>
      <w:r>
        <w:rPr/>
        <w:t>措施：</w:t>
      </w:r>
      <w:r>
        <w:rPr>
          <w:rFonts w:ascii="Times New Roman" w:hAnsi="Times New Roman" w:cs="Times New Roman" w:eastAsia="Times New Roman" w:hint="default"/>
        </w:rPr>
        <w:t>1)</w:t>
      </w:r>
      <w:r>
        <w:rPr/>
        <w:t>不向股东分配利润；</w:t>
      </w:r>
      <w:r>
        <w:rPr>
          <w:rFonts w:ascii="Times New Roman" w:hAnsi="Times New Roman" w:cs="Times New Roman" w:eastAsia="Times New Roman" w:hint="default"/>
        </w:rPr>
        <w:t>2)</w:t>
      </w:r>
      <w:r>
        <w:rPr/>
        <w:t>暂缓重大对外投资、收购、兼并等资本性支出项目的实施；</w:t>
      </w:r>
      <w:r>
        <w:rPr>
          <w:rFonts w:ascii="Times New Roman" w:hAnsi="Times New Roman" w:cs="Times New Roman" w:eastAsia="Times New Roman" w:hint="default"/>
        </w:rPr>
        <w:t>3)</w:t>
      </w:r>
      <w:r>
        <w:rPr/>
        <w:t>调减或停发董事和高级管理人</w:t>
      </w:r>
      <w:r>
        <w:rPr>
          <w:spacing w:val="-84"/>
        </w:rPr>
        <w:t> </w:t>
      </w:r>
      <w:r>
        <w:rPr>
          <w:spacing w:val="-84"/>
        </w:rPr>
      </w:r>
      <w:r>
        <w:rPr/>
        <w:t>员的工资和奖金；</w:t>
      </w:r>
      <w:r>
        <w:rPr>
          <w:rFonts w:ascii="Times New Roman" w:hAnsi="Times New Roman" w:cs="Times New Roman" w:eastAsia="Times New Roman" w:hint="default"/>
        </w:rPr>
        <w:t>4)</w:t>
      </w:r>
      <w:r>
        <w:rPr/>
        <w:t>主要责任人不得调离。</w:t>
      </w:r>
    </w:p>
    <w:p>
      <w:pPr>
        <w:spacing w:after="0" w:line="30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63"/>
        <w:ind w:right="994"/>
        <w:jc w:val="left"/>
        <w:rPr>
          <w:b w:val="0"/>
          <w:bCs w:val="0"/>
        </w:rPr>
      </w:pPr>
      <w:bookmarkStart w:name="六、报告期内债券持有人会议的召开情况" w:id="156"/>
      <w:bookmarkEnd w:id="156"/>
      <w:r>
        <w:rPr>
          <w:b w:val="0"/>
          <w:bCs w:val="0"/>
        </w:rPr>
      </w:r>
      <w:r>
        <w:rPr/>
        <w:t>六、报告期内债券持有人会议的召开情况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94"/>
        <w:jc w:val="left"/>
      </w:pPr>
      <w:r>
        <w:rPr/>
        <w:t>报告期内未召开债券持有人会议。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4"/>
        <w:spacing w:line="240" w:lineRule="auto"/>
        <w:ind w:right="994"/>
        <w:jc w:val="left"/>
        <w:rPr>
          <w:b w:val="0"/>
          <w:bCs w:val="0"/>
        </w:rPr>
      </w:pPr>
      <w:bookmarkStart w:name="七、报告期内债券受托管理人履行职责的情况" w:id="157"/>
      <w:bookmarkEnd w:id="157"/>
      <w:r>
        <w:rPr>
          <w:b w:val="0"/>
          <w:bCs w:val="0"/>
        </w:rPr>
      </w:r>
      <w:r>
        <w:rPr/>
        <w:t>七、报告期内债券受托管理人履行职责的情况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994" w:firstLine="577"/>
        <w:jc w:val="left"/>
      </w:pPr>
      <w:r>
        <w:rPr/>
        <w:t>报告期内，本次债券受托管理人渤海证券股份有限公司依照《公司债券受托管理人执业行为准则》的要求及受托管 理协议的约定对本次债券开展了受托管理业务并维护了债券持有人的利益，包括但不限于：</w:t>
      </w:r>
    </w:p>
    <w:p>
      <w:pPr>
        <w:pStyle w:val="BodyText"/>
        <w:spacing w:line="300" w:lineRule="auto" w:before="19"/>
        <w:ind w:left="1134" w:right="1122" w:firstLine="360"/>
        <w:jc w:val="left"/>
      </w:pPr>
      <w:r>
        <w:rPr>
          <w:rFonts w:ascii="Times New Roman" w:hAnsi="Times New Roman" w:cs="Times New Roman" w:eastAsia="Times New Roman" w:hint="default"/>
        </w:rPr>
        <w:t>1</w:t>
      </w:r>
      <w:r>
        <w:rPr/>
        <w:t>、持续关注公司的资信状况，监测并确认公司是否出现《公司债券受托管理人执业行为准则》第十一条及受托管理协 议第</w:t>
      </w:r>
      <w:r>
        <w:rPr>
          <w:rFonts w:ascii="Times New Roman" w:hAnsi="Times New Roman" w:cs="Times New Roman" w:eastAsia="Times New Roman" w:hint="default"/>
        </w:rPr>
        <w:t>3.8</w:t>
      </w:r>
      <w:r>
        <w:rPr/>
        <w:t>条所述的重大事项；</w:t>
      </w:r>
    </w:p>
    <w:p>
      <w:pPr>
        <w:pStyle w:val="BodyText"/>
        <w:spacing w:line="300" w:lineRule="auto" w:before="13"/>
        <w:ind w:left="1134" w:right="1122" w:firstLine="360"/>
        <w:jc w:val="left"/>
      </w:pPr>
      <w:r>
        <w:rPr>
          <w:rFonts w:ascii="Times New Roman" w:hAnsi="Times New Roman" w:cs="Times New Roman" w:eastAsia="Times New Roman" w:hint="default"/>
        </w:rPr>
        <w:t>2</w:t>
      </w:r>
      <w:r>
        <w:rPr/>
        <w:t>、持续关注公司债券增信机构的资信状况、担保物价值和权属情况以及内外部增信机制、偿债保障措施的实施情况， 并按照受托协议的约定对上述情况进行核查；</w:t>
      </w:r>
    </w:p>
    <w:p>
      <w:pPr>
        <w:pStyle w:val="BodyText"/>
        <w:spacing w:line="240" w:lineRule="auto" w:before="31"/>
        <w:ind w:left="1494" w:right="994"/>
        <w:jc w:val="left"/>
      </w:pPr>
      <w:r>
        <w:rPr>
          <w:rFonts w:ascii="Times New Roman" w:hAnsi="Times New Roman" w:cs="Times New Roman" w:eastAsia="Times New Roman" w:hint="default"/>
        </w:rPr>
        <w:t>3</w:t>
      </w:r>
      <w:r>
        <w:rPr/>
        <w:t>、对公司指定专项账户用于公司债券募集资金的接收、存储、划转与本息偿付情况进行监督；</w:t>
      </w:r>
    </w:p>
    <w:p>
      <w:pPr>
        <w:pStyle w:val="BodyText"/>
        <w:spacing w:line="240" w:lineRule="auto" w:before="63"/>
        <w:ind w:left="1493" w:right="994"/>
        <w:jc w:val="left"/>
      </w:pPr>
      <w:r>
        <w:rPr>
          <w:rFonts w:ascii="Times New Roman" w:hAnsi="Times New Roman" w:cs="Times New Roman" w:eastAsia="Times New Roman" w:hint="default"/>
        </w:rPr>
        <w:t>4</w:t>
      </w:r>
      <w:r>
        <w:rPr/>
        <w:t>、持续监督并定期检查公司募集资金的使用情况是否与公司债券募集说明书约定一致；</w:t>
      </w:r>
    </w:p>
    <w:p>
      <w:pPr>
        <w:pStyle w:val="BodyText"/>
        <w:spacing w:line="240" w:lineRule="auto" w:before="63"/>
        <w:ind w:left="1493" w:right="994"/>
        <w:jc w:val="left"/>
      </w:pPr>
      <w:r>
        <w:rPr>
          <w:rFonts w:ascii="Times New Roman" w:hAnsi="Times New Roman" w:cs="Times New Roman" w:eastAsia="Times New Roman" w:hint="default"/>
        </w:rPr>
        <w:t>5</w:t>
      </w:r>
      <w:r>
        <w:rPr/>
        <w:t>、持续督促公司履行信息披露义务；</w:t>
      </w:r>
    </w:p>
    <w:p>
      <w:pPr>
        <w:pStyle w:val="BodyText"/>
        <w:spacing w:line="300" w:lineRule="auto" w:before="63"/>
        <w:ind w:left="1134" w:right="1122" w:firstLine="360"/>
        <w:jc w:val="left"/>
      </w:pPr>
      <w:r>
        <w:rPr>
          <w:rFonts w:ascii="Times New Roman" w:hAnsi="Times New Roman" w:cs="Times New Roman" w:eastAsia="Times New Roman" w:hint="default"/>
        </w:rPr>
        <w:t>6</w:t>
      </w:r>
      <w:r>
        <w:rPr/>
        <w:t>、持续监测公司是否出现《公司债券受托管理人执业行为准则》第十七条所述需由受托管理人向市场公告临时受托管 理事务报告的情形。</w:t>
      </w:r>
    </w:p>
    <w:p>
      <w:pPr>
        <w:pStyle w:val="BodyText"/>
        <w:spacing w:line="240" w:lineRule="auto" w:before="31"/>
        <w:ind w:left="1854" w:right="994"/>
        <w:jc w:val="left"/>
      </w:pPr>
      <w:r>
        <w:rPr/>
        <w:t>报告期内债券受托管理人已按照约定履行相关职责，不存在履行受托管理职责时发生利益冲突的情形。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4"/>
        <w:spacing w:line="240" w:lineRule="auto"/>
        <w:ind w:right="994"/>
        <w:jc w:val="left"/>
        <w:rPr>
          <w:b w:val="0"/>
          <w:bCs w:val="0"/>
        </w:rPr>
      </w:pPr>
      <w:bookmarkStart w:name="八、截至报告期末公司近2年的主要会计数据和财务指标" w:id="158"/>
      <w:bookmarkEnd w:id="158"/>
      <w:r>
        <w:rPr>
          <w:b w:val="0"/>
          <w:bCs w:val="0"/>
        </w:rPr>
      </w:r>
      <w:r>
        <w:rPr/>
        <w:t>八、截至报告期末公司近</w:t>
      </w:r>
      <w:r>
        <w:rPr>
          <w:spacing w:val="-70"/>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年的主要会计数据和财务指标</w:t>
      </w:r>
      <w:r>
        <w:rPr>
          <w:b w:val="0"/>
          <w:bCs w:val="0"/>
        </w:rPr>
      </w:r>
    </w:p>
    <w:p>
      <w:pPr>
        <w:spacing w:line="240" w:lineRule="auto" w:before="2"/>
        <w:rPr>
          <w:rFonts w:ascii="宋体" w:hAnsi="宋体" w:cs="宋体" w:eastAsia="宋体" w:hint="default"/>
          <w:b/>
          <w:bCs/>
          <w:sz w:val="25"/>
          <w:szCs w:val="25"/>
        </w:rPr>
      </w:pPr>
    </w:p>
    <w:p>
      <w:pPr>
        <w:pStyle w:val="BodyText"/>
        <w:spacing w:line="240" w:lineRule="auto" w:before="0"/>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16,112.9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20,503.29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61.77%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全部债务比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-79.05%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利息保障倍数</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134" w:right="994"/>
        <w:jc w:val="left"/>
      </w:pPr>
      <w:r>
        <w:rPr/>
        <w:t>上述会计数据和财务指标同比变动超过</w:t>
      </w:r>
      <w:r>
        <w:rPr>
          <w:spacing w:val="-46"/>
        </w:rPr>
        <w:t> </w:t>
      </w:r>
      <w:r>
        <w:rPr>
          <w:rFonts w:ascii="Times New Roman" w:hAnsi="Times New Roman" w:cs="Times New Roman" w:eastAsia="Times New Roman" w:hint="default"/>
        </w:rPr>
        <w:t>30%</w:t>
      </w:r>
      <w:r>
        <w:rPr/>
        <w:t>的主要原因</w:t>
      </w:r>
    </w:p>
    <w:p>
      <w:pPr>
        <w:pStyle w:val="BodyText"/>
        <w:spacing w:line="240" w:lineRule="auto" w:before="103"/>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994"/>
        <w:jc w:val="left"/>
      </w:pPr>
      <w:r>
        <w:rPr>
          <w:rFonts w:ascii="Times New Roman" w:hAnsi="Times New Roman" w:cs="Times New Roman" w:eastAsia="Times New Roman" w:hint="default"/>
        </w:rPr>
        <w:t>1</w:t>
      </w:r>
      <w:r>
        <w:rPr/>
        <w:t>、流动比率较上年同期增长</w:t>
      </w:r>
      <w:r>
        <w:rPr>
          <w:rFonts w:ascii="Times New Roman" w:hAnsi="Times New Roman" w:cs="Times New Roman" w:eastAsia="Times New Roman" w:hint="default"/>
        </w:rPr>
        <w:t>62%</w:t>
      </w:r>
      <w:r>
        <w:rPr/>
        <w:t>，主要系银行借款增加流动资金所致。</w:t>
      </w:r>
    </w:p>
    <w:p>
      <w:pPr>
        <w:pStyle w:val="BodyText"/>
        <w:spacing w:line="240" w:lineRule="auto" w:before="63"/>
        <w:ind w:right="994"/>
        <w:jc w:val="left"/>
      </w:pPr>
      <w:r>
        <w:rPr>
          <w:rFonts w:ascii="Times New Roman" w:hAnsi="Times New Roman" w:cs="Times New Roman" w:eastAsia="Times New Roman" w:hint="default"/>
        </w:rPr>
        <w:t>2</w:t>
      </w:r>
      <w:r>
        <w:rPr/>
        <w:t>、速动比率较上年同期增长</w:t>
      </w:r>
      <w:r>
        <w:rPr>
          <w:rFonts w:ascii="Times New Roman" w:hAnsi="Times New Roman" w:cs="Times New Roman" w:eastAsia="Times New Roman" w:hint="default"/>
        </w:rPr>
        <w:t>60.84%</w:t>
      </w:r>
      <w:r>
        <w:rPr/>
        <w:t>，主要系银行借款增加流动资金所致。</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ind w:right="994"/>
        <w:jc w:val="left"/>
      </w:pPr>
      <w:r>
        <w:rPr>
          <w:rFonts w:ascii="Times New Roman" w:hAnsi="Times New Roman" w:cs="Times New Roman" w:eastAsia="Times New Roman" w:hint="default"/>
        </w:rPr>
        <w:t>3</w:t>
      </w:r>
      <w:r>
        <w:rPr/>
        <w:t>、现金利息保障倍数较上年同期下降</w:t>
      </w:r>
      <w:r>
        <w:rPr>
          <w:rFonts w:ascii="Times New Roman" w:hAnsi="Times New Roman" w:cs="Times New Roman" w:eastAsia="Times New Roman" w:hint="default"/>
        </w:rPr>
        <w:t>79.05%</w:t>
      </w:r>
      <w:r>
        <w:rPr/>
        <w:t>，主要系经营活动产生的现金流量净额减少所致。</w:t>
      </w:r>
    </w:p>
    <w:p>
      <w:pPr>
        <w:spacing w:line="240" w:lineRule="auto" w:before="1"/>
        <w:rPr>
          <w:rFonts w:ascii="宋体" w:hAnsi="宋体" w:cs="宋体" w:eastAsia="宋体" w:hint="default"/>
          <w:sz w:val="24"/>
          <w:szCs w:val="24"/>
        </w:rPr>
      </w:pPr>
    </w:p>
    <w:p>
      <w:pPr>
        <w:pStyle w:val="Heading4"/>
        <w:spacing w:line="240" w:lineRule="auto"/>
        <w:ind w:left="1134" w:right="994"/>
        <w:jc w:val="left"/>
        <w:rPr>
          <w:b w:val="0"/>
          <w:bCs w:val="0"/>
        </w:rPr>
      </w:pPr>
      <w:bookmarkStart w:name="九、报告期内对其他债券和债务融资工具的付息兑付情况" w:id="159"/>
      <w:bookmarkEnd w:id="159"/>
      <w:r>
        <w:rPr>
          <w:b w:val="0"/>
          <w:bCs w:val="0"/>
        </w:rPr>
      </w:r>
      <w:r>
        <w:rPr/>
        <w:t>九、报告期内对其他债券和债务融资工具的付息兑付情况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994"/>
        <w:jc w:val="left"/>
      </w:pPr>
      <w:r>
        <w:rPr/>
        <w:t>公司未发行其他债券或债务融资工具。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4"/>
        <w:spacing w:line="240" w:lineRule="auto"/>
        <w:ind w:left="1134" w:right="994"/>
        <w:jc w:val="left"/>
        <w:rPr>
          <w:b w:val="0"/>
          <w:bCs w:val="0"/>
        </w:rPr>
      </w:pPr>
      <w:bookmarkStart w:name="十、报告期内获得的银行授信情况、使用情况以及偿还银行贷款的情况" w:id="160"/>
      <w:bookmarkEnd w:id="160"/>
      <w:r>
        <w:rPr>
          <w:b w:val="0"/>
          <w:bCs w:val="0"/>
        </w:rPr>
      </w:r>
      <w:r>
        <w:rPr/>
        <w:t>十、报告期内获得的银行授信情况、使用情况以及偿还银行贷款的情况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right="1130" w:firstLine="360"/>
        <w:jc w:val="both"/>
      </w:pPr>
      <w:r>
        <w:rPr/>
        <w:t>公司资信良好，无不良贷款记录。报告期内，公司获得银行授信额度合计</w:t>
      </w:r>
      <w:r>
        <w:rPr>
          <w:rFonts w:ascii="Times New Roman" w:hAnsi="Times New Roman" w:cs="Times New Roman" w:eastAsia="Times New Roman" w:hint="default"/>
        </w:rPr>
        <w:t>170,171</w:t>
      </w:r>
      <w:r>
        <w:rPr/>
        <w:t>万元，已使用银行授信额度</w:t>
      </w:r>
      <w:r>
        <w:rPr>
          <w:rFonts w:ascii="Times New Roman" w:hAnsi="Times New Roman" w:cs="Times New Roman" w:eastAsia="Times New Roman" w:hint="default"/>
        </w:rPr>
        <w:t>96,403.22 </w:t>
      </w:r>
      <w:r>
        <w:rPr/>
        <w:t>万元。</w:t>
      </w:r>
      <w:r>
        <w:rPr>
          <w:rFonts w:ascii="宋体" w:hAnsi="宋体" w:cs="宋体" w:eastAsia="宋体" w:hint="default"/>
        </w:rPr>
        <w:t>2017</w:t>
      </w:r>
      <w:r>
        <w:rPr/>
        <w:t>年，易联技术偿还兴业银行股份有限公司深圳后海支行贷款</w:t>
      </w:r>
      <w:r>
        <w:rPr>
          <w:rFonts w:ascii="Times New Roman" w:hAnsi="Times New Roman" w:cs="Times New Roman" w:eastAsia="Times New Roman" w:hint="default"/>
        </w:rPr>
        <w:t>1,600</w:t>
      </w:r>
      <w:r>
        <w:rPr/>
        <w:t>万元，公司偿还中信银行股份有限公司深圳分</w:t>
      </w:r>
      <w:r>
        <w:rPr>
          <w:spacing w:val="-46"/>
        </w:rPr>
        <w:t> </w:t>
      </w:r>
      <w:r>
        <w:rPr>
          <w:spacing w:val="-46"/>
        </w:rPr>
      </w:r>
      <w:r>
        <w:rPr/>
        <w:t>行贷款</w:t>
      </w:r>
      <w:r>
        <w:rPr>
          <w:rFonts w:ascii="Times New Roman" w:hAnsi="Times New Roman" w:cs="Times New Roman" w:eastAsia="Times New Roman" w:hint="default"/>
        </w:rPr>
        <w:t>2,000</w:t>
      </w:r>
      <w:r>
        <w:rPr/>
        <w:t>万元。</w:t>
      </w:r>
    </w:p>
    <w:p>
      <w:pPr>
        <w:spacing w:line="240" w:lineRule="auto" w:before="4"/>
        <w:rPr>
          <w:rFonts w:ascii="宋体" w:hAnsi="宋体" w:cs="宋体" w:eastAsia="宋体" w:hint="default"/>
          <w:sz w:val="20"/>
          <w:szCs w:val="20"/>
        </w:rPr>
      </w:pPr>
    </w:p>
    <w:p>
      <w:pPr>
        <w:pStyle w:val="Heading4"/>
        <w:spacing w:line="240" w:lineRule="auto"/>
        <w:ind w:right="994"/>
        <w:jc w:val="left"/>
        <w:rPr>
          <w:b w:val="0"/>
          <w:bCs w:val="0"/>
        </w:rPr>
      </w:pPr>
      <w:bookmarkStart w:name="十一、报告期内执行公司债券募集说明书相关约定或承诺的情况" w:id="161"/>
      <w:bookmarkEnd w:id="161"/>
      <w:r>
        <w:rPr>
          <w:b w:val="0"/>
          <w:bCs w:val="0"/>
        </w:rPr>
      </w:r>
      <w:r>
        <w:rPr/>
        <w:t>十一、报告期内执行公司债券募集说明书相关约定或承诺的情况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994"/>
        <w:jc w:val="left"/>
      </w:pPr>
      <w:r>
        <w:rPr>
          <w:spacing w:val="-2"/>
        </w:rPr>
        <w:t>报告期内，本次公司债券募集资金已按照承诺用于核准事项，受托管理人严格按照相关监管机构及自律组织的规定、募集说</w:t>
      </w:r>
      <w:r>
        <w:rPr>
          <w:spacing w:val="-66"/>
        </w:rPr>
        <w:t> </w:t>
      </w:r>
      <w:r>
        <w:rPr>
          <w:spacing w:val="-66"/>
        </w:rPr>
      </w:r>
      <w:r>
        <w:rPr/>
        <w:t>明书及受托管理协议等文件的约定，履行相关职责，不存在违反公司债券募集说明书相关约定或承诺的情况或者情形。</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4"/>
        <w:spacing w:line="240" w:lineRule="auto"/>
        <w:ind w:right="994"/>
        <w:jc w:val="left"/>
        <w:rPr>
          <w:b w:val="0"/>
          <w:bCs w:val="0"/>
        </w:rPr>
      </w:pPr>
      <w:bookmarkStart w:name="十二、报告期内发生的重大事项" w:id="162"/>
      <w:bookmarkEnd w:id="162"/>
      <w:r>
        <w:rPr>
          <w:b w:val="0"/>
          <w:bCs w:val="0"/>
        </w:rPr>
      </w:r>
      <w:r>
        <w:rPr/>
        <w:t>十二、报告期内发生的重大事项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493" w:right="994"/>
        <w:jc w:val="left"/>
      </w:pPr>
      <w:r>
        <w:rPr/>
        <w:t>根据《公司债券发行与交易管理办法》第四十五条列示的重大事项，经公司核查：</w:t>
      </w:r>
    </w:p>
    <w:p>
      <w:pPr>
        <w:pStyle w:val="BodyText"/>
        <w:spacing w:line="302" w:lineRule="auto" w:before="116"/>
        <w:ind w:right="1130"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27</w:t>
      </w:r>
      <w:r>
        <w:rPr>
          <w:spacing w:val="-2"/>
        </w:rPr>
        <w:t>日，鹏元资信评估有限公司对公司及公司于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日面向合格投资者公开发行的公司债券的</w:t>
      </w:r>
      <w:r>
        <w:rPr>
          <w:rFonts w:ascii="Times New Roman" w:hAnsi="Times New Roman" w:cs="Times New Roman" w:eastAsia="Times New Roman" w:hint="default"/>
          <w:spacing w:val="-2"/>
        </w:rPr>
        <w:t>2017</w:t>
      </w:r>
      <w:r>
        <w:rPr>
          <w:spacing w:val="-2"/>
        </w:rPr>
        <w:t>年度</w:t>
      </w:r>
      <w:r>
        <w:rPr/>
        <w:t> 跟踪评级结果为：本期债券信用等级维持为</w:t>
      </w:r>
      <w:r>
        <w:rPr>
          <w:rFonts w:ascii="Times New Roman" w:hAnsi="Times New Roman" w:cs="Times New Roman" w:eastAsia="Times New Roman" w:hint="default"/>
        </w:rPr>
        <w:t>AA+</w:t>
      </w:r>
      <w:r>
        <w:rPr/>
        <w:t>，公司主体长期信用等级维持为</w:t>
      </w:r>
      <w:r>
        <w:rPr>
          <w:rFonts w:ascii="Times New Roman" w:hAnsi="Times New Roman" w:cs="Times New Roman" w:eastAsia="Times New Roman" w:hint="default"/>
        </w:rPr>
        <w:t>AA-</w:t>
      </w:r>
      <w:r>
        <w:rPr/>
        <w:t>，评级展望维持为稳定。</w:t>
      </w:r>
    </w:p>
    <w:p>
      <w:pPr>
        <w:pStyle w:val="BodyText"/>
        <w:spacing w:line="300" w:lineRule="auto" w:before="49"/>
        <w:ind w:right="1130" w:firstLine="360"/>
        <w:jc w:val="both"/>
      </w:pPr>
      <w:r>
        <w:rPr/>
        <w:t>鹏元资信评估有限公司于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日将深圳中小担主体长期信用等级由</w:t>
      </w:r>
      <w:r>
        <w:rPr>
          <w:rFonts w:ascii="Times New Roman" w:hAnsi="Times New Roman" w:cs="Times New Roman" w:eastAsia="Times New Roman" w:hint="default"/>
        </w:rPr>
        <w:t>AA+</w:t>
      </w:r>
      <w:r>
        <w:rPr/>
        <w:t>上调至</w:t>
      </w:r>
      <w:r>
        <w:rPr>
          <w:rFonts w:ascii="Times New Roman" w:hAnsi="Times New Roman" w:cs="Times New Roman" w:eastAsia="Times New Roman" w:hint="default"/>
        </w:rPr>
        <w:t>AAA</w:t>
      </w:r>
      <w:r>
        <w:rPr/>
        <w:t>，评级展望维持为稳定。 </w:t>
      </w:r>
      <w:r>
        <w:rPr>
          <w:rFonts w:ascii="Times New Roman" w:hAnsi="Times New Roman" w:cs="Times New Roman" w:eastAsia="Times New Roman" w:hint="default"/>
        </w:rPr>
        <w:t>“16</w:t>
      </w:r>
      <w:r>
        <w:rPr/>
        <w:t>新国都</w:t>
      </w:r>
      <w:r>
        <w:rPr>
          <w:rFonts w:ascii="Times New Roman" w:hAnsi="Times New Roman" w:cs="Times New Roman" w:eastAsia="Times New Roman" w:hint="default"/>
        </w:rPr>
        <w:t>”</w:t>
      </w:r>
      <w:r>
        <w:rPr/>
        <w:t>系由深圳市中小企业信用融资担保集团有限公司提供无条件不可撤销连带责任保证担保。</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w:t>
      </w:r>
      <w:r>
        <w:rPr/>
        <w:t>日，鹏元</w:t>
      </w:r>
      <w:r>
        <w:rPr>
          <w:spacing w:val="-65"/>
        </w:rPr>
        <w:t> </w:t>
      </w:r>
      <w:r>
        <w:rPr>
          <w:spacing w:val="-65"/>
        </w:rPr>
      </w:r>
      <w:r>
        <w:rPr/>
        <w:t>资信评估有限公司决定将</w:t>
      </w:r>
      <w:r>
        <w:rPr>
          <w:rFonts w:ascii="Times New Roman" w:hAnsi="Times New Roman" w:cs="Times New Roman" w:eastAsia="Times New Roman" w:hint="default"/>
        </w:rPr>
        <w:t>“16</w:t>
      </w:r>
      <w:r>
        <w:rPr/>
        <w:t>新国都</w:t>
      </w:r>
      <w:r>
        <w:rPr>
          <w:rFonts w:ascii="Times New Roman" w:hAnsi="Times New Roman" w:cs="Times New Roman" w:eastAsia="Times New Roman" w:hint="default"/>
        </w:rPr>
        <w:t>”</w:t>
      </w:r>
      <w:r>
        <w:rPr/>
        <w:t>债项级别由</w:t>
      </w:r>
      <w:r>
        <w:rPr>
          <w:rFonts w:ascii="Times New Roman" w:hAnsi="Times New Roman" w:cs="Times New Roman" w:eastAsia="Times New Roman" w:hint="default"/>
        </w:rPr>
        <w:t>AA+</w:t>
      </w:r>
      <w:r>
        <w:rPr/>
        <w:t>上调为</w:t>
      </w:r>
      <w:r>
        <w:rPr>
          <w:rFonts w:ascii="Times New Roman" w:hAnsi="Times New Roman" w:cs="Times New Roman" w:eastAsia="Times New Roman" w:hint="default"/>
        </w:rPr>
        <w:t>AAA</w:t>
      </w:r>
      <w:r>
        <w:rPr/>
        <w:t>。</w:t>
      </w:r>
    </w:p>
    <w:p>
      <w:pPr>
        <w:pStyle w:val="BodyText"/>
        <w:spacing w:line="338" w:lineRule="auto" w:before="52"/>
        <w:ind w:left="1493" w:right="994"/>
        <w:jc w:val="left"/>
      </w:pPr>
      <w:r>
        <w:rPr/>
        <w:t>与</w:t>
      </w:r>
      <w:r>
        <w:rPr>
          <w:rFonts w:ascii="Times New Roman" w:hAnsi="Times New Roman" w:cs="Times New Roman" w:eastAsia="Times New Roman" w:hint="default"/>
        </w:rPr>
        <w:t>2016</w:t>
      </w:r>
      <w:r>
        <w:rPr/>
        <w:t>年相比，公司债项级别由</w:t>
      </w:r>
      <w:r>
        <w:rPr>
          <w:rFonts w:ascii="Times New Roman" w:hAnsi="Times New Roman" w:cs="Times New Roman" w:eastAsia="Times New Roman" w:hint="default"/>
        </w:rPr>
        <w:t>AA+</w:t>
      </w:r>
      <w:r>
        <w:rPr/>
        <w:t>上调为</w:t>
      </w:r>
      <w:r>
        <w:rPr>
          <w:rFonts w:ascii="Times New Roman" w:hAnsi="Times New Roman" w:cs="Times New Roman" w:eastAsia="Times New Roman" w:hint="default"/>
        </w:rPr>
        <w:t>AAA</w:t>
      </w:r>
      <w:r>
        <w:rPr/>
        <w:t>，其他评级不变。 根据鹏元资信评估有限公司的符号及定义，公司主体信用等级为</w:t>
      </w:r>
      <w:r>
        <w:rPr>
          <w:rFonts w:ascii="Times New Roman" w:hAnsi="Times New Roman" w:cs="Times New Roman" w:eastAsia="Times New Roman" w:hint="default"/>
        </w:rPr>
        <w:t>AA</w:t>
      </w:r>
      <w:r>
        <w:rPr/>
        <w:t>表示偿还债务的能力很强，受不利经济环境的影响</w:t>
      </w:r>
    </w:p>
    <w:p>
      <w:pPr>
        <w:pStyle w:val="BodyText"/>
        <w:spacing w:line="230" w:lineRule="exact" w:before="0"/>
        <w:ind w:right="994"/>
        <w:jc w:val="left"/>
      </w:pPr>
      <w:r>
        <w:rPr/>
        <w:t>不大，违约风险很低。</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符号进行微调，表示略高或略低于本等级。债券信用等级为</w:t>
      </w:r>
      <w:r>
        <w:rPr>
          <w:rFonts w:ascii="Times New Roman" w:hAnsi="Times New Roman" w:cs="Times New Roman" w:eastAsia="Times New Roman" w:hint="default"/>
        </w:rPr>
        <w:t>AA</w:t>
      </w:r>
      <w:r>
        <w:rPr/>
        <w:t>表示债务安全性很高，违约</w:t>
      </w:r>
    </w:p>
    <w:p>
      <w:pPr>
        <w:pStyle w:val="BodyText"/>
        <w:spacing w:line="302" w:lineRule="auto" w:before="63"/>
        <w:ind w:right="1043"/>
        <w:jc w:val="left"/>
      </w:pPr>
      <w:r>
        <w:rPr/>
        <w:t>风险很低。债券信用等级为</w:t>
      </w:r>
      <w:r>
        <w:rPr>
          <w:rFonts w:ascii="Times New Roman" w:hAnsi="Times New Roman" w:cs="Times New Roman" w:eastAsia="Times New Roman" w:hint="default"/>
        </w:rPr>
        <w:t>AAA</w:t>
      </w:r>
      <w:r>
        <w:rPr/>
        <w:t>表示债务安全性极高，违约风险极低。</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符号进行微调，表示略高或略低于本等级。 展望评级为稳定的定义为情况稳定，未来信用等级大致不变。</w:t>
      </w:r>
    </w:p>
    <w:p>
      <w:pPr>
        <w:pStyle w:val="BodyText"/>
        <w:spacing w:line="240" w:lineRule="auto" w:before="69"/>
        <w:ind w:left="1494" w:right="994"/>
        <w:jc w:val="left"/>
      </w:pPr>
      <w:r>
        <w:rPr/>
        <w:t>本次债券评级调整对公司经营情况和偿债能力无重大不利影响。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4"/>
        <w:spacing w:line="240" w:lineRule="auto"/>
        <w:ind w:right="994"/>
        <w:jc w:val="left"/>
        <w:rPr>
          <w:b w:val="0"/>
          <w:bCs w:val="0"/>
        </w:rPr>
      </w:pPr>
      <w:bookmarkStart w:name="十三、公司债券是否存在保证人" w:id="163"/>
      <w:bookmarkEnd w:id="163"/>
      <w:r>
        <w:rPr>
          <w:b w:val="0"/>
          <w:bCs w:val="0"/>
        </w:rPr>
      </w:r>
      <w:r>
        <w:rPr/>
        <w:t>十三、公司债券是否存在保证人</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751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公司债券的保证人是否为法人或其他组织</w:t>
      </w:r>
    </w:p>
    <w:p>
      <w:pPr>
        <w:pStyle w:val="BodyText"/>
        <w:spacing w:line="240" w:lineRule="auto" w:before="41"/>
        <w:ind w:right="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02" w:lineRule="auto" w:before="101"/>
        <w:ind w:right="1122"/>
        <w:jc w:val="left"/>
      </w:pPr>
      <w:r>
        <w:rPr/>
        <w:t>是否在每个会计年度结束之日起</w:t>
      </w:r>
      <w:r>
        <w:rPr>
          <w:spacing w:val="-31"/>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spacing w:val="-3"/>
        </w:rPr>
        <w:t>个月内单独披露保证人报告期财务报表，包括资产负债表、利润表、现金流量表、所有者</w:t>
      </w:r>
      <w:r>
        <w:rPr>
          <w:spacing w:val="-87"/>
        </w:rPr>
        <w:t> </w:t>
      </w:r>
      <w:r>
        <w:rPr>
          <w:spacing w:val="-87"/>
        </w:rPr>
      </w:r>
      <w:r>
        <w:rPr/>
        <w:t>权益（股东权益）变动表和财务报表附注</w:t>
      </w:r>
    </w:p>
    <w:p>
      <w:pPr>
        <w:pStyle w:val="BodyText"/>
        <w:spacing w:line="240" w:lineRule="auto" w:before="70"/>
        <w:ind w:right="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75"/>
        <w:jc w:val="center"/>
        <w:rPr>
          <w:b w:val="0"/>
          <w:bCs w:val="0"/>
        </w:rPr>
      </w:pPr>
      <w:bookmarkStart w:name="第十一节 财务报告" w:id="164"/>
      <w:bookmarkEnd w:id="164"/>
      <w:r>
        <w:rPr>
          <w:b w:val="0"/>
          <w:bCs w:val="0"/>
        </w:rPr>
      </w:r>
      <w:bookmarkStart w:name="_bookmark9" w:id="165"/>
      <w:bookmarkEnd w:id="165"/>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before="26"/>
        <w:ind w:right="994"/>
        <w:jc w:val="left"/>
        <w:rPr>
          <w:b w:val="0"/>
          <w:bCs w:val="0"/>
        </w:rPr>
      </w:pPr>
      <w:bookmarkStart w:name="一、审计报告" w:id="166"/>
      <w:bookmarkEnd w:id="16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[2018]003254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刘高科、周灵芝</w:t>
            </w:r>
          </w:p>
        </w:tc>
      </w:tr>
    </w:tbl>
    <w:p>
      <w:pPr>
        <w:spacing w:after="0" w:line="240" w:lineRule="auto"/>
        <w:jc w:val="left"/>
        <w:rPr>
          <w:rFonts w:ascii="宋体" w:hAnsi="宋体" w:cs="宋体" w:eastAsia="宋体" w:hint="default"/>
          <w:sz w:val="18"/>
          <w:szCs w:val="18"/>
        </w:rPr>
        <w:sectPr>
          <w:footerReference w:type="default" r:id="rId18"/>
          <w:pgSz w:w="11910" w:h="16840"/>
          <w:pgMar w:footer="979" w:header="747" w:top="1060" w:bottom="1160" w:left="0" w:right="0"/>
        </w:sectPr>
      </w:pPr>
    </w:p>
    <w:p>
      <w:pPr>
        <w:pStyle w:val="BodyText"/>
        <w:spacing w:line="240" w:lineRule="auto" w:before="51"/>
        <w:ind w:left="0" w:right="0"/>
        <w:jc w:val="right"/>
      </w:pPr>
      <w:r>
        <w:rPr/>
        <w:t>审计报告正文</w:t>
      </w:r>
    </w:p>
    <w:p>
      <w:pPr>
        <w:spacing w:line="240" w:lineRule="auto" w:before="10"/>
        <w:rPr>
          <w:rFonts w:ascii="宋体" w:hAnsi="宋体" w:cs="宋体" w:eastAsia="宋体" w:hint="default"/>
          <w:sz w:val="28"/>
          <w:szCs w:val="28"/>
        </w:rPr>
      </w:pPr>
      <w:r>
        <w:rPr/>
        <w:br w:type="column"/>
      </w:r>
      <w:r>
        <w:rPr>
          <w:rFonts w:ascii="宋体"/>
          <w:sz w:val="28"/>
        </w:rPr>
      </w:r>
    </w:p>
    <w:p>
      <w:pPr>
        <w:pStyle w:val="Heading5"/>
        <w:spacing w:line="240" w:lineRule="auto"/>
        <w:ind w:left="1996" w:right="0"/>
        <w:jc w:val="left"/>
        <w:rPr>
          <w:b w:val="0"/>
          <w:bCs w:val="0"/>
        </w:rPr>
      </w:pPr>
      <w:r>
        <w:rPr/>
        <w:t>大华审字</w:t>
      </w:r>
      <w:r>
        <w:rPr>
          <w:rFonts w:ascii="Times New Roman" w:hAnsi="Times New Roman" w:cs="Times New Roman" w:eastAsia="Times New Roman" w:hint="default"/>
        </w:rPr>
        <w:t>[2018]003254</w:t>
      </w:r>
      <w:r>
        <w:rPr/>
        <w:t>号</w:t>
      </w:r>
      <w:r>
        <w:rPr>
          <w:b w:val="0"/>
          <w:bCs w:val="0"/>
        </w:rPr>
      </w:r>
    </w:p>
    <w:p>
      <w:pPr>
        <w:spacing w:after="0" w:line="240" w:lineRule="auto"/>
        <w:jc w:val="left"/>
        <w:sectPr>
          <w:type w:val="continuous"/>
          <w:pgSz w:w="11910" w:h="16840"/>
          <w:pgMar w:top="1060" w:bottom="1160" w:left="0" w:right="0"/>
          <w:cols w:num="2" w:equalWidth="0">
            <w:col w:w="6495" w:space="40"/>
            <w:col w:w="5375"/>
          </w:cols>
        </w:sectPr>
      </w:pPr>
    </w:p>
    <w:p>
      <w:pPr>
        <w:spacing w:line="240" w:lineRule="auto" w:before="0"/>
        <w:rPr>
          <w:rFonts w:ascii="宋体" w:hAnsi="宋体" w:cs="宋体" w:eastAsia="宋体" w:hint="default"/>
          <w:b/>
          <w:bCs/>
          <w:sz w:val="20"/>
          <w:szCs w:val="20"/>
        </w:rPr>
      </w:pPr>
    </w:p>
    <w:p>
      <w:pPr>
        <w:pStyle w:val="Heading2"/>
        <w:spacing w:line="408" w:lineRule="auto" w:before="171"/>
        <w:ind w:right="5532"/>
        <w:jc w:val="left"/>
        <w:rPr>
          <w:b w:val="0"/>
          <w:bCs w:val="0"/>
        </w:rPr>
      </w:pPr>
      <w:r>
        <w:rPr>
          <w:w w:val="95"/>
        </w:rPr>
        <w:t>深圳市新国都技术股份有限公司全体股东：</w:t>
      </w:r>
      <w:r>
        <w:rPr>
          <w:spacing w:val="112"/>
          <w:w w:val="95"/>
        </w:rPr>
        <w:t> </w:t>
      </w:r>
      <w:r>
        <w:rPr>
          <w:spacing w:val="112"/>
          <w:w w:val="95"/>
        </w:rPr>
      </w:r>
      <w:r>
        <w:rPr>
          <w:rFonts w:ascii="宋体" w:hAnsi="宋体" w:cs="宋体" w:eastAsia="宋体" w:hint="default"/>
        </w:rPr>
        <w:t>1.</w:t>
      </w:r>
      <w:r>
        <w:rPr>
          <w:rFonts w:ascii="宋体" w:hAnsi="宋体" w:cs="宋体" w:eastAsia="宋体" w:hint="default"/>
          <w:spacing w:val="-67"/>
        </w:rPr>
        <w:t> </w:t>
      </w:r>
      <w:r>
        <w:rPr/>
        <w:t>审计意见</w:t>
      </w:r>
      <w:r>
        <w:rPr>
          <w:b w:val="0"/>
          <w:bCs w:val="0"/>
        </w:rPr>
      </w:r>
    </w:p>
    <w:p>
      <w:pPr>
        <w:pStyle w:val="Heading3"/>
        <w:spacing w:line="393" w:lineRule="auto" w:before="61"/>
        <w:ind w:right="1130"/>
        <w:jc w:val="both"/>
      </w:pPr>
      <w:r>
        <w:rPr>
          <w:spacing w:val="4"/>
        </w:rPr>
        <w:t>我们审计了深圳市新国都技术股份有限公司</w:t>
      </w:r>
      <w:r>
        <w:rPr>
          <w:rFonts w:ascii="Times New Roman" w:hAnsi="Times New Roman" w:cs="Times New Roman" w:eastAsia="Times New Roman" w:hint="default"/>
          <w:spacing w:val="4"/>
        </w:rPr>
        <w:t>(</w:t>
      </w:r>
      <w:r>
        <w:rPr>
          <w:spacing w:val="4"/>
        </w:rPr>
        <w:t>以下简称新国都技术公司</w:t>
      </w:r>
      <w:r>
        <w:rPr>
          <w:rFonts w:ascii="Times New Roman" w:hAnsi="Times New Roman" w:cs="Times New Roman" w:eastAsia="Times New Roman" w:hint="default"/>
          <w:spacing w:val="4"/>
        </w:rPr>
        <w:t>)</w:t>
      </w:r>
      <w:r>
        <w:rPr>
          <w:rFonts w:ascii="Times New Roman" w:hAnsi="Times New Roman" w:cs="Times New Roman" w:eastAsia="Times New Roman" w:hint="default"/>
          <w:w w:val="99"/>
        </w:rPr>
        <w:t> </w:t>
      </w:r>
      <w:r>
        <w:rPr/>
        <w:t>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2017</w:t>
      </w:r>
      <w:r>
        <w:rPr/>
        <w:t>年度的合</w:t>
      </w:r>
      <w:r>
        <w:rPr>
          <w:spacing w:val="-123"/>
        </w:rPr>
        <w:t> </w:t>
      </w:r>
      <w:r>
        <w:rPr>
          <w:spacing w:val="-123"/>
        </w:rPr>
      </w:r>
      <w:r>
        <w:rPr/>
        <w:t>并及母公司利润表、合并及母公司现金流量表、合并及母公司股东权益变动</w:t>
      </w:r>
      <w:r>
        <w:rPr>
          <w:spacing w:val="-135"/>
        </w:rPr>
        <w:t> </w:t>
      </w:r>
      <w:r>
        <w:rPr>
          <w:spacing w:val="-135"/>
        </w:rPr>
      </w:r>
      <w:r>
        <w:rPr/>
        <w:t>表以及相关财务报表附注。</w:t>
      </w:r>
    </w:p>
    <w:p>
      <w:pPr>
        <w:pStyle w:val="Heading3"/>
        <w:spacing w:line="398" w:lineRule="auto" w:before="78"/>
        <w:ind w:right="1135"/>
        <w:jc w:val="both"/>
      </w:pPr>
      <w:r>
        <w:rPr/>
        <w:t>我们认为，后附的财务报表在所有重大方面按照企业会计准则的规定编</w:t>
      </w:r>
      <w:r>
        <w:rPr>
          <w:w w:val="99"/>
        </w:rPr>
        <w:t> </w:t>
      </w:r>
      <w:r>
        <w:rPr/>
        <w:t>制，公允反映了新国都技术公司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w:t>
      </w:r>
      <w:r>
        <w:rPr>
          <w:spacing w:val="-128"/>
        </w:rPr>
        <w:t> </w:t>
      </w:r>
      <w:r>
        <w:rPr>
          <w:spacing w:val="-128"/>
        </w:rPr>
      </w:r>
      <w:r>
        <w:rPr/>
        <w:t>及</w:t>
      </w:r>
      <w:r>
        <w:rPr>
          <w:rFonts w:ascii="Times New Roman" w:hAnsi="Times New Roman" w:cs="Times New Roman" w:eastAsia="Times New Roman" w:hint="default"/>
        </w:rPr>
        <w:t>2017</w:t>
      </w:r>
      <w:r>
        <w:rPr/>
        <w:t>年度的合并及母公司经营成果和现金流量。</w:t>
      </w:r>
    </w:p>
    <w:p>
      <w:pPr>
        <w:pStyle w:val="Heading2"/>
        <w:spacing w:line="240" w:lineRule="auto" w:before="31"/>
        <w:ind w:right="994"/>
        <w:jc w:val="left"/>
        <w:rPr>
          <w:b w:val="0"/>
          <w:bCs w:val="0"/>
        </w:rPr>
      </w:pPr>
      <w:r>
        <w:rPr>
          <w:rFonts w:ascii="宋体" w:hAnsi="宋体" w:cs="宋体" w:eastAsia="宋体" w:hint="default"/>
        </w:rPr>
        <w:t>1.</w:t>
      </w:r>
      <w:r>
        <w:rPr>
          <w:rFonts w:ascii="宋体" w:hAnsi="宋体" w:cs="宋体" w:eastAsia="宋体" w:hint="default"/>
          <w:spacing w:val="-75"/>
        </w:rPr>
        <w:t> </w:t>
      </w:r>
      <w:r>
        <w:rPr/>
        <w:t>形成审计意见的基础</w:t>
      </w:r>
      <w:r>
        <w:rPr>
          <w:b w:val="0"/>
          <w:bCs w:val="0"/>
        </w:rPr>
      </w:r>
    </w:p>
    <w:p>
      <w:pPr>
        <w:spacing w:line="240" w:lineRule="auto" w:before="9"/>
        <w:rPr>
          <w:rFonts w:ascii="宋体" w:hAnsi="宋体" w:cs="宋体" w:eastAsia="宋体" w:hint="default"/>
          <w:b/>
          <w:bCs/>
          <w:sz w:val="19"/>
          <w:szCs w:val="19"/>
        </w:rPr>
      </w:pPr>
    </w:p>
    <w:p>
      <w:pPr>
        <w:pStyle w:val="Heading3"/>
        <w:spacing w:line="400" w:lineRule="auto" w:before="0"/>
        <w:ind w:right="1135"/>
        <w:jc w:val="both"/>
      </w:pPr>
      <w:r>
        <w:rPr/>
        <w:t>我们按照中国注册会计师审计准则的规定执行了审计工作。审计报告的</w:t>
      </w:r>
      <w:r>
        <w:rPr>
          <w:w w:val="99"/>
        </w:rPr>
        <w:t> </w:t>
      </w:r>
      <w:r>
        <w:rPr>
          <w:rFonts w:ascii="Times New Roman" w:hAnsi="Times New Roman" w:cs="Times New Roman" w:eastAsia="Times New Roman" w:hint="default"/>
          <w:spacing w:val="2"/>
          <w:w w:val="95"/>
        </w:rPr>
        <w:t>“</w:t>
      </w:r>
      <w:r>
        <w:rPr>
          <w:spacing w:val="2"/>
          <w:w w:val="95"/>
        </w:rPr>
        <w:t>注册会计师对财务报表审计的责任</w:t>
      </w:r>
      <w:r>
        <w:rPr>
          <w:rFonts w:ascii="Times New Roman" w:hAnsi="Times New Roman" w:cs="Times New Roman" w:eastAsia="Times New Roman" w:hint="default"/>
          <w:spacing w:val="2"/>
          <w:w w:val="95"/>
        </w:rPr>
        <w:t>”</w:t>
      </w:r>
      <w:r>
        <w:rPr>
          <w:spacing w:val="2"/>
          <w:w w:val="95"/>
        </w:rPr>
        <w:t>部分进一步阐述了我们在这些准则下的</w:t>
      </w:r>
      <w:r>
        <w:rPr>
          <w:spacing w:val="45"/>
          <w:w w:val="95"/>
        </w:rPr>
        <w:t> </w:t>
      </w:r>
      <w:r>
        <w:rPr>
          <w:spacing w:val="45"/>
          <w:w w:val="95"/>
        </w:rPr>
      </w:r>
      <w:r>
        <w:rPr/>
        <w:t>责任。按照中国注册会计师职业道德守则，我们独立于新国都技术公司，并</w:t>
      </w:r>
      <w:r>
        <w:rPr>
          <w:spacing w:val="-135"/>
        </w:rPr>
        <w:t> </w:t>
      </w:r>
      <w:r>
        <w:rPr>
          <w:spacing w:val="-135"/>
        </w:rPr>
      </w:r>
      <w:r>
        <w:rPr/>
        <w:t>履行了职业道德方面的其他责任。我们相信，我们获取的审计证据是充分、</w:t>
      </w:r>
    </w:p>
    <w:p>
      <w:pPr>
        <w:spacing w:after="0" w:line="400" w:lineRule="auto"/>
        <w:jc w:val="both"/>
        <w:sectPr>
          <w:type w:val="continuous"/>
          <w:pgSz w:w="11910" w:h="16840"/>
          <w:pgMar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408" w:lineRule="auto" w:before="13"/>
        <w:ind w:left="1133" w:right="5633" w:firstLine="360"/>
        <w:jc w:val="left"/>
        <w:rPr>
          <w:rFonts w:ascii="宋体" w:hAnsi="宋体" w:cs="宋体" w:eastAsia="宋体" w:hint="default"/>
          <w:sz w:val="28"/>
          <w:szCs w:val="28"/>
        </w:rPr>
      </w:pPr>
      <w:r>
        <w:rPr>
          <w:rFonts w:ascii="宋体" w:hAnsi="宋体" w:cs="宋体" w:eastAsia="宋体" w:hint="default"/>
          <w:sz w:val="28"/>
          <w:szCs w:val="28"/>
        </w:rPr>
        <w:t>适当的，为发表审计意见提供了基础。</w:t>
      </w:r>
      <w:r>
        <w:rPr>
          <w:rFonts w:ascii="宋体" w:hAnsi="宋体" w:cs="宋体" w:eastAsia="宋体" w:hint="default"/>
          <w:w w:val="99"/>
          <w:sz w:val="28"/>
          <w:szCs w:val="28"/>
        </w:rPr>
        <w:t> </w:t>
      </w:r>
      <w:r>
        <w:rPr>
          <w:rFonts w:ascii="宋体" w:hAnsi="宋体" w:cs="宋体" w:eastAsia="宋体" w:hint="default"/>
          <w:b/>
          <w:bCs/>
          <w:sz w:val="28"/>
          <w:szCs w:val="28"/>
        </w:rPr>
        <w:t>1.</w:t>
      </w:r>
      <w:r>
        <w:rPr>
          <w:rFonts w:ascii="宋体" w:hAnsi="宋体" w:cs="宋体" w:eastAsia="宋体" w:hint="default"/>
          <w:b/>
          <w:bCs/>
          <w:spacing w:val="-72"/>
          <w:sz w:val="28"/>
          <w:szCs w:val="28"/>
        </w:rPr>
        <w:t> </w:t>
      </w:r>
      <w:r>
        <w:rPr>
          <w:rFonts w:ascii="宋体" w:hAnsi="宋体" w:cs="宋体" w:eastAsia="宋体" w:hint="default"/>
          <w:b/>
          <w:bCs/>
          <w:sz w:val="28"/>
          <w:szCs w:val="28"/>
        </w:rPr>
        <w:t>关键审计事项</w:t>
      </w:r>
      <w:r>
        <w:rPr>
          <w:rFonts w:ascii="宋体" w:hAnsi="宋体" w:cs="宋体" w:eastAsia="宋体" w:hint="default"/>
          <w:sz w:val="28"/>
          <w:szCs w:val="28"/>
        </w:rPr>
      </w:r>
    </w:p>
    <w:p>
      <w:pPr>
        <w:pStyle w:val="Heading3"/>
        <w:spacing w:line="408" w:lineRule="auto" w:before="62"/>
        <w:ind w:right="994"/>
        <w:jc w:val="left"/>
      </w:pPr>
      <w:r>
        <w:rPr/>
        <w:t>关键审计事项是我们根据职业判断，认为对本期财务报表审计最为重要</w:t>
      </w:r>
      <w:r>
        <w:rPr>
          <w:w w:val="99"/>
        </w:rPr>
        <w:t> </w:t>
      </w:r>
      <w:r>
        <w:rPr>
          <w:spacing w:val="-3"/>
          <w:w w:val="95"/>
        </w:rPr>
        <w:t>的事项。这些事项的应对以对财务报表整体进行审计并形成审计意见为背景，</w:t>
      </w:r>
      <w:r>
        <w:rPr>
          <w:spacing w:val="72"/>
          <w:w w:val="95"/>
        </w:rPr>
        <w:t> </w:t>
      </w:r>
      <w:r>
        <w:rPr>
          <w:spacing w:val="72"/>
          <w:w w:val="95"/>
        </w:rPr>
      </w:r>
      <w:r>
        <w:rPr/>
        <w:t>我们不对这些事项单独发表意见。</w:t>
      </w:r>
    </w:p>
    <w:p>
      <w:pPr>
        <w:pStyle w:val="Heading3"/>
        <w:spacing w:line="240" w:lineRule="auto" w:before="61"/>
        <w:ind w:left="2054" w:right="994" w:firstLine="0"/>
        <w:jc w:val="left"/>
      </w:pPr>
      <w:r>
        <w:rPr/>
        <w:t>我们确定下列事项是需要在审计报告中沟通的关键审计事项。</w:t>
      </w:r>
    </w:p>
    <w:p>
      <w:pPr>
        <w:spacing w:line="240" w:lineRule="auto" w:before="9"/>
        <w:rPr>
          <w:rFonts w:ascii="宋体" w:hAnsi="宋体" w:cs="宋体" w:eastAsia="宋体" w:hint="default"/>
          <w:sz w:val="19"/>
          <w:szCs w:val="19"/>
        </w:rPr>
      </w:pPr>
    </w:p>
    <w:p>
      <w:pPr>
        <w:pStyle w:val="Heading3"/>
        <w:spacing w:line="240" w:lineRule="auto" w:before="0"/>
        <w:ind w:left="2054" w:right="994" w:firstLine="0"/>
        <w:jc w:val="left"/>
      </w:pPr>
      <w:r>
        <w:rPr>
          <w:rFonts w:ascii="Times New Roman" w:hAnsi="Times New Roman" w:cs="Times New Roman" w:eastAsia="Times New Roman" w:hint="default"/>
        </w:rPr>
        <w:t>1.</w:t>
      </w:r>
      <w:r>
        <w:rPr/>
        <w:t>存货跌价准备；</w:t>
      </w:r>
    </w:p>
    <w:p>
      <w:pPr>
        <w:pStyle w:val="Heading3"/>
        <w:spacing w:line="240" w:lineRule="auto" w:before="236"/>
        <w:ind w:left="2054" w:right="994" w:firstLine="0"/>
        <w:jc w:val="left"/>
      </w:pPr>
      <w:r>
        <w:rPr>
          <w:rFonts w:ascii="Times New Roman" w:hAnsi="Times New Roman" w:cs="Times New Roman" w:eastAsia="Times New Roman" w:hint="default"/>
        </w:rPr>
        <w:t>2.</w:t>
      </w:r>
      <w:r>
        <w:rPr/>
        <w:t>持有待售资产的确认；</w:t>
      </w:r>
    </w:p>
    <w:p>
      <w:pPr>
        <w:pStyle w:val="Heading3"/>
        <w:spacing w:line="240" w:lineRule="auto" w:before="236"/>
        <w:ind w:left="2054" w:right="994" w:firstLine="0"/>
        <w:jc w:val="left"/>
      </w:pPr>
      <w:r>
        <w:rPr>
          <w:rFonts w:ascii="Times New Roman" w:hAnsi="Times New Roman" w:cs="Times New Roman" w:eastAsia="Times New Roman" w:hint="default"/>
        </w:rPr>
        <w:t>3.</w:t>
      </w:r>
      <w:r>
        <w:rPr/>
        <w:t>商誉减值；</w:t>
      </w:r>
    </w:p>
    <w:p>
      <w:pPr>
        <w:pStyle w:val="Heading3"/>
        <w:spacing w:line="240" w:lineRule="auto" w:before="236"/>
        <w:ind w:left="2054" w:right="994" w:firstLine="0"/>
        <w:jc w:val="left"/>
      </w:pPr>
      <w:r>
        <w:rPr>
          <w:rFonts w:ascii="Times New Roman" w:hAnsi="Times New Roman" w:cs="Times New Roman" w:eastAsia="Times New Roman" w:hint="default"/>
        </w:rPr>
        <w:t>4.</w:t>
      </w:r>
      <w:r>
        <w:rPr/>
        <w:t>收入确认。</w:t>
      </w:r>
    </w:p>
    <w:p>
      <w:pPr>
        <w:spacing w:before="236"/>
        <w:ind w:left="2055" w:right="994" w:firstLine="0"/>
        <w:jc w:val="left"/>
        <w:rPr>
          <w:rFonts w:ascii="宋体" w:hAnsi="宋体" w:cs="宋体" w:eastAsia="宋体" w:hint="default"/>
          <w:sz w:val="28"/>
          <w:szCs w:val="28"/>
        </w:rPr>
      </w:pPr>
      <w:r>
        <w:rPr>
          <w:rFonts w:ascii="宋体" w:hAnsi="宋体" w:cs="宋体" w:eastAsia="宋体" w:hint="default"/>
          <w:b/>
          <w:bCs/>
          <w:sz w:val="28"/>
          <w:szCs w:val="28"/>
        </w:rPr>
        <w:t>（一）</w:t>
      </w:r>
      <w:r>
        <w:rPr>
          <w:rFonts w:ascii="宋体" w:hAnsi="宋体" w:cs="宋体" w:eastAsia="宋体" w:hint="default"/>
          <w:sz w:val="28"/>
          <w:szCs w:val="28"/>
        </w:rPr>
        <w:t>存货跌价准备</w:t>
      </w:r>
    </w:p>
    <w:p>
      <w:pPr>
        <w:spacing w:line="240" w:lineRule="auto" w:before="9"/>
        <w:rPr>
          <w:rFonts w:ascii="宋体" w:hAnsi="宋体" w:cs="宋体" w:eastAsia="宋体" w:hint="default"/>
          <w:sz w:val="19"/>
          <w:szCs w:val="19"/>
        </w:rPr>
      </w:pPr>
    </w:p>
    <w:p>
      <w:pPr>
        <w:pStyle w:val="Heading3"/>
        <w:spacing w:line="386" w:lineRule="auto" w:before="0"/>
        <w:ind w:left="2054" w:right="1117" w:firstLine="0"/>
        <w:jc w:val="left"/>
      </w:pPr>
      <w:r>
        <w:rPr>
          <w:rFonts w:ascii="Times New Roman" w:hAnsi="Times New Roman" w:cs="Times New Roman" w:eastAsia="Times New Roman" w:hint="default"/>
        </w:rPr>
        <w:t>1.</w:t>
      </w:r>
      <w:r>
        <w:rPr/>
        <w:t>事项描述</w:t>
      </w:r>
      <w:r>
        <w:rPr>
          <w:w w:val="99"/>
        </w:rPr>
        <w:t> </w:t>
      </w:r>
      <w:r>
        <w:rPr>
          <w:spacing w:val="5"/>
        </w:rPr>
        <w:t>如合并财务报表附注六、注释</w:t>
      </w:r>
      <w:r>
        <w:rPr>
          <w:rFonts w:ascii="Times New Roman" w:hAnsi="Times New Roman" w:cs="Times New Roman" w:eastAsia="Times New Roman" w:hint="default"/>
          <w:spacing w:val="5"/>
        </w:rPr>
        <w:t>8</w:t>
      </w:r>
      <w:r>
        <w:rPr>
          <w:spacing w:val="5"/>
        </w:rPr>
        <w:t>所述，截至</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日，存货余额</w:t>
      </w:r>
    </w:p>
    <w:p>
      <w:pPr>
        <w:pStyle w:val="Heading3"/>
        <w:spacing w:line="398" w:lineRule="auto" w:before="47"/>
        <w:ind w:right="1132" w:firstLine="0"/>
        <w:jc w:val="both"/>
      </w:pPr>
      <w:r>
        <w:rPr>
          <w:rFonts w:ascii="Times New Roman" w:hAnsi="Times New Roman" w:cs="Times New Roman" w:eastAsia="Times New Roman" w:hint="default"/>
          <w:spacing w:val="-3"/>
        </w:rPr>
        <w:t>261,786,122.30</w:t>
      </w:r>
      <w:r>
        <w:rPr>
          <w:spacing w:val="-3"/>
        </w:rPr>
        <w:t>元，存货跌价准备金额</w:t>
      </w:r>
      <w:r>
        <w:rPr>
          <w:rFonts w:ascii="Times New Roman" w:hAnsi="Times New Roman" w:cs="Times New Roman" w:eastAsia="Times New Roman" w:hint="default"/>
          <w:spacing w:val="-3"/>
        </w:rPr>
        <w:t>9,342,593.30</w:t>
      </w:r>
      <w:r>
        <w:rPr>
          <w:spacing w:val="-3"/>
        </w:rPr>
        <w:t>元，由于存货金额较大，在</w:t>
      </w:r>
      <w:r>
        <w:rPr>
          <w:spacing w:val="-108"/>
        </w:rPr>
        <w:t> </w:t>
      </w:r>
      <w:r>
        <w:rPr>
          <w:spacing w:val="-108"/>
        </w:rPr>
      </w:r>
      <w:r>
        <w:rPr/>
        <w:t>确定存货减值时管理层需要作出重大判断，因此我们确定存货跌价准备为关</w:t>
      </w:r>
      <w:r>
        <w:rPr>
          <w:spacing w:val="-135"/>
        </w:rPr>
        <w:t> </w:t>
      </w:r>
      <w:r>
        <w:rPr>
          <w:spacing w:val="-135"/>
        </w:rPr>
      </w:r>
      <w:r>
        <w:rPr/>
        <w:t>键审计事项。</w:t>
      </w:r>
    </w:p>
    <w:p>
      <w:pPr>
        <w:pStyle w:val="Heading3"/>
        <w:spacing w:line="386" w:lineRule="auto" w:before="72"/>
        <w:ind w:left="2054" w:right="994" w:firstLine="0"/>
        <w:jc w:val="left"/>
      </w:pPr>
      <w:r>
        <w:rPr>
          <w:rFonts w:ascii="Times New Roman" w:hAnsi="Times New Roman" w:cs="Times New Roman" w:eastAsia="Times New Roman" w:hint="default"/>
        </w:rPr>
        <w:t>2.</w:t>
      </w:r>
      <w:r>
        <w:rPr/>
        <w:t>审计应对</w:t>
      </w:r>
      <w:r>
        <w:rPr>
          <w:w w:val="99"/>
        </w:rPr>
        <w:t> </w:t>
      </w:r>
      <w:r>
        <w:rPr/>
        <w:t>我们针对新国都技术公司对存货跌价准备的会计估计所实施的主要审计</w:t>
      </w:r>
    </w:p>
    <w:p>
      <w:pPr>
        <w:pStyle w:val="Heading3"/>
        <w:spacing w:line="240" w:lineRule="auto"/>
        <w:ind w:right="0" w:firstLine="0"/>
        <w:jc w:val="both"/>
      </w:pPr>
      <w:r>
        <w:rPr/>
        <w:t>程序包括：</w:t>
      </w:r>
    </w:p>
    <w:p>
      <w:pPr>
        <w:spacing w:line="240" w:lineRule="auto" w:before="9"/>
        <w:rPr>
          <w:rFonts w:ascii="宋体" w:hAnsi="宋体" w:cs="宋体" w:eastAsia="宋体" w:hint="default"/>
          <w:sz w:val="19"/>
          <w:szCs w:val="19"/>
        </w:rPr>
      </w:pPr>
    </w:p>
    <w:p>
      <w:pPr>
        <w:pStyle w:val="Heading3"/>
        <w:spacing w:line="386" w:lineRule="auto" w:before="0"/>
        <w:ind w:right="994"/>
        <w:jc w:val="left"/>
      </w:pPr>
      <w:r>
        <w:rPr>
          <w:spacing w:val="-4"/>
        </w:rPr>
        <w:t>（</w:t>
      </w:r>
      <w:r>
        <w:rPr>
          <w:rFonts w:ascii="Times New Roman" w:hAnsi="Times New Roman" w:cs="Times New Roman" w:eastAsia="Times New Roman" w:hint="default"/>
          <w:spacing w:val="-4"/>
        </w:rPr>
        <w:t>1</w:t>
      </w:r>
      <w:r>
        <w:rPr>
          <w:spacing w:val="-4"/>
        </w:rPr>
        <w:t>）对新国都技术公司与存货跌价准备相关的内部控制设计和执行进行</w:t>
      </w:r>
      <w:r>
        <w:rPr>
          <w:w w:val="99"/>
        </w:rPr>
        <w:t> </w:t>
      </w:r>
      <w:r>
        <w:rPr/>
        <w:t>了解、评价和测试，以评价存货跌价准备的内部控制是否合规、有效；</w:t>
      </w:r>
    </w:p>
    <w:p>
      <w:pPr>
        <w:pStyle w:val="Heading3"/>
        <w:spacing w:line="240" w:lineRule="auto"/>
        <w:ind w:left="2054" w:right="994" w:firstLine="0"/>
        <w:jc w:val="left"/>
      </w:pPr>
      <w:r>
        <w:rPr/>
        <w:t>（</w:t>
      </w:r>
      <w:r>
        <w:rPr>
          <w:rFonts w:ascii="Times New Roman" w:hAnsi="Times New Roman" w:cs="Times New Roman" w:eastAsia="Times New Roman" w:hint="default"/>
        </w:rPr>
        <w:t>2</w:t>
      </w:r>
      <w:r>
        <w:rPr/>
        <w:t>）我们执行存货的监盘程序，检查存货的数量及状况等；</w:t>
      </w:r>
    </w:p>
    <w:p>
      <w:pPr>
        <w:spacing w:after="0" w:line="240" w:lineRule="auto"/>
        <w:jc w:val="left"/>
        <w:sectPr>
          <w:footerReference w:type="default" r:id="rId19"/>
          <w:pgSz w:w="11910" w:h="16840"/>
          <w:pgMar w:footer="979" w:header="747" w:top="1060" w:bottom="1160" w:left="0" w:right="0"/>
          <w:pgNumType w:start="101"/>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386" w:lineRule="auto" w:before="13"/>
        <w:ind w:right="1136"/>
        <w:jc w:val="both"/>
      </w:pPr>
      <w:r>
        <w:rPr>
          <w:spacing w:val="-4"/>
        </w:rPr>
        <w:t>（</w:t>
      </w:r>
      <w:r>
        <w:rPr>
          <w:rFonts w:ascii="Times New Roman" w:hAnsi="Times New Roman" w:cs="Times New Roman" w:eastAsia="Times New Roman" w:hint="default"/>
          <w:spacing w:val="-4"/>
        </w:rPr>
        <w:t>3</w:t>
      </w:r>
      <w:r>
        <w:rPr>
          <w:spacing w:val="-4"/>
        </w:rPr>
        <w:t>）我们取得新国都技术公司的存货的年末库龄清单，对库龄较长的存</w:t>
      </w:r>
      <w:r>
        <w:rPr>
          <w:w w:val="99"/>
        </w:rPr>
        <w:t> </w:t>
      </w:r>
      <w:r>
        <w:rPr/>
        <w:t>货进行分析性复核，分析存货跌价准备计提是否合理；</w:t>
      </w:r>
    </w:p>
    <w:p>
      <w:pPr>
        <w:pStyle w:val="Heading3"/>
        <w:spacing w:line="398" w:lineRule="auto" w:before="87"/>
        <w:ind w:right="1133"/>
        <w:jc w:val="both"/>
      </w:pPr>
      <w:r>
        <w:rPr>
          <w:spacing w:val="-4"/>
        </w:rPr>
        <w:t>（</w:t>
      </w:r>
      <w:r>
        <w:rPr>
          <w:rFonts w:ascii="Times New Roman" w:hAnsi="Times New Roman" w:cs="Times New Roman" w:eastAsia="Times New Roman" w:hint="default"/>
          <w:spacing w:val="-4"/>
        </w:rPr>
        <w:t>4</w:t>
      </w:r>
      <w:r>
        <w:rPr>
          <w:spacing w:val="-4"/>
        </w:rPr>
        <w:t>）我们查询本年度原材料和产成品价格变动情况，了解</w:t>
      </w:r>
      <w:r>
        <w:rPr>
          <w:rFonts w:ascii="Times New Roman" w:hAnsi="Times New Roman" w:cs="Times New Roman" w:eastAsia="Times New Roman" w:hint="default"/>
          <w:spacing w:val="-4"/>
        </w:rPr>
        <w:t>2017</w:t>
      </w:r>
      <w:r>
        <w:rPr>
          <w:spacing w:val="-4"/>
        </w:rPr>
        <w:t>年度原材</w:t>
      </w:r>
      <w:r>
        <w:rPr>
          <w:w w:val="99"/>
        </w:rPr>
        <w:t> </w:t>
      </w:r>
      <w:r>
        <w:rPr/>
        <w:t>料和产成品价格的走势，检查分析管理层考虑这些因素对存货可能产生跌价</w:t>
      </w:r>
      <w:r>
        <w:rPr>
          <w:spacing w:val="-135"/>
        </w:rPr>
        <w:t> </w:t>
      </w:r>
      <w:r>
        <w:rPr>
          <w:spacing w:val="-135"/>
        </w:rPr>
      </w:r>
      <w:r>
        <w:rPr/>
        <w:t>的风险；</w:t>
      </w:r>
    </w:p>
    <w:p>
      <w:pPr>
        <w:pStyle w:val="Heading3"/>
        <w:spacing w:line="398" w:lineRule="auto" w:before="72"/>
        <w:ind w:right="1133"/>
        <w:jc w:val="both"/>
      </w:pPr>
      <w:r>
        <w:rPr>
          <w:spacing w:val="-4"/>
        </w:rPr>
        <w:t>（</w:t>
      </w:r>
      <w:r>
        <w:rPr>
          <w:rFonts w:ascii="Times New Roman" w:hAnsi="Times New Roman" w:cs="Times New Roman" w:eastAsia="Times New Roman" w:hint="default"/>
          <w:spacing w:val="-4"/>
        </w:rPr>
        <w:t>5</w:t>
      </w:r>
      <w:r>
        <w:rPr>
          <w:spacing w:val="-4"/>
        </w:rPr>
        <w:t>）获取存货跌价准备计算表，执行存货减值测试程序，检查是否按相</w:t>
      </w:r>
      <w:r>
        <w:rPr>
          <w:w w:val="99"/>
        </w:rPr>
        <w:t> </w:t>
      </w:r>
      <w:r>
        <w:rPr/>
        <w:t>关会计政策执行，以前年度计提的存货跌价本期的变化情况等，分析存货跌</w:t>
      </w:r>
      <w:r>
        <w:rPr>
          <w:spacing w:val="-135"/>
        </w:rPr>
        <w:t> </w:t>
      </w:r>
      <w:r>
        <w:rPr>
          <w:spacing w:val="-135"/>
        </w:rPr>
      </w:r>
      <w:r>
        <w:rPr/>
        <w:t>价准备计提是否充分。</w:t>
      </w:r>
    </w:p>
    <w:p>
      <w:pPr>
        <w:pStyle w:val="Heading3"/>
        <w:spacing w:line="386" w:lineRule="auto" w:before="72"/>
        <w:ind w:right="1134"/>
        <w:jc w:val="both"/>
      </w:pPr>
      <w:r>
        <w:rPr>
          <w:spacing w:val="-3"/>
        </w:rPr>
        <w:t>（</w:t>
      </w:r>
      <w:r>
        <w:rPr>
          <w:rFonts w:ascii="Times New Roman" w:hAnsi="Times New Roman" w:cs="Times New Roman" w:eastAsia="Times New Roman" w:hint="default"/>
          <w:spacing w:val="-3"/>
        </w:rPr>
        <w:t>6</w:t>
      </w:r>
      <w:r>
        <w:rPr>
          <w:spacing w:val="-3"/>
        </w:rPr>
        <w:t>）我们评估了管理层于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日对存货跌价准备的会计处理及</w:t>
      </w:r>
      <w:r>
        <w:rPr>
          <w:w w:val="99"/>
        </w:rPr>
        <w:t> </w:t>
      </w:r>
      <w:r>
        <w:rPr/>
        <w:t>披露。</w:t>
      </w:r>
    </w:p>
    <w:p>
      <w:pPr>
        <w:pStyle w:val="Heading3"/>
        <w:spacing w:line="408" w:lineRule="auto"/>
        <w:ind w:right="1138"/>
        <w:jc w:val="both"/>
      </w:pPr>
      <w:r>
        <w:rPr/>
        <w:t>基于已执行的审计程序，我们得出审计结论，新国都技术公司管理层对</w:t>
      </w:r>
      <w:r>
        <w:rPr>
          <w:w w:val="99"/>
        </w:rPr>
        <w:t> </w:t>
      </w:r>
      <w:r>
        <w:rPr/>
        <w:t>存货跌价准备的相关判断及估计是合理的，对存货跌价准备的列报与披露是</w:t>
      </w:r>
      <w:r>
        <w:rPr>
          <w:spacing w:val="-135"/>
        </w:rPr>
        <w:t> </w:t>
      </w:r>
      <w:r>
        <w:rPr>
          <w:spacing w:val="-135"/>
        </w:rPr>
      </w:r>
      <w:r>
        <w:rPr/>
        <w:t>适当的。</w:t>
      </w:r>
    </w:p>
    <w:p>
      <w:pPr>
        <w:spacing w:before="61"/>
        <w:ind w:left="2055" w:right="994" w:firstLine="0"/>
        <w:jc w:val="left"/>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sz w:val="28"/>
          <w:szCs w:val="28"/>
        </w:rPr>
        <w:t>持有待售资产</w:t>
      </w:r>
    </w:p>
    <w:p>
      <w:pPr>
        <w:spacing w:line="240" w:lineRule="auto" w:before="9"/>
        <w:rPr>
          <w:rFonts w:ascii="宋体" w:hAnsi="宋体" w:cs="宋体" w:eastAsia="宋体" w:hint="default"/>
          <w:sz w:val="19"/>
          <w:szCs w:val="19"/>
        </w:rPr>
      </w:pPr>
    </w:p>
    <w:p>
      <w:pPr>
        <w:pStyle w:val="Heading3"/>
        <w:spacing w:line="386" w:lineRule="auto" w:before="0"/>
        <w:ind w:left="2054" w:right="994" w:firstLine="0"/>
        <w:jc w:val="left"/>
      </w:pPr>
      <w:r>
        <w:rPr>
          <w:rFonts w:ascii="Times New Roman" w:hAnsi="Times New Roman" w:cs="Times New Roman" w:eastAsia="Times New Roman" w:hint="default"/>
        </w:rPr>
        <w:t>1.</w:t>
      </w:r>
      <w:r>
        <w:rPr/>
        <w:t>事项描述</w:t>
      </w:r>
      <w:r>
        <w:rPr>
          <w:w w:val="99"/>
        </w:rPr>
        <w:t> </w:t>
      </w:r>
      <w:r>
        <w:rPr>
          <w:spacing w:val="-4"/>
        </w:rPr>
        <w:t>如合并财务报表附注六、注释</w:t>
      </w:r>
      <w:r>
        <w:rPr>
          <w:rFonts w:ascii="Times New Roman" w:hAnsi="Times New Roman" w:cs="Times New Roman" w:eastAsia="Times New Roman" w:hint="default"/>
          <w:spacing w:val="-4"/>
        </w:rPr>
        <w:t>9</w:t>
      </w:r>
      <w:r>
        <w:rPr>
          <w:spacing w:val="-4"/>
        </w:rPr>
        <w:t>以及附注六、注释</w:t>
      </w:r>
      <w:r>
        <w:rPr>
          <w:rFonts w:ascii="Times New Roman" w:hAnsi="Times New Roman" w:cs="Times New Roman" w:eastAsia="Times New Roman" w:hint="default"/>
          <w:spacing w:val="-4"/>
        </w:rPr>
        <w:t>12</w:t>
      </w:r>
      <w:r>
        <w:rPr>
          <w:spacing w:val="-4"/>
        </w:rPr>
        <w:t>所述，新国都技术公</w:t>
      </w:r>
    </w:p>
    <w:p>
      <w:pPr>
        <w:pStyle w:val="Heading3"/>
        <w:spacing w:line="240" w:lineRule="auto" w:before="47"/>
        <w:ind w:right="0" w:firstLine="0"/>
        <w:jc w:val="both"/>
      </w:pPr>
      <w:r>
        <w:rPr/>
        <w:t>司与深圳大岩科技有限公司（以下简称</w:t>
      </w:r>
      <w:r>
        <w:rPr>
          <w:rFonts w:ascii="Times New Roman" w:hAnsi="Times New Roman" w:cs="Times New Roman" w:eastAsia="Times New Roman" w:hint="default"/>
        </w:rPr>
        <w:t>“</w:t>
      </w:r>
      <w:r>
        <w:rPr/>
        <w:t>大岩科技</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日签署</w:t>
      </w:r>
    </w:p>
    <w:p>
      <w:pPr>
        <w:pStyle w:val="Heading3"/>
        <w:spacing w:line="393" w:lineRule="auto" w:before="236"/>
        <w:ind w:left="1494" w:right="1133" w:firstLine="0"/>
        <w:jc w:val="both"/>
      </w:pPr>
      <w:r>
        <w:rPr/>
        <w:t>《关于深圳嘉石大岩资本管理有限公司之股权转让协议》。根据该协议，新</w:t>
      </w:r>
      <w:r>
        <w:rPr>
          <w:spacing w:val="-131"/>
        </w:rPr>
        <w:t> </w:t>
      </w:r>
      <w:r>
        <w:rPr>
          <w:spacing w:val="-131"/>
        </w:rPr>
      </w:r>
      <w:r>
        <w:rPr>
          <w:spacing w:val="2"/>
        </w:rPr>
        <w:t>国都技术公司将其持有的深圳嘉石大岩资本管理有限公司</w:t>
      </w:r>
      <w:r>
        <w:rPr>
          <w:rFonts w:ascii="Times New Roman" w:hAnsi="Times New Roman" w:cs="Times New Roman" w:eastAsia="Times New Roman" w:hint="default"/>
          <w:spacing w:val="2"/>
        </w:rPr>
        <w:t>25%</w:t>
      </w:r>
      <w:r>
        <w:rPr>
          <w:spacing w:val="2"/>
        </w:rPr>
        <w:t>的股权以人民</w:t>
      </w:r>
      <w:r>
        <w:rPr>
          <w:spacing w:val="-136"/>
        </w:rPr>
        <w:t> </w:t>
      </w:r>
      <w:r>
        <w:rPr>
          <w:spacing w:val="-136"/>
        </w:rPr>
      </w:r>
      <w:r>
        <w:rPr>
          <w:spacing w:val="2"/>
        </w:rPr>
        <w:t>币</w:t>
      </w:r>
      <w:r>
        <w:rPr>
          <w:rFonts w:ascii="Times New Roman" w:hAnsi="Times New Roman" w:cs="Times New Roman" w:eastAsia="Times New Roman" w:hint="default"/>
          <w:spacing w:val="2"/>
        </w:rPr>
        <w:t>5</w:t>
      </w:r>
      <w:r>
        <w:rPr>
          <w:spacing w:val="2"/>
        </w:rPr>
        <w:t>亿元转让予大岩科技</w:t>
      </w:r>
      <w:r>
        <w:rPr>
          <w:rFonts w:ascii="Times New Roman" w:hAnsi="Times New Roman" w:cs="Times New Roman" w:eastAsia="Times New Roman" w:hint="default"/>
          <w:spacing w:val="2"/>
        </w:rPr>
        <w:t>,</w:t>
      </w:r>
      <w:r>
        <w:rPr>
          <w:spacing w:val="2"/>
        </w:rPr>
        <w:t>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日尚未收到股权转让款。考虑该</w:t>
      </w:r>
      <w:r>
        <w:rPr>
          <w:spacing w:val="-124"/>
        </w:rPr>
        <w:t> </w:t>
      </w:r>
      <w:r>
        <w:rPr>
          <w:spacing w:val="-124"/>
        </w:rPr>
      </w:r>
      <w:r>
        <w:rPr/>
        <w:t>股权转让事项涉及金额重大，因此我们将该事项确定为关键审计事项。</w:t>
      </w:r>
    </w:p>
    <w:p>
      <w:pPr>
        <w:pStyle w:val="Heading3"/>
        <w:spacing w:line="240" w:lineRule="auto" w:before="78"/>
        <w:ind w:left="2054" w:right="994" w:firstLine="0"/>
        <w:jc w:val="left"/>
      </w:pPr>
      <w:r>
        <w:rPr>
          <w:rFonts w:ascii="Times New Roman" w:hAnsi="Times New Roman" w:cs="Times New Roman" w:eastAsia="Times New Roman" w:hint="default"/>
        </w:rPr>
        <w:t>2.</w:t>
      </w:r>
      <w:r>
        <w:rPr/>
        <w:t>审计应对</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240" w:lineRule="auto" w:before="13"/>
        <w:ind w:left="2054" w:right="994" w:firstLine="0"/>
        <w:jc w:val="left"/>
      </w:pPr>
      <w:r>
        <w:rPr/>
        <w:t>我们针对新国都技术公司股权转让事项所实施的主要审计程序包括：</w:t>
      </w:r>
    </w:p>
    <w:p>
      <w:pPr>
        <w:spacing w:line="240" w:lineRule="auto" w:before="9"/>
        <w:rPr>
          <w:rFonts w:ascii="宋体" w:hAnsi="宋体" w:cs="宋体" w:eastAsia="宋体" w:hint="default"/>
          <w:sz w:val="19"/>
          <w:szCs w:val="19"/>
        </w:rPr>
      </w:pPr>
    </w:p>
    <w:p>
      <w:pPr>
        <w:pStyle w:val="Heading3"/>
        <w:spacing w:line="386" w:lineRule="auto" w:before="0"/>
        <w:ind w:right="1138"/>
        <w:jc w:val="left"/>
      </w:pPr>
      <w:r>
        <w:rPr>
          <w:spacing w:val="5"/>
        </w:rPr>
        <w:t>（</w:t>
      </w:r>
      <w:r>
        <w:rPr>
          <w:rFonts w:ascii="Times New Roman" w:hAnsi="Times New Roman" w:cs="Times New Roman" w:eastAsia="Times New Roman" w:hint="default"/>
          <w:spacing w:val="5"/>
        </w:rPr>
        <w:t>1</w:t>
      </w:r>
      <w:r>
        <w:rPr>
          <w:spacing w:val="5"/>
        </w:rPr>
        <w:t>）对新国都技术公司与股权转让相关的内部控制设计和执行进行了</w:t>
      </w:r>
      <w:r>
        <w:rPr>
          <w:w w:val="99"/>
        </w:rPr>
        <w:t> </w:t>
      </w:r>
      <w:r>
        <w:rPr/>
        <w:t>解、评价和测试，以评价股权转让相关的内部控制是否合规、有效；</w:t>
      </w:r>
    </w:p>
    <w:p>
      <w:pPr>
        <w:pStyle w:val="Heading3"/>
        <w:spacing w:line="386" w:lineRule="auto"/>
        <w:ind w:right="994"/>
        <w:jc w:val="left"/>
      </w:pPr>
      <w:r>
        <w:rPr>
          <w:spacing w:val="-4"/>
        </w:rPr>
        <w:t>（</w:t>
      </w:r>
      <w:r>
        <w:rPr>
          <w:rFonts w:ascii="Times New Roman" w:hAnsi="Times New Roman" w:cs="Times New Roman" w:eastAsia="Times New Roman" w:hint="default"/>
          <w:spacing w:val="-4"/>
        </w:rPr>
        <w:t>2</w:t>
      </w:r>
      <w:r>
        <w:rPr>
          <w:spacing w:val="-4"/>
        </w:rPr>
        <w:t>）通过评估新国都技术公司与大岩科技之间的股权结构、询问等程序</w:t>
      </w:r>
      <w:r>
        <w:rPr>
          <w:w w:val="99"/>
        </w:rPr>
        <w:t> </w:t>
      </w:r>
      <w:r>
        <w:rPr/>
        <w:t>来判断该交易是否属于关联交易以及转让是否真实；</w:t>
      </w:r>
    </w:p>
    <w:p>
      <w:pPr>
        <w:pStyle w:val="Heading3"/>
        <w:spacing w:line="398" w:lineRule="auto"/>
        <w:ind w:right="997"/>
        <w:jc w:val="both"/>
      </w:pPr>
      <w:r>
        <w:rPr/>
        <w:t>（</w:t>
      </w:r>
      <w:r>
        <w:rPr>
          <w:rFonts w:ascii="Times New Roman" w:hAnsi="Times New Roman" w:cs="Times New Roman" w:eastAsia="Times New Roman" w:hint="default"/>
        </w:rPr>
        <w:t>3</w:t>
      </w:r>
      <w:r>
        <w:rPr/>
        <w:t>）获取了该笔交易相关的董事会决议、股东会决议、股权转让协议，</w:t>
      </w:r>
      <w:r>
        <w:rPr>
          <w:w w:val="99"/>
        </w:rPr>
        <w:t> </w:t>
      </w:r>
      <w:r>
        <w:rPr>
          <w:spacing w:val="-11"/>
          <w:w w:val="99"/>
        </w:rPr>
        <w:t>复核交易定价的原则及依据，获取并复核了外部评估机构出具的《评估报告》，</w:t>
      </w:r>
      <w:r>
        <w:rPr>
          <w:spacing w:val="-137"/>
          <w:w w:val="99"/>
        </w:rPr>
        <w:t> </w:t>
      </w:r>
      <w:r>
        <w:rPr>
          <w:spacing w:val="-137"/>
          <w:w w:val="99"/>
        </w:rPr>
      </w:r>
      <w:r>
        <w:rPr/>
        <w:t>判断该交易定价的公允性；</w:t>
      </w:r>
    </w:p>
    <w:p>
      <w:pPr>
        <w:pStyle w:val="Heading3"/>
        <w:spacing w:line="386" w:lineRule="auto" w:before="72"/>
        <w:ind w:right="994"/>
        <w:jc w:val="left"/>
      </w:pPr>
      <w:r>
        <w:rPr>
          <w:spacing w:val="-4"/>
        </w:rPr>
        <w:t>（</w:t>
      </w:r>
      <w:r>
        <w:rPr>
          <w:rFonts w:ascii="Times New Roman" w:hAnsi="Times New Roman" w:cs="Times New Roman" w:eastAsia="Times New Roman" w:hint="default"/>
          <w:spacing w:val="-4"/>
        </w:rPr>
        <w:t>4</w:t>
      </w:r>
      <w:r>
        <w:rPr>
          <w:spacing w:val="-4"/>
        </w:rPr>
        <w:t>）执行了检查、询问等审计程序，检查该交易合同约定事项的实际执</w:t>
      </w:r>
      <w:r>
        <w:rPr>
          <w:w w:val="99"/>
        </w:rPr>
        <w:t> </w:t>
      </w:r>
      <w:r>
        <w:rPr/>
        <w:t>行情况，并复核该股权转让事项的相关会计处理的准确性；</w:t>
      </w:r>
    </w:p>
    <w:p>
      <w:pPr>
        <w:pStyle w:val="Heading3"/>
        <w:spacing w:line="386" w:lineRule="auto"/>
        <w:ind w:left="2054" w:right="994" w:firstLine="0"/>
        <w:jc w:val="left"/>
      </w:pPr>
      <w:r>
        <w:rPr>
          <w:spacing w:val="-8"/>
          <w:w w:val="99"/>
        </w:rPr>
        <w:t>（</w:t>
      </w:r>
      <w:r>
        <w:rPr>
          <w:rFonts w:ascii="Times New Roman" w:hAnsi="Times New Roman" w:cs="Times New Roman" w:eastAsia="Times New Roman" w:hint="default"/>
          <w:spacing w:val="-8"/>
          <w:w w:val="99"/>
        </w:rPr>
        <w:t>5</w:t>
      </w:r>
      <w:r>
        <w:rPr>
          <w:spacing w:val="-8"/>
          <w:w w:val="99"/>
        </w:rPr>
        <w:t>）获取了财务报表，对财务报表中对该事项的列报和披露进行了检查。</w:t>
      </w:r>
      <w:r>
        <w:rPr>
          <w:spacing w:val="-118"/>
          <w:w w:val="99"/>
        </w:rPr>
        <w:t> </w:t>
      </w:r>
      <w:r>
        <w:rPr>
          <w:spacing w:val="-118"/>
          <w:w w:val="99"/>
        </w:rPr>
      </w:r>
      <w:r>
        <w:rPr/>
        <w:t>基于已执行的审计程序，我们得出审计结论，新国都技术公司管理层对</w:t>
      </w:r>
    </w:p>
    <w:p>
      <w:pPr>
        <w:pStyle w:val="Heading3"/>
        <w:spacing w:line="240" w:lineRule="auto"/>
        <w:ind w:right="994" w:firstLine="0"/>
        <w:jc w:val="left"/>
      </w:pPr>
      <w:r>
        <w:rPr/>
        <w:t>股权转让事项的列报和披露是适当的。</w:t>
      </w:r>
    </w:p>
    <w:p>
      <w:pPr>
        <w:spacing w:line="240" w:lineRule="auto" w:before="9"/>
        <w:rPr>
          <w:rFonts w:ascii="宋体" w:hAnsi="宋体" w:cs="宋体" w:eastAsia="宋体" w:hint="default"/>
          <w:sz w:val="19"/>
          <w:szCs w:val="19"/>
        </w:rPr>
      </w:pPr>
    </w:p>
    <w:p>
      <w:pPr>
        <w:pStyle w:val="Heading3"/>
        <w:spacing w:line="240" w:lineRule="auto" w:before="0"/>
        <w:ind w:left="2054" w:right="994" w:firstLine="0"/>
        <w:jc w:val="left"/>
      </w:pPr>
      <w:r>
        <w:rPr/>
        <w:t>（三）商誉减值</w:t>
      </w:r>
    </w:p>
    <w:p>
      <w:pPr>
        <w:spacing w:line="240" w:lineRule="auto" w:before="9"/>
        <w:rPr>
          <w:rFonts w:ascii="宋体" w:hAnsi="宋体" w:cs="宋体" w:eastAsia="宋体" w:hint="default"/>
          <w:sz w:val="19"/>
          <w:szCs w:val="19"/>
        </w:rPr>
      </w:pPr>
    </w:p>
    <w:p>
      <w:pPr>
        <w:pStyle w:val="Heading3"/>
        <w:spacing w:line="386" w:lineRule="auto" w:before="0"/>
        <w:ind w:left="2054" w:right="994" w:firstLine="0"/>
        <w:jc w:val="left"/>
      </w:pPr>
      <w:r>
        <w:rPr>
          <w:rFonts w:ascii="Times New Roman" w:hAnsi="Times New Roman" w:cs="Times New Roman" w:eastAsia="Times New Roman" w:hint="default"/>
        </w:rPr>
        <w:t>1.</w:t>
      </w:r>
      <w:r>
        <w:rPr/>
        <w:t>事项描述</w:t>
      </w:r>
      <w:r>
        <w:rPr>
          <w:w w:val="99"/>
        </w:rPr>
        <w:t> </w:t>
      </w:r>
      <w:r>
        <w:rPr/>
        <w:t>如合并财务报表附注六、注释</w:t>
      </w:r>
      <w:r>
        <w:rPr>
          <w:rFonts w:ascii="Times New Roman" w:hAnsi="Times New Roman" w:cs="Times New Roman" w:eastAsia="Times New Roman" w:hint="default"/>
        </w:rPr>
        <w:t>15</w:t>
      </w:r>
      <w:r>
        <w:rPr/>
        <w:t>所述，截至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日，商誉账面</w:t>
      </w:r>
    </w:p>
    <w:p>
      <w:pPr>
        <w:pStyle w:val="Heading3"/>
        <w:spacing w:line="403" w:lineRule="auto" w:before="47"/>
        <w:ind w:left="1494" w:right="994" w:firstLine="0"/>
        <w:jc w:val="left"/>
      </w:pPr>
      <w:r>
        <w:rPr/>
        <w:t>价值为</w:t>
      </w:r>
      <w:r>
        <w:rPr>
          <w:rFonts w:ascii="Times New Roman" w:hAnsi="Times New Roman" w:cs="Times New Roman" w:eastAsia="Times New Roman" w:hint="default"/>
        </w:rPr>
        <w:t>603,758,411.05</w:t>
      </w:r>
      <w:r>
        <w:rPr/>
        <w:t>元，为新国都技术公司历年收购子公司形成，属于新国</w:t>
      </w:r>
      <w:r>
        <w:rPr>
          <w:w w:val="99"/>
        </w:rPr>
        <w:t> </w:t>
      </w:r>
      <w:r>
        <w:rPr/>
        <w:t>都技术公司重要资产。管理层在每年年度终了对商誉进行减值测试，并依据</w:t>
      </w:r>
      <w:r>
        <w:rPr>
          <w:spacing w:val="-135"/>
        </w:rPr>
        <w:t> </w:t>
      </w:r>
      <w:r>
        <w:rPr>
          <w:spacing w:val="-135"/>
        </w:rPr>
      </w:r>
      <w:r>
        <w:rPr/>
        <w:t>减值测试的结果调整商誉的账面价值。由于商誉减值测试的结果很大程度上</w:t>
      </w:r>
      <w:r>
        <w:rPr>
          <w:spacing w:val="-135"/>
        </w:rPr>
        <w:t> </w:t>
      </w:r>
      <w:r>
        <w:rPr>
          <w:spacing w:val="-135"/>
        </w:rPr>
      </w:r>
      <w:r>
        <w:rPr/>
        <w:t>依赖于管理层所做的估计和采用的假设，特别是在预测相关资产组的未来收</w:t>
      </w:r>
      <w:r>
        <w:rPr>
          <w:spacing w:val="-135"/>
        </w:rPr>
        <w:t> </w:t>
      </w:r>
      <w:r>
        <w:rPr>
          <w:spacing w:val="-135"/>
        </w:rPr>
      </w:r>
      <w:r>
        <w:rPr>
          <w:spacing w:val="-4"/>
        </w:rPr>
        <w:t>入及长期收入增长率、毛利率、经营费用、折现率等涉及管理层的重大判断。</w:t>
      </w:r>
      <w:r>
        <w:rPr>
          <w:spacing w:val="-120"/>
        </w:rPr>
        <w:t> </w:t>
      </w:r>
      <w:r>
        <w:rPr>
          <w:spacing w:val="-120"/>
        </w:rPr>
      </w:r>
      <w:r>
        <w:rPr/>
        <w:t>该等估计均存在固定不确定性，受管理层对未来市场以及对经济环境判断的</w:t>
      </w:r>
    </w:p>
    <w:p>
      <w:pPr>
        <w:spacing w:after="0" w:line="403"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408" w:lineRule="auto" w:before="13"/>
        <w:ind w:right="1143" w:firstLine="0"/>
        <w:jc w:val="both"/>
      </w:pPr>
      <w:r>
        <w:rPr/>
        <w:t>影响，采用不同的估计和假设会对评估的商誉可收回价值有很大的影响。由</w:t>
      </w:r>
      <w:r>
        <w:rPr>
          <w:spacing w:val="-135"/>
        </w:rPr>
        <w:t> </w:t>
      </w:r>
      <w:r>
        <w:rPr>
          <w:spacing w:val="-135"/>
        </w:rPr>
      </w:r>
      <w:r>
        <w:rPr/>
        <w:t>于商誉金额重大，且管理层需要作出重大判断，因此我们将商誉的减值确定</w:t>
      </w:r>
      <w:r>
        <w:rPr>
          <w:spacing w:val="-135"/>
        </w:rPr>
        <w:t> </w:t>
      </w:r>
      <w:r>
        <w:rPr>
          <w:spacing w:val="-135"/>
        </w:rPr>
      </w:r>
      <w:r>
        <w:rPr/>
        <w:t>为关键审计事项。</w:t>
      </w:r>
    </w:p>
    <w:p>
      <w:pPr>
        <w:pStyle w:val="Heading3"/>
        <w:spacing w:line="386" w:lineRule="auto" w:before="61"/>
        <w:ind w:left="2054" w:right="1113" w:firstLine="0"/>
        <w:jc w:val="left"/>
      </w:pPr>
      <w:r>
        <w:rPr>
          <w:rFonts w:ascii="Times New Roman" w:hAnsi="Times New Roman" w:cs="Times New Roman" w:eastAsia="Times New Roman" w:hint="default"/>
        </w:rPr>
        <w:t>2.</w:t>
      </w:r>
      <w:r>
        <w:rPr/>
        <w:t>审计应对</w:t>
      </w:r>
      <w:r>
        <w:rPr>
          <w:w w:val="99"/>
        </w:rPr>
        <w:t> </w:t>
      </w:r>
      <w:r>
        <w:rPr>
          <w:w w:val="95"/>
        </w:rPr>
        <w:t>我们针对新国都技术公司商誉减值所实施的主要审计程序包括：</w:t>
      </w:r>
      <w:r>
        <w:rPr/>
      </w:r>
    </w:p>
    <w:p>
      <w:pPr>
        <w:pStyle w:val="Heading3"/>
        <w:spacing w:line="386" w:lineRule="auto"/>
        <w:ind w:right="1136"/>
        <w:jc w:val="both"/>
      </w:pPr>
      <w:r>
        <w:rPr>
          <w:spacing w:val="-4"/>
        </w:rPr>
        <w:t>（</w:t>
      </w:r>
      <w:r>
        <w:rPr>
          <w:rFonts w:ascii="Times New Roman" w:hAnsi="Times New Roman" w:cs="Times New Roman" w:eastAsia="Times New Roman" w:hint="default"/>
          <w:spacing w:val="-4"/>
        </w:rPr>
        <w:t>1</w:t>
      </w:r>
      <w:r>
        <w:rPr>
          <w:spacing w:val="-4"/>
        </w:rPr>
        <w:t>）评价与管理层确定商誉可收回金额相关的关键内部控制的设计和运</w:t>
      </w:r>
      <w:r>
        <w:rPr>
          <w:w w:val="99"/>
        </w:rPr>
        <w:t> </w:t>
      </w:r>
      <w:r>
        <w:rPr/>
        <w:t>行有效性；</w:t>
      </w:r>
    </w:p>
    <w:p>
      <w:pPr>
        <w:pStyle w:val="Heading3"/>
        <w:spacing w:line="240" w:lineRule="auto"/>
        <w:ind w:left="2054" w:right="994" w:firstLine="0"/>
        <w:jc w:val="left"/>
      </w:pPr>
      <w:r>
        <w:rPr/>
        <w:t>（</w:t>
      </w:r>
      <w:r>
        <w:rPr>
          <w:rFonts w:ascii="Times New Roman" w:hAnsi="Times New Roman" w:cs="Times New Roman" w:eastAsia="Times New Roman" w:hint="default"/>
        </w:rPr>
        <w:t>2</w:t>
      </w:r>
      <w:r>
        <w:rPr/>
        <w:t>）复核管理层对资产组的认定和商誉的分摊方法；</w:t>
      </w:r>
    </w:p>
    <w:p>
      <w:pPr>
        <w:pStyle w:val="Heading3"/>
        <w:spacing w:line="386" w:lineRule="auto" w:before="236"/>
        <w:ind w:right="994"/>
        <w:jc w:val="left"/>
      </w:pPr>
      <w:r>
        <w:rPr>
          <w:w w:val="95"/>
        </w:rPr>
        <w:t>（</w:t>
      </w:r>
      <w:r>
        <w:rPr>
          <w:rFonts w:ascii="Times New Roman" w:hAnsi="Times New Roman" w:cs="Times New Roman" w:eastAsia="Times New Roman" w:hint="default"/>
          <w:w w:val="95"/>
        </w:rPr>
        <w:t>3</w:t>
      </w:r>
      <w:r>
        <w:rPr>
          <w:w w:val="95"/>
        </w:rPr>
        <w:t>）与新国都技术公司管理层讨论商誉减值测试过程中所使用的方法、</w:t>
      </w:r>
      <w:r>
        <w:rPr>
          <w:w w:val="99"/>
        </w:rPr>
        <w:t> </w:t>
      </w:r>
      <w:r>
        <w:rPr/>
        <w:t>关键评估的假设、参数的选择、预测未来收入及现金流折现率等的合理性；</w:t>
      </w:r>
    </w:p>
    <w:p>
      <w:pPr>
        <w:pStyle w:val="Heading3"/>
        <w:spacing w:line="398" w:lineRule="auto"/>
        <w:ind w:right="1135"/>
        <w:jc w:val="both"/>
      </w:pPr>
      <w:r>
        <w:rPr>
          <w:spacing w:val="-4"/>
        </w:rPr>
        <w:t>（</w:t>
      </w:r>
      <w:r>
        <w:rPr>
          <w:rFonts w:ascii="Times New Roman" w:hAnsi="Times New Roman" w:cs="Times New Roman" w:eastAsia="Times New Roman" w:hint="default"/>
          <w:spacing w:val="-4"/>
        </w:rPr>
        <w:t>4</w:t>
      </w:r>
      <w:r>
        <w:rPr>
          <w:spacing w:val="-4"/>
        </w:rPr>
        <w:t>）与新国都技术公司管理层聘请的外部评估机构专家等讨论商誉减值</w:t>
      </w:r>
      <w:r>
        <w:rPr>
          <w:w w:val="99"/>
        </w:rPr>
        <w:t> </w:t>
      </w:r>
      <w:r>
        <w:rPr/>
        <w:t>测试过程中所使用的方法、关键评估的假设、参数的选择、预测未来收入及</w:t>
      </w:r>
      <w:r>
        <w:rPr>
          <w:spacing w:val="-135"/>
        </w:rPr>
        <w:t> </w:t>
      </w:r>
      <w:r>
        <w:rPr>
          <w:spacing w:val="-135"/>
        </w:rPr>
      </w:r>
      <w:r>
        <w:rPr/>
        <w:t>现金流折现率等的合理性；</w:t>
      </w:r>
    </w:p>
    <w:p>
      <w:pPr>
        <w:pStyle w:val="Heading3"/>
        <w:spacing w:line="400" w:lineRule="auto" w:before="72"/>
        <w:ind w:right="1136"/>
        <w:jc w:val="both"/>
      </w:pPr>
      <w:r>
        <w:rPr>
          <w:spacing w:val="-4"/>
        </w:rPr>
        <w:t>（</w:t>
      </w:r>
      <w:r>
        <w:rPr>
          <w:rFonts w:ascii="Times New Roman" w:hAnsi="Times New Roman" w:cs="Times New Roman" w:eastAsia="Times New Roman" w:hint="default"/>
          <w:spacing w:val="-4"/>
        </w:rPr>
        <w:t>5</w:t>
      </w:r>
      <w:r>
        <w:rPr>
          <w:spacing w:val="-4"/>
        </w:rPr>
        <w:t>）将新国都技术公司管理层在以往年度商誉减值测试过程中所使用的</w:t>
      </w:r>
      <w:r>
        <w:rPr>
          <w:w w:val="99"/>
        </w:rPr>
        <w:t> </w:t>
      </w:r>
      <w:r>
        <w:rPr/>
        <w:t>关键假设和参数、预测的未来收入及现金流量等，与本年度所使用的关键假</w:t>
      </w:r>
      <w:r>
        <w:rPr>
          <w:spacing w:val="-135"/>
        </w:rPr>
        <w:t> </w:t>
      </w:r>
      <w:r>
        <w:rPr>
          <w:spacing w:val="-135"/>
        </w:rPr>
      </w:r>
      <w:r>
        <w:rPr/>
        <w:t>设和参数、本年经营业绩等作对比，以评估管理层预测过程的可靠性和历史</w:t>
      </w:r>
      <w:r>
        <w:rPr>
          <w:spacing w:val="-135"/>
        </w:rPr>
        <w:t> </w:t>
      </w:r>
      <w:r>
        <w:rPr>
          <w:spacing w:val="-135"/>
        </w:rPr>
      </w:r>
      <w:r>
        <w:rPr/>
        <w:t>准确性；</w:t>
      </w:r>
    </w:p>
    <w:p>
      <w:pPr>
        <w:pStyle w:val="Heading3"/>
        <w:spacing w:line="398" w:lineRule="auto" w:before="70"/>
        <w:ind w:right="1136"/>
        <w:jc w:val="both"/>
      </w:pPr>
      <w:r>
        <w:rPr>
          <w:spacing w:val="-4"/>
        </w:rPr>
        <w:t>（</w:t>
      </w:r>
      <w:r>
        <w:rPr>
          <w:rFonts w:ascii="Times New Roman" w:hAnsi="Times New Roman" w:cs="Times New Roman" w:eastAsia="Times New Roman" w:hint="default"/>
          <w:spacing w:val="-4"/>
        </w:rPr>
        <w:t>6</w:t>
      </w:r>
      <w:r>
        <w:rPr>
          <w:spacing w:val="-4"/>
        </w:rPr>
        <w:t>）结合新国都技术公司管理层在收购子公司时确定收购对价时所使用</w:t>
      </w:r>
      <w:r>
        <w:rPr>
          <w:w w:val="99"/>
        </w:rPr>
        <w:t> </w:t>
      </w:r>
      <w:r>
        <w:rPr/>
        <w:t>的关键假设和参数、预测的未来收入及现金流量等，与本年度所使用的关键</w:t>
      </w:r>
      <w:r>
        <w:rPr>
          <w:spacing w:val="-135"/>
        </w:rPr>
        <w:t> </w:t>
      </w:r>
      <w:r>
        <w:rPr>
          <w:spacing w:val="-135"/>
        </w:rPr>
      </w:r>
      <w:r>
        <w:rPr/>
        <w:t>假设和参数、本年经营业绩等作对比，并向管理层询问显著差异的原因；</w:t>
      </w:r>
    </w:p>
    <w:p>
      <w:pPr>
        <w:pStyle w:val="Heading3"/>
        <w:spacing w:line="386" w:lineRule="auto" w:before="73"/>
        <w:ind w:right="1136"/>
        <w:jc w:val="both"/>
      </w:pPr>
      <w:r>
        <w:rPr>
          <w:spacing w:val="-4"/>
        </w:rPr>
        <w:t>（</w:t>
      </w:r>
      <w:r>
        <w:rPr>
          <w:rFonts w:ascii="Times New Roman" w:hAnsi="Times New Roman" w:cs="Times New Roman" w:eastAsia="Times New Roman" w:hint="default"/>
          <w:spacing w:val="-4"/>
        </w:rPr>
        <w:t>7</w:t>
      </w:r>
      <w:r>
        <w:rPr>
          <w:spacing w:val="-4"/>
        </w:rPr>
        <w:t>）结合同行业标准、宏观经济和所属行业的发展趋势等，评估商誉减</w:t>
      </w:r>
      <w:r>
        <w:rPr>
          <w:w w:val="99"/>
        </w:rPr>
        <w:t> </w:t>
      </w:r>
      <w:r>
        <w:rPr/>
        <w:t>值测试过程中所使用的关键假设和参数的合理性；</w:t>
      </w:r>
    </w:p>
    <w:p>
      <w:pPr>
        <w:spacing w:after="0" w:line="38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386" w:lineRule="auto" w:before="13"/>
        <w:ind w:right="1135"/>
        <w:jc w:val="both"/>
      </w:pPr>
      <w:r>
        <w:rPr>
          <w:spacing w:val="-4"/>
        </w:rPr>
        <w:t>（</w:t>
      </w:r>
      <w:r>
        <w:rPr>
          <w:rFonts w:ascii="Times New Roman" w:hAnsi="Times New Roman" w:cs="Times New Roman" w:eastAsia="Times New Roman" w:hint="default"/>
          <w:spacing w:val="-4"/>
        </w:rPr>
        <w:t>8</w:t>
      </w:r>
      <w:r>
        <w:rPr>
          <w:spacing w:val="-4"/>
        </w:rPr>
        <w:t>）评价由新国都技术公司管理层聘请的外部评估机构的独立性、客观</w:t>
      </w:r>
      <w:r>
        <w:rPr>
          <w:w w:val="99"/>
        </w:rPr>
        <w:t> </w:t>
      </w:r>
      <w:r>
        <w:rPr/>
        <w:t>性、经验和资质。</w:t>
      </w:r>
    </w:p>
    <w:p>
      <w:pPr>
        <w:pStyle w:val="Heading3"/>
        <w:spacing w:line="240" w:lineRule="auto" w:before="87"/>
        <w:ind w:left="2054" w:right="994" w:firstLine="0"/>
        <w:jc w:val="left"/>
      </w:pPr>
      <w:r>
        <w:rPr/>
        <w:t>（</w:t>
      </w:r>
      <w:r>
        <w:rPr>
          <w:rFonts w:ascii="Times New Roman" w:hAnsi="Times New Roman" w:cs="Times New Roman" w:eastAsia="Times New Roman" w:hint="default"/>
        </w:rPr>
        <w:t>9</w:t>
      </w:r>
      <w:r>
        <w:rPr/>
        <w:t>）测试未来现金流量净现值的计算是否准确。</w:t>
      </w:r>
    </w:p>
    <w:p>
      <w:pPr>
        <w:pStyle w:val="Heading3"/>
        <w:spacing w:line="386" w:lineRule="auto" w:before="236"/>
        <w:ind w:left="1494" w:right="1135"/>
        <w:jc w:val="both"/>
      </w:pPr>
      <w:r>
        <w:rPr/>
        <w:t>（</w:t>
      </w:r>
      <w:r>
        <w:rPr>
          <w:rFonts w:ascii="Times New Roman" w:hAnsi="Times New Roman" w:cs="Times New Roman" w:eastAsia="Times New Roman" w:hint="default"/>
        </w:rPr>
        <w:t>10</w:t>
      </w:r>
      <w:r>
        <w:rPr/>
        <w:t>）评估管理层于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日对商誉及其减值估计结果、财务报</w:t>
      </w:r>
      <w:r>
        <w:rPr>
          <w:w w:val="99"/>
        </w:rPr>
        <w:t> </w:t>
      </w:r>
      <w:r>
        <w:rPr/>
        <w:t>表的披露是否恰当。</w:t>
      </w:r>
    </w:p>
    <w:p>
      <w:pPr>
        <w:pStyle w:val="Heading3"/>
        <w:spacing w:line="408" w:lineRule="auto"/>
        <w:ind w:left="1494" w:right="1138"/>
        <w:jc w:val="both"/>
      </w:pPr>
      <w:r>
        <w:rPr/>
        <w:t>基于已执行的审计工作，我们得出审计结论，管理层在商誉减值测试中</w:t>
      </w:r>
      <w:r>
        <w:rPr>
          <w:w w:val="99"/>
        </w:rPr>
        <w:t> </w:t>
      </w:r>
      <w:r>
        <w:rPr/>
        <w:t>作出的判断是可接受的。</w:t>
      </w:r>
    </w:p>
    <w:p>
      <w:pPr>
        <w:pStyle w:val="Heading3"/>
        <w:spacing w:line="240" w:lineRule="auto" w:before="61"/>
        <w:ind w:left="2054" w:right="994" w:firstLine="0"/>
        <w:jc w:val="left"/>
      </w:pPr>
      <w:r>
        <w:rPr/>
        <w:t>（四）收入确认</w:t>
      </w:r>
    </w:p>
    <w:p>
      <w:pPr>
        <w:spacing w:line="240" w:lineRule="auto" w:before="9"/>
        <w:rPr>
          <w:rFonts w:ascii="宋体" w:hAnsi="宋体" w:cs="宋体" w:eastAsia="宋体" w:hint="default"/>
          <w:sz w:val="19"/>
          <w:szCs w:val="19"/>
        </w:rPr>
      </w:pPr>
    </w:p>
    <w:p>
      <w:pPr>
        <w:pStyle w:val="Heading3"/>
        <w:spacing w:line="386" w:lineRule="auto" w:before="0"/>
        <w:ind w:left="2054" w:right="994" w:firstLine="0"/>
        <w:jc w:val="left"/>
      </w:pPr>
      <w:r>
        <w:rPr>
          <w:rFonts w:ascii="Times New Roman" w:hAnsi="Times New Roman" w:cs="Times New Roman" w:eastAsia="Times New Roman" w:hint="default"/>
        </w:rPr>
        <w:t>1.</w:t>
      </w:r>
      <w:r>
        <w:rPr/>
        <w:t>事项描述</w:t>
      </w:r>
      <w:r>
        <w:rPr>
          <w:w w:val="99"/>
        </w:rPr>
        <w:t> </w:t>
      </w:r>
      <w:r>
        <w:rPr/>
        <w:t>如合并财务报表附注六、注释</w:t>
      </w:r>
      <w:r>
        <w:rPr>
          <w:rFonts w:ascii="Times New Roman" w:hAnsi="Times New Roman" w:cs="Times New Roman" w:eastAsia="Times New Roman" w:hint="default"/>
        </w:rPr>
        <w:t>36</w:t>
      </w:r>
      <w:r>
        <w:rPr/>
        <w:t>所述，新国都技术公司主要从事电子支</w:t>
      </w:r>
    </w:p>
    <w:p>
      <w:pPr>
        <w:pStyle w:val="Heading3"/>
        <w:spacing w:line="386" w:lineRule="auto" w:before="47"/>
        <w:ind w:left="1494" w:right="994" w:firstLine="0"/>
        <w:jc w:val="left"/>
      </w:pPr>
      <w:r>
        <w:rPr/>
        <w:t>付产品、生物识别产品的生产和销售等业务。</w:t>
      </w:r>
      <w:r>
        <w:rPr>
          <w:rFonts w:ascii="Times New Roman" w:hAnsi="Times New Roman" w:cs="Times New Roman" w:eastAsia="Times New Roman" w:hint="default"/>
        </w:rPr>
        <w:t>2017</w:t>
      </w:r>
      <w:r>
        <w:rPr/>
        <w:t>年度，新国都技术公司确</w:t>
      </w:r>
      <w:r>
        <w:rPr>
          <w:spacing w:val="-127"/>
        </w:rPr>
        <w:t> </w:t>
      </w:r>
      <w:r>
        <w:rPr>
          <w:spacing w:val="-127"/>
        </w:rPr>
      </w:r>
      <w:r>
        <w:rPr/>
        <w:t>认的主营业务收入为人民币</w:t>
      </w:r>
      <w:r>
        <w:rPr>
          <w:rFonts w:ascii="Times New Roman" w:hAnsi="Times New Roman" w:cs="Times New Roman" w:eastAsia="Times New Roman" w:hint="default"/>
        </w:rPr>
        <w:t>1,233,360,927.80</w:t>
      </w:r>
      <w:r>
        <w:rPr/>
        <w:t>元。</w:t>
      </w:r>
    </w:p>
    <w:p>
      <w:pPr>
        <w:pStyle w:val="Heading3"/>
        <w:spacing w:line="408" w:lineRule="auto" w:before="47"/>
        <w:ind w:left="1494" w:right="1136"/>
        <w:jc w:val="both"/>
      </w:pPr>
      <w:r>
        <w:rPr/>
        <w:t>新国都技术公司收入是在商品所有权上的风险和报酬已转移至客户时确</w:t>
      </w:r>
      <w:r>
        <w:rPr>
          <w:w w:val="99"/>
        </w:rPr>
        <w:t> </w:t>
      </w:r>
      <w:r>
        <w:rPr/>
        <w:t>认的，对于国内商品销售，在订单货物已经发出，客户收到货物并签收，出</w:t>
      </w:r>
      <w:r>
        <w:rPr>
          <w:spacing w:val="-135"/>
        </w:rPr>
        <w:t> </w:t>
      </w:r>
      <w:r>
        <w:rPr>
          <w:spacing w:val="-135"/>
        </w:rPr>
      </w:r>
      <w:r>
        <w:rPr/>
        <w:t>具签收单后确认收入；对于出口销售，根据合同中相关权利和义务的约定，</w:t>
      </w:r>
      <w:r>
        <w:rPr>
          <w:spacing w:val="-135"/>
        </w:rPr>
        <w:t> </w:t>
      </w:r>
      <w:r>
        <w:rPr>
          <w:spacing w:val="-135"/>
        </w:rPr>
      </w:r>
      <w:r>
        <w:rPr/>
        <w:t>订单货物已经报关离岸时确认销售收入的实现。由于收入是公司的关键业绩</w:t>
      </w:r>
      <w:r>
        <w:rPr>
          <w:spacing w:val="-135"/>
        </w:rPr>
        <w:t> </w:t>
      </w:r>
      <w:r>
        <w:rPr>
          <w:spacing w:val="-135"/>
        </w:rPr>
      </w:r>
      <w:r>
        <w:rPr/>
        <w:t>指标之一，也是公司股权激励考核指标，存在管理层为了达到特定目标或期</w:t>
      </w:r>
      <w:r>
        <w:rPr>
          <w:spacing w:val="-135"/>
        </w:rPr>
        <w:t> </w:t>
      </w:r>
      <w:r>
        <w:rPr>
          <w:spacing w:val="-135"/>
        </w:rPr>
      </w:r>
      <w:r>
        <w:rPr/>
        <w:t>望而操纵收入确认时点的固有风险，因此我们将收入确认识别为关键审计事</w:t>
      </w:r>
      <w:r>
        <w:rPr>
          <w:spacing w:val="-128"/>
        </w:rPr>
        <w:t> </w:t>
      </w:r>
      <w:r>
        <w:rPr>
          <w:spacing w:val="-128"/>
        </w:rPr>
      </w:r>
      <w:r>
        <w:rPr/>
        <w:t>项。</w:t>
      </w:r>
    </w:p>
    <w:p>
      <w:pPr>
        <w:pStyle w:val="Heading3"/>
        <w:spacing w:line="386" w:lineRule="auto" w:before="61"/>
        <w:ind w:left="2054" w:right="1113" w:firstLine="0"/>
        <w:jc w:val="left"/>
      </w:pPr>
      <w:r>
        <w:rPr>
          <w:rFonts w:ascii="Times New Roman" w:hAnsi="Times New Roman" w:cs="Times New Roman" w:eastAsia="Times New Roman" w:hint="default"/>
        </w:rPr>
        <w:t>2.</w:t>
      </w:r>
      <w:r>
        <w:rPr/>
        <w:t>审计应对</w:t>
      </w:r>
      <w:r>
        <w:rPr>
          <w:w w:val="99"/>
        </w:rPr>
        <w:t> </w:t>
      </w:r>
      <w:r>
        <w:rPr>
          <w:w w:val="95"/>
        </w:rPr>
        <w:t>我们针对新国都技术公司收入确认所实施的主要审计程序包括：</w:t>
      </w:r>
      <w:r>
        <w:rPr/>
      </w:r>
    </w:p>
    <w:p>
      <w:pPr>
        <w:pStyle w:val="Heading3"/>
        <w:spacing w:line="240" w:lineRule="auto"/>
        <w:ind w:left="2054" w:right="994" w:firstLine="0"/>
        <w:jc w:val="left"/>
      </w:pPr>
      <w:r>
        <w:rPr>
          <w:spacing w:val="-4"/>
        </w:rPr>
        <w:t>（</w:t>
      </w:r>
      <w:r>
        <w:rPr>
          <w:rFonts w:ascii="Times New Roman" w:hAnsi="Times New Roman" w:cs="Times New Roman" w:eastAsia="Times New Roman" w:hint="default"/>
          <w:spacing w:val="-4"/>
        </w:rPr>
        <w:t>1</w:t>
      </w:r>
      <w:r>
        <w:rPr>
          <w:spacing w:val="-4"/>
        </w:rPr>
        <w:t>）对新国都技术公司收入确认的内部控制设计和执行进行了解、评价</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240" w:lineRule="auto" w:before="13"/>
        <w:ind w:right="994" w:firstLine="0"/>
        <w:jc w:val="left"/>
      </w:pPr>
      <w:r>
        <w:rPr/>
        <w:t>和测试，以评价收入确认内部控制是否合规、有效；</w:t>
      </w:r>
    </w:p>
    <w:p>
      <w:pPr>
        <w:spacing w:line="240" w:lineRule="auto" w:before="9"/>
        <w:rPr>
          <w:rFonts w:ascii="宋体" w:hAnsi="宋体" w:cs="宋体" w:eastAsia="宋体" w:hint="default"/>
          <w:sz w:val="19"/>
          <w:szCs w:val="19"/>
        </w:rPr>
      </w:pPr>
    </w:p>
    <w:p>
      <w:pPr>
        <w:pStyle w:val="Heading3"/>
        <w:spacing w:line="386" w:lineRule="auto" w:before="0"/>
        <w:ind w:right="1136"/>
        <w:jc w:val="both"/>
      </w:pPr>
      <w:r>
        <w:rPr>
          <w:spacing w:val="-4"/>
        </w:rPr>
        <w:t>（</w:t>
      </w:r>
      <w:r>
        <w:rPr>
          <w:rFonts w:ascii="Times New Roman" w:hAnsi="Times New Roman" w:cs="Times New Roman" w:eastAsia="Times New Roman" w:hint="default"/>
          <w:spacing w:val="-4"/>
        </w:rPr>
        <w:t>2</w:t>
      </w:r>
      <w:r>
        <w:rPr>
          <w:spacing w:val="-4"/>
        </w:rPr>
        <w:t>）对营业收入和营业成本实施分析性程序，分析毛利率异常变动，复</w:t>
      </w:r>
      <w:r>
        <w:rPr>
          <w:w w:val="99"/>
        </w:rPr>
        <w:t> </w:t>
      </w:r>
      <w:r>
        <w:rPr/>
        <w:t>核收入的合理性，与同行业毛利率对比分析；</w:t>
      </w:r>
    </w:p>
    <w:p>
      <w:pPr>
        <w:pStyle w:val="Heading3"/>
        <w:spacing w:line="386" w:lineRule="auto"/>
        <w:ind w:right="1136"/>
        <w:jc w:val="both"/>
      </w:pPr>
      <w:r>
        <w:rPr>
          <w:spacing w:val="-4"/>
        </w:rPr>
        <w:t>（</w:t>
      </w:r>
      <w:r>
        <w:rPr>
          <w:rFonts w:ascii="Times New Roman" w:hAnsi="Times New Roman" w:cs="Times New Roman" w:eastAsia="Times New Roman" w:hint="default"/>
          <w:spacing w:val="-4"/>
        </w:rPr>
        <w:t>3</w:t>
      </w:r>
      <w:r>
        <w:rPr>
          <w:spacing w:val="-4"/>
        </w:rPr>
        <w:t>）获取了新国都技术公司与客户签订的协议，对合同关键条款进行核</w:t>
      </w:r>
      <w:r>
        <w:rPr>
          <w:w w:val="99"/>
        </w:rPr>
        <w:t> </w:t>
      </w:r>
      <w:r>
        <w:rPr/>
        <w:t>实，如①发货及签收；②付款及结算；③换货及退货政策等；</w:t>
      </w:r>
    </w:p>
    <w:p>
      <w:pPr>
        <w:pStyle w:val="Heading3"/>
        <w:spacing w:line="386" w:lineRule="auto"/>
        <w:ind w:right="1136"/>
        <w:jc w:val="both"/>
      </w:pPr>
      <w:r>
        <w:rPr>
          <w:spacing w:val="-4"/>
        </w:rPr>
        <w:t>（</w:t>
      </w:r>
      <w:r>
        <w:rPr>
          <w:rFonts w:ascii="Times New Roman" w:hAnsi="Times New Roman" w:cs="Times New Roman" w:eastAsia="Times New Roman" w:hint="default"/>
          <w:spacing w:val="-4"/>
        </w:rPr>
        <w:t>4</w:t>
      </w:r>
      <w:r>
        <w:rPr>
          <w:spacing w:val="-4"/>
        </w:rPr>
        <w:t>）通过查询客户的工商资料，询问新国都技术公司相关人员，以确认</w:t>
      </w:r>
      <w:r>
        <w:rPr>
          <w:w w:val="99"/>
        </w:rPr>
        <w:t> </w:t>
      </w:r>
      <w:r>
        <w:rPr/>
        <w:t>客户与新国都技术公司是否存在关联关系；</w:t>
      </w:r>
    </w:p>
    <w:p>
      <w:pPr>
        <w:pStyle w:val="Heading3"/>
        <w:spacing w:line="386" w:lineRule="auto"/>
        <w:ind w:right="1135"/>
        <w:jc w:val="both"/>
      </w:pPr>
      <w:r>
        <w:rPr>
          <w:spacing w:val="-4"/>
        </w:rPr>
        <w:t>（</w:t>
      </w:r>
      <w:r>
        <w:rPr>
          <w:rFonts w:ascii="Times New Roman" w:hAnsi="Times New Roman" w:cs="Times New Roman" w:eastAsia="Times New Roman" w:hint="default"/>
          <w:spacing w:val="-4"/>
        </w:rPr>
        <w:t>5</w:t>
      </w:r>
      <w:r>
        <w:rPr>
          <w:spacing w:val="-4"/>
        </w:rPr>
        <w:t>）获取了新国都技术公司供应链系统中退换货的记录并进行检查，确</w:t>
      </w:r>
      <w:r>
        <w:rPr>
          <w:w w:val="99"/>
        </w:rPr>
        <w:t> </w:t>
      </w:r>
      <w:r>
        <w:rPr/>
        <w:t>认是否存在影响收入确认的重大异常退换货情况；</w:t>
      </w:r>
    </w:p>
    <w:p>
      <w:pPr>
        <w:pStyle w:val="Heading3"/>
        <w:spacing w:line="400" w:lineRule="auto"/>
        <w:ind w:right="1136"/>
        <w:jc w:val="both"/>
      </w:pPr>
      <w:r>
        <w:rPr>
          <w:spacing w:val="-4"/>
        </w:rPr>
        <w:t>（</w:t>
      </w:r>
      <w:r>
        <w:rPr>
          <w:rFonts w:ascii="Times New Roman" w:hAnsi="Times New Roman" w:cs="Times New Roman" w:eastAsia="Times New Roman" w:hint="default"/>
          <w:spacing w:val="-4"/>
        </w:rPr>
        <w:t>6</w:t>
      </w:r>
      <w:r>
        <w:rPr>
          <w:spacing w:val="-4"/>
        </w:rPr>
        <w:t>）结合其他收入审计程序确认当期收入的真实性及完整性，检查新国</w:t>
      </w:r>
      <w:r>
        <w:rPr>
          <w:w w:val="99"/>
        </w:rPr>
        <w:t> </w:t>
      </w:r>
      <w:r>
        <w:rPr/>
        <w:t>都技术公司与客户的合同、购货订单、发货单据、运输单据、签收单据、出</w:t>
      </w:r>
      <w:r>
        <w:rPr>
          <w:spacing w:val="-135"/>
        </w:rPr>
        <w:t> </w:t>
      </w:r>
      <w:r>
        <w:rPr>
          <w:spacing w:val="-135"/>
        </w:rPr>
      </w:r>
      <w:r>
        <w:rPr/>
        <w:t>口报关单据、记账凭证、回款单据、对账函等资料；抽取样本向客户函证款</w:t>
      </w:r>
      <w:r>
        <w:rPr>
          <w:spacing w:val="-135"/>
        </w:rPr>
        <w:t> </w:t>
      </w:r>
      <w:r>
        <w:rPr>
          <w:spacing w:val="-135"/>
        </w:rPr>
      </w:r>
      <w:r>
        <w:rPr/>
        <w:t>项余额及当期销售额，并抽取客户进行了走访程序；</w:t>
      </w:r>
    </w:p>
    <w:p>
      <w:pPr>
        <w:pStyle w:val="Heading3"/>
        <w:spacing w:line="386" w:lineRule="auto" w:before="70"/>
        <w:ind w:right="1135"/>
        <w:jc w:val="both"/>
      </w:pPr>
      <w:r>
        <w:rPr>
          <w:spacing w:val="-4"/>
        </w:rPr>
        <w:t>（</w:t>
      </w:r>
      <w:r>
        <w:rPr>
          <w:rFonts w:ascii="Times New Roman" w:hAnsi="Times New Roman" w:cs="Times New Roman" w:eastAsia="Times New Roman" w:hint="default"/>
          <w:spacing w:val="-4"/>
        </w:rPr>
        <w:t>7</w:t>
      </w:r>
      <w:r>
        <w:rPr>
          <w:spacing w:val="-4"/>
        </w:rPr>
        <w:t>）对资产负债表日前后记录的收入交易，选取样本，核对签收单、提</w:t>
      </w:r>
      <w:r>
        <w:rPr>
          <w:w w:val="99"/>
        </w:rPr>
        <w:t> </w:t>
      </w:r>
      <w:r>
        <w:rPr/>
        <w:t>单及其他支持性文件。</w:t>
      </w:r>
    </w:p>
    <w:p>
      <w:pPr>
        <w:pStyle w:val="Heading3"/>
        <w:spacing w:line="408" w:lineRule="auto"/>
        <w:ind w:right="1133"/>
        <w:jc w:val="both"/>
      </w:pPr>
      <w:r>
        <w:rPr/>
        <w:t>基于已执行的审计程序，我们得出审计结论，新国都技术公司的收入确</w:t>
      </w:r>
      <w:r>
        <w:rPr>
          <w:w w:val="99"/>
        </w:rPr>
        <w:t> </w:t>
      </w:r>
      <w:r>
        <w:rPr/>
        <w:t>认符合会计准则的要求，管理层对营业收入的列报与披露是适当的。</w:t>
      </w:r>
    </w:p>
    <w:p>
      <w:pPr>
        <w:pStyle w:val="Heading2"/>
        <w:spacing w:line="240" w:lineRule="auto" w:before="61"/>
        <w:ind w:right="994"/>
        <w:jc w:val="left"/>
        <w:rPr>
          <w:b w:val="0"/>
          <w:bCs w:val="0"/>
        </w:rPr>
      </w:pPr>
      <w:r>
        <w:rPr>
          <w:rFonts w:ascii="宋体" w:hAnsi="宋体" w:cs="宋体" w:eastAsia="宋体" w:hint="default"/>
        </w:rPr>
        <w:t>1.</w:t>
      </w:r>
      <w:r>
        <w:rPr>
          <w:rFonts w:ascii="宋体" w:hAnsi="宋体" w:cs="宋体" w:eastAsia="宋体" w:hint="default"/>
          <w:spacing w:val="-67"/>
        </w:rPr>
        <w:t> </w:t>
      </w:r>
      <w:r>
        <w:rPr/>
        <w:t>其他信息</w:t>
      </w:r>
      <w:r>
        <w:rPr>
          <w:b w:val="0"/>
          <w:bCs w:val="0"/>
        </w:rPr>
      </w:r>
    </w:p>
    <w:p>
      <w:pPr>
        <w:spacing w:line="240" w:lineRule="auto" w:before="9"/>
        <w:rPr>
          <w:rFonts w:ascii="宋体" w:hAnsi="宋体" w:cs="宋体" w:eastAsia="宋体" w:hint="default"/>
          <w:b/>
          <w:bCs/>
          <w:sz w:val="19"/>
          <w:szCs w:val="19"/>
        </w:rPr>
      </w:pPr>
    </w:p>
    <w:p>
      <w:pPr>
        <w:pStyle w:val="Heading3"/>
        <w:spacing w:line="386" w:lineRule="auto" w:before="0"/>
        <w:ind w:right="994" w:firstLine="420"/>
        <w:jc w:val="left"/>
      </w:pPr>
      <w:r>
        <w:rPr>
          <w:spacing w:val="-4"/>
        </w:rPr>
        <w:t>新国都技术公司管理层对其他信息负责。其他信息包括</w:t>
      </w:r>
      <w:r>
        <w:rPr>
          <w:rFonts w:ascii="Times New Roman" w:hAnsi="Times New Roman" w:cs="Times New Roman" w:eastAsia="Times New Roman" w:hint="default"/>
          <w:spacing w:val="-4"/>
        </w:rPr>
        <w:t>2017</w:t>
      </w:r>
      <w:r>
        <w:rPr>
          <w:spacing w:val="-4"/>
        </w:rPr>
        <w:t>年度报告中涵</w:t>
      </w:r>
      <w:r>
        <w:rPr>
          <w:w w:val="99"/>
        </w:rPr>
        <w:t> </w:t>
      </w:r>
      <w:r>
        <w:rPr/>
        <w:t>盖的信息，但不包括财务报表和我们的审计报告。</w:t>
      </w:r>
    </w:p>
    <w:p>
      <w:pPr>
        <w:pStyle w:val="Heading3"/>
        <w:spacing w:line="408" w:lineRule="auto" w:before="87"/>
        <w:ind w:right="1138"/>
        <w:jc w:val="both"/>
      </w:pPr>
      <w:r>
        <w:rPr/>
        <w:t>我们对财务报表发表的审计意见不涵盖其他信息，我们也不对其他信息</w:t>
      </w:r>
      <w:r>
        <w:rPr>
          <w:w w:val="99"/>
        </w:rPr>
        <w:t> </w:t>
      </w:r>
      <w:r>
        <w:rPr/>
        <w:t>发表任何形式的鉴证结论。</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408" w:lineRule="auto" w:before="13"/>
        <w:ind w:right="994"/>
        <w:jc w:val="left"/>
      </w:pPr>
      <w:r>
        <w:rPr>
          <w:spacing w:val="-4"/>
        </w:rPr>
        <w:t>结合我们对财务报表的审计，我们的责任是阅读其他信息，在此过程中，</w:t>
      </w:r>
      <w:r>
        <w:rPr>
          <w:w w:val="99"/>
        </w:rPr>
        <w:t> </w:t>
      </w:r>
      <w:r>
        <w:rPr/>
        <w:t>考虑其他信息是否与财务报表或我们在审计过程中了解的情况存在重大不一</w:t>
      </w:r>
      <w:r>
        <w:rPr>
          <w:spacing w:val="-135"/>
        </w:rPr>
        <w:t> </w:t>
      </w:r>
      <w:r>
        <w:rPr>
          <w:spacing w:val="-135"/>
        </w:rPr>
      </w:r>
      <w:r>
        <w:rPr/>
        <w:t>致或者似乎存在重大错报。</w:t>
      </w:r>
    </w:p>
    <w:p>
      <w:pPr>
        <w:pStyle w:val="Heading3"/>
        <w:spacing w:line="408" w:lineRule="auto" w:before="61"/>
        <w:ind w:right="994"/>
        <w:jc w:val="left"/>
      </w:pPr>
      <w:r>
        <w:rPr/>
        <w:t>基于我们已执行的工作，如果我们确定其他信息存在重大错报，我们应</w:t>
      </w:r>
      <w:r>
        <w:rPr>
          <w:w w:val="99"/>
        </w:rPr>
        <w:t> </w:t>
      </w:r>
      <w:r>
        <w:rPr/>
        <w:t>当报告该事实。在这方面，我们无任何事项需要报告。</w:t>
      </w:r>
    </w:p>
    <w:p>
      <w:pPr>
        <w:spacing w:line="408" w:lineRule="auto" w:before="61"/>
        <w:ind w:left="1914" w:right="994" w:hanging="781"/>
        <w:jc w:val="left"/>
        <w:rPr>
          <w:rFonts w:ascii="宋体" w:hAnsi="宋体" w:cs="宋体" w:eastAsia="宋体" w:hint="default"/>
          <w:sz w:val="28"/>
          <w:szCs w:val="28"/>
        </w:rPr>
      </w:pPr>
      <w:r>
        <w:rPr>
          <w:rFonts w:ascii="宋体" w:hAnsi="宋体" w:cs="宋体" w:eastAsia="宋体" w:hint="default"/>
          <w:b/>
          <w:bCs/>
          <w:sz w:val="28"/>
          <w:szCs w:val="28"/>
        </w:rPr>
        <w:t>1.</w:t>
      </w:r>
      <w:r>
        <w:rPr>
          <w:rFonts w:ascii="宋体" w:hAnsi="宋体" w:cs="宋体" w:eastAsia="宋体" w:hint="default"/>
          <w:b/>
          <w:bCs/>
          <w:spacing w:val="-64"/>
          <w:sz w:val="28"/>
          <w:szCs w:val="28"/>
        </w:rPr>
        <w:t> </w:t>
      </w:r>
      <w:r>
        <w:rPr>
          <w:rFonts w:ascii="宋体" w:hAnsi="宋体" w:cs="宋体" w:eastAsia="宋体" w:hint="default"/>
          <w:b/>
          <w:bCs/>
          <w:sz w:val="28"/>
          <w:szCs w:val="28"/>
        </w:rPr>
        <w:t>管理层和治理层对财务报表的责任</w:t>
      </w:r>
      <w:r>
        <w:rPr>
          <w:rFonts w:ascii="宋体" w:hAnsi="宋体" w:cs="宋体" w:eastAsia="宋体" w:hint="default"/>
          <w:b/>
          <w:bCs/>
          <w:w w:val="99"/>
          <w:sz w:val="28"/>
          <w:szCs w:val="28"/>
        </w:rPr>
        <w:t> </w:t>
      </w:r>
      <w:r>
        <w:rPr>
          <w:rFonts w:ascii="宋体" w:hAnsi="宋体" w:cs="宋体" w:eastAsia="宋体" w:hint="default"/>
          <w:spacing w:val="-4"/>
          <w:sz w:val="28"/>
          <w:szCs w:val="28"/>
        </w:rPr>
        <w:t>新国都技术公司管理层负责按照企业会计准则的规定编制财务报表，使其</w:t>
      </w:r>
    </w:p>
    <w:p>
      <w:pPr>
        <w:pStyle w:val="Heading3"/>
        <w:spacing w:line="408" w:lineRule="auto" w:before="61"/>
        <w:ind w:right="994" w:firstLine="0"/>
        <w:jc w:val="left"/>
      </w:pPr>
      <w:r>
        <w:rPr/>
        <w:t>实现公允反映，并设计、执行和维护必要的内部控制，以使财务报表不存在</w:t>
      </w:r>
      <w:r>
        <w:rPr>
          <w:spacing w:val="-135"/>
        </w:rPr>
        <w:t> </w:t>
      </w:r>
      <w:r>
        <w:rPr>
          <w:spacing w:val="-135"/>
        </w:rPr>
      </w:r>
      <w:r>
        <w:rPr/>
        <w:t>由于舞弊或错误导致的重大错报。</w:t>
      </w:r>
    </w:p>
    <w:p>
      <w:pPr>
        <w:pStyle w:val="Heading3"/>
        <w:spacing w:line="408" w:lineRule="auto" w:before="61"/>
        <w:ind w:right="997"/>
        <w:jc w:val="both"/>
      </w:pPr>
      <w:r>
        <w:rPr/>
        <w:t>在编制财务报表时，新国都技术公司管理层负责评估新国都技术公司的</w:t>
      </w:r>
      <w:r>
        <w:rPr>
          <w:w w:val="99"/>
        </w:rPr>
        <w:t> </w:t>
      </w:r>
      <w:r>
        <w:rPr/>
        <w:t>持续经营能力，披露与持续经营相关的事项（如适用），并运用持续经营假</w:t>
      </w:r>
      <w:r>
        <w:rPr>
          <w:spacing w:val="-135"/>
        </w:rPr>
        <w:t> </w:t>
      </w:r>
      <w:r>
        <w:rPr>
          <w:spacing w:val="-135"/>
        </w:rPr>
      </w:r>
      <w:r>
        <w:rPr>
          <w:spacing w:val="-4"/>
        </w:rPr>
        <w:t>设，除非管理层计划清算新国都技术公司、终止运营或别无其他现实的选择。</w:t>
      </w:r>
    </w:p>
    <w:p>
      <w:pPr>
        <w:spacing w:line="408" w:lineRule="auto" w:before="61"/>
        <w:ind w:left="1133" w:right="3732" w:firstLine="920"/>
        <w:jc w:val="left"/>
        <w:rPr>
          <w:rFonts w:ascii="宋体" w:hAnsi="宋体" w:cs="宋体" w:eastAsia="宋体" w:hint="default"/>
          <w:sz w:val="28"/>
          <w:szCs w:val="28"/>
        </w:rPr>
      </w:pPr>
      <w:r>
        <w:rPr>
          <w:rFonts w:ascii="宋体" w:hAnsi="宋体" w:cs="宋体" w:eastAsia="宋体" w:hint="default"/>
          <w:w w:val="95"/>
          <w:sz w:val="28"/>
          <w:szCs w:val="28"/>
        </w:rPr>
        <w:t>治理层负责监督新国都技术公司的财务报告过程。</w:t>
      </w:r>
      <w:r>
        <w:rPr>
          <w:rFonts w:ascii="宋体" w:hAnsi="宋体" w:cs="宋体" w:eastAsia="宋体" w:hint="default"/>
          <w:w w:val="99"/>
          <w:sz w:val="28"/>
          <w:szCs w:val="28"/>
        </w:rPr>
        <w:t> </w:t>
      </w:r>
      <w:r>
        <w:rPr>
          <w:rFonts w:ascii="宋体" w:hAnsi="宋体" w:cs="宋体" w:eastAsia="宋体" w:hint="default"/>
          <w:b/>
          <w:bCs/>
          <w:sz w:val="28"/>
          <w:szCs w:val="28"/>
        </w:rPr>
        <w:t>1.</w:t>
      </w:r>
      <w:r>
        <w:rPr>
          <w:rFonts w:ascii="宋体" w:hAnsi="宋体" w:cs="宋体" w:eastAsia="宋体" w:hint="default"/>
          <w:b/>
          <w:bCs/>
          <w:spacing w:val="-82"/>
          <w:sz w:val="28"/>
          <w:szCs w:val="28"/>
        </w:rPr>
        <w:t> </w:t>
      </w:r>
      <w:r>
        <w:rPr>
          <w:rFonts w:ascii="宋体" w:hAnsi="宋体" w:cs="宋体" w:eastAsia="宋体" w:hint="default"/>
          <w:b/>
          <w:bCs/>
          <w:sz w:val="28"/>
          <w:szCs w:val="28"/>
        </w:rPr>
        <w:t>注册会计师对财务报表审计的责任</w:t>
      </w:r>
      <w:r>
        <w:rPr>
          <w:rFonts w:ascii="宋体" w:hAnsi="宋体" w:cs="宋体" w:eastAsia="宋体" w:hint="default"/>
          <w:sz w:val="28"/>
          <w:szCs w:val="28"/>
        </w:rPr>
      </w:r>
    </w:p>
    <w:p>
      <w:pPr>
        <w:pStyle w:val="Heading3"/>
        <w:spacing w:line="408" w:lineRule="auto" w:before="61"/>
        <w:ind w:left="1133" w:right="1141"/>
        <w:jc w:val="both"/>
      </w:pPr>
      <w:r>
        <w:rPr>
          <w:spacing w:val="3"/>
        </w:rPr>
        <w:t>我们的目标是对财务报表整体是否不存在由于舞弊或错误导致的重大错报</w:t>
      </w:r>
      <w:r>
        <w:rPr>
          <w:w w:val="99"/>
        </w:rPr>
        <w:t> </w:t>
      </w:r>
      <w:r>
        <w:rPr>
          <w:spacing w:val="3"/>
        </w:rPr>
        <w:t>获取合理保证，并出具包含审计意见的审计报告。合理保证是高水平的保证，</w:t>
      </w:r>
      <w:r>
        <w:rPr>
          <w:w w:val="99"/>
        </w:rPr>
        <w:t> </w:t>
      </w:r>
      <w:r>
        <w:rPr>
          <w:spacing w:val="3"/>
        </w:rPr>
        <w:t>但并不能保证按照审计准则执行的审计在某一重大错报存在时总能发现。错报</w:t>
      </w:r>
      <w:r>
        <w:rPr>
          <w:w w:val="99"/>
        </w:rPr>
        <w:t> </w:t>
      </w:r>
      <w:r>
        <w:rPr>
          <w:spacing w:val="3"/>
        </w:rPr>
        <w:t>可能由于舞弊或错误导致，如果合理预期错报单独或汇总起来可能影响财务报</w:t>
      </w:r>
      <w:r>
        <w:rPr>
          <w:w w:val="99"/>
        </w:rPr>
        <w:t> </w:t>
      </w:r>
      <w:r>
        <w:rPr/>
        <w:t>表使用者依据财务报表作出的经济决策，则通常认为错报是重大的。</w:t>
      </w:r>
    </w:p>
    <w:p>
      <w:pPr>
        <w:pStyle w:val="Heading3"/>
        <w:spacing w:line="408" w:lineRule="auto" w:before="61"/>
        <w:ind w:left="1133" w:right="1141"/>
        <w:jc w:val="both"/>
      </w:pPr>
      <w:r>
        <w:rPr>
          <w:spacing w:val="3"/>
        </w:rPr>
        <w:t>在按照审计准则执行审计工作的过程中，我们运用职业判断，并保持职业</w:t>
      </w:r>
      <w:r>
        <w:rPr>
          <w:w w:val="99"/>
        </w:rPr>
        <w:t> </w:t>
      </w:r>
      <w:r>
        <w:rPr/>
        <w:t>怀疑。同时，我们也执行以下工作：</w:t>
      </w:r>
    </w:p>
    <w:p>
      <w:pPr>
        <w:pStyle w:val="Heading3"/>
        <w:spacing w:line="240" w:lineRule="auto" w:before="61"/>
        <w:ind w:left="1133" w:right="994" w:firstLine="0"/>
        <w:jc w:val="left"/>
      </w:pPr>
      <w:r>
        <w:rPr>
          <w:rFonts w:ascii="宋体" w:hAnsi="宋体" w:cs="宋体" w:eastAsia="宋体" w:hint="default"/>
        </w:rPr>
        <w:t>1.</w:t>
      </w:r>
      <w:r>
        <w:rPr>
          <w:rFonts w:ascii="宋体" w:hAnsi="宋体" w:cs="宋体" w:eastAsia="宋体" w:hint="default"/>
          <w:spacing w:val="-49"/>
        </w:rPr>
        <w:t> </w:t>
      </w:r>
      <w:r>
        <w:rPr/>
        <w:t>识别和评估由于舞弊或错误导致的财务报表重大错报风险，设计和实施审计</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408" w:lineRule="auto" w:before="13"/>
        <w:ind w:right="1143" w:firstLine="0"/>
        <w:jc w:val="both"/>
      </w:pPr>
      <w:r>
        <w:rPr/>
        <w:t>程序以应对这些风险，并获取充分、适当的审计证据，作为发表审计意见的</w:t>
      </w:r>
      <w:r>
        <w:rPr>
          <w:spacing w:val="-135"/>
        </w:rPr>
        <w:t> </w:t>
      </w:r>
      <w:r>
        <w:rPr>
          <w:spacing w:val="-135"/>
        </w:rPr>
      </w:r>
      <w:r>
        <w:rPr/>
        <w:t>基础。由于舞弊可能涉及串通、伪造、故意遗漏、虚假陈述或凌驾于内部控</w:t>
      </w:r>
      <w:r>
        <w:rPr>
          <w:spacing w:val="-135"/>
        </w:rPr>
        <w:t> </w:t>
      </w:r>
      <w:r>
        <w:rPr>
          <w:spacing w:val="-135"/>
        </w:rPr>
      </w:r>
      <w:r>
        <w:rPr/>
        <w:t>制之上，未能发现由于舞弊导致的重大错报的风险高于未能发现由于错误导</w:t>
      </w:r>
      <w:r>
        <w:rPr>
          <w:spacing w:val="-135"/>
        </w:rPr>
        <w:t> </w:t>
      </w:r>
      <w:r>
        <w:rPr>
          <w:spacing w:val="-135"/>
        </w:rPr>
      </w:r>
      <w:r>
        <w:rPr/>
        <w:t>致的重大错报的风险。</w:t>
      </w:r>
    </w:p>
    <w:p>
      <w:pPr>
        <w:pStyle w:val="Heading3"/>
        <w:spacing w:line="240" w:lineRule="auto" w:before="61"/>
        <w:ind w:left="1133" w:right="994" w:firstLine="0"/>
        <w:jc w:val="left"/>
      </w:pPr>
      <w:r>
        <w:rPr>
          <w:rFonts w:ascii="宋体" w:hAnsi="宋体" w:cs="宋体" w:eastAsia="宋体" w:hint="default"/>
        </w:rPr>
        <w:t>2.</w:t>
      </w:r>
      <w:r>
        <w:rPr>
          <w:rFonts w:ascii="宋体" w:hAnsi="宋体" w:cs="宋体" w:eastAsia="宋体" w:hint="default"/>
          <w:spacing w:val="-72"/>
        </w:rPr>
        <w:t> </w:t>
      </w:r>
      <w:r>
        <w:rPr/>
        <w:t>了解与审计相关的内部控制，以设计恰当的审计程序。</w:t>
      </w:r>
    </w:p>
    <w:p>
      <w:pPr>
        <w:spacing w:line="240" w:lineRule="auto" w:before="9"/>
        <w:rPr>
          <w:rFonts w:ascii="宋体" w:hAnsi="宋体" w:cs="宋体" w:eastAsia="宋体" w:hint="default"/>
          <w:sz w:val="19"/>
          <w:szCs w:val="19"/>
        </w:rPr>
      </w:pPr>
    </w:p>
    <w:p>
      <w:pPr>
        <w:pStyle w:val="Heading3"/>
        <w:spacing w:line="240" w:lineRule="auto" w:before="0"/>
        <w:ind w:left="1133" w:right="994" w:firstLine="0"/>
        <w:jc w:val="left"/>
      </w:pPr>
      <w:r>
        <w:rPr>
          <w:rFonts w:ascii="宋体" w:hAnsi="宋体" w:cs="宋体" w:eastAsia="宋体" w:hint="default"/>
        </w:rPr>
        <w:t>3.</w:t>
      </w:r>
      <w:r>
        <w:rPr>
          <w:rFonts w:ascii="宋体" w:hAnsi="宋体" w:cs="宋体" w:eastAsia="宋体" w:hint="default"/>
          <w:spacing w:val="-75"/>
        </w:rPr>
        <w:t> </w:t>
      </w:r>
      <w:r>
        <w:rPr/>
        <w:t>评价管理层选用会计政策的恰当性和作出会计估计及相关披露的合理性。</w:t>
      </w:r>
    </w:p>
    <w:p>
      <w:pPr>
        <w:spacing w:line="240" w:lineRule="auto" w:before="9"/>
        <w:rPr>
          <w:rFonts w:ascii="宋体" w:hAnsi="宋体" w:cs="宋体" w:eastAsia="宋体" w:hint="default"/>
          <w:sz w:val="19"/>
          <w:szCs w:val="19"/>
        </w:rPr>
      </w:pPr>
    </w:p>
    <w:p>
      <w:pPr>
        <w:pStyle w:val="Heading3"/>
        <w:spacing w:line="408" w:lineRule="auto" w:before="0"/>
        <w:ind w:right="987" w:hanging="360"/>
        <w:jc w:val="left"/>
      </w:pPr>
      <w:r>
        <w:rPr>
          <w:rFonts w:ascii="宋体" w:hAnsi="宋体" w:cs="宋体" w:eastAsia="宋体" w:hint="default"/>
        </w:rPr>
        <w:t>4.</w:t>
      </w:r>
      <w:r>
        <w:rPr>
          <w:rFonts w:ascii="宋体" w:hAnsi="宋体" w:cs="宋体" w:eastAsia="宋体" w:hint="default"/>
          <w:spacing w:val="-72"/>
        </w:rPr>
        <w:t> </w:t>
      </w:r>
      <w:r>
        <w:rPr>
          <w:spacing w:val="-3"/>
        </w:rPr>
        <w:t>对管理层使用持续经营假设的恰当性得出结论。同时，根据获取的审计证据，</w:t>
      </w:r>
      <w:r>
        <w:rPr>
          <w:w w:val="99"/>
        </w:rPr>
        <w:t> </w:t>
      </w:r>
      <w:r>
        <w:rPr/>
        <w:t>就可能导致对新国都技术公司持续经营能力产生重大疑虑的事项或情况是否</w:t>
      </w:r>
      <w:r>
        <w:rPr>
          <w:w w:val="99"/>
        </w:rPr>
        <w:t> </w:t>
      </w:r>
      <w:r>
        <w:rPr/>
        <w:t>存在重大不确定性得出结论。如果我们得出结论认为存在重大不确定性，审</w:t>
      </w:r>
      <w:r>
        <w:rPr>
          <w:w w:val="99"/>
        </w:rPr>
        <w:t> </w:t>
      </w:r>
      <w:r>
        <w:rPr/>
        <w:t>计准则要求我们在审计报告中提请报告使用者注意财务报表中的相关披露；</w:t>
      </w:r>
      <w:r>
        <w:rPr>
          <w:w w:val="99"/>
        </w:rPr>
        <w:t> </w:t>
      </w:r>
      <w:r>
        <w:rPr/>
        <w:t>如果披露不充分，我们应当发表非无保留意见。我们的结论基于截至审计报</w:t>
      </w:r>
      <w:r>
        <w:rPr>
          <w:w w:val="99"/>
        </w:rPr>
        <w:t> </w:t>
      </w:r>
      <w:r>
        <w:rPr/>
        <w:t>告日可获得的信息。然而，未来的事项或情况可能导致新国都技术公司不能</w:t>
      </w:r>
      <w:r>
        <w:rPr>
          <w:w w:val="99"/>
        </w:rPr>
        <w:t> </w:t>
      </w:r>
      <w:r>
        <w:rPr/>
        <w:t>持续经营。</w:t>
      </w:r>
    </w:p>
    <w:p>
      <w:pPr>
        <w:pStyle w:val="Heading3"/>
        <w:spacing w:line="408" w:lineRule="auto" w:before="61"/>
        <w:ind w:right="994" w:hanging="360"/>
        <w:jc w:val="left"/>
      </w:pPr>
      <w:r>
        <w:rPr>
          <w:rFonts w:ascii="宋体" w:hAnsi="宋体" w:cs="宋体" w:eastAsia="宋体" w:hint="default"/>
        </w:rPr>
        <w:t>5.</w:t>
      </w:r>
      <w:r>
        <w:rPr>
          <w:rFonts w:ascii="宋体" w:hAnsi="宋体" w:cs="宋体" w:eastAsia="宋体" w:hint="default"/>
          <w:spacing w:val="-58"/>
        </w:rPr>
        <w:t> </w:t>
      </w:r>
      <w:r>
        <w:rPr/>
        <w:t>评价财务报表的总体列报、结构和内容（包括披露），并评价财务报表是否</w:t>
      </w:r>
      <w:r>
        <w:rPr>
          <w:w w:val="99"/>
        </w:rPr>
        <w:t> </w:t>
      </w:r>
      <w:r>
        <w:rPr/>
        <w:t>公允反映相关交易和事项。</w:t>
      </w:r>
    </w:p>
    <w:p>
      <w:pPr>
        <w:pStyle w:val="Heading3"/>
        <w:spacing w:line="408" w:lineRule="auto" w:before="61"/>
        <w:ind w:right="987" w:hanging="360"/>
        <w:jc w:val="left"/>
      </w:pPr>
      <w:r>
        <w:rPr>
          <w:rFonts w:ascii="宋体" w:hAnsi="宋体" w:cs="宋体" w:eastAsia="宋体" w:hint="default"/>
        </w:rPr>
        <w:t>6.</w:t>
      </w:r>
      <w:r>
        <w:rPr>
          <w:rFonts w:ascii="宋体" w:hAnsi="宋体" w:cs="宋体" w:eastAsia="宋体" w:hint="default"/>
          <w:spacing w:val="-72"/>
        </w:rPr>
        <w:t> </w:t>
      </w:r>
      <w:r>
        <w:rPr>
          <w:spacing w:val="-3"/>
        </w:rPr>
        <w:t>就新国都技术公司中实体或业务活动的财务信息获取充分、适当的审计证据，</w:t>
      </w:r>
      <w:r>
        <w:rPr>
          <w:w w:val="99"/>
        </w:rPr>
        <w:t> </w:t>
      </w:r>
      <w:r>
        <w:rPr/>
        <w:t>以对合并财务报表发表意见。我们负责指导、监督和执行集团审计，并对审</w:t>
      </w:r>
      <w:r>
        <w:rPr>
          <w:w w:val="99"/>
        </w:rPr>
        <w:t> </w:t>
      </w:r>
      <w:r>
        <w:rPr/>
        <w:t>计意见承担全部责任。</w:t>
      </w:r>
    </w:p>
    <w:p>
      <w:pPr>
        <w:pStyle w:val="Heading3"/>
        <w:spacing w:line="408" w:lineRule="auto" w:before="61"/>
        <w:ind w:left="1133" w:right="1137"/>
        <w:jc w:val="left"/>
      </w:pPr>
      <w:r>
        <w:rPr>
          <w:spacing w:val="3"/>
        </w:rPr>
        <w:t>我们与治理层就计划的审计范围、时间安排和重大审计发现等事项进行沟</w:t>
      </w:r>
      <w:r>
        <w:rPr>
          <w:w w:val="99"/>
        </w:rPr>
        <w:t> </w:t>
      </w:r>
      <w:r>
        <w:rPr/>
        <w:t>通，包括沟通我们在审计中识别出的值得关注的内部控制缺陷。</w:t>
      </w:r>
    </w:p>
    <w:p>
      <w:pPr>
        <w:pStyle w:val="Heading3"/>
        <w:spacing w:line="408" w:lineRule="auto" w:before="62"/>
        <w:ind w:left="1133" w:right="1131"/>
        <w:jc w:val="left"/>
      </w:pPr>
      <w:r>
        <w:rPr>
          <w:spacing w:val="3"/>
        </w:rPr>
        <w:t>我们还就已遵守与独立性相关的职业道德要求向治理层提供声明，并与治</w:t>
      </w:r>
      <w:r>
        <w:rPr>
          <w:w w:val="99"/>
        </w:rPr>
        <w:t> </w:t>
      </w:r>
      <w:r>
        <w:rPr>
          <w:spacing w:val="3"/>
        </w:rPr>
        <w:t>理层沟通可能被合理认为影响我们独立性的所有关系和其他事项，以及相关的</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3"/>
        <w:spacing w:line="408" w:lineRule="auto" w:before="13"/>
        <w:ind w:left="1694" w:right="1136" w:hanging="561"/>
        <w:jc w:val="left"/>
      </w:pPr>
      <w:r>
        <w:rPr/>
        <w:t>防范措施（如适用）。</w:t>
      </w:r>
      <w:r>
        <w:rPr>
          <w:w w:val="99"/>
        </w:rPr>
        <w:t> </w:t>
      </w:r>
      <w:r>
        <w:rPr>
          <w:spacing w:val="3"/>
        </w:rPr>
        <w:t>从与治理层沟通过的事项中，我们确定哪些事项对本期财务报表审计最为</w:t>
      </w:r>
    </w:p>
    <w:p>
      <w:pPr>
        <w:pStyle w:val="Heading3"/>
        <w:spacing w:line="408" w:lineRule="auto" w:before="62"/>
        <w:ind w:left="1133" w:right="1128" w:firstLine="0"/>
        <w:jc w:val="both"/>
      </w:pPr>
      <w:r>
        <w:rPr>
          <w:spacing w:val="3"/>
        </w:rPr>
        <w:t>重要，因而构成关键审计事项。我们在审计报告中描述这些事项，除非法律法</w:t>
      </w:r>
      <w:r>
        <w:rPr>
          <w:w w:val="99"/>
        </w:rPr>
        <w:t> </w:t>
      </w:r>
      <w:r>
        <w:rPr>
          <w:spacing w:val="3"/>
        </w:rPr>
        <w:t>规禁止公开披露这些事项，或在极少数情形下，如果合理预期在审计报告中沟</w:t>
      </w:r>
      <w:r>
        <w:rPr>
          <w:spacing w:val="-135"/>
        </w:rPr>
        <w:t> </w:t>
      </w:r>
      <w:r>
        <w:rPr>
          <w:spacing w:val="-135"/>
        </w:rPr>
      </w:r>
      <w:r>
        <w:rPr>
          <w:spacing w:val="3"/>
        </w:rPr>
        <w:t>通某事项造成的负面后果超过在公众利益方面产生的益处，我们确定不应在审</w:t>
      </w:r>
      <w:r>
        <w:rPr>
          <w:w w:val="99"/>
        </w:rPr>
        <w:t> </w:t>
      </w:r>
      <w:r>
        <w:rPr/>
        <w:t>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tbl>
      <w:tblPr>
        <w:tblW w:w="0" w:type="auto"/>
        <w:jc w:val="left"/>
        <w:tblInd w:w="1243" w:type="dxa"/>
        <w:tblLayout w:type="fixed"/>
        <w:tblCellMar>
          <w:top w:w="0" w:type="dxa"/>
          <w:left w:w="0" w:type="dxa"/>
          <w:bottom w:w="0" w:type="dxa"/>
          <w:right w:w="0" w:type="dxa"/>
        </w:tblCellMar>
        <w:tblLook w:val="01E0"/>
      </w:tblPr>
      <w:tblGrid>
        <w:gridCol w:w="4471"/>
        <w:gridCol w:w="3863"/>
      </w:tblGrid>
      <w:tr>
        <w:trPr>
          <w:trHeight w:val="2389" w:hRule="exact"/>
        </w:trPr>
        <w:tc>
          <w:tcPr>
            <w:tcW w:w="4471" w:type="dxa"/>
            <w:tcBorders>
              <w:top w:val="nil" w:sz="6" w:space="0" w:color="auto"/>
              <w:left w:val="nil" w:sz="6" w:space="0" w:color="auto"/>
              <w:bottom w:val="nil" w:sz="6" w:space="0" w:color="auto"/>
              <w:right w:val="nil" w:sz="6" w:space="0" w:color="auto"/>
            </w:tcBorders>
          </w:tcPr>
          <w:p>
            <w:pPr>
              <w:pStyle w:val="TableParagraph"/>
              <w:spacing w:line="301" w:lineRule="exact"/>
              <w:ind w:left="34" w:right="0"/>
              <w:jc w:val="center"/>
              <w:rPr>
                <w:rFonts w:ascii="Times New Roman" w:hAnsi="Times New Roman" w:cs="Times New Roman" w:eastAsia="Times New Roman" w:hint="default"/>
                <w:sz w:val="28"/>
                <w:szCs w:val="28"/>
              </w:rPr>
            </w:pPr>
            <w:r>
              <w:rPr>
                <w:rFonts w:ascii="宋体" w:hAnsi="宋体" w:cs="宋体" w:eastAsia="宋体" w:hint="default"/>
                <w:sz w:val="28"/>
                <w:szCs w:val="28"/>
              </w:rPr>
              <w:t>大华会计师事务所</w:t>
            </w:r>
            <w:r>
              <w:rPr>
                <w:rFonts w:ascii="Times New Roman" w:hAnsi="Times New Roman" w:cs="Times New Roman" w:eastAsia="Times New Roman" w:hint="default"/>
                <w:sz w:val="28"/>
                <w:szCs w:val="28"/>
              </w:rPr>
              <w:t>(</w:t>
            </w:r>
            <w:r>
              <w:rPr>
                <w:rFonts w:ascii="宋体" w:hAnsi="宋体" w:cs="宋体" w:eastAsia="宋体" w:hint="default"/>
                <w:sz w:val="28"/>
                <w:szCs w:val="28"/>
              </w:rPr>
              <w:t>特殊普通合伙</w:t>
            </w:r>
            <w:r>
              <w:rPr>
                <w:rFonts w:ascii="Times New Roman" w:hAnsi="Times New Roman" w:cs="Times New Roman" w:eastAsia="Times New Roman" w:hint="default"/>
                <w:sz w:val="28"/>
                <w:szCs w:val="28"/>
              </w:rPr>
              <w:t>)</w:t>
            </w:r>
          </w:p>
        </w:tc>
        <w:tc>
          <w:tcPr>
            <w:tcW w:w="3863" w:type="dxa"/>
            <w:tcBorders>
              <w:top w:val="nil" w:sz="6" w:space="0" w:color="auto"/>
              <w:left w:val="nil" w:sz="6" w:space="0" w:color="auto"/>
              <w:bottom w:val="nil" w:sz="6" w:space="0" w:color="auto"/>
              <w:right w:val="nil" w:sz="6" w:space="0" w:color="auto"/>
            </w:tcBorders>
          </w:tcPr>
          <w:p>
            <w:pPr>
              <w:pStyle w:val="TableParagraph"/>
              <w:spacing w:line="280" w:lineRule="exact"/>
              <w:ind w:left="585" w:right="0" w:hanging="10"/>
              <w:jc w:val="left"/>
              <w:rPr>
                <w:rFonts w:ascii="宋体" w:hAnsi="宋体" w:cs="宋体" w:eastAsia="宋体" w:hint="default"/>
                <w:sz w:val="28"/>
                <w:szCs w:val="28"/>
              </w:rPr>
            </w:pPr>
            <w:r>
              <w:rPr>
                <w:rFonts w:ascii="宋体" w:hAnsi="宋体" w:cs="宋体" w:eastAsia="宋体" w:hint="default"/>
                <w:sz w:val="28"/>
                <w:szCs w:val="28"/>
              </w:rPr>
              <w:t>中国注册会计师：刘高科</w:t>
            </w: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85" w:right="0"/>
              <w:jc w:val="left"/>
              <w:rPr>
                <w:rFonts w:ascii="宋体" w:hAnsi="宋体" w:cs="宋体" w:eastAsia="宋体" w:hint="default"/>
                <w:sz w:val="28"/>
                <w:szCs w:val="28"/>
              </w:rPr>
            </w:pPr>
            <w:r>
              <w:rPr>
                <w:rFonts w:ascii="宋体" w:hAnsi="宋体" w:cs="宋体" w:eastAsia="宋体" w:hint="default"/>
                <w:sz w:val="28"/>
                <w:szCs w:val="28"/>
              </w:rPr>
              <w:t>中国注册会计师：周灵芝</w:t>
            </w:r>
          </w:p>
          <w:p>
            <w:pPr>
              <w:pStyle w:val="TableParagraph"/>
              <w:spacing w:line="240" w:lineRule="auto"/>
              <w:ind w:right="0"/>
              <w:jc w:val="left"/>
              <w:rPr>
                <w:rFonts w:ascii="宋体" w:hAnsi="宋体" w:cs="宋体" w:eastAsia="宋体" w:hint="default"/>
                <w:sz w:val="28"/>
                <w:szCs w:val="28"/>
              </w:rPr>
            </w:pPr>
          </w:p>
          <w:p>
            <w:pPr>
              <w:pStyle w:val="TableParagraph"/>
              <w:spacing w:line="240" w:lineRule="auto"/>
              <w:ind w:right="0"/>
              <w:jc w:val="left"/>
              <w:rPr>
                <w:rFonts w:ascii="宋体" w:hAnsi="宋体" w:cs="宋体" w:eastAsia="宋体" w:hint="default"/>
                <w:sz w:val="28"/>
                <w:szCs w:val="28"/>
              </w:rPr>
            </w:pPr>
          </w:p>
          <w:p>
            <w:pPr>
              <w:pStyle w:val="TableParagraph"/>
              <w:spacing w:line="240" w:lineRule="auto" w:before="188"/>
              <w:ind w:left="165" w:right="0"/>
              <w:jc w:val="left"/>
              <w:rPr>
                <w:rFonts w:ascii="宋体" w:hAnsi="宋体" w:cs="宋体" w:eastAsia="宋体" w:hint="default"/>
                <w:sz w:val="28"/>
                <w:szCs w:val="28"/>
              </w:rPr>
            </w:pPr>
            <w:r>
              <w:rPr>
                <w:rFonts w:ascii="宋体" w:hAnsi="宋体" w:cs="宋体" w:eastAsia="宋体" w:hint="default"/>
                <w:sz w:val="28"/>
                <w:szCs w:val="28"/>
              </w:rPr>
              <w:t>二〇一八年三月二十日</w:t>
            </w:r>
          </w:p>
        </w:tc>
      </w:tr>
      <w:tr>
        <w:trPr>
          <w:trHeight w:val="482" w:hRule="exact"/>
        </w:trPr>
        <w:tc>
          <w:tcPr>
            <w:tcW w:w="447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3" w:right="0"/>
              <w:jc w:val="center"/>
              <w:rPr>
                <w:rFonts w:ascii="宋体" w:hAnsi="宋体" w:cs="宋体" w:eastAsia="宋体" w:hint="default"/>
                <w:sz w:val="28"/>
                <w:szCs w:val="28"/>
              </w:rPr>
            </w:pPr>
            <w:r>
              <w:rPr>
                <w:rFonts w:ascii="宋体" w:hAnsi="宋体" w:cs="宋体" w:eastAsia="宋体" w:hint="default"/>
                <w:sz w:val="28"/>
                <w:szCs w:val="28"/>
              </w:rPr>
              <w:t>中国</w:t>
            </w:r>
            <w:r>
              <w:rPr>
                <w:rFonts w:ascii="Times New Roman" w:hAnsi="Times New Roman" w:cs="Times New Roman" w:eastAsia="Times New Roman" w:hint="default"/>
                <w:b/>
                <w:bCs/>
                <w:sz w:val="28"/>
                <w:szCs w:val="28"/>
              </w:rPr>
              <w:t>·</w:t>
            </w:r>
            <w:r>
              <w:rPr>
                <w:rFonts w:ascii="宋体" w:hAnsi="宋体" w:cs="宋体" w:eastAsia="宋体" w:hint="default"/>
                <w:sz w:val="28"/>
                <w:szCs w:val="28"/>
              </w:rPr>
              <w:t>北京</w:t>
            </w:r>
          </w:p>
        </w:tc>
        <w:tc>
          <w:tcPr>
            <w:tcW w:w="386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286" w:right="0"/>
              <w:jc w:val="left"/>
              <w:rPr>
                <w:rFonts w:ascii="宋体" w:hAnsi="宋体" w:cs="宋体" w:eastAsia="宋体" w:hint="default"/>
                <w:sz w:val="28"/>
                <w:szCs w:val="28"/>
              </w:rPr>
            </w:pPr>
            <w:r>
              <w:rPr>
                <w:rFonts w:ascii="宋体" w:hAnsi="宋体" w:cs="宋体" w:eastAsia="宋体" w:hint="default"/>
                <w:sz w:val="28"/>
                <w:szCs w:val="28"/>
              </w:rPr>
              <w:t>（项目合伙人）</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Heading4"/>
        <w:spacing w:line="240" w:lineRule="auto" w:before="26"/>
        <w:ind w:left="1134" w:right="994"/>
        <w:jc w:val="left"/>
        <w:rPr>
          <w:b w:val="0"/>
          <w:bCs w:val="0"/>
        </w:rPr>
      </w:pPr>
      <w:bookmarkStart w:name="二、财务报表" w:id="167"/>
      <w:bookmarkEnd w:id="16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94"/>
        <w:jc w:val="left"/>
      </w:pPr>
      <w:r>
        <w:rPr/>
        <w:t>财务附注中报表的单位为：人民币元</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1、合并资产负债表" w:id="168"/>
      <w:bookmarkEnd w:id="16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ind w:right="-19"/>
        <w:jc w:val="left"/>
      </w:pPr>
      <w:r>
        <w:rPr/>
        <w:t>编制单位：深圳市新国都技术股份有限公司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617" w:right="-17"/>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单位：元</w:t>
      </w:r>
    </w:p>
    <w:p>
      <w:pPr>
        <w:spacing w:after="0" w:line="240" w:lineRule="auto"/>
        <w:jc w:val="center"/>
        <w:sectPr>
          <w:type w:val="continuous"/>
          <w:pgSz w:w="11910" w:h="16840"/>
          <w:pgMar w:top="1060" w:bottom="1160" w:left="0" w:right="0"/>
          <w:cols w:num="3" w:equalWidth="0">
            <w:col w:w="4555" w:space="40"/>
            <w:col w:w="210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06" w:right="0"/>
              <w:jc w:val="left"/>
              <w:rPr>
                <w:rFonts w:ascii="Times New Roman" w:hAnsi="Times New Roman" w:cs="Times New Roman" w:eastAsia="Times New Roman" w:hint="default"/>
                <w:sz w:val="18"/>
                <w:szCs w:val="18"/>
              </w:rPr>
            </w:pPr>
            <w:r>
              <w:rPr>
                <w:rFonts w:ascii="Times New Roman"/>
                <w:sz w:val="18"/>
              </w:rPr>
              <w:t>1,120,243,314.79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43" w:right="0"/>
              <w:jc w:val="left"/>
              <w:rPr>
                <w:rFonts w:ascii="Times New Roman" w:hAnsi="Times New Roman" w:cs="Times New Roman" w:eastAsia="Times New Roman" w:hint="default"/>
                <w:sz w:val="18"/>
                <w:szCs w:val="18"/>
              </w:rPr>
            </w:pPr>
            <w:r>
              <w:rPr>
                <w:rFonts w:ascii="Times New Roman"/>
                <w:sz w:val="18"/>
              </w:rPr>
              <w:t>576,199,962.02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60,493,617.42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13,739,046.00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424,972,668.13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276,804,932.95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12,336,612.33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7,601,070.22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1,016,406.63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433,364.32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15,005,969.17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41,379,188.48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252,443,529.00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160,305,351.77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489,269,960.76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28,569,773.35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20,115,055.42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2,413,351,851.58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1,096,577,971.18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50,240,000.00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525,931,836.09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390,466,584.22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402,718,815.18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55,498,153.32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68,893,899.69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603,758,411.05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609,206,176.32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6,620,336.18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8,256,061.95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22,582,058.09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34,108,402.04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352,027,161.61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824,850.00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1,480,952,704.47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1,700,180,041.27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3,894,304,556.05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2,796,758,012.45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674,032,183.33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17,179,084.73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129,311,591.65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106,689,862.32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272,799,255.73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134,052,156.18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17,011,665.74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24,525,312.58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17,629,444.02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34,508,849.66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28,175,192.47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19,167,347.26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17,369,176.46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16,177,777.81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22,773,414.57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452,219,715.36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1,239,101,923.97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824,520,105.90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398,330,615.41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397,154,334.33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21,757,320.76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21,780,287.15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4,854,817.31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6,982,456.05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634,942,753.48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495,917,077.53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1,874,044,677.45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1,320,437,183.43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265,446,380.00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235,434,080.00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1,132,954,181.74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667,676,162.93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-9,690,994.36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-119,750.39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48,695,781.99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25,650,332.28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561,294,229.19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526,534,530.51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1,998,699,578.56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1,455,175,355.33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21,560,300.04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21,145,473.69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2,020,259,878.60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1,476,320,829.02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3,894,304,556.05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2,796,758,012.45</w:t>
            </w:r>
          </w:p>
        </w:tc>
      </w:tr>
    </w:tbl>
    <w:p>
      <w:pPr>
        <w:spacing w:line="240" w:lineRule="auto" w:before="3"/>
        <w:rPr>
          <w:rFonts w:ascii="Times New Roman" w:hAnsi="Times New Roman" w:cs="Times New Roman" w:eastAsia="Times New Roman" w:hint="default"/>
          <w:sz w:val="23"/>
          <w:szCs w:val="23"/>
        </w:rPr>
      </w:pPr>
    </w:p>
    <w:p>
      <w:pPr>
        <w:pStyle w:val="BodyText"/>
        <w:tabs>
          <w:tab w:pos="3510" w:val="left" w:leader="none"/>
          <w:tab w:pos="7741" w:val="left" w:leader="none"/>
        </w:tabs>
        <w:spacing w:line="240" w:lineRule="auto"/>
        <w:ind w:left="0" w:right="1229"/>
        <w:jc w:val="right"/>
      </w:pPr>
      <w:r>
        <w:rPr/>
        <w:t>法定代表人：刘祥</w:t>
        <w:tab/>
        <w:t>主管会计工作负责人：赵辉</w:t>
        <w:tab/>
        <w:t>会计机构负责人：赵辉</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2、母公司资产负债表" w:id="169"/>
      <w:bookmarkEnd w:id="16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572,739,266.84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176,599,206.68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4,681,069.00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49,459,435.51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110,402,681.80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2,240,171.96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998,430.00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2,652.05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47,120,119.52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42,661,909.49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233,876.25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489,269,960.76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5,283,028.80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9,348,591.10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1,175,345,859.64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344,694,540.12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11,145,918.82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6,720,595.75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1,876,273,539.18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2,365,747,142.15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23,625,743.88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21,761,591.70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3,369,115.59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2,053,309.88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1,572,139.12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3,149,397.17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350,279,031.00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824,850.00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2,316,265,487.59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2,450,256,886.65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3,491,611,347.23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2,794,951,426.77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409,100,000.03</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21,829,991.12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224,132,402.38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5,575,750.96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9,751,509.25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309,818.00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8,740,671.18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912,700.93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1,629,481.88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17,178,380.63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16,177,777.81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560,650,245.68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936,644,682.84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1,075,556,887.35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1,217,076,525.34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398,330,615.41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397,154,334.33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15,753,628.13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20,455,287.15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624,084,243.54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487,609,621.48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1,699,641,130.89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1,704,686,146.82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265,446,380.00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235,434,080.00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1,131,649,287.87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666,371,268.52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-9,628,574.80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282,596.85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48,695,781.99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25,650,332.28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355,807,341.28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162,527,002.30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1,791,970,216.34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1,090,265,279.95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3,491,611,347.23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2,794,951,426.77</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134" w:right="994"/>
        <w:jc w:val="left"/>
        <w:rPr>
          <w:b w:val="0"/>
          <w:bCs w:val="0"/>
        </w:rPr>
      </w:pPr>
      <w:bookmarkStart w:name="3、合并利润表" w:id="170"/>
      <w:bookmarkEnd w:id="17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1,236,913,539.17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1,126,545,907.37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1,236,913,539.17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1,126,545,907.37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1,205,706,372.58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1,113,668,738.40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758,368,608.25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636,671,852.53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13,734,254.04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12,791,119.89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113,547,239.45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125,210,095.85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261,442,895.38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266,694,943.29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28,638,650.76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35,396,458.11</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29,974,724.70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36,904,268.73</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-121,378.09</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73"/>
              <w:jc w:val="righ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448,224.27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46,272,338.41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126.29998pt;width:157.7pt;height:19.650pt;mso-position-horizontal-relative:page;mso-position-vertical-relative:page;z-index:-1159072" coordorigin="4242,2526" coordsize="3154,393">
            <v:shape style="position:absolute;left:4242;top:2526;width:3154;height:393" coordorigin="4242,2526" coordsize="3154,393" path="m4242,2919l7396,2919,7396,2526,4242,2526,4242,2919xe" filled="true" fillcolor="#ffffff" stroked="false">
              <v:path arrowok="t"/>
              <v:fill type="solid"/>
            </v:shape>
            <w10:wrap type="none"/>
          </v:group>
        </w:pict>
      </w:r>
      <w:r>
        <w:rPr/>
        <w:pict>
          <v:group style="position:absolute;margin-left:212.119995pt;margin-top:262.519989pt;width:157.7pt;height:19.650pt;mso-position-horizontal-relative:page;mso-position-vertical-relative:page;z-index:-1159048" coordorigin="4242,5250" coordsize="3154,393">
            <v:shape style="position:absolute;left:4242;top:5250;width:3154;height:393" coordorigin="4242,5250" coordsize="3154,393" path="m4242,5643l7396,5643,7396,5250,4242,5250,4242,564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1108"/>
        <w:gridCol w:w="2103"/>
        <w:gridCol w:w="3278"/>
      </w:tblGrid>
      <w:tr>
        <w:trPr>
          <w:trHeight w:val="36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-685,771.41</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15,762,405.16</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777,584.50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62,543,851.26</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94,976,826.62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59,028,129.29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346,674.93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76,959,573.09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1,868,646.44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927,071.46</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8"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5" w:right="0"/>
              <w:jc w:val="left"/>
              <w:rPr>
                <w:rFonts w:ascii="Times New Roman" w:hAnsi="Times New Roman" w:cs="Times New Roman" w:eastAsia="Times New Roman" w:hint="default"/>
                <w:sz w:val="18"/>
                <w:szCs w:val="18"/>
              </w:rPr>
            </w:pPr>
            <w:r>
              <w:rPr>
                <w:rFonts w:ascii="Times New Roman"/>
                <w:sz w:val="18"/>
              </w:rPr>
              <w:t>93,454,855.11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135,060,630.92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21,523,195.28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-9,247,344.22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71,931,659.83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144,307,975.14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73,772,314.73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144,307,975.14</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71,933,856.89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139,021,692.71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-2,197.06</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5,286,282.43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-9,571,243.97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-32,012.97</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-9,571,243.97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-32,012.97</w:t>
            </w:r>
            <w:r>
              <w:rPr>
                <w:rFonts w:ascii="Times New Roman"/>
                <w:sz w:val="18"/>
              </w:rPr>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-9,571,243.97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-32,012.97</w:t>
            </w:r>
            <w:r>
              <w:rPr>
                <w:rFonts w:ascii="Times New Roman"/>
                <w:sz w:val="18"/>
              </w:rPr>
            </w: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-9,911,171.65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282,596.85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持有至到期投资重分类为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36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339,927.68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-314,609.82</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62,360,415.86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144,275,962.17</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62,362,612.92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138,989,679.74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-2,197.06</w:t>
            </w:r>
            <w:r>
              <w:rPr>
                <w:rFonts w:ascii="Times New Roman"/>
                <w:sz w:val="18"/>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5,286,282.43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0.60</w:t>
            </w:r>
          </w:p>
        </w:tc>
      </w:tr>
    </w:tbl>
    <w:p>
      <w:pPr>
        <w:pStyle w:val="BodyText"/>
        <w:tabs>
          <w:tab w:pos="4644" w:val="left" w:leader="none"/>
          <w:tab w:pos="8875" w:val="left" w:leader="none"/>
        </w:tabs>
        <w:spacing w:line="592" w:lineRule="auto" w:before="51"/>
        <w:ind w:right="1229"/>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法定代表人：刘祥</w:t>
        <w:tab/>
        <w:t>主管会计工作负责人：赵辉</w:t>
        <w:tab/>
        <w:t>会计机构负责人：赵辉 </w:t>
      </w:r>
      <w:bookmarkStart w:name="4、母公司利润表" w:id="171"/>
      <w:bookmarkEnd w:id="17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139,998,937.33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408,914,116.67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104,928,331.81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297,482,928.99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992,518.80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1,777,624.25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2,170,514.61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18,701,299.97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47,365,968.83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77,287,776.87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25,878,459.22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33,190,022.86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23,103,620.15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39,544,225.10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-24,547.95</w:t>
            </w:r>
            <w:r>
              <w:rPr>
                <w:rFonts w:ascii="Times New Roman"/>
                <w:sz w:val="18"/>
              </w:rPr>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288,048,296.32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53,116,906.78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-685,771.41</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15,762,405.16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777,584.50</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6,959,423.30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231,344,828.03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-5,977,402.54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23,083,386.88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893,331.33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320,915.01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230,454,497.19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16,785,069.33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7,139,392.70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230,454,497.19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9,645,676.63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230,454,497.19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9,645,676.63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-9,911,171.65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282,596.85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-9,911,171.65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282,596.85</w:t>
            </w: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-9,911,171.65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282,596.85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220,543,325.54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9,928,273.48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5"/>
        <w:ind w:right="994"/>
        <w:jc w:val="left"/>
        <w:rPr>
          <w:b w:val="0"/>
          <w:bCs w:val="0"/>
        </w:rPr>
      </w:pPr>
      <w:bookmarkStart w:name="5、合并现金流量表" w:id="172"/>
      <w:bookmarkEnd w:id="17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1,216,282,840.09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1,417,276,532.69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41,347,328.81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61,988,659.29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29,023,987.69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17,766,851.45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1,286,654,156.59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1,497,032,043.43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758,072,466.34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802,666,768.59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245,959,207.51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220,330,174.63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87,076,576.76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111,587,328.04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148,452,024.23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106,135,854.18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1,239,560,274.84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1,240,720,125.44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47,093,881.75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256,311,917.99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24,193,626.58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14,245,301.37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1,350,030.00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43,999,865.42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485,155,077.00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111,875,089.05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524,944,034.95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155,874,954.47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43,640,094.02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35,268,748.23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751,460,199.90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90,794,048.32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1,295,100,293.92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733,562,796.55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-770,156,258.97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-577,687,842.08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483,346,367.98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45,249,845.20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869,629,418.50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19,170,447.72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41,879,220.03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1,372,146,234.20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879,129,065.23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37,145,940.50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337,418,163.12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48,092,151.10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33,017,461.08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32,797,349.21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37,478,342.65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118,035,440.81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407,913,966.85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1,254,110,793.39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471,215,098.38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-67,482.55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-28,438.24</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530,980,933.62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149,810,736.05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538,633,929.22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388,823,193.17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1,069,614,862.84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538,633,929.22</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134" w:right="994"/>
        <w:jc w:val="left"/>
        <w:rPr>
          <w:b w:val="0"/>
          <w:bCs w:val="0"/>
        </w:rPr>
      </w:pPr>
      <w:bookmarkStart w:name="6、母公司现金流量表" w:id="173"/>
      <w:bookmarkEnd w:id="17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214,098,438.48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635,716,135.42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3,246.37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10,941,014.56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1,036,351,437.31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857,073,541.68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1,250,453,122.16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1,503,730,691.66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292,901,800.73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530,258,986.24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58,467,833.82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85,828,620.28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399,938.77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17,502,717.10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1,018,716,790.31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686,142,480.76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1,370,486,363.63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1,319,732,804.38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-120,033,241.47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183,997,887.28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301,699,000.00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1,350,030.00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53,345,031.84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10,034,904.11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787,149,030.00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63,379,935.95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5,657,042.42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4,733,417.93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125,200,000.00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464,425,323.07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1,270,082,365.49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834,433,417.93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-482,933,335.49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-771,053,481.98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482,946,367.98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33,249,845.20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641,314.34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40,934,854.97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1,063,587,682.32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850,184,700.17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42,081,045.20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28,822,499.50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32,075,050.34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94,156,095.54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370,822,499.50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969,431,586.78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479,362,200.67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366,465,009.82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-107,693,260.63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170,973,037.98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278,666,298.61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537,438,047.80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170,973,037.98</w:t>
            </w:r>
          </w:p>
        </w:tc>
      </w:tr>
    </w:tbl>
    <w:p>
      <w:pPr>
        <w:spacing w:line="240" w:lineRule="auto" w:before="3"/>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7、合并所有者权益变动表" w:id="174"/>
      <w:bookmarkEnd w:id="17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994"/>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235,43</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4,080.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667,676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,162.93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-119,75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0.39</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25,650,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332.28</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526,534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,530.51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21,145,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473.69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20,829.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235,43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4,080.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667,676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,162.93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-119,75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25,650,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332.28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526,534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,530.51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21,145,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473.69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20,829.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465,278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,018.81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-9,571,2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43.97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23,045,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449.71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34,759,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698.68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414,826</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543,939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,049.58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-9,571,2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43.97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71,933,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856.89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-2,197.0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62,360,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415.86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465,278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,018.81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417,023</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.41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495,707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,342.22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476,039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,955.86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506,452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,255.86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12,343,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950.83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12,360,</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974.24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-23,105,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887.88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-23,105,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887.88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23,045,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449.71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-37,174,</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158.21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-14,128,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708.50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23,045,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449.71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23,045,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449.71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-14,128,</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708.50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-14,128,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708.50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265,44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6,380.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1,132,9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54,181.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-9,690,9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94.36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48,695,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781.99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561,294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,229.19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21,560,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300.04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59,878.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r>
    </w:tbl>
    <w:p>
      <w:pPr>
        <w:pStyle w:val="BodyText"/>
        <w:spacing w:line="240" w:lineRule="auto" w:before="51"/>
        <w:ind w:left="1134" w:right="994"/>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231,02</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1,360.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606,706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,549.26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-87,737.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24,685,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764.62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400,028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,473.46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3,834,6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27.90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1,266,1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89,037.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231,02</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1,360.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606,706</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,549.26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-87,737.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24,685,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764.62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400,028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,473.46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3,834,6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27.90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1,266,1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89,037.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82</w:t>
            </w:r>
          </w:p>
        </w:tc>
      </w:tr>
      <w:tr>
        <w:trPr>
          <w:trHeight w:val="391"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4,412,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720.00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60,969,</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613.67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964,567</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126,506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,057.05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17,310,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845.79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210,131</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,791.20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-32,012.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139,021</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,692.71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5,286,2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82.43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left"/>
              <w:rPr>
                <w:rFonts w:ascii="Times New Roman" w:hAnsi="Times New Roman" w:cs="Times New Roman" w:eastAsia="Times New Roman" w:hint="default"/>
                <w:sz w:val="18"/>
                <w:szCs w:val="18"/>
              </w:rPr>
            </w:pPr>
            <w:r>
              <w:rPr>
                <w:rFonts w:ascii="Times New Roman"/>
                <w:sz w:val="18"/>
              </w:rPr>
              <w:t>144,275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,962.17</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4,412,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720.00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60,969,</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613.67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12,024,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563.36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77,406,</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897.03</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67" w:right="0"/>
              <w:jc w:val="left"/>
              <w:rPr>
                <w:rFonts w:ascii="Times New Roman" w:hAnsi="Times New Roman" w:cs="Times New Roman" w:eastAsia="Times New Roman" w:hint="default"/>
                <w:sz w:val="18"/>
                <w:szCs w:val="18"/>
              </w:rPr>
            </w:pPr>
            <w:r>
              <w:rPr>
                <w:rFonts w:ascii="Times New Roman"/>
                <w:sz w:val="18"/>
              </w:rPr>
              <w:t>4,412,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720.00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62,342,</w:t>
            </w:r>
          </w:p>
          <w:p>
            <w:pPr>
              <w:pStyle w:val="TableParagraph"/>
              <w:spacing w:line="240" w:lineRule="auto" w:before="105"/>
              <w:ind w:left="137" w:right="0"/>
              <w:jc w:val="left"/>
              <w:rPr>
                <w:rFonts w:ascii="Times New Roman" w:hAnsi="Times New Roman" w:cs="Times New Roman" w:eastAsia="Times New Roman" w:hint="default"/>
                <w:sz w:val="18"/>
                <w:szCs w:val="18"/>
              </w:rPr>
            </w:pPr>
            <w:r>
              <w:rPr>
                <w:rFonts w:ascii="Times New Roman"/>
                <w:sz w:val="18"/>
              </w:rPr>
              <w:t>901.07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9" w:right="0"/>
              <w:jc w:val="left"/>
              <w:rPr>
                <w:rFonts w:ascii="Times New Roman" w:hAnsi="Times New Roman" w:cs="Times New Roman" w:eastAsia="Times New Roman" w:hint="default"/>
                <w:sz w:val="18"/>
                <w:szCs w:val="18"/>
              </w:rPr>
            </w:pPr>
            <w:r>
              <w:rPr>
                <w:rFonts w:ascii="Times New Roman"/>
                <w:sz w:val="18"/>
              </w:rPr>
              <w:t>12,000,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78,755,</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621.07</w:t>
            </w:r>
          </w:p>
        </w:tc>
      </w:tr>
      <w:tr>
        <w:trPr>
          <w:trHeight w:val="71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32,132,</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488.47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24,563.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32,157,</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051.83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-33,505,</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775.87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-33,505,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775.87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964,567</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-12,515,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635.66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-11,551,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068.00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964,567</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-964,56</w:t>
            </w:r>
          </w:p>
          <w:p>
            <w:pPr>
              <w:pStyle w:val="TableParagraph"/>
              <w:spacing w:line="240" w:lineRule="auto" w:before="106"/>
              <w:ind w:left="329" w:right="0"/>
              <w:jc w:val="left"/>
              <w:rPr>
                <w:rFonts w:ascii="Times New Roman" w:hAnsi="Times New Roman" w:cs="Times New Roman" w:eastAsia="Times New Roman" w:hint="default"/>
                <w:sz w:val="18"/>
                <w:szCs w:val="18"/>
              </w:rPr>
            </w:pPr>
            <w:r>
              <w:rPr>
                <w:rFonts w:ascii="Times New Roman"/>
                <w:sz w:val="18"/>
              </w:rPr>
              <w:t>7.66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-11,551,</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068.00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-11,551,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068.00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235,43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4,080.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667,676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,162.93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-119,75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0.39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25,650,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332.28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526,534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,530.51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21,145,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473.69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20,829.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8、母公司所有者权益变动表" w:id="175"/>
      <w:bookmarkEnd w:id="17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994"/>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2"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2"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235,434,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666,371,2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68.52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282,596.8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25,650,33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162,527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,002.30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1,090,265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,279.95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235,434,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666,371,2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68.52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282,596.8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25,650,33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162,527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,002.30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1,090,265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,279.95</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30,012,3</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465,278,0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19.35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-9,911,17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23,045,44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193,280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,338.98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701,704,9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36.39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left"/>
              <w:rPr>
                <w:rFonts w:ascii="Times New Roman" w:hAnsi="Times New Roman" w:cs="Times New Roman" w:eastAsia="Times New Roman" w:hint="default"/>
                <w:sz w:val="18"/>
                <w:szCs w:val="18"/>
              </w:rPr>
            </w:pPr>
            <w:r>
              <w:rPr>
                <w:rFonts w:ascii="Times New Roman"/>
                <w:sz w:val="18"/>
              </w:rPr>
              <w:t>-9,911,17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230,454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,497.19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220,543,3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25.54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30,012,3</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465,278,0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19.35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495,290,3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19.35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30,012,3</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476,039,9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55.86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506,052,2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55.86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12,343,95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12,343,95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1.37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-23,105,8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87.88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-23,105,8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87.88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23,045,44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-37,174,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158.21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-14,128,7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08.50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23,045,44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9.71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-23,045,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449.71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-14,128,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708.50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-14,128,7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08.50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265,446,</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380.00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1,131,649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,287.87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-9,628,57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4.80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48,695,78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355,807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,341.28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1,791,970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,216.34</w:t>
            </w:r>
          </w:p>
        </w:tc>
      </w:tr>
    </w:tbl>
    <w:p>
      <w:pPr>
        <w:pStyle w:val="BodyText"/>
        <w:spacing w:line="240" w:lineRule="auto" w:before="51"/>
        <w:ind w:left="1134" w:right="994"/>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231,021,</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360.00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600,331,5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42.63</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24,685,76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4.62</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58" w:right="0"/>
              <w:jc w:val="left"/>
              <w:rPr>
                <w:rFonts w:ascii="Times New Roman" w:hAnsi="Times New Roman" w:cs="Times New Roman" w:eastAsia="Times New Roman" w:hint="default"/>
                <w:sz w:val="18"/>
                <w:szCs w:val="18"/>
              </w:rPr>
            </w:pPr>
            <w:r>
              <w:rPr>
                <w:rFonts w:ascii="Times New Roman"/>
                <w:sz w:val="18"/>
              </w:rPr>
              <w:t>165,396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,961.33</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4" w:right="0"/>
              <w:jc w:val="center"/>
              <w:rPr>
                <w:rFonts w:ascii="Times New Roman" w:hAnsi="Times New Roman" w:cs="Times New Roman" w:eastAsia="Times New Roman" w:hint="default"/>
                <w:sz w:val="18"/>
                <w:szCs w:val="18"/>
              </w:rPr>
            </w:pPr>
            <w:r>
              <w:rPr>
                <w:rFonts w:ascii="Times New Roman"/>
                <w:sz w:val="18"/>
              </w:rPr>
              <w:t>1,021,435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,628.58</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231,021,</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360.00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600,331,5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42.63</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24,685,76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4.62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165,396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,961.33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1,021,435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,628.58</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4,412,72</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66,039,72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282,596.8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964,567.6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-2,869,9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59.03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68,829,65</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1.37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282,596.8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9,645,6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76.63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9,928,273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.48</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4,412,72</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66,039,72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5.89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70,452,44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5.89</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4,412,72</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62,342,90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66,755,62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1.07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37,202,60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37,202,60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0.69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-33,505,7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75.87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-33,505,7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75.87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964,567.6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-12,515,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635.66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-11,551,0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68.00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964,567.6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-964,56</w:t>
            </w:r>
          </w:p>
          <w:p>
            <w:pPr>
              <w:pStyle w:val="TableParagraph"/>
              <w:spacing w:line="240" w:lineRule="auto" w:before="106"/>
              <w:ind w:left="328" w:right="0"/>
              <w:jc w:val="left"/>
              <w:rPr>
                <w:rFonts w:ascii="Times New Roman" w:hAnsi="Times New Roman" w:cs="Times New Roman" w:eastAsia="Times New Roman" w:hint="default"/>
                <w:sz w:val="18"/>
                <w:szCs w:val="18"/>
              </w:rPr>
            </w:pPr>
            <w:r>
              <w:rPr>
                <w:rFonts w:ascii="Times New Roman"/>
                <w:sz w:val="18"/>
              </w:rPr>
              <w:t>7.66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-11,551,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068.00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-11,551,0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68.00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235,434,</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666,371,2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68.52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282,596.8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25,650,33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162,527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,002.30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1,090,265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,279.95</w:t>
            </w:r>
          </w:p>
        </w:tc>
      </w:tr>
    </w:tbl>
    <w:p>
      <w:pPr>
        <w:spacing w:line="240" w:lineRule="auto" w:before="2"/>
        <w:rPr>
          <w:rFonts w:ascii="宋体" w:hAnsi="宋体" w:cs="宋体" w:eastAsia="宋体" w:hint="default"/>
          <w:sz w:val="18"/>
          <w:szCs w:val="18"/>
        </w:rPr>
      </w:pPr>
    </w:p>
    <w:p>
      <w:pPr>
        <w:pStyle w:val="Heading4"/>
        <w:spacing w:line="240" w:lineRule="auto" w:before="26"/>
        <w:ind w:left="1134" w:right="994"/>
        <w:jc w:val="left"/>
        <w:rPr>
          <w:b w:val="0"/>
          <w:bCs w:val="0"/>
        </w:rPr>
      </w:pPr>
      <w:bookmarkStart w:name="三、公司基本情况" w:id="176"/>
      <w:bookmarkEnd w:id="176"/>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1492" w:right="994"/>
        <w:jc w:val="left"/>
        <w:rPr>
          <w:b w:val="0"/>
          <w:bCs w:val="0"/>
        </w:rPr>
      </w:pPr>
      <w:r>
        <w:rPr>
          <w:rFonts w:ascii="Times New Roman" w:hAnsi="Times New Roman" w:cs="Times New Roman" w:eastAsia="Times New Roman" w:hint="default"/>
        </w:rPr>
        <w:t>1.</w:t>
      </w:r>
      <w:r>
        <w:rPr/>
        <w:t>公司历史沿革</w:t>
      </w:r>
      <w:r>
        <w:rPr>
          <w:b w:val="0"/>
          <w:bCs w:val="0"/>
        </w:rPr>
      </w:r>
    </w:p>
    <w:p>
      <w:pPr>
        <w:pStyle w:val="Heading6"/>
        <w:spacing w:line="256" w:lineRule="auto" w:before="141"/>
        <w:ind w:right="994"/>
        <w:jc w:val="left"/>
      </w:pPr>
      <w:r>
        <w:rPr/>
        <w:t>深圳市新国都技术股份有限公司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前身为深圳市新国都技术有限公司（以 </w:t>
      </w:r>
      <w:r>
        <w:rPr>
          <w:spacing w:val="-3"/>
        </w:rPr>
        <w:t>下简称</w:t>
      </w:r>
      <w:r>
        <w:rPr>
          <w:rFonts w:ascii="Times New Roman" w:hAnsi="Times New Roman" w:cs="Times New Roman" w:eastAsia="Times New Roman" w:hint="default"/>
          <w:spacing w:val="-3"/>
        </w:rPr>
        <w:t>“</w:t>
      </w:r>
      <w:r>
        <w:rPr>
          <w:spacing w:val="-3"/>
        </w:rPr>
        <w:t>新国都技术</w:t>
      </w:r>
      <w:r>
        <w:rPr>
          <w:rFonts w:ascii="Times New Roman" w:hAnsi="Times New Roman" w:cs="Times New Roman" w:eastAsia="Times New Roman" w:hint="default"/>
          <w:spacing w:val="-3"/>
        </w:rPr>
        <w:t>”</w:t>
      </w:r>
      <w:r>
        <w:rPr>
          <w:spacing w:val="-3"/>
        </w:rPr>
        <w:t>），于</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31</w:t>
      </w:r>
      <w:r>
        <w:rPr>
          <w:spacing w:val="-3"/>
        </w:rPr>
        <w:t>日经深圳市工商行政管理局批准成立，由刘祥、刘亚和深圳市奥格</w:t>
      </w:r>
      <w:r>
        <w:rPr>
          <w:spacing w:val="-64"/>
        </w:rPr>
        <w:t> </w:t>
      </w:r>
      <w:r>
        <w:rPr>
          <w:spacing w:val="-64"/>
        </w:rPr>
      </w:r>
      <w:r>
        <w:rPr/>
        <w:t>立电子科技有限公司共同出资组建，注册资本为人民币</w:t>
      </w:r>
      <w:r>
        <w:rPr>
          <w:rFonts w:ascii="Times New Roman" w:hAnsi="Times New Roman" w:cs="Times New Roman" w:eastAsia="Times New Roman" w:hint="default"/>
        </w:rPr>
        <w:t>300.00</w:t>
      </w:r>
      <w:r>
        <w:rPr/>
        <w:t>万元，其中刘祥出资人民币</w:t>
      </w:r>
      <w:r>
        <w:rPr>
          <w:rFonts w:ascii="Times New Roman" w:hAnsi="Times New Roman" w:cs="Times New Roman" w:eastAsia="Times New Roman" w:hint="default"/>
        </w:rPr>
        <w:t>120.00</w:t>
      </w:r>
      <w:r>
        <w:rPr/>
        <w:t>万元，出 资比例</w:t>
      </w:r>
      <w:r>
        <w:rPr>
          <w:rFonts w:ascii="Times New Roman" w:hAnsi="Times New Roman" w:cs="Times New Roman" w:eastAsia="Times New Roman" w:hint="default"/>
        </w:rPr>
        <w:t>40.00%</w:t>
      </w:r>
      <w:r>
        <w:rPr/>
        <w:t>；刘亚出资人民币</w:t>
      </w:r>
      <w:r>
        <w:rPr>
          <w:rFonts w:ascii="Times New Roman" w:hAnsi="Times New Roman" w:cs="Times New Roman" w:eastAsia="Times New Roman" w:hint="default"/>
        </w:rPr>
        <w:t>90.00</w:t>
      </w:r>
      <w:r>
        <w:rPr/>
        <w:t>万元，出资比例</w:t>
      </w:r>
      <w:r>
        <w:rPr>
          <w:rFonts w:ascii="Times New Roman" w:hAnsi="Times New Roman" w:cs="Times New Roman" w:eastAsia="Times New Roman" w:hint="default"/>
        </w:rPr>
        <w:t>30.00%</w:t>
      </w:r>
      <w:r>
        <w:rPr/>
        <w:t>；深圳市奥格立电子科技有限公司出资人民 币</w:t>
      </w:r>
      <w:r>
        <w:rPr>
          <w:rFonts w:ascii="Times New Roman" w:hAnsi="Times New Roman" w:cs="Times New Roman" w:eastAsia="Times New Roman" w:hint="default"/>
        </w:rPr>
        <w:t>90.00</w:t>
      </w:r>
      <w:r>
        <w:rPr/>
        <w:t>万元，出资比例</w:t>
      </w:r>
      <w:r>
        <w:rPr>
          <w:rFonts w:ascii="Times New Roman" w:hAnsi="Times New Roman" w:cs="Times New Roman" w:eastAsia="Times New Roman" w:hint="default"/>
        </w:rPr>
        <w:t>30.00%</w:t>
      </w:r>
      <w:r>
        <w:rPr/>
        <w:t>。本次出资业经深圳市远东会计师事务所深远东验字</w:t>
      </w:r>
      <w:r>
        <w:rPr>
          <w:rFonts w:ascii="Times New Roman" w:hAnsi="Times New Roman" w:cs="Times New Roman" w:eastAsia="Times New Roman" w:hint="default"/>
        </w:rPr>
        <w:t>[2001]</w:t>
      </w:r>
      <w:r>
        <w:rPr/>
        <w:t>第</w:t>
      </w:r>
      <w:r>
        <w:rPr>
          <w:rFonts w:ascii="Times New Roman" w:hAnsi="Times New Roman" w:cs="Times New Roman" w:eastAsia="Times New Roman" w:hint="default"/>
        </w:rPr>
        <w:t>347</w:t>
      </w:r>
      <w:r>
        <w:rPr/>
        <w:t>号验资报 告验证，并领取注册号为</w:t>
      </w:r>
      <w:r>
        <w:rPr>
          <w:rFonts w:ascii="Times New Roman" w:hAnsi="Times New Roman" w:cs="Times New Roman" w:eastAsia="Times New Roman" w:hint="default"/>
        </w:rPr>
        <w:t>4403012070860</w:t>
      </w:r>
      <w:r>
        <w:rPr/>
        <w:t>的企业法人营业执照。</w:t>
      </w:r>
    </w:p>
    <w:p>
      <w:pPr>
        <w:pStyle w:val="Heading6"/>
        <w:spacing w:line="256" w:lineRule="auto"/>
        <w:ind w:right="1126"/>
        <w:jc w:val="left"/>
      </w:pP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12</w:t>
      </w:r>
      <w:r>
        <w:rPr>
          <w:spacing w:val="-1"/>
        </w:rPr>
        <w:t>日经股东会决议，刘亚将其持有的新国都技术</w:t>
      </w:r>
      <w:r>
        <w:rPr>
          <w:rFonts w:ascii="Times New Roman" w:hAnsi="Times New Roman" w:cs="Times New Roman" w:eastAsia="Times New Roman" w:hint="default"/>
          <w:spacing w:val="-1"/>
        </w:rPr>
        <w:t>30.00%</w:t>
      </w:r>
      <w:r>
        <w:rPr>
          <w:spacing w:val="-1"/>
        </w:rPr>
        <w:t>的股权转让给刘祥，转让完成后股</w:t>
      </w:r>
      <w:r>
        <w:rPr/>
        <w:t> 权结构为：刘祥占注册资本的</w:t>
      </w:r>
      <w:r>
        <w:rPr>
          <w:rFonts w:ascii="Times New Roman" w:hAnsi="Times New Roman" w:cs="Times New Roman" w:eastAsia="Times New Roman" w:hint="default"/>
        </w:rPr>
        <w:t>70.00%</w:t>
      </w:r>
      <w:r>
        <w:rPr/>
        <w:t>；深圳市奥格立电子科技有限公司占注册资本的</w:t>
      </w:r>
      <w:r>
        <w:rPr>
          <w:rFonts w:ascii="Times New Roman" w:hAnsi="Times New Roman" w:cs="Times New Roman" w:eastAsia="Times New Roman" w:hint="default"/>
        </w:rPr>
        <w:t>30.00%</w:t>
      </w:r>
      <w:r>
        <w:rPr/>
        <w:t>。并于</w:t>
      </w:r>
      <w:r>
        <w:rPr>
          <w:rFonts w:ascii="Times New Roman" w:hAnsi="Times New Roman" w:cs="Times New Roman" w:eastAsia="Times New Roman" w:hint="default"/>
        </w:rPr>
        <w:t>2002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日办理了工商变更手续。</w:t>
      </w:r>
    </w:p>
    <w:p>
      <w:pPr>
        <w:pStyle w:val="Heading6"/>
        <w:spacing w:line="256" w:lineRule="auto"/>
        <w:ind w:right="994"/>
        <w:jc w:val="left"/>
      </w:pPr>
      <w:r>
        <w:rPr>
          <w:rFonts w:ascii="Times New Roman" w:hAnsi="Times New Roman" w:cs="Times New Roman" w:eastAsia="Times New Roman" w:hint="default"/>
          <w:spacing w:val="-1"/>
        </w:rPr>
        <w:t>2004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21</w:t>
      </w:r>
      <w:r>
        <w:rPr>
          <w:spacing w:val="-1"/>
        </w:rPr>
        <w:t>日经股东会决议，增加注册资本人民币</w:t>
      </w:r>
      <w:r>
        <w:rPr>
          <w:rFonts w:ascii="Times New Roman" w:hAnsi="Times New Roman" w:cs="Times New Roman" w:eastAsia="Times New Roman" w:hint="default"/>
          <w:spacing w:val="-1"/>
        </w:rPr>
        <w:t>1,200.00</w:t>
      </w:r>
      <w:r>
        <w:rPr>
          <w:spacing w:val="-1"/>
        </w:rPr>
        <w:t>万元，全部由股东深圳市奥格立电子科技</w:t>
      </w:r>
      <w:r>
        <w:rPr/>
        <w:t> 有限公司投入，增资后新国都技术注册资本为人民币</w:t>
      </w:r>
      <w:r>
        <w:rPr>
          <w:rFonts w:ascii="Times New Roman" w:hAnsi="Times New Roman" w:cs="Times New Roman" w:eastAsia="Times New Roman" w:hint="default"/>
        </w:rPr>
        <w:t>1,500.00</w:t>
      </w:r>
      <w:r>
        <w:rPr/>
        <w:t>万元，其中：深圳市奥格立电子科技有限公 司占注册资本的</w:t>
      </w:r>
      <w:r>
        <w:rPr>
          <w:rFonts w:ascii="Times New Roman" w:hAnsi="Times New Roman" w:cs="Times New Roman" w:eastAsia="Times New Roman" w:hint="default"/>
        </w:rPr>
        <w:t>86.00%</w:t>
      </w:r>
      <w:r>
        <w:rPr/>
        <w:t>；刘祥占注册资本的</w:t>
      </w:r>
      <w:r>
        <w:rPr>
          <w:rFonts w:ascii="Times New Roman" w:hAnsi="Times New Roman" w:cs="Times New Roman" w:eastAsia="Times New Roman" w:hint="default"/>
        </w:rPr>
        <w:t>14.00%</w:t>
      </w:r>
      <w:r>
        <w:rPr/>
        <w:t>。并于</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日办理了工商变更手续。本次增资</w:t>
      </w:r>
    </w:p>
    <w:p>
      <w:pPr>
        <w:spacing w:after="0" w:line="25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994" w:firstLine="0"/>
        <w:jc w:val="left"/>
      </w:pPr>
      <w:r>
        <w:rPr/>
        <w:t>业经深圳市长城会计师事务所有限公司深长验字</w:t>
      </w:r>
      <w:r>
        <w:rPr>
          <w:rFonts w:ascii="Times New Roman" w:hAnsi="Times New Roman" w:cs="Times New Roman" w:eastAsia="Times New Roman" w:hint="default"/>
        </w:rPr>
        <w:t>(2004)</w:t>
      </w:r>
      <w:r>
        <w:rPr/>
        <w:t>第</w:t>
      </w:r>
      <w:r>
        <w:rPr>
          <w:rFonts w:ascii="Times New Roman" w:hAnsi="Times New Roman" w:cs="Times New Roman" w:eastAsia="Times New Roman" w:hint="default"/>
        </w:rPr>
        <w:t>159</w:t>
      </w:r>
      <w:r>
        <w:rPr/>
        <w:t>号验资报告验证。</w:t>
      </w:r>
    </w:p>
    <w:p>
      <w:pPr>
        <w:pStyle w:val="Heading6"/>
        <w:spacing w:line="256" w:lineRule="auto" w:before="21"/>
        <w:ind w:right="1024"/>
        <w:jc w:val="left"/>
      </w:pP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日经股东会决议，增加注册资本人民币</w:t>
      </w:r>
      <w:r>
        <w:rPr>
          <w:rFonts w:ascii="Times New Roman" w:hAnsi="Times New Roman" w:cs="Times New Roman" w:eastAsia="Times New Roman" w:hint="default"/>
        </w:rPr>
        <w:t>2,500.00</w:t>
      </w:r>
      <w:r>
        <w:rPr/>
        <w:t>万元，全部由未分配利润转增，增资后 </w:t>
      </w:r>
      <w:r>
        <w:rPr>
          <w:spacing w:val="-1"/>
        </w:rPr>
        <w:t>新国都技术注册资本为人民币</w:t>
      </w:r>
      <w:r>
        <w:rPr>
          <w:rFonts w:ascii="Times New Roman" w:hAnsi="Times New Roman" w:cs="Times New Roman" w:eastAsia="Times New Roman" w:hint="default"/>
          <w:spacing w:val="-1"/>
        </w:rPr>
        <w:t>4,000.00</w:t>
      </w:r>
      <w:r>
        <w:rPr>
          <w:spacing w:val="-1"/>
        </w:rPr>
        <w:t>万元，其中：深圳市奥格立电子科技有限公司占注册资本的</w:t>
      </w:r>
      <w:r>
        <w:rPr>
          <w:rFonts w:ascii="Times New Roman" w:hAnsi="Times New Roman" w:cs="Times New Roman" w:eastAsia="Times New Roman" w:hint="default"/>
          <w:spacing w:val="-1"/>
        </w:rPr>
        <w:t>86.00%</w:t>
      </w:r>
      <w:r>
        <w:rPr>
          <w:spacing w:val="-1"/>
        </w:rPr>
        <w:t>；</w:t>
      </w:r>
      <w:r>
        <w:rPr>
          <w:spacing w:val="-94"/>
        </w:rPr>
        <w:t> </w:t>
      </w:r>
      <w:r>
        <w:rPr/>
        <w:t>刘祥占注册资本的</w:t>
      </w:r>
      <w:r>
        <w:rPr>
          <w:rFonts w:ascii="Times New Roman" w:hAnsi="Times New Roman" w:cs="Times New Roman" w:eastAsia="Times New Roman" w:hint="default"/>
        </w:rPr>
        <w:t>14.00%</w:t>
      </w:r>
      <w:r>
        <w:rPr/>
        <w:t>。并于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日办理了工商变更手续，本次增资业经深圳大华天诚会计师 事务所深华验字</w:t>
      </w:r>
      <w:r>
        <w:rPr>
          <w:rFonts w:ascii="Times New Roman" w:hAnsi="Times New Roman" w:cs="Times New Roman" w:eastAsia="Times New Roman" w:hint="default"/>
        </w:rPr>
        <w:t>[2007]152</w:t>
      </w:r>
      <w:r>
        <w:rPr/>
        <w:t>号验资报告验证。</w:t>
      </w:r>
    </w:p>
    <w:p>
      <w:pPr>
        <w:pStyle w:val="Heading6"/>
        <w:spacing w:line="256" w:lineRule="auto"/>
        <w:ind w:right="994"/>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日股东会通过了同意深圳市奥格立电子科技有限公司将其持有新国都技术的</w:t>
      </w:r>
      <w:r>
        <w:rPr>
          <w:rFonts w:ascii="Times New Roman" w:hAnsi="Times New Roman" w:cs="Times New Roman" w:eastAsia="Times New Roman" w:hint="default"/>
        </w:rPr>
        <w:t>86.00%</w:t>
      </w:r>
      <w:r>
        <w:rPr/>
        <w:t>的股 权以人民币</w:t>
      </w:r>
      <w:r>
        <w:rPr>
          <w:rFonts w:ascii="Times New Roman" w:hAnsi="Times New Roman" w:cs="Times New Roman" w:eastAsia="Times New Roman" w:hint="default"/>
        </w:rPr>
        <w:t>4,449.64</w:t>
      </w:r>
      <w:r>
        <w:rPr/>
        <w:t>万元的价格转让给刘祥、刘亚、江汉、李俊、徐兴春、栾承岚、李林杰、陈希芬、徐 </w:t>
      </w:r>
      <w:r>
        <w:rPr>
          <w:spacing w:val="-1"/>
        </w:rPr>
        <w:t>金芳、韦余红、赵辉、汪洋、聂淼</w:t>
      </w:r>
      <w:r>
        <w:rPr>
          <w:rFonts w:ascii="Times New Roman" w:hAnsi="Times New Roman" w:cs="Times New Roman" w:eastAsia="Times New Roman" w:hint="default"/>
          <w:spacing w:val="-1"/>
        </w:rPr>
        <w:t>13</w:t>
      </w:r>
      <w:r>
        <w:rPr>
          <w:spacing w:val="-1"/>
        </w:rPr>
        <w:t>位自然人的决议，转让后深圳市奥格立电子科技有限公司不再持有新</w:t>
      </w:r>
      <w:r>
        <w:rPr>
          <w:spacing w:val="-84"/>
        </w:rPr>
        <w:t> </w:t>
      </w:r>
      <w:r>
        <w:rPr>
          <w:spacing w:val="-84"/>
        </w:rPr>
      </w:r>
      <w:r>
        <w:rPr/>
        <w:t>国都技术的股份。并于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日办理了工商变更手续。本次股权转让完成后，新国都技术股权结构 如下表：</w:t>
      </w:r>
    </w:p>
    <w:p>
      <w:pPr>
        <w:spacing w:line="240" w:lineRule="auto" w:before="11"/>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2966"/>
        <w:gridCol w:w="2805"/>
        <w:gridCol w:w="2828"/>
      </w:tblGrid>
      <w:tr>
        <w:trPr>
          <w:trHeight w:val="355" w:hRule="exact"/>
        </w:trPr>
        <w:tc>
          <w:tcPr>
            <w:tcW w:w="29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7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所持股份</w:t>
            </w:r>
            <w:r>
              <w:rPr>
                <w:rFonts w:ascii="Times New Roman" w:hAnsi="Times New Roman" w:cs="Times New Roman" w:eastAsia="Times New Roman" w:hint="default"/>
                <w:sz w:val="18"/>
                <w:szCs w:val="18"/>
              </w:rPr>
              <w:t>(</w:t>
            </w:r>
            <w:r>
              <w:rPr>
                <w:rFonts w:ascii="宋体" w:hAnsi="宋体" w:cs="宋体" w:eastAsia="宋体" w:hint="default"/>
                <w:sz w:val="18"/>
                <w:szCs w:val="18"/>
              </w:rPr>
              <w:t>万股</w:t>
            </w:r>
            <w:r>
              <w:rPr>
                <w:rFonts w:ascii="Times New Roman" w:hAnsi="Times New Roman" w:cs="Times New Roman" w:eastAsia="Times New Roman" w:hint="default"/>
                <w:sz w:val="18"/>
                <w:szCs w:val="18"/>
              </w:rPr>
              <w:t>)</w:t>
            </w:r>
          </w:p>
        </w:tc>
        <w:tc>
          <w:tcPr>
            <w:tcW w:w="282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持股比例</w:t>
            </w:r>
          </w:p>
        </w:tc>
      </w:tr>
      <w:tr>
        <w:trPr>
          <w:trHeight w:val="352" w:hRule="exact"/>
        </w:trPr>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2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2,115</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52.875%</w:t>
            </w:r>
          </w:p>
        </w:tc>
      </w:tr>
      <w:tr>
        <w:trPr>
          <w:trHeight w:val="353" w:hRule="exact"/>
        </w:trPr>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2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705</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17.625%</w:t>
            </w:r>
          </w:p>
        </w:tc>
      </w:tr>
      <w:tr>
        <w:trPr>
          <w:trHeight w:val="352" w:hRule="exact"/>
        </w:trPr>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2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705</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17.625%</w:t>
            </w:r>
          </w:p>
        </w:tc>
      </w:tr>
      <w:tr>
        <w:trPr>
          <w:trHeight w:val="352" w:hRule="exact"/>
        </w:trPr>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2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40</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w:t>
            </w:r>
          </w:p>
        </w:tc>
      </w:tr>
      <w:tr>
        <w:trPr>
          <w:trHeight w:val="353" w:hRule="exact"/>
        </w:trPr>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2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40</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w:t>
            </w:r>
          </w:p>
        </w:tc>
      </w:tr>
      <w:tr>
        <w:trPr>
          <w:trHeight w:val="352" w:hRule="exact"/>
        </w:trPr>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徐兴春</w:t>
            </w:r>
          </w:p>
        </w:tc>
        <w:tc>
          <w:tcPr>
            <w:tcW w:w="2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1.500%</w:t>
            </w:r>
          </w:p>
        </w:tc>
      </w:tr>
      <w:tr>
        <w:trPr>
          <w:trHeight w:val="352" w:hRule="exact"/>
        </w:trPr>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2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40</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w:t>
            </w:r>
          </w:p>
        </w:tc>
      </w:tr>
      <w:tr>
        <w:trPr>
          <w:trHeight w:val="353" w:hRule="exact"/>
        </w:trPr>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徐金芳</w:t>
            </w:r>
          </w:p>
        </w:tc>
        <w:tc>
          <w:tcPr>
            <w:tcW w:w="2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40</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w:t>
            </w:r>
          </w:p>
        </w:tc>
      </w:tr>
      <w:tr>
        <w:trPr>
          <w:trHeight w:val="352" w:hRule="exact"/>
        </w:trPr>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2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1.500%</w:t>
            </w:r>
          </w:p>
        </w:tc>
      </w:tr>
      <w:tr>
        <w:trPr>
          <w:trHeight w:val="352" w:hRule="exact"/>
        </w:trPr>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陈希芬</w:t>
            </w:r>
          </w:p>
        </w:tc>
        <w:tc>
          <w:tcPr>
            <w:tcW w:w="2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1.250%</w:t>
            </w:r>
          </w:p>
        </w:tc>
      </w:tr>
      <w:tr>
        <w:trPr>
          <w:trHeight w:val="353" w:hRule="exact"/>
        </w:trPr>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聂淼</w:t>
            </w:r>
          </w:p>
        </w:tc>
        <w:tc>
          <w:tcPr>
            <w:tcW w:w="2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35</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0.875%</w:t>
            </w:r>
          </w:p>
        </w:tc>
      </w:tr>
      <w:tr>
        <w:trPr>
          <w:trHeight w:val="352" w:hRule="exact"/>
        </w:trPr>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2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1.500%</w:t>
            </w:r>
          </w:p>
        </w:tc>
      </w:tr>
      <w:tr>
        <w:trPr>
          <w:trHeight w:val="352" w:hRule="exact"/>
        </w:trPr>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2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50</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1.250%</w:t>
            </w:r>
          </w:p>
        </w:tc>
      </w:tr>
      <w:tr>
        <w:trPr>
          <w:trHeight w:val="353" w:hRule="exact"/>
        </w:trPr>
        <w:tc>
          <w:tcPr>
            <w:tcW w:w="29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4,000</w:t>
            </w:r>
          </w:p>
        </w:tc>
        <w:tc>
          <w:tcPr>
            <w:tcW w:w="28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100.000%</w:t>
            </w:r>
          </w:p>
        </w:tc>
      </w:tr>
    </w:tbl>
    <w:p>
      <w:pPr>
        <w:spacing w:line="240" w:lineRule="auto" w:before="0"/>
        <w:rPr>
          <w:rFonts w:ascii="宋体" w:hAnsi="宋体" w:cs="宋体" w:eastAsia="宋体" w:hint="default"/>
          <w:sz w:val="20"/>
          <w:szCs w:val="20"/>
        </w:rPr>
      </w:pPr>
    </w:p>
    <w:p>
      <w:pPr>
        <w:pStyle w:val="Heading6"/>
        <w:spacing w:line="256" w:lineRule="auto" w:before="35"/>
        <w:ind w:right="1214"/>
        <w:jc w:val="both"/>
      </w:pPr>
      <w:r>
        <w:rPr/>
        <w:t>根据</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日召开的</w:t>
      </w:r>
      <w:r>
        <w:rPr>
          <w:rFonts w:ascii="Times New Roman" w:hAnsi="Times New Roman" w:cs="Times New Roman" w:eastAsia="Times New Roman" w:hint="default"/>
        </w:rPr>
        <w:t>2008</w:t>
      </w:r>
      <w:r>
        <w:rPr/>
        <w:t>年第</w:t>
      </w:r>
      <w:r>
        <w:rPr>
          <w:rFonts w:ascii="Times New Roman" w:hAnsi="Times New Roman" w:cs="Times New Roman" w:eastAsia="Times New Roman" w:hint="default"/>
        </w:rPr>
        <w:t>3</w:t>
      </w:r>
      <w:r>
        <w:rPr/>
        <w:t>次临时股东会会议及其决议、</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日签订的发起人协议规 定，新国都技术由有限责任公司整体变更为股份有限公司，以截止</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日经审计的净资产人民币 </w:t>
      </w:r>
      <w:r>
        <w:rPr>
          <w:rFonts w:ascii="Times New Roman" w:hAnsi="Times New Roman" w:cs="Times New Roman" w:eastAsia="Times New Roman" w:hint="default"/>
        </w:rPr>
        <w:t>59,860,459.32</w:t>
      </w:r>
      <w:r>
        <w:rPr/>
        <w:t>元中的</w:t>
      </w:r>
      <w:r>
        <w:rPr>
          <w:rFonts w:ascii="Times New Roman" w:hAnsi="Times New Roman" w:cs="Times New Roman" w:eastAsia="Times New Roman" w:hint="default"/>
        </w:rPr>
        <w:t>4,000.00</w:t>
      </w:r>
      <w:r>
        <w:rPr/>
        <w:t>万元按</w:t>
      </w:r>
      <w:r>
        <w:rPr>
          <w:rFonts w:ascii="Times New Roman" w:hAnsi="Times New Roman" w:cs="Times New Roman" w:eastAsia="Times New Roman" w:hint="default"/>
        </w:rPr>
        <w:t>1:1</w:t>
      </w:r>
      <w:r>
        <w:rPr/>
        <w:t>的比例折合为股本总额</w:t>
      </w:r>
      <w:r>
        <w:rPr>
          <w:rFonts w:ascii="Times New Roman" w:hAnsi="Times New Roman" w:cs="Times New Roman" w:eastAsia="Times New Roman" w:hint="default"/>
        </w:rPr>
        <w:t>4,000</w:t>
      </w:r>
      <w:r>
        <w:rPr/>
        <w:t>万股。变更后的注册资本为人民币</w:t>
      </w:r>
    </w:p>
    <w:p>
      <w:pPr>
        <w:pStyle w:val="Heading6"/>
        <w:spacing w:line="240" w:lineRule="auto"/>
        <w:ind w:right="994" w:firstLine="0"/>
        <w:jc w:val="left"/>
        <w:rPr>
          <w:rFonts w:ascii="Times New Roman" w:hAnsi="Times New Roman" w:cs="Times New Roman" w:eastAsia="Times New Roman" w:hint="default"/>
        </w:rPr>
      </w:pPr>
      <w:r>
        <w:rPr>
          <w:rFonts w:ascii="Times New Roman" w:hAnsi="Times New Roman" w:cs="Times New Roman" w:eastAsia="Times New Roman" w:hint="default"/>
        </w:rPr>
        <w:t>4,000.00</w:t>
      </w:r>
      <w:r>
        <w:rPr/>
        <w:t>万元。本次变更业经深圳大华天诚会计师事务所深华验字</w:t>
      </w:r>
      <w:r>
        <w:rPr>
          <w:rFonts w:ascii="Times New Roman" w:hAnsi="Times New Roman" w:cs="Times New Roman" w:eastAsia="Times New Roman" w:hint="default"/>
        </w:rPr>
        <w:t>[2008]35</w:t>
      </w:r>
      <w:r>
        <w:rPr/>
        <w:t>号验资报告验证。</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p>
    <w:p>
      <w:pPr>
        <w:pStyle w:val="Heading6"/>
        <w:spacing w:line="240" w:lineRule="auto" w:before="21"/>
        <w:ind w:left="1134" w:right="994" w:firstLine="0"/>
        <w:jc w:val="left"/>
      </w:pPr>
      <w:r>
        <w:rPr/>
        <w:t>日，新国都技术取得深圳市工商行政管理局核发的</w:t>
      </w:r>
      <w:r>
        <w:rPr>
          <w:rFonts w:ascii="Times New Roman" w:hAnsi="Times New Roman" w:cs="Times New Roman" w:eastAsia="Times New Roman" w:hint="default"/>
        </w:rPr>
        <w:t>440301103074776</w:t>
      </w:r>
      <w:r>
        <w:rPr/>
        <w:t>号《企业法人营业执照》。</w:t>
      </w:r>
    </w:p>
    <w:p>
      <w:pPr>
        <w:pStyle w:val="Heading6"/>
        <w:spacing w:line="256" w:lineRule="auto" w:before="21"/>
        <w:ind w:right="1198"/>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月，本公司与深圳国际高新技术产权交易所签订了股权登记托管服务合同，办理了非上市股 份有限公司股权托管。</w:t>
      </w:r>
    </w:p>
    <w:p>
      <w:pPr>
        <w:pStyle w:val="Heading6"/>
        <w:spacing w:line="256" w:lineRule="auto" w:before="22"/>
        <w:ind w:right="1040"/>
        <w:jc w:val="left"/>
      </w:pPr>
      <w:r>
        <w:rPr/>
        <w:t>根据本公司</w:t>
      </w:r>
      <w:r>
        <w:rPr>
          <w:rFonts w:ascii="Times New Roman" w:hAnsi="Times New Roman" w:cs="Times New Roman" w:eastAsia="Times New Roman" w:hint="default"/>
        </w:rPr>
        <w:t>2008</w:t>
      </w:r>
      <w:r>
        <w:rPr/>
        <w:t>年第一次临时股东大会决议和修改后章程的规定，本公司申请增加注册资本人民币 </w:t>
      </w:r>
      <w:r>
        <w:rPr>
          <w:rFonts w:ascii="Times New Roman" w:hAnsi="Times New Roman" w:cs="Times New Roman" w:eastAsia="Times New Roman" w:hint="default"/>
          <w:spacing w:val="-2"/>
        </w:rPr>
        <w:t>750.00</w:t>
      </w:r>
      <w:r>
        <w:rPr>
          <w:spacing w:val="-2"/>
        </w:rPr>
        <w:t>万元，变更后的注册资本为人民币</w:t>
      </w:r>
      <w:r>
        <w:rPr>
          <w:rFonts w:ascii="Times New Roman" w:hAnsi="Times New Roman" w:cs="Times New Roman" w:eastAsia="Times New Roman" w:hint="default"/>
          <w:spacing w:val="-2"/>
        </w:rPr>
        <w:t>4,750.00</w:t>
      </w:r>
      <w:r>
        <w:rPr>
          <w:spacing w:val="-2"/>
        </w:rPr>
        <w:t>万元。新增注册资本由深圳市创新投资集团有限公司、北</w:t>
      </w:r>
      <w:r>
        <w:rPr>
          <w:spacing w:val="-76"/>
        </w:rPr>
        <w:t> </w:t>
      </w:r>
      <w:r>
        <w:rPr>
          <w:spacing w:val="-76"/>
        </w:rPr>
      </w:r>
      <w:r>
        <w:rPr>
          <w:spacing w:val="-2"/>
        </w:rPr>
        <w:t>京首创建设有限公司、深圳市长润创业投资企业</w:t>
      </w:r>
      <w:r>
        <w:rPr>
          <w:rFonts w:ascii="Times New Roman" w:hAnsi="Times New Roman" w:cs="Times New Roman" w:eastAsia="Times New Roman" w:hint="default"/>
          <w:spacing w:val="-2"/>
        </w:rPr>
        <w:t>(</w:t>
      </w:r>
      <w:r>
        <w:rPr>
          <w:spacing w:val="-2"/>
        </w:rPr>
        <w:t>有限合伙</w:t>
      </w:r>
      <w:r>
        <w:rPr>
          <w:rFonts w:ascii="Times New Roman" w:hAnsi="Times New Roman" w:cs="Times New Roman" w:eastAsia="Times New Roman" w:hint="default"/>
          <w:spacing w:val="-2"/>
        </w:rPr>
        <w:t>)</w:t>
      </w:r>
      <w:r>
        <w:rPr>
          <w:spacing w:val="-2"/>
        </w:rPr>
        <w:t>、上海林耐实业投资中心</w:t>
      </w:r>
      <w:r>
        <w:rPr>
          <w:rFonts w:ascii="Times New Roman" w:hAnsi="Times New Roman" w:cs="Times New Roman" w:eastAsia="Times New Roman" w:hint="default"/>
          <w:spacing w:val="-2"/>
        </w:rPr>
        <w:t>(</w:t>
      </w:r>
      <w:r>
        <w:rPr>
          <w:spacing w:val="-2"/>
        </w:rPr>
        <w:t>有限合伙</w:t>
      </w:r>
      <w:r>
        <w:rPr>
          <w:rFonts w:ascii="Times New Roman" w:hAnsi="Times New Roman" w:cs="Times New Roman" w:eastAsia="Times New Roman" w:hint="default"/>
          <w:spacing w:val="-2"/>
        </w:rPr>
        <w:t>)</w:t>
      </w:r>
      <w:r>
        <w:rPr>
          <w:spacing w:val="-2"/>
        </w:rPr>
        <w:t>、深圳市福</w:t>
      </w:r>
      <w:r>
        <w:rPr/>
        <w:t> </w:t>
      </w:r>
      <w:r>
        <w:rPr>
          <w:spacing w:val="-7"/>
        </w:rPr>
        <w:t>田创新资本创业投资有限公司、蔡衍军、陈新华、里维宁、王凌海、许芹、李妍</w:t>
      </w:r>
      <w:r>
        <w:rPr>
          <w:rFonts w:ascii="Times New Roman" w:hAnsi="Times New Roman" w:cs="Times New Roman" w:eastAsia="Times New Roman" w:hint="default"/>
          <w:spacing w:val="-7"/>
        </w:rPr>
        <w:t>11</w:t>
      </w:r>
      <w:r>
        <w:rPr>
          <w:spacing w:val="-7"/>
        </w:rPr>
        <w:t>位新股东以人民币</w:t>
      </w:r>
      <w:r>
        <w:rPr>
          <w:rFonts w:ascii="Times New Roman" w:hAnsi="Times New Roman" w:cs="Times New Roman" w:eastAsia="Times New Roman" w:hint="default"/>
          <w:spacing w:val="-7"/>
        </w:rPr>
        <w:t>5,002.50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万元全部认购，其中人民币</w:t>
      </w:r>
      <w:r>
        <w:rPr>
          <w:rFonts w:ascii="Times New Roman" w:hAnsi="Times New Roman" w:cs="Times New Roman" w:eastAsia="Times New Roman" w:hint="default"/>
        </w:rPr>
        <w:t>750.00</w:t>
      </w:r>
      <w:r>
        <w:rPr/>
        <w:t>万元作为新增注册资本，剩余人民币</w:t>
      </w:r>
      <w:r>
        <w:rPr>
          <w:rFonts w:ascii="Times New Roman" w:hAnsi="Times New Roman" w:cs="Times New Roman" w:eastAsia="Times New Roman" w:hint="default"/>
        </w:rPr>
        <w:t>4,252.50</w:t>
      </w:r>
      <w:r>
        <w:rPr/>
        <w:t>万元作为本公司资本公积， 增资后本公司注册资本为人民币</w:t>
      </w:r>
      <w:r>
        <w:rPr>
          <w:rFonts w:ascii="Times New Roman" w:hAnsi="Times New Roman" w:cs="Times New Roman" w:eastAsia="Times New Roman" w:hint="default"/>
        </w:rPr>
        <w:t>4,750.00</w:t>
      </w:r>
      <w:r>
        <w:rPr/>
        <w:t>万元。该增资业经广东大华德律会计师事务所深华验字</w:t>
      </w:r>
      <w:r>
        <w:rPr>
          <w:rFonts w:ascii="Times New Roman" w:hAnsi="Times New Roman" w:cs="Times New Roman" w:eastAsia="Times New Roman" w:hint="default"/>
        </w:rPr>
        <w:t>[2008]74 </w:t>
      </w:r>
      <w:r>
        <w:rPr/>
        <w:t>号验资报告验证。并于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日办理完毕工商变更手续。</w:t>
      </w:r>
    </w:p>
    <w:p>
      <w:pPr>
        <w:pStyle w:val="Heading6"/>
        <w:spacing w:line="256" w:lineRule="auto"/>
        <w:ind w:right="1146"/>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日，上海林耐实业投资中心</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将其持有的本公司</w:t>
      </w:r>
      <w:r>
        <w:rPr>
          <w:rFonts w:ascii="Times New Roman" w:hAnsi="Times New Roman" w:cs="Times New Roman" w:eastAsia="Times New Roman" w:hint="default"/>
        </w:rPr>
        <w:t>1.684%</w:t>
      </w:r>
      <w:r>
        <w:rPr/>
        <w:t>的股权全部转让给自然人 张燕民，并于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日在深圳国际高新技术产权交易所办理了股权变更的备案手续。</w:t>
      </w:r>
    </w:p>
    <w:p>
      <w:pPr>
        <w:spacing w:after="0" w:line="25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56" w:lineRule="auto" w:before="35"/>
        <w:ind w:right="994"/>
        <w:jc w:val="left"/>
      </w:pP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22</w:t>
      </w:r>
      <w:r>
        <w:rPr>
          <w:spacing w:val="-2"/>
        </w:rPr>
        <w:t>日，深圳市长润创业投资企业</w:t>
      </w:r>
      <w:r>
        <w:rPr>
          <w:rFonts w:ascii="Times New Roman" w:hAnsi="Times New Roman" w:cs="Times New Roman" w:eastAsia="Times New Roman" w:hint="default"/>
          <w:spacing w:val="-2"/>
        </w:rPr>
        <w:t>(</w:t>
      </w:r>
      <w:r>
        <w:rPr>
          <w:spacing w:val="-2"/>
        </w:rPr>
        <w:t>有限合伙</w:t>
      </w:r>
      <w:r>
        <w:rPr>
          <w:rFonts w:ascii="Times New Roman" w:hAnsi="Times New Roman" w:cs="Times New Roman" w:eastAsia="Times New Roman" w:hint="default"/>
          <w:spacing w:val="-2"/>
        </w:rPr>
        <w:t>)</w:t>
      </w:r>
      <w:r>
        <w:rPr>
          <w:spacing w:val="-2"/>
        </w:rPr>
        <w:t>将其持有的本公司</w:t>
      </w:r>
      <w:r>
        <w:rPr>
          <w:rFonts w:ascii="Times New Roman" w:hAnsi="Times New Roman" w:cs="Times New Roman" w:eastAsia="Times New Roman" w:hint="default"/>
          <w:spacing w:val="-2"/>
        </w:rPr>
        <w:t>2.105%</w:t>
      </w:r>
      <w:r>
        <w:rPr>
          <w:spacing w:val="-2"/>
        </w:rPr>
        <w:t>的股权全部转让给自然</w:t>
      </w:r>
      <w:r>
        <w:rPr/>
        <w:t> 人王巍，并于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日在深圳国际高新技术产权交易所办理了股权变更的备案手续。</w:t>
      </w:r>
    </w:p>
    <w:p>
      <w:pPr>
        <w:pStyle w:val="Heading6"/>
        <w:spacing w:line="240" w:lineRule="auto"/>
        <w:ind w:left="1554" w:right="994" w:firstLine="0"/>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日，北京首创建设有限公司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首创建设</w:t>
      </w:r>
      <w:r>
        <w:rPr>
          <w:rFonts w:ascii="Times New Roman" w:hAnsi="Times New Roman" w:cs="Times New Roman" w:eastAsia="Times New Roman" w:hint="default"/>
        </w:rPr>
        <w:t>”)</w:t>
      </w:r>
      <w:r>
        <w:rPr/>
        <w:t>董事会通过了关于转让其持有本公司</w:t>
      </w:r>
    </w:p>
    <w:p>
      <w:pPr>
        <w:pStyle w:val="Heading6"/>
        <w:spacing w:line="261" w:lineRule="auto" w:before="21"/>
        <w:ind w:right="1130" w:firstLine="0"/>
        <w:jc w:val="left"/>
      </w:pPr>
      <w:r>
        <w:rPr>
          <w:rFonts w:ascii="Times New Roman" w:hAnsi="Times New Roman" w:cs="Times New Roman" w:eastAsia="Times New Roman" w:hint="default"/>
        </w:rPr>
        <w:t>120</w:t>
      </w:r>
      <w:r>
        <w:rPr/>
        <w:t>万股股份的决议，同意以不低于评估价格转让上述股权，并按照国有产权转让相关规定履行审批程序 </w:t>
      </w:r>
      <w:r>
        <w:rPr>
          <w:spacing w:val="-1"/>
        </w:rPr>
        <w:t>和转让流程，呈报北京首都创业集团有限公司</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首创集团</w:t>
      </w:r>
      <w:r>
        <w:rPr>
          <w:rFonts w:ascii="Times New Roman" w:hAnsi="Times New Roman" w:cs="Times New Roman" w:eastAsia="Times New Roman" w:hint="default"/>
          <w:spacing w:val="-1"/>
        </w:rPr>
        <w:t>”)</w:t>
      </w:r>
      <w:r>
        <w:rPr>
          <w:spacing w:val="-1"/>
        </w:rPr>
        <w:t>审批。根据</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10</w:t>
      </w:r>
      <w:r>
        <w:rPr>
          <w:spacing w:val="-1"/>
        </w:rPr>
        <w:t>日《首创集团</w:t>
      </w:r>
      <w:r>
        <w:rPr>
          <w:spacing w:val="-91"/>
        </w:rPr>
        <w:t> </w:t>
      </w:r>
      <w:r>
        <w:rPr>
          <w:spacing w:val="-91"/>
        </w:rPr>
      </w:r>
      <w:r>
        <w:rPr/>
        <w:t>总经理办公会会议纪要》</w:t>
      </w:r>
      <w:r>
        <w:rPr>
          <w:rFonts w:ascii="Times New Roman" w:hAnsi="Times New Roman" w:cs="Times New Roman" w:eastAsia="Times New Roman" w:hint="default"/>
        </w:rPr>
        <w:t>(2009</w:t>
      </w:r>
      <w:r>
        <w:rPr/>
        <w:t>年第</w:t>
      </w:r>
      <w:r>
        <w:rPr>
          <w:rFonts w:ascii="Times New Roman" w:hAnsi="Times New Roman" w:cs="Times New Roman" w:eastAsia="Times New Roman" w:hint="default"/>
        </w:rPr>
        <w:t>12</w:t>
      </w:r>
      <w:r>
        <w:rPr/>
        <w:t>次会议</w:t>
      </w:r>
      <w:r>
        <w:rPr>
          <w:rFonts w:ascii="Times New Roman" w:hAnsi="Times New Roman" w:cs="Times New Roman" w:eastAsia="Times New Roman" w:hint="default"/>
        </w:rPr>
        <w:t>)</w:t>
      </w:r>
      <w:r>
        <w:rPr/>
        <w:t>，首创集团同意首创建设转让其持有的本公司股权，转让价 格不低于初始投资额。北京市人民政府国有资产监督管理委员会</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日做出了《北京市人民政府 </w:t>
      </w:r>
      <w:r>
        <w:rPr>
          <w:spacing w:val="-1"/>
        </w:rPr>
        <w:t>国有资产监督管理委员会关于深圳市新国都技术股份有限公司股权转让评估项目予以核准的批复》批准了</w:t>
      </w:r>
      <w:r>
        <w:rPr>
          <w:spacing w:val="-81"/>
        </w:rPr>
        <w:t> </w:t>
      </w:r>
      <w:r>
        <w:rPr>
          <w:spacing w:val="-81"/>
        </w:rPr>
      </w:r>
      <w:r>
        <w:rPr>
          <w:spacing w:val="-1"/>
        </w:rPr>
        <w:t>首创建设股份转让项目的资产评估报告，同意深圳市天健国众联资产评估土地房产评估有限公司出具的深</w:t>
      </w:r>
      <w:r>
        <w:rPr>
          <w:spacing w:val="-81"/>
        </w:rPr>
        <w:t> </w:t>
      </w:r>
      <w:r>
        <w:rPr>
          <w:spacing w:val="-81"/>
        </w:rPr>
      </w:r>
      <w:r>
        <w:rPr/>
        <w:t>天健国众联评报字【</w:t>
      </w:r>
      <w:r>
        <w:rPr>
          <w:rFonts w:ascii="Times New Roman" w:hAnsi="Times New Roman" w:cs="Times New Roman" w:eastAsia="Times New Roman" w:hint="default"/>
        </w:rPr>
        <w:t>2009</w:t>
      </w:r>
      <w:r>
        <w:rPr/>
        <w:t>】第</w:t>
      </w:r>
      <w:r>
        <w:rPr>
          <w:rFonts w:ascii="Times New Roman" w:hAnsi="Times New Roman" w:cs="Times New Roman" w:eastAsia="Times New Roman" w:hint="default"/>
        </w:rPr>
        <w:t>T-10801</w:t>
      </w:r>
      <w:r>
        <w:rPr/>
        <w:t>号《北京首创建设有限公司拟转让持有的深圳市新国都技术股份有 限公司</w:t>
      </w:r>
      <w:r>
        <w:rPr>
          <w:rFonts w:ascii="Times New Roman" w:hAnsi="Times New Roman" w:cs="Times New Roman" w:eastAsia="Times New Roman" w:hint="default"/>
        </w:rPr>
        <w:t>2.5263%</w:t>
      </w:r>
      <w:r>
        <w:rPr/>
        <w:t>国有股权权益价值股权转让项目资产评估报告书》对本公司股权转让项目有效。</w:t>
      </w:r>
    </w:p>
    <w:p>
      <w:pPr>
        <w:pStyle w:val="Heading6"/>
        <w:spacing w:line="261" w:lineRule="auto" w:before="0"/>
        <w:ind w:right="1093"/>
        <w:jc w:val="left"/>
      </w:pPr>
      <w:r>
        <w:rPr/>
        <w:t>根据上述批复，首创建设将其持有的本公司全部股权在北京产权交易所挂牌转让。</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 </w:t>
      </w:r>
      <w:r>
        <w:rPr>
          <w:spacing w:val="-1"/>
        </w:rPr>
        <w:t>首创建设与湖南瑞驰丰和创业投资管理有限公司、钟可颐、谢建龙、黄健生、欧阳伟强等五方签署产权交</w:t>
      </w:r>
      <w:r>
        <w:rPr>
          <w:spacing w:val="-85"/>
        </w:rPr>
        <w:t> </w:t>
      </w:r>
      <w:r>
        <w:rPr>
          <w:spacing w:val="-85"/>
        </w:rPr>
      </w:r>
      <w:r>
        <w:rPr>
          <w:spacing w:val="-5"/>
        </w:rPr>
        <w:t>易合同，将其所持有的</w:t>
      </w:r>
      <w:r>
        <w:rPr>
          <w:rFonts w:ascii="Times New Roman" w:hAnsi="Times New Roman" w:cs="Times New Roman" w:eastAsia="Times New Roman" w:hint="default"/>
          <w:spacing w:val="-5"/>
        </w:rPr>
        <w:t>120</w:t>
      </w:r>
      <w:r>
        <w:rPr>
          <w:spacing w:val="-5"/>
        </w:rPr>
        <w:t>万股本公司股份，作价</w:t>
      </w:r>
      <w:r>
        <w:rPr>
          <w:rFonts w:ascii="Times New Roman" w:hAnsi="Times New Roman" w:cs="Times New Roman" w:eastAsia="Times New Roman" w:hint="default"/>
          <w:spacing w:val="-5"/>
        </w:rPr>
        <w:t>900.00</w:t>
      </w:r>
      <w:r>
        <w:rPr>
          <w:spacing w:val="-5"/>
        </w:rPr>
        <w:t>万元转让给上述五方，转让价格高于评估价值</w:t>
      </w:r>
      <w:r>
        <w:rPr>
          <w:rFonts w:ascii="Times New Roman" w:hAnsi="Times New Roman" w:cs="Times New Roman" w:eastAsia="Times New Roman" w:hint="default"/>
          <w:spacing w:val="-5"/>
        </w:rPr>
        <w:t>484.02</w:t>
      </w:r>
      <w:r>
        <w:rPr>
          <w:rFonts w:ascii="Times New Roman" w:hAnsi="Times New Roman" w:cs="Times New Roman" w:eastAsia="Times New Roman" w:hint="default"/>
          <w:spacing w:val="-12"/>
        </w:rPr>
        <w:t> </w:t>
      </w:r>
      <w:r>
        <w:rPr/>
        <w:t>万元。其中，湖南瑞驰丰和创业投资管理有限公司受让</w:t>
      </w:r>
      <w:r>
        <w:rPr>
          <w:rFonts w:ascii="Times New Roman" w:hAnsi="Times New Roman" w:cs="Times New Roman" w:eastAsia="Times New Roman" w:hint="default"/>
        </w:rPr>
        <w:t>20</w:t>
      </w:r>
      <w:r>
        <w:rPr/>
        <w:t>万股，钟可颐受让</w:t>
      </w:r>
      <w:r>
        <w:rPr>
          <w:rFonts w:ascii="Times New Roman" w:hAnsi="Times New Roman" w:cs="Times New Roman" w:eastAsia="Times New Roman" w:hint="default"/>
        </w:rPr>
        <w:t>10</w:t>
      </w:r>
      <w:r>
        <w:rPr/>
        <w:t>万股，谢建龙受让</w:t>
      </w:r>
      <w:r>
        <w:rPr>
          <w:rFonts w:ascii="Times New Roman" w:hAnsi="Times New Roman" w:cs="Times New Roman" w:eastAsia="Times New Roman" w:hint="default"/>
        </w:rPr>
        <w:t>50</w:t>
      </w:r>
      <w:r>
        <w:rPr/>
        <w:t>万股， 黄健生、欧阳伟强各受让</w:t>
      </w:r>
      <w:r>
        <w:rPr>
          <w:rFonts w:ascii="Times New Roman" w:hAnsi="Times New Roman" w:cs="Times New Roman" w:eastAsia="Times New Roman" w:hint="default"/>
        </w:rPr>
        <w:t>20</w:t>
      </w:r>
      <w:r>
        <w:rPr/>
        <w:t>万股。上述股权变更及过户于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日完成。</w:t>
      </w:r>
    </w:p>
    <w:p>
      <w:pPr>
        <w:pStyle w:val="Heading6"/>
        <w:spacing w:line="256" w:lineRule="auto" w:before="0"/>
        <w:ind w:left="1134" w:right="1197"/>
        <w:jc w:val="left"/>
      </w:pPr>
      <w:r>
        <w:rPr>
          <w:rFonts w:ascii="Times New Roman" w:hAnsi="Times New Roman" w:cs="Times New Roman" w:eastAsia="Times New Roman" w:hint="default"/>
        </w:rPr>
        <w:t>2009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日，深圳国际高新技术产权交易所作为非上市股份公司股权登记托管机构，就本公司股 份转让后的股东情况向本公司出具了《非上市股份有限公司股东名册》。至此，本公司股本结构如下：</w:t>
      </w:r>
    </w:p>
    <w:p>
      <w:pPr>
        <w:spacing w:line="240" w:lineRule="auto" w:before="11"/>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3698"/>
        <w:gridCol w:w="2464"/>
        <w:gridCol w:w="2430"/>
      </w:tblGrid>
      <w:tr>
        <w:trPr>
          <w:trHeight w:val="355" w:hRule="exact"/>
        </w:trPr>
        <w:tc>
          <w:tcPr>
            <w:tcW w:w="36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7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持股数</w:t>
            </w:r>
            <w:r>
              <w:rPr>
                <w:rFonts w:ascii="Times New Roman" w:hAnsi="Times New Roman" w:cs="Times New Roman" w:eastAsia="Times New Roman" w:hint="default"/>
                <w:sz w:val="18"/>
                <w:szCs w:val="18"/>
              </w:rPr>
              <w:t>(</w:t>
            </w:r>
            <w:r>
              <w:rPr>
                <w:rFonts w:ascii="宋体" w:hAnsi="宋体" w:cs="宋体" w:eastAsia="宋体" w:hint="default"/>
                <w:sz w:val="18"/>
                <w:szCs w:val="18"/>
              </w:rPr>
              <w:t>万股</w:t>
            </w:r>
            <w:r>
              <w:rPr>
                <w:rFonts w:ascii="Times New Roman" w:hAnsi="Times New Roman" w:cs="Times New Roman" w:eastAsia="Times New Roman" w:hint="default"/>
                <w:sz w:val="18"/>
                <w:szCs w:val="18"/>
              </w:rPr>
              <w:t>)</w:t>
            </w:r>
          </w:p>
        </w:tc>
        <w:tc>
          <w:tcPr>
            <w:tcW w:w="243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3"/>
              <w:jc w:val="center"/>
              <w:rPr>
                <w:rFonts w:ascii="宋体" w:hAnsi="宋体" w:cs="宋体" w:eastAsia="宋体" w:hint="default"/>
                <w:sz w:val="18"/>
                <w:szCs w:val="18"/>
              </w:rPr>
            </w:pPr>
            <w:r>
              <w:rPr>
                <w:rFonts w:ascii="宋体" w:hAnsi="宋体" w:cs="宋体" w:eastAsia="宋体" w:hint="default"/>
                <w:sz w:val="18"/>
                <w:szCs w:val="18"/>
              </w:rPr>
              <w:t>股权比例</w:t>
            </w:r>
          </w:p>
        </w:tc>
      </w:tr>
      <w:tr>
        <w:trPr>
          <w:trHeight w:val="352"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刘祥</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2,115</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44.5263%</w:t>
            </w:r>
          </w:p>
        </w:tc>
      </w:tr>
      <w:tr>
        <w:trPr>
          <w:trHeight w:val="353"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705</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14.8421%</w:t>
            </w:r>
          </w:p>
        </w:tc>
      </w:tr>
      <w:tr>
        <w:trPr>
          <w:trHeight w:val="352"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江汉</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705</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14.8421%</w:t>
            </w:r>
          </w:p>
        </w:tc>
      </w:tr>
      <w:tr>
        <w:trPr>
          <w:trHeight w:val="352"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160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3.3684%</w:t>
            </w:r>
          </w:p>
        </w:tc>
      </w:tr>
      <w:tr>
        <w:trPr>
          <w:trHeight w:val="353"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王巍</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2.1053%</w:t>
            </w:r>
          </w:p>
        </w:tc>
      </w:tr>
      <w:tr>
        <w:trPr>
          <w:trHeight w:val="352"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张燕民</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80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1.6842%</w:t>
            </w:r>
          </w:p>
        </w:tc>
      </w:tr>
      <w:tr>
        <w:trPr>
          <w:trHeight w:val="352"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李俊</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1.2632%</w:t>
            </w:r>
          </w:p>
        </w:tc>
      </w:tr>
      <w:tr>
        <w:trPr>
          <w:trHeight w:val="353"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栾承岚</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1.2632%</w:t>
            </w:r>
          </w:p>
        </w:tc>
      </w:tr>
      <w:tr>
        <w:trPr>
          <w:trHeight w:val="352"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徐兴春</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1.2632%</w:t>
            </w:r>
          </w:p>
        </w:tc>
      </w:tr>
      <w:tr>
        <w:trPr>
          <w:trHeight w:val="352"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蔡衍军</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1.0526%</w:t>
            </w:r>
          </w:p>
        </w:tc>
      </w:tr>
      <w:tr>
        <w:trPr>
          <w:trHeight w:val="353"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王凌海</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1.0526%</w:t>
            </w:r>
          </w:p>
        </w:tc>
      </w:tr>
      <w:tr>
        <w:trPr>
          <w:trHeight w:val="352"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谢建龙</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1.0526%</w:t>
            </w:r>
          </w:p>
        </w:tc>
      </w:tr>
      <w:tr>
        <w:trPr>
          <w:trHeight w:val="352"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陈新华</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1.0526%</w:t>
            </w:r>
          </w:p>
        </w:tc>
      </w:tr>
      <w:tr>
        <w:trPr>
          <w:trHeight w:val="353"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李林杰</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1.0526%</w:t>
            </w:r>
          </w:p>
        </w:tc>
      </w:tr>
      <w:tr>
        <w:trPr>
          <w:trHeight w:val="352"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里维宁</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1.0526%</w:t>
            </w:r>
          </w:p>
        </w:tc>
      </w:tr>
      <w:tr>
        <w:trPr>
          <w:trHeight w:val="352"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陈希芬</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1.0526%</w:t>
            </w:r>
          </w:p>
        </w:tc>
      </w:tr>
      <w:tr>
        <w:trPr>
          <w:trHeight w:val="353"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深圳市福田创新资本创业投资有限公司</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0.8421%</w:t>
            </w:r>
          </w:p>
        </w:tc>
      </w:tr>
      <w:tr>
        <w:trPr>
          <w:trHeight w:val="352"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赵辉</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0.8421%</w:t>
            </w:r>
          </w:p>
        </w:tc>
      </w:tr>
      <w:tr>
        <w:trPr>
          <w:trHeight w:val="352"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韦余红</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0.8421%</w:t>
            </w:r>
          </w:p>
        </w:tc>
      </w:tr>
      <w:tr>
        <w:trPr>
          <w:trHeight w:val="353"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汪洋</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0.8421%</w:t>
            </w:r>
          </w:p>
        </w:tc>
      </w:tr>
      <w:tr>
        <w:trPr>
          <w:trHeight w:val="352"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徐金芳</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0.8421%</w:t>
            </w:r>
          </w:p>
        </w:tc>
      </w:tr>
      <w:tr>
        <w:trPr>
          <w:trHeight w:val="352"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聂淼</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35</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0.7368%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3698"/>
        <w:gridCol w:w="2464"/>
        <w:gridCol w:w="2430"/>
      </w:tblGrid>
      <w:tr>
        <w:trPr>
          <w:trHeight w:val="355" w:hRule="exact"/>
        </w:trPr>
        <w:tc>
          <w:tcPr>
            <w:tcW w:w="369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许芹</w:t>
            </w:r>
          </w:p>
        </w:tc>
        <w:tc>
          <w:tcPr>
            <w:tcW w:w="24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30</w:t>
            </w:r>
          </w:p>
        </w:tc>
        <w:tc>
          <w:tcPr>
            <w:tcW w:w="243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6"/>
              <w:jc w:val="right"/>
              <w:rPr>
                <w:rFonts w:ascii="Times New Roman" w:hAnsi="Times New Roman" w:cs="Times New Roman" w:eastAsia="Times New Roman" w:hint="default"/>
                <w:sz w:val="18"/>
                <w:szCs w:val="18"/>
              </w:rPr>
            </w:pPr>
            <w:r>
              <w:rPr>
                <w:rFonts w:ascii="Times New Roman"/>
                <w:sz w:val="18"/>
              </w:rPr>
              <w:t>0.6316%</w:t>
            </w:r>
          </w:p>
        </w:tc>
      </w:tr>
      <w:tr>
        <w:trPr>
          <w:trHeight w:val="352"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李妍</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0.4211%</w:t>
            </w:r>
          </w:p>
        </w:tc>
      </w:tr>
      <w:tr>
        <w:trPr>
          <w:trHeight w:val="353"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湖南瑞驰丰和创业投资管理有限公司</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0.4211%</w:t>
            </w:r>
          </w:p>
        </w:tc>
      </w:tr>
      <w:tr>
        <w:trPr>
          <w:trHeight w:val="352"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欧阳伟强</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0.4211%</w:t>
            </w:r>
          </w:p>
        </w:tc>
      </w:tr>
      <w:tr>
        <w:trPr>
          <w:trHeight w:val="352"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黄健生</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0.4211%</w:t>
            </w:r>
          </w:p>
        </w:tc>
      </w:tr>
      <w:tr>
        <w:trPr>
          <w:trHeight w:val="353"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钟可颐</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0.2105%</w:t>
            </w:r>
          </w:p>
        </w:tc>
      </w:tr>
      <w:tr>
        <w:trPr>
          <w:trHeight w:val="352" w:hRule="exact"/>
        </w:trPr>
        <w:tc>
          <w:tcPr>
            <w:tcW w:w="369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4,750</w:t>
            </w:r>
          </w:p>
        </w:tc>
        <w:tc>
          <w:tcPr>
            <w:tcW w:w="243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100.0000%</w:t>
            </w:r>
          </w:p>
        </w:tc>
      </w:tr>
    </w:tbl>
    <w:p>
      <w:pPr>
        <w:spacing w:line="240" w:lineRule="auto" w:before="0"/>
        <w:rPr>
          <w:rFonts w:ascii="宋体" w:hAnsi="宋体" w:cs="宋体" w:eastAsia="宋体" w:hint="default"/>
          <w:sz w:val="20"/>
          <w:szCs w:val="20"/>
        </w:rPr>
      </w:pPr>
    </w:p>
    <w:p>
      <w:pPr>
        <w:pStyle w:val="Heading6"/>
        <w:spacing w:line="256" w:lineRule="auto" w:before="35"/>
        <w:ind w:right="1132"/>
        <w:jc w:val="both"/>
      </w:pPr>
      <w:r>
        <w:rPr/>
        <w:t>经中国证券监督管理委员会证监发行字</w:t>
      </w:r>
      <w:r>
        <w:rPr>
          <w:rFonts w:ascii="Times New Roman" w:hAnsi="Times New Roman" w:cs="Times New Roman" w:eastAsia="Times New Roman" w:hint="default"/>
        </w:rPr>
        <w:t>[2010]1292</w:t>
      </w:r>
      <w:r>
        <w:rPr/>
        <w:t>号文核准，并经深圳证券交易所同意，本公司由主 </w:t>
      </w:r>
      <w:r>
        <w:rPr>
          <w:spacing w:val="-2"/>
        </w:rPr>
        <w:t>承销商中信证券股份有限公司于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8</w:t>
      </w:r>
      <w:r>
        <w:rPr>
          <w:spacing w:val="-2"/>
        </w:rPr>
        <w:t>日向社会公众公开发行普通股</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w:t>
      </w:r>
      <w:r>
        <w:rPr>
          <w:spacing w:val="-2"/>
        </w:rPr>
        <w:t>股票</w:t>
      </w:r>
      <w:r>
        <w:rPr>
          <w:rFonts w:ascii="Times New Roman" w:hAnsi="Times New Roman" w:cs="Times New Roman" w:eastAsia="Times New Roman" w:hint="default"/>
          <w:spacing w:val="-2"/>
        </w:rPr>
        <w:t>1,600</w:t>
      </w:r>
      <w:r>
        <w:rPr>
          <w:spacing w:val="-2"/>
        </w:rPr>
        <w:t>万股，每股面值</w:t>
      </w:r>
      <w:r>
        <w:rPr>
          <w:spacing w:val="-54"/>
        </w:rPr>
        <w:t> </w:t>
      </w:r>
      <w:r>
        <w:rPr>
          <w:spacing w:val="-54"/>
        </w:rPr>
      </w:r>
      <w:r>
        <w:rPr>
          <w:rFonts w:ascii="Times New Roman" w:hAnsi="Times New Roman" w:cs="Times New Roman" w:eastAsia="Times New Roman" w:hint="default"/>
        </w:rPr>
        <w:t>1.00</w:t>
      </w:r>
      <w:r>
        <w:rPr/>
        <w:t>元，每股发行价人民币</w:t>
      </w:r>
      <w:r>
        <w:rPr>
          <w:rFonts w:ascii="Times New Roman" w:hAnsi="Times New Roman" w:cs="Times New Roman" w:eastAsia="Times New Roman" w:hint="default"/>
        </w:rPr>
        <w:t>43.33</w:t>
      </w:r>
      <w:r>
        <w:rPr/>
        <w:t>元。截至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日止，共募集资金</w:t>
      </w:r>
      <w:r>
        <w:rPr>
          <w:rFonts w:ascii="Times New Roman" w:hAnsi="Times New Roman" w:cs="Times New Roman" w:eastAsia="Times New Roman" w:hint="default"/>
        </w:rPr>
        <w:t>69,328.00</w:t>
      </w:r>
      <w:r>
        <w:rPr/>
        <w:t>万元，扣除发行费用</w:t>
      </w:r>
    </w:p>
    <w:p>
      <w:pPr>
        <w:pStyle w:val="Heading6"/>
        <w:spacing w:line="256" w:lineRule="auto"/>
        <w:ind w:right="994" w:firstLine="0"/>
        <w:jc w:val="left"/>
      </w:pPr>
      <w:r>
        <w:rPr>
          <w:rFonts w:ascii="Times New Roman" w:hAnsi="Times New Roman" w:cs="Times New Roman" w:eastAsia="Times New Roman" w:hint="default"/>
          <w:spacing w:val="-1"/>
        </w:rPr>
        <w:t>46,945,065.67</w:t>
      </w:r>
      <w:r>
        <w:rPr>
          <w:spacing w:val="-1"/>
        </w:rPr>
        <w:t>元，募集资金净额</w:t>
      </w:r>
      <w:r>
        <w:rPr>
          <w:rFonts w:ascii="Times New Roman" w:hAnsi="Times New Roman" w:cs="Times New Roman" w:eastAsia="Times New Roman" w:hint="default"/>
          <w:spacing w:val="-1"/>
        </w:rPr>
        <w:t>646,334,934.33</w:t>
      </w:r>
      <w:r>
        <w:rPr>
          <w:spacing w:val="-1"/>
        </w:rPr>
        <w:t>元，本次募集资金业经立信大华会计师事务所有限公司出具</w:t>
      </w:r>
      <w:r>
        <w:rPr>
          <w:spacing w:val="-70"/>
        </w:rPr>
        <w:t> </w:t>
      </w:r>
      <w:r>
        <w:rPr>
          <w:spacing w:val="-70"/>
        </w:rPr>
      </w:r>
      <w:r>
        <w:rPr/>
        <w:t>的</w:t>
      </w:r>
      <w:r>
        <w:rPr>
          <w:rFonts w:ascii="Times New Roman" w:hAnsi="Times New Roman" w:cs="Times New Roman" w:eastAsia="Times New Roman" w:hint="default"/>
        </w:rPr>
        <w:t>“</w:t>
      </w:r>
      <w:r>
        <w:rPr/>
        <w:t>立信大华验字</w:t>
      </w:r>
      <w:r>
        <w:rPr>
          <w:rFonts w:ascii="Times New Roman" w:hAnsi="Times New Roman" w:cs="Times New Roman" w:eastAsia="Times New Roman" w:hint="default"/>
        </w:rPr>
        <w:t>[2010]124</w:t>
      </w:r>
      <w:r>
        <w:rPr/>
        <w:t>号</w:t>
      </w:r>
      <w:r>
        <w:rPr>
          <w:rFonts w:ascii="Times New Roman" w:hAnsi="Times New Roman" w:cs="Times New Roman" w:eastAsia="Times New Roman" w:hint="default"/>
        </w:rPr>
        <w:t>”</w:t>
      </w:r>
      <w:r>
        <w:rPr/>
        <w:t>验资报告验证。</w:t>
      </w:r>
    </w:p>
    <w:p>
      <w:pPr>
        <w:pStyle w:val="Heading6"/>
        <w:spacing w:line="256" w:lineRule="auto"/>
        <w:ind w:right="1163"/>
        <w:jc w:val="left"/>
      </w:pPr>
      <w:r>
        <w:rPr/>
        <w:t>经本公司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日股东大会审议通过，以公司原有的</w:t>
      </w:r>
      <w:r>
        <w:rPr>
          <w:rFonts w:ascii="Times New Roman" w:hAnsi="Times New Roman" w:cs="Times New Roman" w:eastAsia="Times New Roman" w:hint="default"/>
        </w:rPr>
        <w:t>6,350</w:t>
      </w:r>
      <w:r>
        <w:rPr/>
        <w:t>万股为基础，向全体股东每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2 </w:t>
      </w:r>
      <w:r>
        <w:rPr/>
        <w:t>元人民币现金</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股，共计转增</w:t>
      </w:r>
      <w:r>
        <w:rPr>
          <w:rFonts w:ascii="Times New Roman" w:hAnsi="Times New Roman" w:cs="Times New Roman" w:eastAsia="Times New Roman" w:hint="default"/>
        </w:rPr>
        <w:t>5,080.00</w:t>
      </w:r>
      <w:r>
        <w:rPr/>
        <w:t>万元。转增后公司总 股本为</w:t>
      </w:r>
      <w:r>
        <w:rPr>
          <w:rFonts w:ascii="Times New Roman" w:hAnsi="Times New Roman" w:cs="Times New Roman" w:eastAsia="Times New Roman" w:hint="default"/>
        </w:rPr>
        <w:t>11,430</w:t>
      </w:r>
      <w:r>
        <w:rPr/>
        <w:t>万股。</w:t>
      </w:r>
    </w:p>
    <w:p>
      <w:pPr>
        <w:pStyle w:val="Heading6"/>
        <w:spacing w:line="256" w:lineRule="auto"/>
        <w:ind w:right="1132"/>
        <w:jc w:val="both"/>
      </w:pPr>
      <w:r>
        <w:rPr>
          <w:spacing w:val="-2"/>
        </w:rPr>
        <w:t>经本公司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日股东大会审议通过，以公司原有的</w:t>
      </w:r>
      <w:r>
        <w:rPr>
          <w:rFonts w:ascii="Times New Roman" w:hAnsi="Times New Roman" w:cs="Times New Roman" w:eastAsia="Times New Roman" w:hint="default"/>
          <w:spacing w:val="-2"/>
        </w:rPr>
        <w:t>11,430</w:t>
      </w:r>
      <w:r>
        <w:rPr>
          <w:spacing w:val="-2"/>
        </w:rPr>
        <w:t>万股为基础，向全体股东每</w:t>
      </w:r>
      <w:r>
        <w:rPr>
          <w:rFonts w:ascii="Times New Roman" w:hAnsi="Times New Roman" w:cs="Times New Roman" w:eastAsia="Times New Roman" w:hint="default"/>
          <w:spacing w:val="-2"/>
        </w:rPr>
        <w:t>10</w:t>
      </w:r>
      <w:r>
        <w:rPr>
          <w:spacing w:val="-2"/>
        </w:rPr>
        <w:t>股派现</w:t>
      </w:r>
      <w:r>
        <w:rPr/>
        <w:t> 金人民币</w:t>
      </w:r>
      <w:r>
        <w:rPr>
          <w:rFonts w:ascii="Times New Roman" w:hAnsi="Times New Roman" w:cs="Times New Roman" w:eastAsia="Times New Roman" w:hint="default"/>
        </w:rPr>
        <w:t>0.50</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，同时以资本公积向全体股东每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股，转增后公司总股本为</w:t>
      </w:r>
      <w:r>
        <w:rPr>
          <w:rFonts w:ascii="Times New Roman" w:hAnsi="Times New Roman" w:cs="Times New Roman" w:eastAsia="Times New Roman" w:hint="default"/>
        </w:rPr>
        <w:t>22,860</w:t>
      </w:r>
      <w:r>
        <w:rPr/>
        <w:t>万股。</w:t>
      </w:r>
    </w:p>
    <w:p>
      <w:pPr>
        <w:pStyle w:val="Heading6"/>
        <w:spacing w:line="261" w:lineRule="auto"/>
        <w:ind w:right="1131"/>
        <w:jc w:val="both"/>
      </w:pPr>
      <w:r>
        <w:rPr>
          <w:spacing w:val="-1"/>
        </w:rPr>
        <w:t>经本公司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日第三届董事会第十三次（临时）会议审议通过，公司</w:t>
      </w:r>
      <w:r>
        <w:rPr>
          <w:rFonts w:ascii="Times New Roman" w:hAnsi="Times New Roman" w:cs="Times New Roman" w:eastAsia="Times New Roman" w:hint="default"/>
          <w:spacing w:val="-1"/>
        </w:rPr>
        <w:t>145</w:t>
      </w:r>
      <w:r>
        <w:rPr>
          <w:spacing w:val="-1"/>
        </w:rPr>
        <w:t>名激励对象行权资格</w:t>
      </w:r>
      <w:r>
        <w:rPr/>
        <w:t> </w:t>
      </w:r>
      <w:r>
        <w:rPr>
          <w:spacing w:val="-1"/>
        </w:rPr>
        <w:t>合法、有效，满足公司股权激励计划首次授予的股票期权第一个行权期行权条件，同意已获准行权的股票</w:t>
      </w:r>
      <w:r>
        <w:rPr>
          <w:spacing w:val="-83"/>
        </w:rPr>
        <w:t> </w:t>
      </w:r>
      <w:r>
        <w:rPr>
          <w:spacing w:val="-83"/>
        </w:rPr>
      </w:r>
      <w:r>
        <w:rPr>
          <w:spacing w:val="-1"/>
        </w:rPr>
        <w:t>期权的激励对象在第一个行权期可行权股票期权数量为</w:t>
      </w:r>
      <w:r>
        <w:rPr>
          <w:rFonts w:ascii="Times New Roman" w:hAnsi="Times New Roman" w:cs="Times New Roman" w:eastAsia="Times New Roman" w:hint="default"/>
          <w:spacing w:val="-1"/>
        </w:rPr>
        <w:t>2,421,360</w:t>
      </w:r>
      <w:r>
        <w:rPr>
          <w:spacing w:val="-1"/>
        </w:rPr>
        <w:t>股，本次股票期权行权后，公司总股本为</w:t>
      </w:r>
      <w:r>
        <w:rPr>
          <w:spacing w:val="-79"/>
        </w:rPr>
        <w:t> </w:t>
      </w:r>
      <w:r>
        <w:rPr>
          <w:spacing w:val="-79"/>
        </w:rPr>
      </w:r>
      <w:r>
        <w:rPr>
          <w:rFonts w:ascii="Times New Roman" w:hAnsi="Times New Roman" w:cs="Times New Roman" w:eastAsia="Times New Roman" w:hint="default"/>
        </w:rPr>
        <w:t>231,021,360</w:t>
      </w:r>
      <w:r>
        <w:rPr/>
        <w:t>股。</w:t>
      </w:r>
    </w:p>
    <w:p>
      <w:pPr>
        <w:pStyle w:val="Heading6"/>
        <w:spacing w:line="261" w:lineRule="auto" w:before="0"/>
        <w:ind w:right="1110"/>
        <w:jc w:val="both"/>
      </w:pPr>
      <w:r>
        <w:rPr/>
        <w:t>经本公司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日第三届董事会第二十六次会议审议通过，公司</w:t>
      </w:r>
      <w:r>
        <w:rPr>
          <w:rFonts w:ascii="Times New Roman" w:hAnsi="Times New Roman" w:cs="Times New Roman" w:eastAsia="Times New Roman" w:hint="default"/>
        </w:rPr>
        <w:t>141</w:t>
      </w:r>
      <w:r>
        <w:rPr/>
        <w:t>名激励对象行权资格合法、 </w:t>
      </w:r>
      <w:r>
        <w:rPr>
          <w:spacing w:val="-1"/>
        </w:rPr>
        <w:t>有效，满足公司股权激励计划首次授予的股票期权第二个行权期行权条件，同意已获准行权的股票期权的</w:t>
      </w:r>
      <w:r>
        <w:rPr>
          <w:spacing w:val="-81"/>
        </w:rPr>
        <w:t> </w:t>
      </w:r>
      <w:r>
        <w:rPr>
          <w:spacing w:val="-81"/>
        </w:rPr>
      </w:r>
      <w:r>
        <w:rPr>
          <w:spacing w:val="-1"/>
        </w:rPr>
        <w:t>激励对象在第二个行权期进行行权，截止</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日已行权股票期权数量为</w:t>
      </w:r>
      <w:r>
        <w:rPr>
          <w:rFonts w:ascii="Times New Roman" w:hAnsi="Times New Roman" w:cs="Times New Roman" w:eastAsia="Times New Roman" w:hint="default"/>
          <w:spacing w:val="-1"/>
        </w:rPr>
        <w:t>4,459,920</w:t>
      </w:r>
      <w:r>
        <w:rPr>
          <w:spacing w:val="-1"/>
        </w:rPr>
        <w:t>股，本次股票期</w:t>
      </w:r>
      <w:r>
        <w:rPr>
          <w:spacing w:val="-76"/>
        </w:rPr>
        <w:t> </w:t>
      </w:r>
      <w:r>
        <w:rPr>
          <w:spacing w:val="-76"/>
        </w:rPr>
      </w:r>
      <w:r>
        <w:rPr/>
        <w:t>权行权后，公司总股本为</w:t>
      </w:r>
      <w:r>
        <w:rPr>
          <w:rFonts w:ascii="Times New Roman" w:hAnsi="Times New Roman" w:cs="Times New Roman" w:eastAsia="Times New Roman" w:hint="default"/>
        </w:rPr>
        <w:t>235,481,280</w:t>
      </w:r>
      <w:r>
        <w:rPr/>
        <w:t>股，已在中国证券登记结算有限责任公司登记。</w:t>
      </w:r>
    </w:p>
    <w:p>
      <w:pPr>
        <w:pStyle w:val="Heading6"/>
        <w:spacing w:line="261" w:lineRule="auto" w:before="0"/>
        <w:ind w:right="994"/>
        <w:jc w:val="left"/>
      </w:pPr>
      <w:r>
        <w:rPr>
          <w:spacing w:val="-1"/>
        </w:rPr>
        <w:t>经中国证券监督管理委员会《关于核准深圳市新国都技术股份有限公司非公开发行股票的批复》（证</w:t>
      </w:r>
      <w:r>
        <w:rPr/>
        <w:t> 监许可</w:t>
      </w:r>
      <w:r>
        <w:rPr>
          <w:rFonts w:ascii="Times New Roman" w:hAnsi="Times New Roman" w:cs="Times New Roman" w:eastAsia="Times New Roman" w:hint="default"/>
        </w:rPr>
        <w:t>[2017]1146</w:t>
      </w:r>
      <w:r>
        <w:rPr/>
        <w:t>号）核准，并经深圳证券交易所同意，本公司由主承销商中信证券股份有限公司于</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日非公开发行股票</w:t>
      </w:r>
      <w:r>
        <w:rPr>
          <w:rFonts w:ascii="Times New Roman" w:hAnsi="Times New Roman" w:cs="Times New Roman" w:eastAsia="Times New Roman" w:hint="default"/>
        </w:rPr>
        <w:t>2,500.00</w:t>
      </w:r>
      <w:r>
        <w:rPr/>
        <w:t>万股，每股面值</w:t>
      </w:r>
      <w:r>
        <w:rPr>
          <w:rFonts w:ascii="Times New Roman" w:hAnsi="Times New Roman" w:cs="Times New Roman" w:eastAsia="Times New Roman" w:hint="default"/>
        </w:rPr>
        <w:t>1.00</w:t>
      </w:r>
      <w:r>
        <w:rPr/>
        <w:t>元，每股发行价人民币</w:t>
      </w:r>
      <w:r>
        <w:rPr>
          <w:rFonts w:ascii="Times New Roman" w:hAnsi="Times New Roman" w:cs="Times New Roman" w:eastAsia="Times New Roman" w:hint="default"/>
        </w:rPr>
        <w:t>18.22</w:t>
      </w:r>
      <w:r>
        <w:rPr/>
        <w:t>元。截至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spacing w:val="-1"/>
        </w:rPr>
        <w:t>日止，共募集资金</w:t>
      </w:r>
      <w:r>
        <w:rPr>
          <w:rFonts w:ascii="Times New Roman" w:hAnsi="Times New Roman" w:cs="Times New Roman" w:eastAsia="Times New Roman" w:hint="default"/>
          <w:spacing w:val="-1"/>
        </w:rPr>
        <w:t>45,550.00</w:t>
      </w:r>
      <w:r>
        <w:rPr>
          <w:spacing w:val="-1"/>
        </w:rPr>
        <w:t>万元，扣除发行费用</w:t>
      </w:r>
      <w:r>
        <w:rPr>
          <w:rFonts w:ascii="Times New Roman" w:hAnsi="Times New Roman" w:cs="Times New Roman" w:eastAsia="Times New Roman" w:hint="default"/>
          <w:spacing w:val="-1"/>
        </w:rPr>
        <w:t>10,880,000.00</w:t>
      </w:r>
      <w:r>
        <w:rPr>
          <w:spacing w:val="-1"/>
        </w:rPr>
        <w:t>元，募集资金净额</w:t>
      </w:r>
      <w:r>
        <w:rPr>
          <w:rFonts w:ascii="Times New Roman" w:hAnsi="Times New Roman" w:cs="Times New Roman" w:eastAsia="Times New Roman" w:hint="default"/>
          <w:spacing w:val="-1"/>
        </w:rPr>
        <w:t>444,620,000.00</w:t>
      </w:r>
      <w:r>
        <w:rPr>
          <w:spacing w:val="-1"/>
        </w:rPr>
        <w:t>元，本次募</w:t>
      </w:r>
      <w:r>
        <w:rPr>
          <w:spacing w:val="-70"/>
        </w:rPr>
        <w:t> </w:t>
      </w:r>
      <w:r>
        <w:rPr>
          <w:spacing w:val="-70"/>
        </w:rPr>
      </w:r>
      <w:r>
        <w:rPr/>
        <w:t>集资金业经亚太（集团）会计师事务所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出具的亚会</w:t>
      </w:r>
      <w:r>
        <w:rPr>
          <w:rFonts w:ascii="Times New Roman" w:hAnsi="Times New Roman" w:cs="Times New Roman" w:eastAsia="Times New Roman" w:hint="default"/>
        </w:rPr>
        <w:t>A</w:t>
      </w:r>
      <w:r>
        <w:rPr/>
        <w:t>验字</w:t>
      </w:r>
      <w:r>
        <w:rPr>
          <w:rFonts w:ascii="Times New Roman" w:hAnsi="Times New Roman" w:cs="Times New Roman" w:eastAsia="Times New Roman" w:hint="default"/>
        </w:rPr>
        <w:t>[2017]0027</w:t>
      </w:r>
      <w:r>
        <w:rPr/>
        <w:t>号验资报告验证。</w:t>
      </w:r>
    </w:p>
    <w:p>
      <w:pPr>
        <w:pStyle w:val="Heading6"/>
        <w:spacing w:line="261" w:lineRule="auto" w:before="0"/>
        <w:ind w:right="1110"/>
        <w:jc w:val="both"/>
      </w:pPr>
      <w:r>
        <w:rPr/>
        <w:t>经本公司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日第三届董事会第四十二次会议审议通过，公司</w:t>
      </w:r>
      <w:r>
        <w:rPr>
          <w:rFonts w:ascii="Times New Roman" w:hAnsi="Times New Roman" w:cs="Times New Roman" w:eastAsia="Times New Roman" w:hint="default"/>
        </w:rPr>
        <w:t>108</w:t>
      </w:r>
      <w:r>
        <w:rPr/>
        <w:t>名激励对象行权资格合法、 </w:t>
      </w:r>
      <w:r>
        <w:rPr>
          <w:spacing w:val="-1"/>
        </w:rPr>
        <w:t>有效，满足公司股权激励计划首次授予的股票期权第三个行权期行权条件，同意已获准行权的股票期权的</w:t>
      </w:r>
      <w:r>
        <w:rPr>
          <w:spacing w:val="-81"/>
        </w:rPr>
        <w:t> </w:t>
      </w:r>
      <w:r>
        <w:rPr>
          <w:spacing w:val="-81"/>
        </w:rPr>
      </w:r>
      <w:r>
        <w:rPr>
          <w:spacing w:val="-1"/>
        </w:rPr>
        <w:t>激励对象在第三个行权期进行行权，截止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日已行权股票期权数量为</w:t>
      </w:r>
      <w:r>
        <w:rPr>
          <w:rFonts w:ascii="Times New Roman" w:hAnsi="Times New Roman" w:cs="Times New Roman" w:eastAsia="Times New Roman" w:hint="default"/>
          <w:spacing w:val="-1"/>
        </w:rPr>
        <w:t>5,005,420</w:t>
      </w:r>
      <w:r>
        <w:rPr>
          <w:spacing w:val="-1"/>
        </w:rPr>
        <w:t>股，公司总股本</w:t>
      </w:r>
      <w:r>
        <w:rPr>
          <w:spacing w:val="-76"/>
        </w:rPr>
        <w:t> </w:t>
      </w:r>
      <w:r>
        <w:rPr>
          <w:spacing w:val="-76"/>
        </w:rPr>
      </w:r>
      <w:r>
        <w:rPr/>
        <w:t>为</w:t>
      </w:r>
      <w:r>
        <w:rPr>
          <w:rFonts w:ascii="Times New Roman" w:hAnsi="Times New Roman" w:cs="Times New Roman" w:eastAsia="Times New Roman" w:hint="default"/>
        </w:rPr>
        <w:t>265,486,700</w:t>
      </w:r>
      <w:r>
        <w:rPr/>
        <w:t>股。</w:t>
      </w:r>
    </w:p>
    <w:p>
      <w:pPr>
        <w:pStyle w:val="Heading6"/>
        <w:spacing w:line="256" w:lineRule="auto" w:before="0"/>
        <w:ind w:right="1198"/>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日收到深圳市市场监督管理局核发的统一社会信用代码为</w:t>
      </w:r>
      <w:r>
        <w:rPr>
          <w:rFonts w:ascii="Times New Roman" w:hAnsi="Times New Roman" w:cs="Times New Roman" w:eastAsia="Times New Roman" w:hint="default"/>
        </w:rPr>
        <w:t>914403007311028524</w:t>
      </w:r>
      <w:r>
        <w:rPr/>
        <w:t>的营业执 照。</w:t>
      </w:r>
    </w:p>
    <w:p>
      <w:pPr>
        <w:spacing w:line="357" w:lineRule="auto" w:before="142"/>
        <w:ind w:left="1492" w:right="69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行业性质</w:t>
      </w:r>
      <w:r>
        <w:rPr>
          <w:rFonts w:ascii="宋体" w:hAnsi="宋体" w:cs="宋体" w:eastAsia="宋体" w:hint="default"/>
          <w:b/>
          <w:bCs/>
          <w:w w:val="99"/>
          <w:sz w:val="21"/>
          <w:szCs w:val="21"/>
        </w:rPr>
        <w:t> </w:t>
      </w:r>
      <w:r>
        <w:rPr>
          <w:rFonts w:ascii="宋体" w:hAnsi="宋体" w:cs="宋体" w:eastAsia="宋体" w:hint="default"/>
          <w:sz w:val="21"/>
          <w:szCs w:val="21"/>
        </w:rPr>
        <w:t>本公司属电子设备制造行业。</w:t>
      </w:r>
    </w:p>
    <w:p>
      <w:pPr>
        <w:pStyle w:val="Heading5"/>
        <w:spacing w:line="225" w:lineRule="exact"/>
        <w:ind w:left="1492" w:right="994"/>
        <w:jc w:val="left"/>
        <w:rPr>
          <w:b w:val="0"/>
          <w:bCs w:val="0"/>
        </w:rPr>
      </w:pPr>
      <w:r>
        <w:rPr>
          <w:rFonts w:ascii="Times New Roman" w:hAnsi="Times New Roman" w:cs="Times New Roman" w:eastAsia="Times New Roman" w:hint="default"/>
        </w:rPr>
        <w:t>3.</w:t>
      </w:r>
      <w:r>
        <w:rPr/>
        <w:t>经营范围</w:t>
      </w:r>
      <w:r>
        <w:rPr>
          <w:b w:val="0"/>
          <w:bCs w:val="0"/>
        </w:rPr>
      </w:r>
    </w:p>
    <w:p>
      <w:pPr>
        <w:pStyle w:val="Heading6"/>
        <w:spacing w:line="264" w:lineRule="auto" w:before="21"/>
        <w:ind w:right="1110"/>
        <w:jc w:val="both"/>
      </w:pPr>
      <w:r>
        <w:rPr/>
        <w:t>经营范围：货物及技术进出口业务。银行卡电子支付终端产品（</w:t>
      </w:r>
      <w:r>
        <w:rPr>
          <w:rFonts w:ascii="Times New Roman" w:hAnsi="Times New Roman" w:cs="Times New Roman" w:eastAsia="Times New Roman" w:hint="default"/>
        </w:rPr>
        <w:t>POS</w:t>
      </w:r>
      <w:r>
        <w:rPr/>
        <w:t>终端、固定无线电话机）、电子 </w:t>
      </w:r>
      <w:r>
        <w:rPr>
          <w:spacing w:val="-1"/>
        </w:rPr>
        <w:t>支付密码系统产品、计算机产品及电子产品的技术开发、生产（生产项目由分支机构经营）、销售、租赁</w:t>
      </w:r>
      <w:r>
        <w:rPr>
          <w:spacing w:val="-83"/>
        </w:rPr>
        <w:t> </w:t>
      </w:r>
      <w:r>
        <w:rPr>
          <w:spacing w:val="-83"/>
        </w:rPr>
      </w:r>
      <w:r>
        <w:rPr/>
        <w:t>及服务（不含专营、专控、专卖商品及限制项目）；移动支付业务的技术开发运营及服务（不含生产）；</w:t>
      </w:r>
    </w:p>
    <w:p>
      <w:pPr>
        <w:spacing w:after="0" w:line="264"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994" w:firstLine="0"/>
        <w:jc w:val="left"/>
      </w:pPr>
      <w:r>
        <w:rPr/>
        <w:t>互联网信息业务。</w:t>
      </w:r>
    </w:p>
    <w:p>
      <w:pPr>
        <w:pStyle w:val="Heading6"/>
        <w:spacing w:line="357" w:lineRule="auto" w:before="157"/>
        <w:ind w:left="1492" w:right="994" w:firstLine="0"/>
        <w:jc w:val="left"/>
      </w:pPr>
      <w:r>
        <w:rPr>
          <w:rFonts w:ascii="Times New Roman" w:hAnsi="Times New Roman" w:cs="Times New Roman" w:eastAsia="Times New Roman" w:hint="default"/>
          <w:b/>
          <w:bCs/>
        </w:rPr>
        <w:t>4.</w:t>
      </w:r>
      <w:r>
        <w:rPr>
          <w:rFonts w:ascii="宋体" w:hAnsi="宋体" w:cs="宋体" w:eastAsia="宋体" w:hint="default"/>
          <w:b/>
          <w:bCs/>
        </w:rPr>
        <w:t>主要产品、劳务</w:t>
      </w:r>
      <w:r>
        <w:rPr>
          <w:rFonts w:ascii="宋体" w:hAnsi="宋体" w:cs="宋体" w:eastAsia="宋体" w:hint="default"/>
          <w:b/>
          <w:bCs/>
          <w:w w:val="99"/>
        </w:rPr>
        <w:t> </w:t>
      </w:r>
      <w:r>
        <w:rPr/>
        <w:t>银行卡电子支付终端</w:t>
      </w:r>
      <w:r>
        <w:rPr>
          <w:rFonts w:ascii="Times New Roman" w:hAnsi="Times New Roman" w:cs="Times New Roman" w:eastAsia="Times New Roman" w:hint="default"/>
        </w:rPr>
        <w:t>(POS)</w:t>
      </w:r>
      <w:r>
        <w:rPr/>
        <w:t>机的生产和销售，提供银行卡电子支付终端</w:t>
      </w:r>
      <w:r>
        <w:rPr>
          <w:rFonts w:ascii="Times New Roman" w:hAnsi="Times New Roman" w:cs="Times New Roman" w:eastAsia="Times New Roman" w:hint="default"/>
        </w:rPr>
        <w:t>(POS)</w:t>
      </w:r>
      <w:r>
        <w:rPr/>
        <w:t>机租赁劳务。 </w:t>
      </w:r>
      <w:r>
        <w:rPr>
          <w:rFonts w:ascii="Times New Roman" w:hAnsi="Times New Roman" w:cs="Times New Roman" w:eastAsia="Times New Roman" w:hint="default"/>
          <w:b/>
          <w:bCs/>
        </w:rPr>
        <w:t>5.</w:t>
      </w:r>
      <w:r>
        <w:rPr>
          <w:rFonts w:ascii="宋体" w:hAnsi="宋体" w:cs="宋体" w:eastAsia="宋体" w:hint="default"/>
          <w:b/>
          <w:bCs/>
        </w:rPr>
        <w:t>公司基本架构</w:t>
      </w:r>
      <w:r>
        <w:rPr>
          <w:rFonts w:ascii="宋体" w:hAnsi="宋体" w:cs="宋体" w:eastAsia="宋体" w:hint="default"/>
          <w:b/>
          <w:bCs/>
          <w:w w:val="99"/>
        </w:rPr>
        <w:t> </w:t>
      </w:r>
      <w:r>
        <w:rPr/>
        <w:t>本公司最高权力机构是股东大会</w:t>
      </w:r>
      <w:r>
        <w:rPr>
          <w:rFonts w:ascii="宋体" w:hAnsi="宋体" w:cs="宋体" w:eastAsia="宋体" w:hint="default"/>
        </w:rPr>
        <w:t>,</w:t>
      </w:r>
      <w:r>
        <w:rPr/>
        <w:t>实行董事会领导下的总经理负责制。根据业务发展需要，设立人力</w:t>
      </w:r>
    </w:p>
    <w:p>
      <w:pPr>
        <w:pStyle w:val="Heading6"/>
        <w:spacing w:line="209" w:lineRule="exact" w:before="0"/>
        <w:ind w:right="994" w:firstLine="0"/>
        <w:jc w:val="left"/>
      </w:pPr>
      <w:r>
        <w:rPr/>
        <w:t>资源中心、行政中心、计划财务中心、供应链管理委员会、证券部、新业务孵化中心、品牌管理部、总裁</w:t>
      </w:r>
    </w:p>
    <w:p>
      <w:pPr>
        <w:pStyle w:val="Heading6"/>
        <w:spacing w:line="273" w:lineRule="auto" w:before="37"/>
        <w:ind w:right="994" w:firstLine="0"/>
        <w:jc w:val="left"/>
      </w:pPr>
      <w:r>
        <w:rPr>
          <w:spacing w:val="-1"/>
        </w:rPr>
        <w:t>办、审计监察部、产品管理中心、国际业务中心、综合管理部、研发中心、运营中心、质量中心、国内业</w:t>
      </w:r>
      <w:r>
        <w:rPr>
          <w:spacing w:val="-85"/>
        </w:rPr>
        <w:t> </w:t>
      </w:r>
      <w:r>
        <w:rPr>
          <w:spacing w:val="-85"/>
        </w:rPr>
      </w:r>
      <w:r>
        <w:rPr/>
        <w:t>务中心、采购制造管理中心等职能部门。</w:t>
      </w:r>
    </w:p>
    <w:p>
      <w:pPr>
        <w:spacing w:line="357" w:lineRule="auto" w:before="127"/>
        <w:ind w:left="1553" w:right="4978" w:hanging="15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财务报表的批准报出</w:t>
      </w:r>
      <w:r>
        <w:rPr>
          <w:rFonts w:ascii="宋体" w:hAnsi="宋体" w:cs="宋体" w:eastAsia="宋体" w:hint="default"/>
          <w:b/>
          <w:bCs/>
          <w:w w:val="99"/>
          <w:sz w:val="21"/>
          <w:szCs w:val="21"/>
        </w:rPr>
        <w:t> </w:t>
      </w:r>
      <w:r>
        <w:rPr>
          <w:rFonts w:ascii="宋体" w:hAnsi="宋体" w:cs="宋体" w:eastAsia="宋体" w:hint="default"/>
          <w:sz w:val="21"/>
          <w:szCs w:val="21"/>
        </w:rPr>
        <w:t>本财务报表业经公司全体董事于</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日批准报出。</w:t>
      </w:r>
    </w:p>
    <w:p>
      <w:pPr>
        <w:spacing w:line="240" w:lineRule="auto" w:before="10"/>
        <w:rPr>
          <w:rFonts w:ascii="宋体" w:hAnsi="宋体" w:cs="宋体" w:eastAsia="宋体" w:hint="default"/>
          <w:sz w:val="16"/>
          <w:szCs w:val="16"/>
        </w:rPr>
      </w:pPr>
    </w:p>
    <w:p>
      <w:pPr>
        <w:pStyle w:val="Heading6"/>
        <w:spacing w:line="240" w:lineRule="auto" w:before="0"/>
        <w:ind w:left="1553" w:right="994" w:firstLine="0"/>
        <w:jc w:val="left"/>
      </w:pPr>
      <w:r>
        <w:rPr/>
        <w:t>本期纳入合并财务报表范围的主体共</w:t>
      </w:r>
      <w:r>
        <w:rPr>
          <w:rFonts w:ascii="Times New Roman" w:hAnsi="Times New Roman" w:cs="Times New Roman" w:eastAsia="Times New Roman" w:hint="default"/>
        </w:rPr>
        <w:t>12</w:t>
      </w:r>
      <w:r>
        <w:rPr/>
        <w:t>户，具体包括：</w:t>
      </w:r>
    </w:p>
    <w:p>
      <w:pPr>
        <w:spacing w:line="240" w:lineRule="auto" w:before="10"/>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3370"/>
        <w:gridCol w:w="1401"/>
        <w:gridCol w:w="725"/>
        <w:gridCol w:w="1517"/>
        <w:gridCol w:w="1517"/>
      </w:tblGrid>
      <w:tr>
        <w:trPr>
          <w:trHeight w:val="355"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3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3"/>
              <w:jc w:val="right"/>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96.32</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96.32</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浙江中正智能科技有限公司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深圳市新国都支付技术有限公司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深圳市信联征信有限公司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ExaDigm,Inc</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深圳市新国都金服软件有限公司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长沙公信诚丰信息技术服务有限公司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深圳市新国都末微技术服务有限公司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60.00</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长沙法度互联网科技有限公司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杭州中宗电子有限公司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巴西</w:t>
            </w:r>
            <w:r>
              <w:rPr>
                <w:rFonts w:ascii="Times New Roman" w:hAnsi="Times New Roman" w:cs="Times New Roman" w:eastAsia="Times New Roman" w:hint="default"/>
                <w:sz w:val="18"/>
                <w:szCs w:val="18"/>
              </w:rPr>
              <w:t>NEXGO</w:t>
            </w:r>
            <w:r>
              <w:rPr>
                <w:rFonts w:ascii="宋体" w:hAnsi="宋体" w:cs="宋体" w:eastAsia="宋体" w:hint="default"/>
                <w:sz w:val="18"/>
                <w:szCs w:val="18"/>
              </w:rPr>
              <w:t>控股有限责任公司</w:t>
            </w:r>
          </w:p>
        </w:tc>
        <w:tc>
          <w:tcPr>
            <w:tcW w:w="140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二级</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100.00</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pStyle w:val="Heading6"/>
        <w:spacing w:line="240" w:lineRule="auto" w:before="35"/>
        <w:ind w:left="1554" w:right="994" w:firstLine="0"/>
        <w:jc w:val="left"/>
      </w:pPr>
      <w:r>
        <w:rPr/>
        <w:t>本期纳入合并财务报表范围的主体较上期相比，增加</w:t>
      </w:r>
      <w:r>
        <w:rPr>
          <w:rFonts w:ascii="Times New Roman" w:hAnsi="Times New Roman" w:cs="Times New Roman" w:eastAsia="Times New Roman" w:hint="default"/>
        </w:rPr>
        <w:t>4</w:t>
      </w:r>
      <w:r>
        <w:rPr/>
        <w:t>户，其中：</w:t>
      </w:r>
    </w:p>
    <w:p>
      <w:pPr>
        <w:pStyle w:val="Heading6"/>
        <w:spacing w:line="240" w:lineRule="auto" w:before="21"/>
        <w:ind w:right="994" w:firstLine="0"/>
        <w:jc w:val="left"/>
      </w:pPr>
      <w:r>
        <w:rPr>
          <w:rFonts w:ascii="宋体" w:hAnsi="宋体" w:cs="宋体" w:eastAsia="宋体" w:hint="default"/>
        </w:rPr>
        <w:t>1.</w:t>
      </w:r>
      <w:r>
        <w:rPr>
          <w:rFonts w:ascii="宋体" w:hAnsi="宋体" w:cs="宋体" w:eastAsia="宋体" w:hint="default"/>
          <w:spacing w:val="44"/>
        </w:rPr>
        <w:t> </w:t>
      </w:r>
      <w:r>
        <w:rPr/>
        <w:t>本期新纳入合并范围的子公司、特殊目的主体、通过受托经营或承租等方式形成控制权的经营实体</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3370"/>
        <w:gridCol w:w="5160"/>
      </w:tblGrid>
      <w:tr>
        <w:trPr>
          <w:trHeight w:val="355" w:hRule="exact"/>
        </w:trPr>
        <w:tc>
          <w:tcPr>
            <w:tcW w:w="33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5160"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深圳市新国都末微技术服务有限公司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长沙法度互联网科技有限公司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2"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杭州中宗电子有限公司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3" w:hRule="exact"/>
        </w:trPr>
        <w:tc>
          <w:tcPr>
            <w:tcW w:w="33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巴西</w:t>
            </w:r>
            <w:r>
              <w:rPr>
                <w:rFonts w:ascii="Times New Roman" w:hAnsi="Times New Roman" w:cs="Times New Roman" w:eastAsia="Times New Roman" w:hint="default"/>
                <w:sz w:val="18"/>
                <w:szCs w:val="18"/>
              </w:rPr>
              <w:t>NEXGO</w:t>
            </w:r>
            <w:r>
              <w:rPr>
                <w:rFonts w:ascii="宋体" w:hAnsi="宋体" w:cs="宋体" w:eastAsia="宋体" w:hint="default"/>
                <w:sz w:val="18"/>
                <w:szCs w:val="18"/>
              </w:rPr>
              <w:t>控股有限责任公司</w:t>
            </w:r>
          </w:p>
        </w:tc>
        <w:tc>
          <w:tcPr>
            <w:tcW w:w="5160"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投资新设</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4"/>
        <w:spacing w:line="240" w:lineRule="auto" w:before="26"/>
        <w:ind w:left="1134" w:right="994"/>
        <w:jc w:val="left"/>
        <w:rPr>
          <w:b w:val="0"/>
          <w:bCs w:val="0"/>
        </w:rPr>
      </w:pPr>
      <w:bookmarkStart w:name="四、财务报表的编制基础" w:id="177"/>
      <w:bookmarkEnd w:id="177"/>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1、编制基础" w:id="178"/>
      <w:bookmarkEnd w:id="17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Heading6"/>
        <w:spacing w:line="240" w:lineRule="auto" w:before="0"/>
        <w:ind w:left="1553" w:right="994" w:firstLine="0"/>
        <w:jc w:val="left"/>
      </w:pPr>
      <w:r>
        <w:rPr/>
        <w:t>本公司根据实际发生的交易和事项，按照财政部颁布的《企业会计准则</w:t>
      </w:r>
      <w:r>
        <w:rPr>
          <w:rFonts w:ascii="Times New Roman" w:hAnsi="Times New Roman" w:cs="Times New Roman" w:eastAsia="Times New Roman" w:hint="default"/>
        </w:rPr>
        <w:t>——</w:t>
      </w:r>
      <w:r>
        <w:rPr/>
        <w:t>基本准则》和具体企业会</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56" w:lineRule="auto" w:before="35"/>
        <w:ind w:right="1129" w:firstLine="0"/>
        <w:jc w:val="both"/>
      </w:pPr>
      <w:r>
        <w:rPr/>
        <w:t>计准则、企业会计准则应用指南、企业会计准则解释及其他相关规定（以下合称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）进行确 </w:t>
      </w:r>
      <w:r>
        <w:rPr>
          <w:spacing w:val="-5"/>
        </w:rPr>
        <w:t>认和计量，在此基础上，结合中国证券监督管理委员会《公开发行证券的公司信息披露编报规则第</w:t>
      </w:r>
      <w:r>
        <w:rPr>
          <w:rFonts w:ascii="Times New Roman" w:hAnsi="Times New Roman" w:cs="Times New Roman" w:eastAsia="Times New Roman" w:hint="default"/>
          <w:spacing w:val="-5"/>
        </w:rPr>
        <w:t>15</w:t>
      </w:r>
      <w:r>
        <w:rPr>
          <w:spacing w:val="-5"/>
        </w:rPr>
        <w:t>号</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44"/>
        </w:rPr>
        <w:t> </w:t>
      </w:r>
      <w:r>
        <w:rPr/>
        <w:t>财务报告的一般规定》（</w:t>
      </w:r>
      <w:r>
        <w:rPr>
          <w:rFonts w:ascii="Times New Roman" w:hAnsi="Times New Roman" w:cs="Times New Roman" w:eastAsia="Times New Roman" w:hint="default"/>
        </w:rPr>
        <w:t>2014</w:t>
      </w:r>
      <w:r>
        <w:rPr/>
        <w:t>年修订）的规定，编制财务报表。</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4"/>
          <w:szCs w:val="24"/>
        </w:rPr>
      </w:pPr>
    </w:p>
    <w:p>
      <w:pPr>
        <w:pStyle w:val="Heading6"/>
        <w:spacing w:line="610" w:lineRule="atLeast" w:before="0"/>
        <w:ind w:left="1470" w:right="1176" w:hanging="336"/>
        <w:jc w:val="left"/>
      </w:pPr>
      <w:bookmarkStart w:name="2、持续经营" w:id="179"/>
      <w:bookmarkEnd w:id="179"/>
      <w:r>
        <w:rPr/>
      </w:r>
      <w:r>
        <w:rPr>
          <w:rFonts w:ascii="Times New Roman" w:hAnsi="Times New Roman" w:cs="Times New Roman" w:eastAsia="Times New Roman" w:hint="default"/>
          <w:b/>
          <w:bCs/>
        </w:rPr>
        <w:t>2</w:t>
      </w:r>
      <w:r>
        <w:rPr>
          <w:rFonts w:ascii="宋体" w:hAnsi="宋体" w:cs="宋体" w:eastAsia="宋体" w:hint="default"/>
          <w:b/>
          <w:bCs/>
        </w:rPr>
        <w:t>、持续经营</w:t>
      </w:r>
      <w:r>
        <w:rPr>
          <w:rFonts w:ascii="宋体" w:hAnsi="宋体" w:cs="宋体" w:eastAsia="宋体" w:hint="default"/>
          <w:b/>
          <w:bCs/>
          <w:w w:val="99"/>
        </w:rPr>
        <w:t> </w:t>
      </w:r>
      <w:r>
        <w:rPr/>
        <w:t>本公司对报告期末起</w:t>
      </w:r>
      <w:r>
        <w:rPr>
          <w:rFonts w:ascii="Times New Roman" w:hAnsi="Times New Roman" w:cs="Times New Roman" w:eastAsia="Times New Roman" w:hint="default"/>
        </w:rPr>
        <w:t>12</w:t>
      </w:r>
      <w:r>
        <w:rPr/>
        <w:t>个月的持续经营能力进行了评价，未发现对持续经营能力产生重大怀疑的事项</w:t>
      </w:r>
    </w:p>
    <w:p>
      <w:pPr>
        <w:pStyle w:val="Heading6"/>
        <w:spacing w:line="240" w:lineRule="auto" w:before="21"/>
        <w:ind w:right="0" w:firstLine="0"/>
        <w:jc w:val="both"/>
      </w:pPr>
      <w:r>
        <w:rPr/>
        <w:t>或情况。因此，本财务报表系在持续经营假设的基础上编制。</w:t>
      </w:r>
    </w:p>
    <w:p>
      <w:pPr>
        <w:spacing w:line="240" w:lineRule="auto" w:before="1"/>
        <w:rPr>
          <w:rFonts w:ascii="宋体" w:hAnsi="宋体" w:cs="宋体" w:eastAsia="宋体" w:hint="default"/>
          <w:sz w:val="24"/>
          <w:szCs w:val="24"/>
        </w:rPr>
      </w:pPr>
    </w:p>
    <w:p>
      <w:pPr>
        <w:pStyle w:val="Heading4"/>
        <w:spacing w:line="240" w:lineRule="auto"/>
        <w:ind w:right="0"/>
        <w:jc w:val="both"/>
        <w:rPr>
          <w:b w:val="0"/>
          <w:bCs w:val="0"/>
        </w:rPr>
      </w:pPr>
      <w:bookmarkStart w:name="五、重要会计政策及会计估计" w:id="180"/>
      <w:bookmarkEnd w:id="180"/>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before="0"/>
        <w:ind w:right="7693"/>
        <w:jc w:val="left"/>
      </w:pPr>
      <w:r>
        <w:rPr/>
        <w:t>公司是否需要遵守特殊行业的披露要求 否</w:t>
      </w:r>
    </w:p>
    <w:p>
      <w:pPr>
        <w:pStyle w:val="BodyText"/>
        <w:spacing w:line="240" w:lineRule="auto" w:before="29"/>
        <w:ind w:left="1134" w:right="0"/>
        <w:jc w:val="both"/>
      </w:pPr>
      <w:r>
        <w:rPr/>
        <w:t>具体会计政策和会计估计提示：</w:t>
      </w:r>
    </w:p>
    <w:p>
      <w:pPr>
        <w:pStyle w:val="BodyText"/>
        <w:spacing w:line="300" w:lineRule="auto" w:before="115"/>
        <w:ind w:right="1130"/>
        <w:jc w:val="both"/>
      </w:pPr>
      <w:r>
        <w:rPr>
          <w:spacing w:val="-2"/>
        </w:rPr>
        <w:t>本公司根据实际发生的交易和事项，按照财政部颁布的《企业会计准则</w:t>
      </w:r>
      <w:r>
        <w:rPr>
          <w:rFonts w:ascii="Times New Roman" w:hAnsi="Times New Roman" w:cs="Times New Roman" w:eastAsia="Times New Roman" w:hint="default"/>
          <w:spacing w:val="-2"/>
        </w:rPr>
        <w:t>——</w:t>
      </w:r>
      <w:r>
        <w:rPr>
          <w:spacing w:val="-2"/>
        </w:rPr>
        <w:t>基本准则》和具体企业会计准则、企业会计准则</w:t>
      </w:r>
      <w:r>
        <w:rPr>
          <w:spacing w:val="-66"/>
        </w:rPr>
        <w:t> </w:t>
      </w:r>
      <w:r>
        <w:rPr>
          <w:spacing w:val="-66"/>
        </w:rPr>
      </w:r>
      <w:r>
        <w:rPr>
          <w:spacing w:val="-2"/>
        </w:rPr>
        <w:t>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）进行确认和计量，在此基础上，结合中国证券监</w:t>
      </w:r>
      <w:r>
        <w:rPr>
          <w:spacing w:val="-47"/>
        </w:rPr>
        <w:t> </w:t>
      </w:r>
      <w:r>
        <w:rPr>
          <w:spacing w:val="-47"/>
        </w:rPr>
      </w:r>
      <w:r>
        <w:rPr>
          <w:spacing w:val="-2"/>
        </w:rPr>
        <w:t>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年修订）的规定，编制财务</w:t>
      </w:r>
      <w:r>
        <w:rPr>
          <w:spacing w:val="-59"/>
        </w:rPr>
        <w:t> </w:t>
      </w:r>
      <w:r>
        <w:rPr>
          <w:spacing w:val="-59"/>
        </w:rPr>
      </w:r>
      <w:r>
        <w:rPr/>
        <w:t>报表。</w:t>
      </w:r>
    </w:p>
    <w:p>
      <w:pPr>
        <w:spacing w:line="240" w:lineRule="auto" w:before="6"/>
        <w:rPr>
          <w:rFonts w:ascii="宋体" w:hAnsi="宋体" w:cs="宋体" w:eastAsia="宋体" w:hint="default"/>
          <w:sz w:val="23"/>
          <w:szCs w:val="23"/>
        </w:rPr>
      </w:pPr>
    </w:p>
    <w:p>
      <w:pPr>
        <w:pStyle w:val="Heading5"/>
        <w:spacing w:line="240" w:lineRule="auto"/>
        <w:ind w:right="0"/>
        <w:jc w:val="both"/>
        <w:rPr>
          <w:b w:val="0"/>
          <w:bCs w:val="0"/>
        </w:rPr>
      </w:pPr>
      <w:bookmarkStart w:name="1、遵循企业会计准则的声明" w:id="181"/>
      <w:bookmarkEnd w:id="18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994"/>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7"/>
        <w:rPr>
          <w:rFonts w:ascii="宋体" w:hAnsi="宋体" w:cs="宋体" w:eastAsia="宋体" w:hint="default"/>
          <w:sz w:val="22"/>
          <w:szCs w:val="22"/>
        </w:rPr>
      </w:pPr>
    </w:p>
    <w:p>
      <w:pPr>
        <w:spacing w:line="547" w:lineRule="auto" w:before="0"/>
        <w:ind w:left="1133" w:right="7153" w:firstLine="0"/>
        <w:jc w:val="left"/>
        <w:rPr>
          <w:rFonts w:ascii="宋体" w:hAnsi="宋体" w:cs="宋体" w:eastAsia="宋体" w:hint="default"/>
          <w:sz w:val="21"/>
          <w:szCs w:val="21"/>
        </w:rPr>
      </w:pPr>
      <w:bookmarkStart w:name="2、会计期间" w:id="182"/>
      <w:bookmarkEnd w:id="18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18"/>
          <w:szCs w:val="18"/>
        </w:rPr>
        <w:t>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日止为一个会计年度。 </w:t>
      </w:r>
      <w:bookmarkStart w:name="3、营业周期" w:id="183"/>
      <w:bookmarkEnd w:id="183"/>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49"/>
        <w:ind w:right="0"/>
        <w:jc w:val="both"/>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日止为一个营业周期。</w:t>
      </w:r>
    </w:p>
    <w:p>
      <w:pPr>
        <w:spacing w:line="240" w:lineRule="auto" w:before="11"/>
        <w:rPr>
          <w:rFonts w:ascii="宋体" w:hAnsi="宋体" w:cs="宋体" w:eastAsia="宋体" w:hint="default"/>
          <w:sz w:val="25"/>
          <w:szCs w:val="25"/>
        </w:rPr>
      </w:pPr>
    </w:p>
    <w:p>
      <w:pPr>
        <w:pStyle w:val="Heading5"/>
        <w:spacing w:line="240" w:lineRule="auto"/>
        <w:ind w:right="0"/>
        <w:jc w:val="both"/>
        <w:rPr>
          <w:b w:val="0"/>
          <w:bCs w:val="0"/>
        </w:rPr>
      </w:pPr>
      <w:bookmarkStart w:name="4、记账本位币" w:id="184"/>
      <w:bookmarkEnd w:id="18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3013"/>
        <w:jc w:val="left"/>
      </w:pPr>
      <w:r>
        <w:rPr/>
        <w:t>采用人民币为记账本位币。 境外子公司以其经营所处的主要经济环境中的货币为记账本位币，编制财务报表时折算为人民币。</w:t>
      </w:r>
    </w:p>
    <w:p>
      <w:pPr>
        <w:spacing w:line="240" w:lineRule="auto" w:before="7"/>
        <w:rPr>
          <w:rFonts w:ascii="宋体" w:hAnsi="宋体" w:cs="宋体" w:eastAsia="宋体" w:hint="default"/>
          <w:sz w:val="22"/>
          <w:szCs w:val="22"/>
        </w:rPr>
      </w:pPr>
    </w:p>
    <w:p>
      <w:pPr>
        <w:pStyle w:val="Heading5"/>
        <w:spacing w:line="240" w:lineRule="auto"/>
        <w:ind w:right="0"/>
        <w:jc w:val="both"/>
        <w:rPr>
          <w:b w:val="0"/>
          <w:bCs w:val="0"/>
        </w:rPr>
      </w:pPr>
      <w:bookmarkStart w:name="5、同一控制下和非同一控制下企业合并的会计处理方法" w:id="185"/>
      <w:bookmarkEnd w:id="18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00" w:lineRule="auto" w:before="0"/>
        <w:ind w:right="994"/>
        <w:jc w:val="left"/>
      </w:pPr>
      <w:r>
        <w:rPr>
          <w:rFonts w:ascii="Times New Roman" w:hAnsi="Times New Roman" w:cs="Times New Roman" w:eastAsia="Times New Roman" w:hint="default"/>
          <w:spacing w:val="-1"/>
        </w:rPr>
        <w:t>1.</w:t>
      </w:r>
      <w:r>
        <w:rPr>
          <w:spacing w:val="-1"/>
        </w:rPr>
        <w:t>分步实现企业合并过程中的各项交易的条款、条件以及经济影响符合以下一种或多种情况，将多次交易事项作为一揽子交</w:t>
      </w:r>
      <w:r>
        <w:rPr>
          <w:spacing w:val="-73"/>
        </w:rPr>
        <w:t> </w:t>
      </w:r>
      <w:r>
        <w:rPr>
          <w:spacing w:val="-73"/>
        </w:rPr>
      </w:r>
      <w:r>
        <w:rPr/>
        <w:t>易进行会计处理：</w:t>
      </w:r>
    </w:p>
    <w:p>
      <w:pPr>
        <w:pStyle w:val="BodyText"/>
        <w:spacing w:line="240" w:lineRule="auto" w:before="31"/>
        <w:ind w:left="1207" w:right="0"/>
        <w:jc w:val="both"/>
      </w:pPr>
      <w:r>
        <w:rPr>
          <w:rFonts w:ascii="Times New Roman" w:hAnsi="Times New Roman" w:cs="Times New Roman" w:eastAsia="Times New Roman" w:hint="default"/>
        </w:rPr>
        <w:t>1)</w:t>
      </w:r>
      <w:r>
        <w:rPr/>
        <w:t>这些交易是同时或者在考虑了彼此影响的情况下订立的；</w:t>
      </w:r>
    </w:p>
    <w:p>
      <w:pPr>
        <w:spacing w:after="0" w:line="24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ind w:left="1207" w:right="994"/>
        <w:jc w:val="left"/>
      </w:pPr>
      <w:r>
        <w:rPr>
          <w:rFonts w:ascii="Times New Roman" w:hAnsi="Times New Roman" w:cs="Times New Roman" w:eastAsia="Times New Roman" w:hint="default"/>
        </w:rPr>
        <w:t>2)</w:t>
      </w:r>
      <w:r>
        <w:rPr/>
        <w:t>这些交易整体才能达成一项完整的商业结果；</w:t>
      </w:r>
    </w:p>
    <w:p>
      <w:pPr>
        <w:pStyle w:val="BodyText"/>
        <w:spacing w:line="240" w:lineRule="auto" w:before="63"/>
        <w:ind w:left="1207" w:right="994"/>
        <w:jc w:val="left"/>
      </w:pP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63"/>
        <w:ind w:left="1207" w:right="994"/>
        <w:jc w:val="left"/>
      </w:pPr>
      <w:r>
        <w:rPr>
          <w:rFonts w:ascii="Times New Roman" w:hAnsi="Times New Roman" w:cs="Times New Roman" w:eastAsia="Times New Roman" w:hint="default"/>
        </w:rPr>
        <w:t>4)</w:t>
      </w:r>
      <w:r>
        <w:rPr/>
        <w:t>一项交易单独看是不经济的，但是和其他交易一并考虑时是经济的。</w:t>
      </w:r>
    </w:p>
    <w:p>
      <w:pPr>
        <w:pStyle w:val="BodyText"/>
        <w:spacing w:line="300" w:lineRule="auto" w:before="63"/>
        <w:ind w:left="1493" w:right="994" w:hanging="360"/>
        <w:jc w:val="left"/>
      </w:pPr>
      <w:r>
        <w:rPr>
          <w:rFonts w:ascii="Times New Roman" w:hAnsi="Times New Roman" w:cs="Times New Roman" w:eastAsia="Times New Roman" w:hint="default"/>
        </w:rPr>
        <w:t>2.</w:t>
      </w:r>
      <w:r>
        <w:rPr/>
        <w:t>同一控制下的企业合并 </w:t>
      </w:r>
      <w:r>
        <w:rPr>
          <w:spacing w:val="-2"/>
        </w:rPr>
        <w:t>本公司在企业合并中取得的资产和负债，按照合并日在被合并方资产、负债（包括最终控制方收购被合并方而形成的商</w:t>
      </w:r>
    </w:p>
    <w:p>
      <w:pPr>
        <w:pStyle w:val="BodyText"/>
        <w:spacing w:line="316" w:lineRule="auto" w:before="31"/>
        <w:ind w:right="994"/>
        <w:jc w:val="left"/>
      </w:pPr>
      <w:r>
        <w:rPr>
          <w:spacing w:val="-2"/>
        </w:rPr>
        <w:t>誉）在最终控制方合并财务报表中的账面价值计量。在合并中取得的净资产账面价值与支付的合并对价账面价值（或发行股</w:t>
      </w:r>
      <w:r>
        <w:rPr>
          <w:spacing w:val="-66"/>
        </w:rPr>
        <w:t> </w:t>
      </w:r>
      <w:r>
        <w:rPr>
          <w:spacing w:val="-66"/>
        </w:rPr>
      </w:r>
      <w:r>
        <w:rPr/>
        <w:t>份面值总额）的差额，调整资本公积中的股本溢价，资本公积中的股本溢价不足冲减的，调整留存收益。</w:t>
      </w:r>
    </w:p>
    <w:p>
      <w:pPr>
        <w:pStyle w:val="BodyText"/>
        <w:spacing w:line="240" w:lineRule="auto" w:before="19"/>
        <w:ind w:left="1493" w:right="994"/>
        <w:jc w:val="left"/>
      </w:pPr>
      <w:r>
        <w:rPr/>
        <w:t>如果存在或有对价并需要确认预计负债或资产，该预计负债或资产金额与后续或有对价结算金额的差额，调整资本公积</w:t>
      </w:r>
    </w:p>
    <w:p>
      <w:pPr>
        <w:pStyle w:val="BodyText"/>
        <w:spacing w:line="316" w:lineRule="auto" w:before="76"/>
        <w:ind w:left="1493" w:right="994" w:hanging="360"/>
        <w:jc w:val="left"/>
      </w:pPr>
      <w:r>
        <w:rPr/>
        <w:t>（资本溢价或股本溢价），资本公积不足的，调整留存收益。 </w:t>
      </w:r>
      <w:r>
        <w:rPr>
          <w:spacing w:val="-2"/>
        </w:rPr>
        <w:t>对于通过多次交易最终实现企业合并的，属于一揽子交易的，将各项交易作为一项取得控制权的交易进行会计处理；不</w:t>
      </w:r>
    </w:p>
    <w:p>
      <w:pPr>
        <w:pStyle w:val="BodyText"/>
        <w:spacing w:line="316" w:lineRule="auto" w:before="19"/>
        <w:ind w:right="1131"/>
        <w:jc w:val="both"/>
      </w:pPr>
      <w:r>
        <w:rPr>
          <w:spacing w:val="-2"/>
        </w:rPr>
        <w:t>属于一揽子交易的，在取得控制权日，长期股权投资初始投资成本，与达到合并前的长期股权投资账面价值加上合并日进一</w:t>
      </w:r>
      <w:r>
        <w:rPr>
          <w:spacing w:val="-66"/>
        </w:rPr>
        <w:t> </w:t>
      </w:r>
      <w:r>
        <w:rPr>
          <w:spacing w:val="-66"/>
        </w:rPr>
      </w:r>
      <w:r>
        <w:rPr>
          <w:spacing w:val="-2"/>
        </w:rPr>
        <w:t>步取得股份新支付对价的账面价值之和的差额，调整资本公积；资本公积不足冲减的，调整留存收益。对于合并日之前持有</w:t>
      </w:r>
      <w:r>
        <w:rPr>
          <w:spacing w:val="-66"/>
        </w:rPr>
        <w:t> </w:t>
      </w:r>
      <w:r>
        <w:rPr>
          <w:spacing w:val="-66"/>
        </w:rPr>
      </w:r>
      <w:r>
        <w:rPr>
          <w:spacing w:val="-2"/>
        </w:rPr>
        <w:t>的股权投资，因采用权益法核算或金融工具确认和计量准则核算而确认的其他综合收益，暂不进行会计处理，直至处置该项</w:t>
      </w:r>
      <w:r>
        <w:rPr>
          <w:spacing w:val="-66"/>
        </w:rPr>
        <w:t> </w:t>
      </w:r>
      <w:r>
        <w:rPr>
          <w:spacing w:val="-66"/>
        </w:rPr>
      </w:r>
      <w:r>
        <w:rPr>
          <w:spacing w:val="-2"/>
        </w:rPr>
        <w:t>投资时采用与被投资单位直接处置相关资产或负债相同的基础进行会计处理；因采用权益法核算而确认的被投资单位净资产</w:t>
      </w:r>
      <w:r>
        <w:rPr>
          <w:spacing w:val="-64"/>
        </w:rPr>
        <w:t> </w:t>
      </w:r>
      <w:r>
        <w:rPr>
          <w:spacing w:val="-64"/>
        </w:rPr>
      </w:r>
      <w:r>
        <w:rPr>
          <w:spacing w:val="-2"/>
        </w:rPr>
        <w:t>中除净损益、其他综合收益和利润分配以外的所有者权益其他变动，暂不进行会计处理，直至处置该项投资时转入当期损益</w:t>
      </w:r>
      <w:r>
        <w:rPr>
          <w:spacing w:val="-66"/>
        </w:rPr>
        <w:t> </w:t>
      </w:r>
      <w:r>
        <w:rPr>
          <w:spacing w:val="-66"/>
        </w:rPr>
      </w:r>
      <w:r>
        <w:rPr>
          <w:rFonts w:ascii="Times New Roman" w:hAnsi="Times New Roman" w:cs="Times New Roman" w:eastAsia="Times New Roman" w:hint="default"/>
        </w:rPr>
        <w:t>3.</w:t>
      </w:r>
      <w:r>
        <w:rPr/>
        <w:t>非同一控制下的企业合并</w:t>
      </w:r>
    </w:p>
    <w:p>
      <w:pPr>
        <w:pStyle w:val="BodyText"/>
        <w:spacing w:line="316" w:lineRule="auto" w:before="0"/>
        <w:ind w:left="1134" w:right="1042" w:firstLine="360"/>
        <w:jc w:val="both"/>
      </w:pPr>
      <w:r>
        <w:rPr>
          <w:spacing w:val="-4"/>
        </w:rPr>
        <w:t>本公司在购买日对作为企业合并对价付出的资产、发生或承担的负债按照公允价值计量，公允价值与其账面价值的差额，</w:t>
      </w:r>
      <w:r>
        <w:rPr/>
        <w:t> 计入当期损益。</w:t>
      </w:r>
    </w:p>
    <w:p>
      <w:pPr>
        <w:pStyle w:val="BodyText"/>
        <w:spacing w:line="316" w:lineRule="auto" w:before="19"/>
        <w:ind w:left="1134" w:right="1132" w:firstLine="360"/>
        <w:jc w:val="both"/>
      </w:pPr>
      <w:r>
        <w:rPr>
          <w:spacing w:val="-2"/>
        </w:rPr>
        <w:t>本公司对合并成本大于合并中取得的被购买方可辨认净资产公允价值份额的差额，确认为商誉；合并成本小于合并中取</w:t>
      </w:r>
      <w:r>
        <w:rPr/>
        <w:t> 得的被购买方可辨认净资产公允价值份额的差额，经复核后，计入当期损益。</w:t>
      </w:r>
    </w:p>
    <w:p>
      <w:pPr>
        <w:pStyle w:val="BodyText"/>
        <w:spacing w:line="316" w:lineRule="auto" w:before="19"/>
        <w:ind w:left="1134" w:right="1131" w:firstLine="360"/>
        <w:jc w:val="both"/>
      </w:pPr>
      <w:r>
        <w:rPr>
          <w:spacing w:val="-2"/>
        </w:rPr>
        <w:t>通过多次交换交易分步实现的非同一控制下企业合并，属于一揽子交易的，将各项交易作为一项取得控制权的交易进行</w:t>
      </w:r>
      <w:r>
        <w:rPr/>
        <w:t> </w:t>
      </w:r>
      <w:r>
        <w:rPr>
          <w:spacing w:val="-2"/>
        </w:rPr>
        <w:t>会计处理；不属于一揽子交易的，合并日之前持有的股权投资采用权益法核算的，以购买日之前所持被购买方的股权投资的</w:t>
      </w:r>
      <w:r>
        <w:rPr>
          <w:spacing w:val="-66"/>
        </w:rPr>
        <w:t> </w:t>
      </w:r>
      <w:r>
        <w:rPr>
          <w:spacing w:val="-66"/>
        </w:rPr>
      </w:r>
      <w:r>
        <w:rPr>
          <w:spacing w:val="-2"/>
        </w:rPr>
        <w:t>账面价值与购买日新增投资成本之和，作为该项投资的初始投资成本；购买日之前持有的股权投资因采用权益法核算而确认</w:t>
      </w:r>
      <w:r>
        <w:rPr>
          <w:spacing w:val="-64"/>
        </w:rPr>
        <w:t> </w:t>
      </w:r>
      <w:r>
        <w:rPr>
          <w:spacing w:val="-64"/>
        </w:rPr>
      </w:r>
      <w:r>
        <w:rPr>
          <w:spacing w:val="-2"/>
        </w:rPr>
        <w:t>的其他综合收益，在处置该项投资时采用与被投资单位直接处置相关资产或负债相同的基础进行会计处理。合并日之前持有</w:t>
      </w:r>
      <w:r>
        <w:rPr>
          <w:spacing w:val="-64"/>
        </w:rPr>
        <w:t> </w:t>
      </w:r>
      <w:r>
        <w:rPr>
          <w:spacing w:val="-64"/>
        </w:rPr>
      </w:r>
      <w:r>
        <w:rPr>
          <w:spacing w:val="-2"/>
        </w:rPr>
        <w:t>的股权投资采用金融工具确认和计量准则核算的，以该股权投资在合并日的公允价值加上新增投资成本之和，作为合并日的</w:t>
      </w:r>
      <w:r>
        <w:rPr>
          <w:spacing w:val="-64"/>
        </w:rPr>
        <w:t> </w:t>
      </w:r>
      <w:r>
        <w:rPr>
          <w:spacing w:val="-64"/>
        </w:rPr>
      </w:r>
      <w:r>
        <w:rPr>
          <w:spacing w:val="-2"/>
        </w:rPr>
        <w:t>初始投资成本。原持有股权的公允价值与账面价值之间的差额以及原计入其他综合收益的累计公允价值变动应全部转入合并</w:t>
      </w:r>
      <w:r>
        <w:rPr>
          <w:spacing w:val="-64"/>
        </w:rPr>
        <w:t> </w:t>
      </w:r>
      <w:r>
        <w:rPr>
          <w:spacing w:val="-64"/>
        </w:rPr>
      </w:r>
      <w:r>
        <w:rPr/>
        <w:t>日当期的投资收益。</w:t>
      </w:r>
    </w:p>
    <w:p>
      <w:pPr>
        <w:pStyle w:val="BodyText"/>
        <w:spacing w:line="328" w:lineRule="auto" w:before="19"/>
        <w:ind w:left="1134" w:right="994"/>
        <w:jc w:val="left"/>
      </w:pPr>
      <w:r>
        <w:rPr>
          <w:rFonts w:ascii="Times New Roman" w:hAnsi="Times New Roman" w:cs="Times New Roman" w:eastAsia="Times New Roman" w:hint="default"/>
        </w:rPr>
        <w:t>4.</w:t>
      </w:r>
      <w:r>
        <w:rPr/>
        <w:t>为合并发生的相关费用 </w:t>
      </w:r>
      <w:r>
        <w:rPr>
          <w:spacing w:val="-2"/>
        </w:rPr>
        <w:t>为企业合并发生的审计、法律服务、评估咨询等中介费用以及其他直接相关费用，于发生时计入当期损益；为企业合并而发</w:t>
      </w:r>
      <w:r>
        <w:rPr>
          <w:spacing w:val="-65"/>
        </w:rPr>
        <w:t> </w:t>
      </w:r>
      <w:r>
        <w:rPr>
          <w:spacing w:val="-65"/>
        </w:rPr>
      </w:r>
      <w:r>
        <w:rPr/>
        <w:t>行权益性证券的交易费用，可直接归属于权益性交易的从权益中扣减。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Heading5"/>
        <w:spacing w:line="240" w:lineRule="auto"/>
        <w:ind w:left="1134" w:right="994"/>
        <w:jc w:val="left"/>
        <w:rPr>
          <w:b w:val="0"/>
          <w:bCs w:val="0"/>
        </w:rPr>
      </w:pPr>
      <w:bookmarkStart w:name="6、合并财务报表的编制方法" w:id="186"/>
      <w:bookmarkEnd w:id="18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994"/>
        <w:jc w:val="left"/>
      </w:pPr>
      <w:r>
        <w:rPr>
          <w:rFonts w:ascii="Times New Roman" w:hAnsi="Times New Roman" w:cs="Times New Roman" w:eastAsia="Times New Roman" w:hint="default"/>
        </w:rPr>
        <w:t>1.</w:t>
      </w:r>
      <w:r>
        <w:rPr/>
        <w:t>合并范围</w:t>
      </w:r>
    </w:p>
    <w:p>
      <w:pPr>
        <w:pStyle w:val="BodyText"/>
        <w:spacing w:line="240" w:lineRule="auto" w:before="63"/>
        <w:ind w:left="1494" w:right="994"/>
        <w:jc w:val="left"/>
      </w:pPr>
      <w:r>
        <w:rPr>
          <w:spacing w:val="-4"/>
        </w:rPr>
        <w:t>本公司合并财务报表的合并范围以控制为基础确定，所有子公司（包括本公司所控制的单独主体）均纳入合并财务报表。</w:t>
      </w:r>
    </w:p>
    <w:p>
      <w:pPr>
        <w:pStyle w:val="BodyText"/>
        <w:spacing w:line="240" w:lineRule="auto" w:before="76"/>
        <w:ind w:left="1134" w:right="994"/>
        <w:jc w:val="left"/>
      </w:pPr>
      <w:r>
        <w:rPr>
          <w:rFonts w:ascii="Times New Roman" w:hAnsi="Times New Roman" w:cs="Times New Roman" w:eastAsia="Times New Roman" w:hint="default"/>
        </w:rPr>
        <w:t>2.</w:t>
      </w:r>
      <w:r>
        <w:rPr/>
        <w:t>合并程序</w:t>
      </w:r>
    </w:p>
    <w:p>
      <w:pPr>
        <w:pStyle w:val="BodyText"/>
        <w:spacing w:line="316" w:lineRule="auto" w:before="63"/>
        <w:ind w:left="1134" w:right="1131" w:firstLine="360"/>
        <w:jc w:val="both"/>
      </w:pPr>
      <w:r>
        <w:rPr>
          <w:spacing w:val="-2"/>
        </w:rPr>
        <w:t>本公司以自身和各子公司的财务报表为基础，根据其他有关资料，编制合并财务报表。本公司编制合并财务报表，将整</w:t>
      </w:r>
      <w:r>
        <w:rPr/>
        <w:t> </w:t>
      </w:r>
      <w:r>
        <w:rPr>
          <w:spacing w:val="-2"/>
        </w:rPr>
        <w:t>个企业集团视为一个会计主体，依据相关企业会计准则的确认、计量和列报要求，按照统一的会计政策，反映本企业集团整</w:t>
      </w:r>
      <w:r>
        <w:rPr>
          <w:spacing w:val="-66"/>
        </w:rPr>
        <w:t> </w:t>
      </w:r>
      <w:r>
        <w:rPr>
          <w:spacing w:val="-66"/>
        </w:rPr>
      </w:r>
      <w:r>
        <w:rPr/>
        <w:t>体财务状况、经营成果和现金流量。</w:t>
      </w:r>
    </w:p>
    <w:p>
      <w:pPr>
        <w:pStyle w:val="BodyText"/>
        <w:spacing w:line="316" w:lineRule="auto" w:before="19"/>
        <w:ind w:left="1134" w:right="1132" w:firstLine="360"/>
        <w:jc w:val="both"/>
      </w:pPr>
      <w:r>
        <w:rPr>
          <w:spacing w:val="-2"/>
        </w:rPr>
        <w:t>所有纳入合并财务报表合并范围的子公司所采用的会计政策、会计期间与本公司一致，如子公司采用的会计政策、会计</w:t>
      </w:r>
      <w:r>
        <w:rPr/>
        <w:t> 期间与本公司不一致的，在编制合并财务报表时，按本公司的会计政策、会计期间进行必要的调整。</w:t>
      </w:r>
    </w:p>
    <w:p>
      <w:pPr>
        <w:pStyle w:val="BodyText"/>
        <w:spacing w:line="316" w:lineRule="auto" w:before="19"/>
        <w:ind w:left="1134" w:right="1132" w:firstLine="360"/>
        <w:jc w:val="both"/>
      </w:pPr>
      <w:r>
        <w:rPr>
          <w:spacing w:val="-2"/>
        </w:rPr>
        <w:t>合并财务报表时抵销本公司与各子公司、各子公司相互之间发生的内部交易对合并资产负债表、合并利润表、合并现金</w:t>
      </w:r>
      <w:r>
        <w:rPr/>
        <w:t> </w:t>
      </w:r>
      <w:r>
        <w:rPr>
          <w:spacing w:val="-2"/>
        </w:rPr>
        <w:t>流量表、合并股东权益变动表的影响。如果站在企业集团合并财务报表角度与以本公司或子公司为会计主体对同一交易的认</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left="1493" w:right="994" w:hanging="360"/>
        <w:jc w:val="left"/>
      </w:pPr>
      <w:r>
        <w:rPr/>
        <w:t>定不同时，从企业集团的角度对该交易予以调整。 </w:t>
      </w:r>
      <w:r>
        <w:rPr>
          <w:spacing w:val="-2"/>
        </w:rPr>
        <w:t>子公司所有者权益、当期净损益和当期综合收益中属于少数股东的份额分别在合并资产负债表中所有者权益项目下、合</w:t>
      </w:r>
    </w:p>
    <w:p>
      <w:pPr>
        <w:pStyle w:val="BodyText"/>
        <w:spacing w:line="316" w:lineRule="auto" w:before="19"/>
        <w:ind w:right="994"/>
        <w:jc w:val="left"/>
      </w:pPr>
      <w:r>
        <w:rPr>
          <w:spacing w:val="-2"/>
        </w:rPr>
        <w:t>并利润表中净利润项目下和综合收益总额项目下单独列示。子公司少数股东分担的当期亏损超过了少数股东在该子公司期初</w:t>
      </w:r>
      <w:r>
        <w:rPr>
          <w:spacing w:val="-64"/>
        </w:rPr>
        <w:t> </w:t>
      </w:r>
      <w:r>
        <w:rPr>
          <w:spacing w:val="-64"/>
        </w:rPr>
      </w:r>
      <w:r>
        <w:rPr/>
        <w:t>所有者权益中所享有份额而形成的余额，冲减少数股东权益。</w:t>
      </w:r>
    </w:p>
    <w:p>
      <w:pPr>
        <w:pStyle w:val="BodyText"/>
        <w:spacing w:line="316" w:lineRule="auto" w:before="19"/>
        <w:ind w:right="1131" w:firstLine="360"/>
        <w:jc w:val="both"/>
      </w:pPr>
      <w:r>
        <w:rPr>
          <w:spacing w:val="-2"/>
        </w:rPr>
        <w:t>对于同一控制下企业合并取得的子公司，以其资产、负债（包括最终控制方收购该子公司而形成的商誉）在最终控制方</w:t>
      </w:r>
      <w:r>
        <w:rPr/>
        <w:t> 财务报表中的账面价值为基础对其财务报表进行调整。</w:t>
      </w:r>
    </w:p>
    <w:p>
      <w:pPr>
        <w:pStyle w:val="BodyText"/>
        <w:spacing w:line="240" w:lineRule="auto" w:before="19"/>
        <w:ind w:left="1493" w:right="994"/>
        <w:jc w:val="left"/>
      </w:pPr>
      <w:r>
        <w:rPr/>
        <w:t>对于非同一控制下企业合并取得的子公司，以购买日可辨认净资产公允价值为基础对其财务报表进行调整。</w:t>
      </w:r>
    </w:p>
    <w:p>
      <w:pPr>
        <w:pStyle w:val="BodyText"/>
        <w:spacing w:line="300" w:lineRule="auto" w:before="76"/>
        <w:ind w:left="1493" w:right="994" w:hanging="36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增加子公司或业务</w:t>
      </w:r>
      <w:r>
        <w:rPr>
          <w:w w:val="99"/>
        </w:rPr>
        <w:t> </w:t>
      </w:r>
      <w:r>
        <w:rPr>
          <w:spacing w:val="-2"/>
        </w:rPr>
        <w:t>在报告期内，若因同一控制下企业合并增加子公司或业务的，则调整合并资产负债表的期初数；将子公司或业务合并当</w:t>
      </w:r>
    </w:p>
    <w:p>
      <w:pPr>
        <w:pStyle w:val="BodyText"/>
        <w:spacing w:line="316" w:lineRule="auto" w:before="31"/>
        <w:ind w:right="994"/>
        <w:jc w:val="left"/>
      </w:pPr>
      <w:r>
        <w:rPr>
          <w:spacing w:val="-2"/>
        </w:rPr>
        <w:t>期期初至报告期末的收入、费用、利润纳入合并利润表；将子公司或业务合并当期期初至报告期末的现金流量纳入合并现金</w:t>
      </w:r>
      <w:r>
        <w:rPr>
          <w:spacing w:val="-66"/>
        </w:rPr>
        <w:t> </w:t>
      </w:r>
      <w:r>
        <w:rPr>
          <w:spacing w:val="-66"/>
        </w:rPr>
      </w:r>
      <w:r>
        <w:rPr/>
        <w:t>流量表，同时对比较报表的相关项目进行调整，视同合并后的报告主体自最终控制方开始控制时点起一直存在。</w:t>
      </w:r>
    </w:p>
    <w:p>
      <w:pPr>
        <w:pStyle w:val="BodyText"/>
        <w:spacing w:line="316" w:lineRule="auto" w:before="19"/>
        <w:ind w:right="1131"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right="1133"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9" w:lineRule="auto" w:before="19"/>
        <w:ind w:left="1134" w:right="1132"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4"/>
        </w:rPr>
        <w:t> </w:t>
      </w:r>
      <w:r>
        <w:rPr>
          <w:spacing w:val="-64"/>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7"/>
        <w:ind w:left="1134" w:right="99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处置子公司业务</w:t>
      </w:r>
    </w:p>
    <w:p>
      <w:pPr>
        <w:pStyle w:val="BodyText"/>
        <w:spacing w:line="300" w:lineRule="auto" w:before="63"/>
        <w:ind w:left="1493" w:right="994" w:hanging="360"/>
        <w:jc w:val="left"/>
      </w:pPr>
      <w:r>
        <w:rPr>
          <w:rFonts w:ascii="Times New Roman" w:hAnsi="Times New Roman" w:cs="Times New Roman" w:eastAsia="Times New Roman" w:hint="default"/>
        </w:rPr>
        <w:t>1</w:t>
      </w:r>
      <w:r>
        <w:rPr/>
        <w:t>）一般处理方法 </w:t>
      </w:r>
      <w:r>
        <w:rPr>
          <w:spacing w:val="-2"/>
        </w:rPr>
        <w:t>在报告期内，本公司处置子公司或业务，则该子公司或业务期初至处置日的收入、费用、利润纳入合并利润表；该子公</w:t>
      </w:r>
    </w:p>
    <w:p>
      <w:pPr>
        <w:pStyle w:val="BodyText"/>
        <w:spacing w:line="316" w:lineRule="auto" w:before="31"/>
        <w:ind w:left="1494" w:right="994" w:hanging="360"/>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9"/>
        <w:ind w:left="1134" w:right="1032"/>
        <w:jc w:val="left"/>
      </w:pPr>
      <w:r>
        <w:rPr>
          <w:spacing w:val="-2"/>
        </w:rPr>
        <w:t>日的公允价值进行重新计量。处置股权取得的对价与剩余股权公允价值之和，减去按原持股比例计算应享有原有子公司自购</w:t>
      </w:r>
      <w:r>
        <w:rPr>
          <w:spacing w:val="-64"/>
        </w:rPr>
        <w:t> </w:t>
      </w:r>
      <w:r>
        <w:rPr>
          <w:spacing w:val="-64"/>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300" w:lineRule="auto" w:before="19"/>
        <w:ind w:left="1493" w:right="994" w:hanging="360"/>
        <w:jc w:val="left"/>
      </w:pPr>
      <w:r>
        <w:rPr>
          <w:rFonts w:ascii="Times New Roman" w:hAnsi="Times New Roman" w:cs="Times New Roman" w:eastAsia="Times New Roman" w:hint="default"/>
        </w:rPr>
        <w:t>2</w:t>
      </w:r>
      <w:r>
        <w:rPr/>
        <w:t>）分步处置子公司 </w:t>
      </w:r>
      <w:r>
        <w:rPr>
          <w:spacing w:val="-2"/>
        </w:rPr>
        <w:t>通过多次交易分步处置对子公司股权投资直至丧失控制权的，处置对子公司股权投资的各项交易的条款、条件以及经济</w:t>
      </w:r>
    </w:p>
    <w:p>
      <w:pPr>
        <w:pStyle w:val="BodyText"/>
        <w:spacing w:line="304" w:lineRule="auto" w:before="31"/>
        <w:ind w:right="3553"/>
        <w:jc w:val="left"/>
      </w:pPr>
      <w:r>
        <w:rPr/>
        <w:t>影响符合以下一种或多种情况，通常表明应将多次交易事项作为一揽子交易进行会计处理： </w:t>
      </w: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319" w:lineRule="auto" w:before="9"/>
        <w:ind w:right="1131"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6"/>
        </w:rPr>
        <w:t> </w:t>
      </w:r>
      <w:r>
        <w:rPr>
          <w:spacing w:val="-66"/>
        </w:rPr>
      </w:r>
      <w:r>
        <w:rPr/>
        <w:t>合并财务报表中确认为其他综合收益，在丧失控制权时一并转入丧失控制权当期的损益。</w:t>
      </w:r>
    </w:p>
    <w:p>
      <w:pPr>
        <w:pStyle w:val="BodyText"/>
        <w:spacing w:line="316" w:lineRule="auto" w:before="17"/>
        <w:ind w:right="113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spacing w:after="0" w:line="316"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ind w:left="1493" w:right="994" w:hanging="36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购买子公司少数股权</w:t>
      </w:r>
      <w:r>
        <w:rPr>
          <w:w w:val="99"/>
        </w:rPr>
        <w:t> </w:t>
      </w:r>
      <w:r>
        <w:rPr>
          <w:spacing w:val="-2"/>
        </w:rPr>
        <w:t>本公司因购买少数股权新取得的长期股权投资与按照新增持股比例计算应享有子公司自购买日（或合并日）开始持续计</w:t>
      </w:r>
    </w:p>
    <w:p>
      <w:pPr>
        <w:pStyle w:val="BodyText"/>
        <w:spacing w:line="316" w:lineRule="auto" w:before="31"/>
        <w:ind w:right="994"/>
        <w:jc w:val="left"/>
      </w:pPr>
      <w:r>
        <w:rPr>
          <w:spacing w:val="-2"/>
        </w:rPr>
        <w:t>算的净资产份额之间的差额，调整合并资产负债表中的资本公积中的股本溢价，资本公积中的股本溢价不足冲减的，调整留</w:t>
      </w:r>
      <w:r>
        <w:rPr>
          <w:spacing w:val="-66"/>
        </w:rPr>
        <w:t> </w:t>
      </w:r>
      <w:r>
        <w:rPr>
          <w:spacing w:val="-66"/>
        </w:rPr>
      </w:r>
      <w:r>
        <w:rPr/>
        <w:t>存收益。</w:t>
      </w:r>
    </w:p>
    <w:p>
      <w:pPr>
        <w:pStyle w:val="BodyText"/>
        <w:spacing w:line="326" w:lineRule="auto" w:before="19"/>
        <w:ind w:right="99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不丧失控制权的情况下部分处置对子公司的股权投资</w:t>
      </w:r>
      <w:r>
        <w:rPr>
          <w:w w:val="99"/>
        </w:rPr>
        <w:t> </w:t>
      </w:r>
      <w:r>
        <w:rPr/>
        <w:t>在不丧失控制权的情况下因部分处置对子公司的长期股权投资而取得的处置价款与处置长期股权投资相对应享有子公司自</w:t>
      </w:r>
      <w:r>
        <w:rPr>
          <w:spacing w:val="-9"/>
        </w:rPr>
        <w:t> </w:t>
      </w:r>
      <w:r>
        <w:rPr>
          <w:spacing w:val="-9"/>
        </w:rPr>
      </w:r>
      <w:r>
        <w:rPr>
          <w:spacing w:val="-2"/>
        </w:rPr>
        <w:t>购买日或合并日开始持续计算的净资产份额之间的差额，调整合并资产负债表中的资本公积中的股本溢价，资本公积中的股</w:t>
      </w:r>
      <w:r>
        <w:rPr>
          <w:spacing w:val="-65"/>
        </w:rPr>
        <w:t> </w:t>
      </w:r>
      <w:r>
        <w:rPr>
          <w:spacing w:val="-65"/>
        </w:rPr>
      </w:r>
      <w:r>
        <w:rPr/>
        <w:t>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Heading5"/>
        <w:spacing w:line="240" w:lineRule="auto"/>
        <w:ind w:right="994"/>
        <w:jc w:val="left"/>
        <w:rPr>
          <w:b w:val="0"/>
          <w:bCs w:val="0"/>
        </w:rPr>
      </w:pPr>
      <w:bookmarkStart w:name="7、合营安排分类及共同经营会计处理方法" w:id="187"/>
      <w:bookmarkEnd w:id="18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1493" w:right="994" w:hanging="360"/>
        <w:jc w:val="left"/>
      </w:pPr>
      <w:r>
        <w:rPr>
          <w:rFonts w:ascii="Times New Roman" w:hAnsi="Times New Roman" w:cs="Times New Roman" w:eastAsia="Times New Roman" w:hint="default"/>
        </w:rPr>
        <w:t>1.</w:t>
      </w:r>
      <w:r>
        <w:rPr/>
        <w:t>合营安排的分类 </w:t>
      </w:r>
      <w:r>
        <w:rPr>
          <w:spacing w:val="-2"/>
        </w:rPr>
        <w:t>本公司根据合营安排的结构、法律形式以及合营安排中约定的条款、其他相关事实和情况等因素，将合营安排分为共同</w:t>
      </w:r>
    </w:p>
    <w:p>
      <w:pPr>
        <w:pStyle w:val="BodyText"/>
        <w:spacing w:line="316" w:lineRule="auto" w:before="31"/>
        <w:ind w:left="1493" w:right="994" w:hanging="360"/>
        <w:jc w:val="left"/>
      </w:pPr>
      <w:r>
        <w:rPr/>
        <w:t>经营和合营企业。 </w:t>
      </w:r>
      <w:r>
        <w:rPr>
          <w:spacing w:val="-2"/>
        </w:rPr>
        <w:t>未通过单独主体达成的合营安排，划分为共同经营；通过单独主体达成的合营安排，通常划分为合营企业；但有确凿证</w:t>
      </w:r>
    </w:p>
    <w:p>
      <w:pPr>
        <w:pStyle w:val="BodyText"/>
        <w:spacing w:line="240" w:lineRule="auto" w:before="19"/>
        <w:ind w:right="994"/>
        <w:jc w:val="left"/>
      </w:pPr>
      <w:r>
        <w:rPr/>
        <w:t>据表明满足下列任一条件并且符合相关法律法规规定的合营安排划分为共同经营：</w:t>
      </w:r>
    </w:p>
    <w:p>
      <w:pPr>
        <w:pStyle w:val="BodyText"/>
        <w:spacing w:line="240" w:lineRule="auto" w:before="76"/>
        <w:ind w:right="994"/>
        <w:jc w:val="left"/>
      </w:pPr>
      <w:r>
        <w:rPr/>
        <w:t>（</w:t>
      </w:r>
      <w:r>
        <w:rPr>
          <w:rFonts w:ascii="Times New Roman" w:hAnsi="Times New Roman" w:cs="Times New Roman" w:eastAsia="Times New Roman" w:hint="default"/>
        </w:rPr>
        <w:t>1</w:t>
      </w:r>
      <w:r>
        <w:rPr/>
        <w:t>）合营安排的法律形式表明，合营方对该安排中的相关资产和负债分别享有权利和承担义务。</w:t>
      </w:r>
    </w:p>
    <w:p>
      <w:pPr>
        <w:pStyle w:val="BodyText"/>
        <w:spacing w:line="240" w:lineRule="auto" w:before="63"/>
        <w:ind w:right="994"/>
        <w:jc w:val="left"/>
      </w:pPr>
      <w:r>
        <w:rPr/>
        <w:t>（</w:t>
      </w:r>
      <w:r>
        <w:rPr>
          <w:rFonts w:ascii="Times New Roman" w:hAnsi="Times New Roman" w:cs="Times New Roman" w:eastAsia="Times New Roman" w:hint="default"/>
        </w:rPr>
        <w:t>2</w:t>
      </w:r>
      <w:r>
        <w:rPr/>
        <w:t>）合营安排的合同条款约定，合营方对该安排中的相关资产和负债分别享有权利和承担义务。</w:t>
      </w:r>
    </w:p>
    <w:p>
      <w:pPr>
        <w:pStyle w:val="BodyText"/>
        <w:spacing w:line="300" w:lineRule="auto" w:before="63"/>
        <w:ind w:left="1134" w:right="1122"/>
        <w:jc w:val="left"/>
      </w:pPr>
      <w:r>
        <w:rPr/>
        <w:t>（</w:t>
      </w:r>
      <w:r>
        <w:rPr>
          <w:rFonts w:ascii="Times New Roman" w:hAnsi="Times New Roman" w:cs="Times New Roman" w:eastAsia="Times New Roman" w:hint="default"/>
        </w:rPr>
        <w:t>3</w:t>
      </w:r>
      <w:r>
        <w:rPr/>
        <w:t>）其他相关事实和情况表明，合营方对该安排中的相关资产和负债分别享有权利和承担义务，如合营方享有与合营安排 相关的几乎所有产出，并且该安排中负债的清偿持续依赖于合营方的支持。</w:t>
      </w:r>
    </w:p>
    <w:p>
      <w:pPr>
        <w:pStyle w:val="BodyText"/>
        <w:spacing w:line="300" w:lineRule="auto" w:before="31"/>
        <w:ind w:left="1134" w:right="2112"/>
        <w:jc w:val="left"/>
      </w:pPr>
      <w:r>
        <w:rPr>
          <w:rFonts w:ascii="Times New Roman" w:hAnsi="Times New Roman" w:cs="Times New Roman" w:eastAsia="Times New Roman" w:hint="default"/>
        </w:rPr>
        <w:t>2.</w:t>
      </w:r>
      <w:r>
        <w:rPr/>
        <w:t>共同经营会计处理方法 本公司确认共同经营中利益份额中与本公司相关的下列项目，并按照相关企业会计准则的规定进行会计处理：</w:t>
      </w:r>
    </w:p>
    <w:p>
      <w:pPr>
        <w:pStyle w:val="BodyText"/>
        <w:spacing w:line="240" w:lineRule="auto" w:before="31"/>
        <w:ind w:right="994"/>
        <w:jc w:val="left"/>
      </w:pPr>
      <w:r>
        <w:rPr/>
        <w:t>（</w:t>
      </w: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63"/>
        <w:ind w:right="994"/>
        <w:jc w:val="left"/>
      </w:pPr>
      <w:r>
        <w:rPr/>
        <w:t>（</w:t>
      </w: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63"/>
        <w:ind w:right="994"/>
        <w:jc w:val="left"/>
      </w:pPr>
      <w:r>
        <w:rPr/>
        <w:t>（</w:t>
      </w: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63"/>
        <w:ind w:left="1134" w:right="994"/>
        <w:jc w:val="left"/>
      </w:pPr>
      <w:r>
        <w:rPr/>
        <w:t>（</w:t>
      </w:r>
      <w:r>
        <w:rPr>
          <w:rFonts w:ascii="Times New Roman" w:hAnsi="Times New Roman" w:cs="Times New Roman" w:eastAsia="Times New Roman" w:hint="default"/>
        </w:rPr>
        <w:t>4</w:t>
      </w:r>
      <w:r>
        <w:rPr/>
        <w:t>）按其份额确认共同经营因出售产出所产生的收入；</w:t>
      </w:r>
    </w:p>
    <w:p>
      <w:pPr>
        <w:pStyle w:val="BodyText"/>
        <w:spacing w:line="300" w:lineRule="auto" w:before="63"/>
        <w:ind w:left="1493" w:right="994" w:hanging="360"/>
        <w:jc w:val="left"/>
      </w:pPr>
      <w:r>
        <w:rPr/>
        <w:t>（</w:t>
      </w:r>
      <w:r>
        <w:rPr>
          <w:rFonts w:ascii="Times New Roman" w:hAnsi="Times New Roman" w:cs="Times New Roman" w:eastAsia="Times New Roman" w:hint="default"/>
        </w:rPr>
        <w:t>5</w:t>
      </w:r>
      <w:r>
        <w:rPr/>
        <w:t>）确认单独所发生的费用，以及按其份额确认共同经营发生的费用。 </w:t>
      </w:r>
      <w:r>
        <w:rPr>
          <w:spacing w:val="-2"/>
        </w:rPr>
        <w:t>本公司向共同经营投出或出售资产等（该资产构成业务的除外），在该资产等由共同经营出售给第三方之前，仅确认因</w:t>
      </w:r>
    </w:p>
    <w:p>
      <w:pPr>
        <w:pStyle w:val="BodyText"/>
        <w:spacing w:line="300" w:lineRule="auto" w:before="31"/>
        <w:ind w:right="1123"/>
        <w:jc w:val="left"/>
      </w:pPr>
      <w:r>
        <w:rPr/>
        <w:t>该交易产生的损益中归属于共同经营其他参与方的部分。投出或出售的资产发生符合《企业会计准则第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 等规定的资产减值损失的，本公司全额确认该损失。</w:t>
      </w:r>
    </w:p>
    <w:p>
      <w:pPr>
        <w:pStyle w:val="BodyText"/>
        <w:spacing w:line="309" w:lineRule="auto" w:before="31"/>
        <w:ind w:right="1131" w:firstLine="360"/>
        <w:jc w:val="both"/>
      </w:pPr>
      <w:r>
        <w:rPr>
          <w:spacing w:val="-2"/>
        </w:rPr>
        <w:t>本公司自共同经营购买资产等（该资产构成业务的除外），在将该资产等出售给第三方之前，仅确认因该交易产生的损</w:t>
      </w:r>
      <w:r>
        <w:rPr/>
        <w:t> 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 的，本公司按承担的份额确认该部分损失。</w:t>
      </w:r>
    </w:p>
    <w:p>
      <w:pPr>
        <w:pStyle w:val="BodyText"/>
        <w:spacing w:line="316" w:lineRule="auto" w:before="24"/>
        <w:ind w:right="1131" w:firstLine="360"/>
        <w:jc w:val="both"/>
      </w:pPr>
      <w:r>
        <w:rPr>
          <w:spacing w:val="-2"/>
        </w:rPr>
        <w:t>本公司对共同经营不享有共同控制，如果本公司享有该共同经营相关资产且承担该共同经营相关负债的，仍按上述原则</w:t>
      </w:r>
      <w:r>
        <w:rPr/>
        <w:t> 进行会计处理，否则，应当按照相关企业会计准则的规定进行会计处理。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5"/>
        <w:ind w:right="994"/>
        <w:jc w:val="left"/>
        <w:rPr>
          <w:b w:val="0"/>
          <w:bCs w:val="0"/>
        </w:rPr>
      </w:pPr>
      <w:bookmarkStart w:name="8、现金及现金等价物的确定标准" w:id="188"/>
      <w:bookmarkEnd w:id="18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033"/>
        <w:jc w:val="left"/>
      </w:pPr>
      <w:r>
        <w:rPr/>
        <w:t>在编制现金流量表时，将本公司库存现金以及可以随时用于支付的存款确认为现金。将同时具备期限短（一般从购买日起， 三个月内到期）、流动性强、易于转换为已知金额的现金、价值变动风险很小四个条件的投资，确定为现金等价物。</w:t>
      </w:r>
    </w:p>
    <w:p>
      <w:pPr>
        <w:spacing w:after="0" w:line="316"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994"/>
        <w:jc w:val="left"/>
        <w:rPr>
          <w:b w:val="0"/>
          <w:bCs w:val="0"/>
        </w:rPr>
      </w:pPr>
      <w:bookmarkStart w:name="9、外币业务和外币报表折算" w:id="189"/>
      <w:bookmarkEnd w:id="18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1.</w:t>
      </w:r>
      <w:r>
        <w:rPr/>
        <w:t>外币业务</w:t>
      </w:r>
    </w:p>
    <w:p>
      <w:pPr>
        <w:pStyle w:val="BodyText"/>
        <w:spacing w:line="319" w:lineRule="auto" w:before="63"/>
        <w:ind w:left="1493" w:right="994"/>
        <w:jc w:val="left"/>
      </w:pPr>
      <w:r>
        <w:rPr/>
        <w:t>外币业务交易在初始确认时，采用交易发生日的即期汇率作为折算汇率折合成人民币记账。 </w:t>
      </w:r>
      <w:r>
        <w:rPr>
          <w:spacing w:val="-2"/>
        </w:rPr>
        <w:t>资产负债表日，外币货币性项目按资产负债表日即期汇率折算，由此产生的汇兑差额，除属于与购建符合资本化条件的</w:t>
      </w:r>
    </w:p>
    <w:p>
      <w:pPr>
        <w:pStyle w:val="BodyText"/>
        <w:spacing w:line="316" w:lineRule="auto" w:before="17"/>
        <w:ind w:right="994"/>
        <w:jc w:val="left"/>
      </w:pPr>
      <w:r>
        <w:rPr>
          <w:spacing w:val="-2"/>
        </w:rPr>
        <w:t>资产相关的外币专门借款产生的汇兑差额按照借款费用资本化的原则处理外，均计入当期损益。以历史成本计量的外币非货</w:t>
      </w:r>
      <w:r>
        <w:rPr>
          <w:spacing w:val="-64"/>
        </w:rPr>
        <w:t> </w:t>
      </w:r>
      <w:r>
        <w:rPr>
          <w:spacing w:val="-64"/>
        </w:rPr>
      </w:r>
      <w:r>
        <w:rPr/>
        <w:t>币性项目，仍采用交易发生日的即期汇率折算，不改变其记账本位币金额。</w:t>
      </w:r>
    </w:p>
    <w:p>
      <w:pPr>
        <w:pStyle w:val="BodyText"/>
        <w:spacing w:line="316" w:lineRule="auto" w:before="19"/>
        <w:ind w:right="994" w:firstLine="360"/>
        <w:jc w:val="left"/>
      </w:pPr>
      <w:r>
        <w:rPr>
          <w:spacing w:val="-2"/>
        </w:rPr>
        <w:t>以公允价值计量的外币非货币性项目，采用公允价值确定日的即期汇率折算，由此产生的汇兑差额作为公允价值变动损</w:t>
      </w:r>
      <w:r>
        <w:rPr/>
        <w:t> 益计入当期损益。如属于可供出售外币非货币性项目的，形成的汇兑差额计入其他综合收益。</w:t>
      </w:r>
    </w:p>
    <w:p>
      <w:pPr>
        <w:pStyle w:val="BodyText"/>
        <w:spacing w:line="300" w:lineRule="auto" w:before="19"/>
        <w:ind w:left="1494" w:right="994" w:hanging="360"/>
        <w:jc w:val="left"/>
      </w:pPr>
      <w:r>
        <w:rPr>
          <w:rFonts w:ascii="Times New Roman" w:hAnsi="Times New Roman" w:cs="Times New Roman" w:eastAsia="Times New Roman" w:hint="default"/>
        </w:rPr>
        <w:t>2.</w:t>
      </w:r>
      <w:r>
        <w:rPr/>
        <w:t>外币财务报表的折算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16" w:lineRule="auto" w:before="13"/>
        <w:ind w:right="994"/>
        <w:jc w:val="left"/>
      </w:pPr>
      <w:r>
        <w:rPr>
          <w:spacing w:val="-2"/>
        </w:rPr>
        <w:t>目采用发生时的即期汇率折算。利润表中的收入和费用项目，采用交易发生日的即期汇率折算。按照上述折算产生的外币财</w:t>
      </w:r>
      <w:r>
        <w:rPr>
          <w:spacing w:val="-66"/>
        </w:rPr>
        <w:t> </w:t>
      </w:r>
      <w:r>
        <w:rPr>
          <w:spacing w:val="-66"/>
        </w:rPr>
      </w:r>
      <w:r>
        <w:rPr/>
        <w:t>务报表折算差额计入其他综合收益。</w:t>
      </w:r>
    </w:p>
    <w:p>
      <w:pPr>
        <w:pStyle w:val="BodyText"/>
        <w:spacing w:line="316" w:lineRule="auto" w:before="19"/>
        <w:ind w:right="1131" w:firstLine="360"/>
        <w:jc w:val="both"/>
      </w:pPr>
      <w:r>
        <w:rPr>
          <w:spacing w:val="-2"/>
        </w:rPr>
        <w:t>处置境外经营时，将资产负债表中其他综合收益项目中列示的、与该境外经营相关的外币财务报表折算差额，自其他综</w:t>
      </w:r>
      <w:r>
        <w:rPr/>
        <w:t> </w:t>
      </w:r>
      <w:r>
        <w:rPr>
          <w:spacing w:val="-2"/>
        </w:rPr>
        <w:t>合收益项目转入处置当期损益；在处置部分股权投资或其他原因导致持有境外经营权益比例降低但不丧失对境外经营控制权</w:t>
      </w:r>
      <w:r>
        <w:rPr>
          <w:spacing w:val="-64"/>
        </w:rPr>
        <w:t> </w:t>
      </w:r>
      <w:r>
        <w:rPr>
          <w:spacing w:val="-64"/>
        </w:rPr>
      </w:r>
      <w:r>
        <w:rPr>
          <w:spacing w:val="-2"/>
        </w:rPr>
        <w:t>时，与该境外经营处置部分相关的外币报表折算差额将归属于少数股东权益，不转入当期损益。在处置境外经营为联营企业</w:t>
      </w:r>
      <w:r>
        <w:rPr>
          <w:spacing w:val="-66"/>
        </w:rPr>
        <w:t> </w:t>
      </w:r>
      <w:r>
        <w:rPr>
          <w:spacing w:val="-66"/>
        </w:rPr>
      </w:r>
      <w:r>
        <w:rPr/>
        <w:t>或合营企业的部分股权时，与该境外经营相关的外币报表折算差额，按处置该境外经营的比例转入处置当期损益。</w:t>
      </w:r>
    </w:p>
    <w:p>
      <w:pPr>
        <w:spacing w:line="240" w:lineRule="auto" w:before="7"/>
        <w:rPr>
          <w:rFonts w:ascii="宋体" w:hAnsi="宋体" w:cs="宋体" w:eastAsia="宋体" w:hint="default"/>
          <w:sz w:val="22"/>
          <w:szCs w:val="22"/>
        </w:rPr>
      </w:pPr>
    </w:p>
    <w:p>
      <w:pPr>
        <w:pStyle w:val="Heading5"/>
        <w:spacing w:line="240" w:lineRule="auto"/>
        <w:ind w:right="994"/>
        <w:jc w:val="left"/>
        <w:rPr>
          <w:b w:val="0"/>
          <w:bCs w:val="0"/>
        </w:rPr>
      </w:pPr>
      <w:bookmarkStart w:name="10、金融工具" w:id="190"/>
      <w:bookmarkEnd w:id="19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994"/>
        <w:jc w:val="left"/>
      </w:pPr>
      <w:r>
        <w:rPr/>
        <w:t>金融工具包括金融资产、金融负债和权益工具。</w:t>
      </w:r>
    </w:p>
    <w:p>
      <w:pPr>
        <w:pStyle w:val="BodyText"/>
        <w:spacing w:line="300" w:lineRule="auto" w:before="76"/>
        <w:ind w:left="1494" w:right="994" w:hanging="360"/>
        <w:jc w:val="left"/>
      </w:pPr>
      <w:r>
        <w:rPr>
          <w:rFonts w:ascii="Times New Roman" w:hAnsi="Times New Roman" w:cs="Times New Roman" w:eastAsia="Times New Roman" w:hint="default"/>
        </w:rPr>
        <w:t>1.</w:t>
      </w:r>
      <w:r>
        <w:rPr/>
        <w:t>金融工具的分类 </w:t>
      </w:r>
      <w:r>
        <w:rPr>
          <w:spacing w:val="-2"/>
        </w:rPr>
        <w:t>本公司根据所发行金融工具的合同条款及其所反映的经济实质而非仅以法律形式，结合取得持有金融资产和承担金融负</w:t>
      </w:r>
    </w:p>
    <w:p>
      <w:pPr>
        <w:pStyle w:val="BodyText"/>
        <w:spacing w:line="316" w:lineRule="auto" w:before="31"/>
        <w:ind w:left="1134" w:right="994"/>
        <w:jc w:val="left"/>
      </w:pPr>
      <w:r>
        <w:rPr>
          <w:spacing w:val="-2"/>
        </w:rPr>
        <w:t>债的目的，在初始确认时将金融资产和金融负债分为不同类别：以公允价值计量且其变动计入当期损益的金融资产（或金融</w:t>
      </w:r>
      <w:r>
        <w:rPr>
          <w:spacing w:val="-66"/>
        </w:rPr>
        <w:t> </w:t>
      </w:r>
      <w:r>
        <w:rPr>
          <w:spacing w:val="-66"/>
        </w:rPr>
      </w:r>
      <w:r>
        <w:rPr/>
        <w:t>负债）；持有至到期投资；应收款项；可供出售金融资产；其他金融负债等。</w:t>
      </w:r>
    </w:p>
    <w:p>
      <w:pPr>
        <w:pStyle w:val="BodyText"/>
        <w:spacing w:line="300" w:lineRule="auto" w:before="19"/>
        <w:ind w:right="5503"/>
        <w:jc w:val="left"/>
      </w:pPr>
      <w:r>
        <w:rPr>
          <w:rFonts w:ascii="Times New Roman" w:hAnsi="Times New Roman" w:cs="Times New Roman" w:eastAsia="Times New Roman" w:hint="default"/>
        </w:rPr>
        <w:t>2.</w:t>
      </w:r>
      <w:r>
        <w:rPr/>
        <w:t>金融工具的确认依据和计量方法 </w:t>
      </w:r>
      <w:r>
        <w:rPr>
          <w:rFonts w:ascii="Times New Roman" w:hAnsi="Times New Roman" w:cs="Times New Roman" w:eastAsia="Times New Roman" w:hint="default"/>
        </w:rPr>
        <w:t>(1)</w:t>
      </w:r>
      <w:r>
        <w:rPr/>
        <w:t>以公允价值计量且其变动计入当期损益的金融资产（金融负债）</w:t>
      </w:r>
    </w:p>
    <w:p>
      <w:pPr>
        <w:pStyle w:val="BodyText"/>
        <w:spacing w:line="316" w:lineRule="auto" w:before="13"/>
        <w:ind w:right="994" w:firstLine="360"/>
        <w:jc w:val="left"/>
      </w:pPr>
      <w:r>
        <w:rPr>
          <w:spacing w:val="-2"/>
        </w:rPr>
        <w:t>以公允价值计量且其变动计入当期损益的金融资产或金融负债，包括交易性金融资产或金融负债和直接指定为以公允价</w:t>
      </w:r>
      <w:r>
        <w:rPr/>
        <w:t> 值计量且其变动计入当期损益的金融资产或金融负债。 交易性金融资产或金融负债是指满足下列条件之一的金融资产或金融负债： </w:t>
      </w:r>
      <w:r>
        <w:rPr>
          <w:rFonts w:ascii="Times New Roman" w:hAnsi="Times New Roman" w:cs="Times New Roman" w:eastAsia="Times New Roman" w:hint="default"/>
        </w:rPr>
        <w:t>1</w:t>
      </w:r>
      <w:r>
        <w:rPr/>
        <w:t>）取得该金融资产或金融负债的目的是为了在短期内出售、回购或赎回；</w:t>
      </w:r>
    </w:p>
    <w:p>
      <w:pPr>
        <w:pStyle w:val="BodyText"/>
        <w:spacing w:line="248" w:lineRule="exact" w:before="0"/>
        <w:ind w:right="0"/>
        <w:jc w:val="left"/>
      </w:pPr>
      <w:r>
        <w:rPr>
          <w:rFonts w:ascii="Times New Roman" w:hAnsi="Times New Roman" w:cs="Times New Roman" w:eastAsia="Times New Roman" w:hint="default"/>
        </w:rPr>
        <w:t>2</w:t>
      </w:r>
      <w:r>
        <w:rPr/>
        <w:t>）属于进行集中管理的可辨认金融工具组合的一部分，且有客观证据表明本公司近期采用短期获利方式对该组合进行管理；</w:t>
      </w:r>
    </w:p>
    <w:p>
      <w:pPr>
        <w:pStyle w:val="BodyText"/>
        <w:spacing w:line="300" w:lineRule="auto" w:before="63"/>
        <w:ind w:left="1134" w:right="1122"/>
        <w:jc w:val="left"/>
      </w:pPr>
      <w:r>
        <w:rPr>
          <w:rFonts w:ascii="Times New Roman" w:hAnsi="Times New Roman" w:cs="Times New Roman" w:eastAsia="Times New Roman" w:hint="default"/>
        </w:rPr>
        <w:t>3</w:t>
      </w:r>
      <w:r>
        <w:rPr/>
        <w:t>）属于衍生金融工具，但是被指定为有效套期工具的衍生工具、属于财务担保合同的衍生工具、与在活跃市场中没有报价 且其公允价值不能可靠计量的权益工具投资挂钩并须通过交付该权益工具结算的衍生工具除外。</w:t>
      </w:r>
    </w:p>
    <w:p>
      <w:pPr>
        <w:pStyle w:val="BodyText"/>
        <w:spacing w:line="312" w:lineRule="auto" w:before="31"/>
        <w:ind w:right="1123" w:firstLine="360"/>
        <w:jc w:val="left"/>
      </w:pPr>
      <w:r>
        <w:rPr>
          <w:spacing w:val="-2"/>
        </w:rPr>
        <w:t>只有符合以下条件之一，金融资产或金融负债才可在初始计量时指定为以公允价值计量且其变动计入损益的金融资产或</w:t>
      </w:r>
      <w:r>
        <w:rPr/>
        <w:t> 金融负债： </w:t>
      </w:r>
      <w:r>
        <w:rPr>
          <w:rFonts w:ascii="Times New Roman" w:hAnsi="Times New Roman" w:cs="Times New Roman" w:eastAsia="Times New Roman" w:hint="default"/>
        </w:rPr>
        <w:t>1</w:t>
      </w:r>
      <w:r>
        <w:rPr/>
        <w:t>）该项指定可以消除或明显减少由于金融资产或金融负债的计量基础不同所导致的相关利得或损失在确认或计量方面不一 致的情况； </w:t>
      </w:r>
      <w:r>
        <w:rPr>
          <w:rFonts w:ascii="Times New Roman" w:hAnsi="Times New Roman" w:cs="Times New Roman" w:eastAsia="Times New Roman" w:hint="default"/>
        </w:rPr>
        <w:t>2</w:t>
      </w:r>
      <w:r>
        <w:rPr/>
        <w:t>）风险管理或投资策略的正式书面文件已载明，该金融资产组合、该金融负债组合、或该金融资产和金融负债组合，以公 允价值为基础进行管理、评价并向关键管理人员报告； </w:t>
      </w:r>
      <w:r>
        <w:rPr>
          <w:rFonts w:ascii="Times New Roman" w:hAnsi="Times New Roman" w:cs="Times New Roman" w:eastAsia="Times New Roman" w:hint="default"/>
        </w:rPr>
        <w:t>3</w:t>
      </w:r>
      <w:r>
        <w:rPr/>
        <w:t>）包含一项或多项嵌入衍生工具的混合工具，除非嵌入衍生工具对混合工具的现金流量没有重大改变，或所嵌入的衍生工 具明显不应当从相关混合工具中分拆； </w:t>
      </w:r>
      <w:r>
        <w:rPr>
          <w:rFonts w:ascii="Times New Roman" w:hAnsi="Times New Roman" w:cs="Times New Roman" w:eastAsia="Times New Roman" w:hint="default"/>
        </w:rPr>
        <w:t>4</w:t>
      </w:r>
      <w:r>
        <w:rPr/>
        <w:t>）包含需要分拆但无法在取得时或后续的资产负债表日对其进行单独计量的嵌入衍生工具的混合工具。</w:t>
      </w:r>
    </w:p>
    <w:p>
      <w:pPr>
        <w:pStyle w:val="BodyText"/>
        <w:spacing w:line="240" w:lineRule="auto" w:before="3"/>
        <w:ind w:left="1493" w:right="994"/>
        <w:jc w:val="left"/>
      </w:pPr>
      <w:r>
        <w:rPr/>
        <w:t>本公司对以公允价值计量且其变动计入当期损益的金融资产或金融负债，在取得时以公允价值（扣除已宣告但尚未发放</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1133"/>
        <w:jc w:val="both"/>
      </w:pPr>
      <w:r>
        <w:rPr>
          <w:spacing w:val="-2"/>
        </w:rPr>
        <w:t>的现金股利或已到付息期但尚未领取的债券利息）作为初始确认金额，相关的交易费用计入当期损益。持有期间将取得的利</w:t>
      </w:r>
      <w:r>
        <w:rPr>
          <w:spacing w:val="-66"/>
        </w:rPr>
        <w:t> </w:t>
      </w:r>
      <w:r>
        <w:rPr>
          <w:spacing w:val="-66"/>
        </w:rPr>
      </w:r>
      <w:r>
        <w:rPr>
          <w:spacing w:val="-2"/>
        </w:rPr>
        <w:t>息或现金股利确认为投资收益，期末将公允价值变动计入当期损益。处置时，其公允价值与初始入账金额之间的差额确认为</w:t>
      </w:r>
      <w:r>
        <w:rPr>
          <w:spacing w:val="-66"/>
        </w:rPr>
        <w:t> </w:t>
      </w:r>
      <w:r>
        <w:rPr>
          <w:spacing w:val="-66"/>
        </w:rPr>
      </w:r>
      <w:r>
        <w:rPr/>
        <w:t>投资收益，同时调整公允价值变动损益。</w:t>
      </w:r>
    </w:p>
    <w:p>
      <w:pPr>
        <w:pStyle w:val="BodyText"/>
        <w:spacing w:line="240" w:lineRule="auto" w:before="19"/>
        <w:ind w:left="1134" w:right="994"/>
        <w:jc w:val="left"/>
      </w:pPr>
      <w:r>
        <w:rPr>
          <w:rFonts w:ascii="Times New Roman" w:hAnsi="Times New Roman" w:cs="Times New Roman" w:eastAsia="Times New Roman" w:hint="default"/>
        </w:rPr>
        <w:t>(2)</w:t>
      </w:r>
      <w:r>
        <w:rPr/>
        <w:t>应收款项</w:t>
      </w:r>
    </w:p>
    <w:p>
      <w:pPr>
        <w:pStyle w:val="BodyText"/>
        <w:spacing w:line="316" w:lineRule="auto" w:before="63"/>
        <w:ind w:left="1494" w:right="994"/>
        <w:jc w:val="left"/>
      </w:pPr>
      <w:r>
        <w:rPr/>
        <w:t>应收款项是指在活跃市场中没有报价、回收金额固定或可确定的非衍生金融资产。 </w:t>
      </w:r>
      <w:r>
        <w:rPr>
          <w:spacing w:val="-2"/>
        </w:rPr>
        <w:t>本公司对外销售商品或提供劳务形成的应收债权，以及公司持有的其他企业的不包括在活跃市场上有报价的债务工具的</w:t>
      </w:r>
    </w:p>
    <w:p>
      <w:pPr>
        <w:pStyle w:val="BodyText"/>
        <w:spacing w:line="316" w:lineRule="auto" w:before="19"/>
        <w:ind w:left="1134" w:right="994"/>
        <w:jc w:val="left"/>
      </w:pPr>
      <w:r>
        <w:rPr>
          <w:spacing w:val="-2"/>
        </w:rPr>
        <w:t>债权，包括应收账款、其他应收款、应收票据、预付款项等，以向购货方应收的合同或协议价款作为初始确认金额；具有融</w:t>
      </w:r>
      <w:r>
        <w:rPr>
          <w:spacing w:val="-68"/>
        </w:rPr>
        <w:t> </w:t>
      </w:r>
      <w:r>
        <w:rPr>
          <w:spacing w:val="-68"/>
        </w:rPr>
      </w:r>
      <w:r>
        <w:rPr/>
        <w:t>资性质的，按其现值进行初始确认。</w:t>
      </w:r>
    </w:p>
    <w:p>
      <w:pPr>
        <w:pStyle w:val="BodyText"/>
        <w:spacing w:line="240" w:lineRule="auto" w:before="19"/>
        <w:ind w:left="1494" w:right="994"/>
        <w:jc w:val="left"/>
      </w:pPr>
      <w:r>
        <w:rPr/>
        <w:t>收回或处置时，将取得的价款与该应收款项账面价值之间的差额计入当期损益。</w:t>
      </w:r>
    </w:p>
    <w:p>
      <w:pPr>
        <w:pStyle w:val="BodyText"/>
        <w:spacing w:line="309" w:lineRule="auto" w:before="76"/>
        <w:ind w:left="1494" w:right="994" w:hanging="360"/>
        <w:jc w:val="left"/>
      </w:pPr>
      <w:r>
        <w:rPr>
          <w:rFonts w:ascii="Times New Roman" w:hAnsi="Times New Roman" w:cs="Times New Roman" w:eastAsia="Times New Roman" w:hint="default"/>
        </w:rPr>
        <w:t>(3)</w:t>
      </w:r>
      <w:r>
        <w:rPr/>
        <w:t>持有至到期投资</w:t>
      </w:r>
      <w:r>
        <w:rPr>
          <w:w w:val="99"/>
        </w:rPr>
        <w:t> </w:t>
      </w:r>
      <w:r>
        <w:rPr>
          <w:spacing w:val="-4"/>
          <w:w w:val="99"/>
        </w:rPr>
        <w:t>持有至到期投资是指到期日固定、回收金额固定或可确定，且本公司有明确意图和能力持有至到期的非衍生性金融资产。</w:t>
      </w:r>
      <w:r>
        <w:rPr>
          <w:w w:val="99"/>
        </w:rPr>
        <w:t> </w:t>
      </w:r>
      <w:r>
        <w:rPr>
          <w:spacing w:val="-2"/>
        </w:rPr>
        <w:t>本公司对持有至到期投资，在取得时按公允价值（扣除已到付息期但尚未领取的债券利息）和相关交易费用之和作为初</w:t>
      </w:r>
    </w:p>
    <w:p>
      <w:pPr>
        <w:pStyle w:val="BodyText"/>
        <w:spacing w:line="316" w:lineRule="auto" w:before="24"/>
        <w:ind w:left="1134" w:right="994"/>
        <w:jc w:val="left"/>
      </w:pPr>
      <w:r>
        <w:rPr>
          <w:spacing w:val="-2"/>
        </w:rPr>
        <w:t>始确认金额。持有期间按照摊余成本和实际利率计算确认利息收入，计入投资收益。实际利率在取得时确定，在该预期存续</w:t>
      </w:r>
      <w:r>
        <w:rPr>
          <w:spacing w:val="-66"/>
        </w:rPr>
        <w:t> </w:t>
      </w:r>
      <w:r>
        <w:rPr>
          <w:spacing w:val="-66"/>
        </w:rPr>
      </w:r>
      <w:r>
        <w:rPr/>
        <w:t>期间或适用的更短期间内保持不变。处置时，将所取得价款与该投资账面价值之间的差额计入投资收益。</w:t>
      </w:r>
    </w:p>
    <w:p>
      <w:pPr>
        <w:pStyle w:val="BodyText"/>
        <w:spacing w:line="314" w:lineRule="auto" w:before="19"/>
        <w:ind w:right="994" w:firstLine="360"/>
        <w:jc w:val="left"/>
      </w:pPr>
      <w:r>
        <w:rPr>
          <w:spacing w:val="-2"/>
        </w:rPr>
        <w:t>如果持有至到期投资处置或重分类为其他类金融资产的金额，相对于本公司全部持有至到期投资在出售或重分类前的总</w:t>
      </w:r>
      <w:r>
        <w:rPr/>
        <w:t> </w:t>
      </w:r>
      <w:r>
        <w:rPr>
          <w:spacing w:val="-2"/>
        </w:rPr>
        <w:t>额较大，在处置或重分类后应立即将其剩余的持有至到期投资重分类为可供出售金融资产；重分类日，该投资的账面价值与</w:t>
      </w:r>
      <w:r>
        <w:rPr>
          <w:spacing w:val="-66"/>
        </w:rPr>
        <w:t> </w:t>
      </w:r>
      <w:r>
        <w:rPr>
          <w:spacing w:val="-66"/>
        </w:rPr>
      </w:r>
      <w:r>
        <w:rPr>
          <w:spacing w:val="-2"/>
        </w:rPr>
        <w:t>其公允价值之间的差额计入其他综合收益，在该可供出售金融资产发生减值或终止确认时转出，计入当期损益。但是，遇到</w:t>
      </w:r>
      <w:r>
        <w:rPr>
          <w:spacing w:val="-66"/>
        </w:rPr>
        <w:t> </w:t>
      </w:r>
      <w:r>
        <w:rPr>
          <w:spacing w:val="-66"/>
        </w:rPr>
      </w:r>
      <w:r>
        <w:rPr/>
        <w:t>下列情况可以除外： </w:t>
      </w:r>
      <w:r>
        <w:rPr>
          <w:rFonts w:ascii="Times New Roman" w:hAnsi="Times New Roman" w:cs="Times New Roman" w:eastAsia="Times New Roman" w:hint="default"/>
        </w:rPr>
        <w:t>1</w:t>
      </w:r>
      <w:r>
        <w:rPr/>
        <w:t>）出售日或重分类日距离该项投资到期日或赎回日较近</w:t>
      </w:r>
      <w:r>
        <w:rPr>
          <w:rFonts w:ascii="Times New Roman" w:hAnsi="Times New Roman" w:cs="Times New Roman" w:eastAsia="Times New Roman" w:hint="default"/>
        </w:rPr>
        <w:t>(</w:t>
      </w:r>
      <w:r>
        <w:rPr/>
        <w:t>如到期前三个月内</w:t>
      </w:r>
      <w:r>
        <w:rPr>
          <w:rFonts w:ascii="Times New Roman" w:hAnsi="Times New Roman" w:cs="Times New Roman" w:eastAsia="Times New Roman" w:hint="default"/>
        </w:rPr>
        <w:t>)</w:t>
      </w:r>
      <w:r>
        <w:rPr/>
        <w:t>，且市场利率变化对该项投资的公允价值没有 显著影响。</w:t>
      </w:r>
    </w:p>
    <w:p>
      <w:pPr>
        <w:pStyle w:val="BodyText"/>
        <w:spacing w:line="240" w:lineRule="auto" w:before="20"/>
        <w:ind w:right="994"/>
        <w:jc w:val="left"/>
      </w:pPr>
      <w:r>
        <w:rPr>
          <w:rFonts w:ascii="Times New Roman" w:hAnsi="Times New Roman" w:cs="Times New Roman" w:eastAsia="Times New Roman" w:hint="default"/>
        </w:rPr>
        <w:t>2</w:t>
      </w:r>
      <w:r>
        <w:rPr/>
        <w:t>）根据合同约定的偿付方式，企业已收回几乎所有初始本金。</w:t>
      </w:r>
    </w:p>
    <w:p>
      <w:pPr>
        <w:pStyle w:val="BodyText"/>
        <w:spacing w:line="300" w:lineRule="auto" w:before="63"/>
        <w:ind w:right="3283"/>
        <w:jc w:val="left"/>
      </w:pPr>
      <w:r>
        <w:rPr>
          <w:rFonts w:ascii="Times New Roman" w:hAnsi="Times New Roman" w:cs="Times New Roman" w:eastAsia="Times New Roman" w:hint="default"/>
        </w:rPr>
        <w:t>3</w:t>
      </w:r>
      <w:r>
        <w:rPr/>
        <w:t>）出售或重分类是由于企业无法控制、预期不会重复发生且难以合理预计的独立事件所引起。 </w:t>
      </w:r>
      <w:r>
        <w:rPr>
          <w:rFonts w:ascii="Times New Roman" w:hAnsi="Times New Roman" w:cs="Times New Roman" w:eastAsia="Times New Roman" w:hint="default"/>
        </w:rPr>
        <w:t>(4)</w:t>
      </w:r>
      <w:r>
        <w:rPr/>
        <w:t>可供出售金融资产</w:t>
      </w:r>
    </w:p>
    <w:p>
      <w:pPr>
        <w:pStyle w:val="BodyText"/>
        <w:spacing w:line="316" w:lineRule="auto" w:before="13"/>
        <w:ind w:left="1493" w:right="1033"/>
        <w:jc w:val="left"/>
      </w:pPr>
      <w:r>
        <w:rPr/>
        <w:t>可供出售金融资产，是指初始确认时即指定为可供出售的非衍生金融资产，以及除其他金融资产类别以外的金融资产。 </w:t>
      </w:r>
      <w:r>
        <w:rPr>
          <w:spacing w:val="-2"/>
        </w:rPr>
        <w:t>本公司对可供出售金融资产，在取得时按公允价值（扣除已宣告但尚未发放的现金股利或已到付息期但尚未领取的债券</w:t>
      </w:r>
    </w:p>
    <w:p>
      <w:pPr>
        <w:pStyle w:val="BodyText"/>
        <w:spacing w:line="316" w:lineRule="auto" w:before="19"/>
        <w:ind w:right="1131"/>
        <w:jc w:val="both"/>
      </w:pPr>
      <w:r>
        <w:rPr>
          <w:spacing w:val="-2"/>
        </w:rPr>
        <w:t>利息）和相关交易费用之和作为初始确认金额。持有期间将取得的利息或现金股利确认为投资收益。可供出售金融资产的公</w:t>
      </w:r>
      <w:r>
        <w:rPr>
          <w:spacing w:val="-66"/>
        </w:rPr>
        <w:t> </w:t>
      </w:r>
      <w:r>
        <w:rPr>
          <w:spacing w:val="-66"/>
        </w:rPr>
      </w:r>
      <w:r>
        <w:rPr>
          <w:spacing w:val="-2"/>
        </w:rPr>
        <w:t>允价值变动形成的利得或损失，除减值损失和外币货币性金融资产形成的汇兑差额外，直接计入其他综合收益。处置可供出</w:t>
      </w:r>
      <w:r>
        <w:rPr>
          <w:spacing w:val="-66"/>
        </w:rPr>
        <w:t> </w:t>
      </w:r>
      <w:r>
        <w:rPr>
          <w:spacing w:val="-66"/>
        </w:rPr>
      </w:r>
      <w:r>
        <w:rPr>
          <w:spacing w:val="-2"/>
        </w:rPr>
        <w:t>售金融资产时，将取得的价款与该金融资产账面价值之间的差额，计入投资损益；同时，将原直接计入其他综合收益的公允</w:t>
      </w:r>
      <w:r>
        <w:rPr>
          <w:spacing w:val="-66"/>
        </w:rPr>
        <w:t> </w:t>
      </w:r>
      <w:r>
        <w:rPr>
          <w:spacing w:val="-66"/>
        </w:rPr>
      </w:r>
      <w:r>
        <w:rPr/>
        <w:t>价值变动累计额对应处置部分的金额转出，计入投资损益。</w:t>
      </w:r>
    </w:p>
    <w:p>
      <w:pPr>
        <w:pStyle w:val="BodyText"/>
        <w:spacing w:line="316" w:lineRule="auto" w:before="19"/>
        <w:ind w:right="994" w:firstLine="360"/>
        <w:jc w:val="left"/>
      </w:pPr>
      <w:r>
        <w:rPr>
          <w:spacing w:val="-2"/>
        </w:rPr>
        <w:t>本公司对在活跃市场中没有报价且其公允价值不能可靠计量的权益工具投资，以及与该权益工具挂钩并须通过交付该权</w:t>
      </w:r>
      <w:r>
        <w:rPr/>
        <w:t> 益工具结算的衍生金融资产，按照成本计量。</w:t>
      </w:r>
    </w:p>
    <w:p>
      <w:pPr>
        <w:pStyle w:val="BodyText"/>
        <w:spacing w:line="309" w:lineRule="auto" w:before="19"/>
        <w:ind w:right="4093"/>
        <w:jc w:val="left"/>
      </w:pPr>
      <w:r>
        <w:rPr>
          <w:rFonts w:ascii="Times New Roman" w:hAnsi="Times New Roman" w:cs="Times New Roman" w:eastAsia="Times New Roman" w:hint="default"/>
        </w:rPr>
        <w:t>(5)</w:t>
      </w:r>
      <w:r>
        <w:rPr/>
        <w:t>其他金融负债</w:t>
      </w:r>
      <w:r>
        <w:rPr>
          <w:w w:val="99"/>
        </w:rPr>
        <w:t> </w:t>
      </w:r>
      <w:r>
        <w:rPr/>
        <w:t>按其公允价值和相关交易费用之和作为初始确认金额。采用摊余成本进行后续计量。</w:t>
      </w:r>
      <w:r>
        <w:rPr>
          <w:w w:val="99"/>
        </w:rPr>
        <w:t> </w:t>
      </w:r>
      <w:r>
        <w:rPr>
          <w:rFonts w:ascii="Times New Roman" w:hAnsi="Times New Roman" w:cs="Times New Roman" w:eastAsia="Times New Roman" w:hint="default"/>
        </w:rPr>
        <w:t>3.</w:t>
      </w:r>
      <w:r>
        <w:rPr/>
        <w:t>金融资产转移的确认依据和计量方法</w:t>
      </w:r>
    </w:p>
    <w:p>
      <w:pPr>
        <w:pStyle w:val="BodyText"/>
        <w:spacing w:line="316" w:lineRule="auto" w:before="5"/>
        <w:ind w:right="994" w:firstLine="360"/>
        <w:jc w:val="left"/>
      </w:pPr>
      <w:r>
        <w:rPr>
          <w:spacing w:val="-2"/>
        </w:rPr>
        <w:t>公司发生金融资产转移时，如已将金融资产所有权上几乎所有的风险和报酬转移给转入方，则终止确认该金融资产；如</w:t>
      </w:r>
      <w:r>
        <w:rPr/>
        <w:t> 保留了金融资产所有权上几乎所有的风险和报酬的，则不终止确认该金融资产。</w:t>
      </w:r>
    </w:p>
    <w:p>
      <w:pPr>
        <w:pStyle w:val="BodyText"/>
        <w:spacing w:line="316" w:lineRule="auto" w:before="19"/>
        <w:ind w:right="994" w:firstLine="360"/>
        <w:jc w:val="left"/>
      </w:pPr>
      <w:r>
        <w:rPr>
          <w:spacing w:val="-2"/>
        </w:rPr>
        <w:t>在判断金融资产转移是否满足上述金融资产终止确认条件时，采用实质重于形式的原则。公司将金融资产转移区分为金</w:t>
      </w:r>
      <w:r>
        <w:rPr/>
        <w:t> 融资产整体转移和部分转移。金融资产整体转移满足终止确认条件的，将下列两项金额的差额计入当期损益：</w:t>
      </w:r>
    </w:p>
    <w:p>
      <w:pPr>
        <w:pStyle w:val="BodyText"/>
        <w:spacing w:line="240" w:lineRule="auto" w:before="19"/>
        <w:ind w:right="994"/>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left="1134" w:right="1122"/>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）因转移而收到的对价，与原直接计入所有者权益的公允价值变动累计额（涉及转移的金融资产为可供出售金融资产的 情形）之和。</w:t>
      </w:r>
    </w:p>
    <w:p>
      <w:pPr>
        <w:pStyle w:val="BodyText"/>
        <w:spacing w:line="316" w:lineRule="auto" w:before="31"/>
        <w:ind w:right="1033"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right="994"/>
        <w:jc w:val="left"/>
      </w:pPr>
      <w:r>
        <w:rPr/>
        <w:t>（</w:t>
      </w:r>
      <w:r>
        <w:rPr>
          <w:rFonts w:ascii="Times New Roman" w:hAnsi="Times New Roman" w:cs="Times New Roman" w:eastAsia="Times New Roman" w:hint="default"/>
        </w:rPr>
        <w:t>1</w:t>
      </w:r>
      <w:r>
        <w:rPr/>
        <w:t>）终止确认部分的账面价值；</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ind w:left="1134" w:right="1122"/>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）终止确认部分的对价，与原直接计入所有者权益的公允价值变动累计额中对应终止确认部分的金额（涉及转移的金融 资产为可供出售金融资产的情形）之和。</w:t>
      </w:r>
    </w:p>
    <w:p>
      <w:pPr>
        <w:pStyle w:val="BodyText"/>
        <w:spacing w:line="240" w:lineRule="auto" w:before="31"/>
        <w:ind w:left="1494" w:right="994"/>
        <w:jc w:val="left"/>
      </w:pPr>
      <w:r>
        <w:rPr/>
        <w:t>金融资产转移不满足终止确认条件的，继续确认该金融资产，所收到的对价确认为一项金融负债。</w:t>
      </w:r>
    </w:p>
    <w:p>
      <w:pPr>
        <w:pStyle w:val="BodyText"/>
        <w:spacing w:line="300" w:lineRule="auto" w:before="76"/>
        <w:ind w:left="1494" w:right="994" w:hanging="360"/>
        <w:jc w:val="left"/>
      </w:pPr>
      <w:r>
        <w:rPr>
          <w:rFonts w:ascii="Times New Roman" w:hAnsi="Times New Roman" w:cs="Times New Roman" w:eastAsia="Times New Roman" w:hint="default"/>
        </w:rPr>
        <w:t>4.</w:t>
      </w:r>
      <w:r>
        <w:rPr/>
        <w:t>金融负债终止确认条件 </w:t>
      </w:r>
      <w:r>
        <w:rPr>
          <w:spacing w:val="-2"/>
        </w:rPr>
        <w:t>金融负债的现时义务全部或部分已经解除的，则终止确认该金融负债或其一部分；本公司若与债权人签定协议，以承担</w:t>
      </w:r>
    </w:p>
    <w:p>
      <w:pPr>
        <w:pStyle w:val="BodyText"/>
        <w:spacing w:line="316" w:lineRule="auto" w:before="31"/>
        <w:ind w:left="1134" w:right="994"/>
        <w:jc w:val="left"/>
      </w:pPr>
      <w:r>
        <w:rPr>
          <w:spacing w:val="-2"/>
        </w:rPr>
        <w:t>新金融负债方式替换现存金融负债，且新金融负债与现存金融负债的合同条款实质上不同的，则终止确认现存金融负债，并</w:t>
      </w:r>
      <w:r>
        <w:rPr>
          <w:spacing w:val="-66"/>
        </w:rPr>
        <w:t> </w:t>
      </w:r>
      <w:r>
        <w:rPr>
          <w:spacing w:val="-66"/>
        </w:rPr>
      </w:r>
      <w:r>
        <w:rPr/>
        <w:t>同时确认新金融负债。</w:t>
      </w:r>
    </w:p>
    <w:p>
      <w:pPr>
        <w:pStyle w:val="BodyText"/>
        <w:spacing w:line="316" w:lineRule="auto" w:before="19"/>
        <w:ind w:left="1134" w:right="994"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left="1134" w:right="994"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left="1134" w:right="1032"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pStyle w:val="BodyText"/>
        <w:spacing w:line="300" w:lineRule="auto" w:before="19"/>
        <w:ind w:left="1493" w:right="994" w:hanging="360"/>
        <w:jc w:val="left"/>
      </w:pPr>
      <w:r>
        <w:rPr>
          <w:rFonts w:ascii="Times New Roman" w:hAnsi="Times New Roman" w:cs="Times New Roman" w:eastAsia="Times New Roman" w:hint="default"/>
        </w:rPr>
        <w:t>5.</w:t>
      </w:r>
      <w:r>
        <w:rPr/>
        <w:t>金融资产和金融负债公允价值的确定方法 </w:t>
      </w:r>
      <w:r>
        <w:rPr>
          <w:spacing w:val="-4"/>
        </w:rPr>
        <w:t>存在活跃市场的金融资产或金融负债，以活跃市场的报价确定其公允价值；活跃市场的报价包括易于且可定期从交易所、</w:t>
      </w:r>
    </w:p>
    <w:p>
      <w:pPr>
        <w:pStyle w:val="BodyText"/>
        <w:spacing w:line="316" w:lineRule="auto" w:before="31"/>
        <w:ind w:right="994"/>
        <w:jc w:val="left"/>
      </w:pPr>
      <w:r>
        <w:rPr>
          <w:spacing w:val="-2"/>
        </w:rPr>
        <w:t>交易商、经纪人、行业集团、定价机构或监管机构等获得相关资产或负债的报价，且能代表在公平交易基础上实际并经常发</w:t>
      </w:r>
      <w:r>
        <w:rPr>
          <w:spacing w:val="-66"/>
        </w:rPr>
        <w:t> </w:t>
      </w:r>
      <w:r>
        <w:rPr>
          <w:spacing w:val="-66"/>
        </w:rPr>
      </w:r>
      <w:r>
        <w:rPr/>
        <w:t>生的市场交易。</w:t>
      </w:r>
    </w:p>
    <w:p>
      <w:pPr>
        <w:pStyle w:val="BodyText"/>
        <w:spacing w:line="316" w:lineRule="auto" w:before="19"/>
        <w:ind w:left="1493" w:right="994"/>
        <w:jc w:val="left"/>
      </w:pPr>
      <w:r>
        <w:rPr/>
        <w:t>初始取得或衍生的金融资产或承担的金融负债，以市场交易价格作为确定其公允价值的基础。 </w:t>
      </w:r>
      <w:r>
        <w:rPr>
          <w:spacing w:val="-2"/>
        </w:rPr>
        <w:t>不存在活跃市场的金融资产或金融负债，采用估值技术确定其公允价值。在估值时，本公司采用在当前情况下适用并且</w:t>
      </w:r>
    </w:p>
    <w:p>
      <w:pPr>
        <w:pStyle w:val="BodyText"/>
        <w:spacing w:line="319" w:lineRule="auto" w:before="19"/>
        <w:ind w:right="1131"/>
        <w:jc w:val="both"/>
      </w:pPr>
      <w:r>
        <w:rPr>
          <w:spacing w:val="-2"/>
        </w:rPr>
        <w:t>有足够可利用数据和其他信息支持的估值技术，选择与市场参与者在相关资产或负债的交易中所考虑的资产或负债特征相一</w:t>
      </w:r>
      <w:r>
        <w:rPr>
          <w:spacing w:val="-64"/>
        </w:rPr>
        <w:t> </w:t>
      </w:r>
      <w:r>
        <w:rPr>
          <w:spacing w:val="-64"/>
        </w:rPr>
      </w:r>
      <w:r>
        <w:rPr>
          <w:spacing w:val="-2"/>
        </w:rPr>
        <w:t>致的输入值，并尽可能优先使用相关可观察输入值。在相关可观察输入值无法取得或取得不切实可行的情况下，使用不可观</w:t>
      </w:r>
      <w:r>
        <w:rPr>
          <w:spacing w:val="-66"/>
        </w:rPr>
        <w:t> </w:t>
      </w:r>
      <w:r>
        <w:rPr>
          <w:spacing w:val="-66"/>
        </w:rPr>
      </w:r>
      <w:r>
        <w:rPr/>
        <w:t>察输入值。</w:t>
      </w:r>
    </w:p>
    <w:p>
      <w:pPr>
        <w:pStyle w:val="BodyText"/>
        <w:spacing w:line="300" w:lineRule="auto" w:before="17"/>
        <w:ind w:left="1493" w:right="994" w:hanging="360"/>
        <w:jc w:val="left"/>
      </w:pPr>
      <w:r>
        <w:rPr>
          <w:rFonts w:ascii="Times New Roman" w:hAnsi="Times New Roman" w:cs="Times New Roman" w:eastAsia="Times New Roman" w:hint="default"/>
        </w:rPr>
        <w:t>6.</w:t>
      </w:r>
      <w:r>
        <w:rPr/>
        <w:t>金融资产（不含应收款项）减值准备计提 </w:t>
      </w:r>
      <w:r>
        <w:rPr>
          <w:spacing w:val="-2"/>
        </w:rPr>
        <w:t>资产负债表日对以公允价值计量且其变动计入当期损益的金融资产以外的金融资产的账面价值进行检查，如有客观证据</w:t>
      </w:r>
    </w:p>
    <w:p>
      <w:pPr>
        <w:pStyle w:val="BodyText"/>
        <w:spacing w:line="307" w:lineRule="auto" w:before="31"/>
        <w:ind w:right="4243"/>
        <w:jc w:val="left"/>
      </w:pPr>
      <w:r>
        <w:rPr/>
        <w:t>表明该金融资产发生减值的，计提减值准备。 金融资产发生减值的客观证据，包括但不限于： </w:t>
      </w:r>
      <w:r>
        <w:rPr>
          <w:rFonts w:ascii="Times New Roman" w:hAnsi="Times New Roman" w:cs="Times New Roman" w:eastAsia="Times New Roman" w:hint="default"/>
        </w:rPr>
        <w:t>(1)</w:t>
      </w:r>
      <w:r>
        <w:rPr/>
        <w:t>发行方或债务人发生严重财务困难； </w:t>
      </w:r>
      <w:r>
        <w:rPr>
          <w:rFonts w:ascii="Times New Roman" w:hAnsi="Times New Roman" w:cs="Times New Roman" w:eastAsia="Times New Roman" w:hint="default"/>
        </w:rPr>
        <w:t>(2)</w:t>
      </w:r>
      <w:r>
        <w:rPr/>
        <w:t>债务人违反了合同条款，如偿付利息或本金发生违约或逾期等； </w:t>
      </w:r>
      <w:r>
        <w:rPr>
          <w:rFonts w:ascii="Times New Roman" w:hAnsi="Times New Roman" w:cs="Times New Roman" w:eastAsia="Times New Roman" w:hint="default"/>
        </w:rPr>
        <w:t>(3)</w:t>
      </w:r>
      <w:r>
        <w:rPr/>
        <w:t>债权人出于经济或法律等方面因素的考虑，对发生财务困难的债务人作出让步； </w:t>
      </w:r>
      <w:r>
        <w:rPr>
          <w:rFonts w:ascii="Times New Roman" w:hAnsi="Times New Roman" w:cs="Times New Roman" w:eastAsia="Times New Roman" w:hint="default"/>
        </w:rPr>
        <w:t>(4)</w:t>
      </w:r>
      <w:r>
        <w:rPr/>
        <w:t>债务人很可能倒闭或进行其他财务重组； </w:t>
      </w:r>
      <w:r>
        <w:rPr>
          <w:rFonts w:ascii="Times New Roman" w:hAnsi="Times New Roman" w:cs="Times New Roman" w:eastAsia="Times New Roman" w:hint="default"/>
        </w:rPr>
        <w:t>(5)</w:t>
      </w:r>
      <w:r>
        <w:rPr/>
        <w:t>因发行方发生重大财务困难，该金融资产无法在活跃市场继续交易；</w:t>
      </w:r>
    </w:p>
    <w:p>
      <w:pPr>
        <w:pStyle w:val="BodyText"/>
        <w:spacing w:line="309" w:lineRule="auto" w:before="7"/>
        <w:ind w:right="994"/>
        <w:jc w:val="left"/>
      </w:pPr>
      <w:r>
        <w:rPr>
          <w:rFonts w:ascii="Times New Roman" w:hAnsi="Times New Roman" w:cs="Times New Roman" w:eastAsia="Times New Roman" w:hint="default"/>
        </w:rPr>
        <w:t>(6)</w:t>
      </w:r>
      <w:r>
        <w:rPr/>
        <w:t>无法辨认一组金融资产中的某项资产的现金流量是否已经减少，但根据公开的数据对其进行总体评价后发现，该组金融</w:t>
      </w:r>
      <w:r>
        <w:rPr>
          <w:w w:val="99"/>
        </w:rPr>
        <w:t> </w:t>
      </w:r>
      <w:r>
        <w:rPr>
          <w:spacing w:val="-2"/>
        </w:rPr>
        <w:t>资产自初始确认以来的预计未来现金流量确已减少且可计量，如该组金融资产的债务人支付能力逐步恶化，或债务人所在国</w:t>
      </w:r>
      <w:r>
        <w:rPr>
          <w:spacing w:val="-64"/>
        </w:rPr>
        <w:t> </w:t>
      </w:r>
      <w:r>
        <w:rPr>
          <w:spacing w:val="-64"/>
        </w:rPr>
      </w:r>
      <w:r>
        <w:rPr/>
        <w:t>家或地区失业率提高、担保物在其所在地区的价格明显下降、所处行业不景气等；</w:t>
      </w:r>
      <w:r>
        <w:rPr>
          <w:w w:val="99"/>
        </w:rPr>
        <w:t> </w:t>
      </w:r>
      <w:r>
        <w:rPr>
          <w:rFonts w:ascii="Times New Roman" w:hAnsi="Times New Roman" w:cs="Times New Roman" w:eastAsia="Times New Roman" w:hint="default"/>
        </w:rPr>
        <w:t>(7)</w:t>
      </w:r>
      <w:r>
        <w:rPr/>
        <w:t>权益工具发行方经营所处的技术、市场、经济或法律环境等发生重大不利变化，使权益工具投资人可能无法收回投资成</w:t>
      </w:r>
      <w:r>
        <w:rPr>
          <w:w w:val="99"/>
        </w:rPr>
        <w:t> </w:t>
      </w:r>
      <w:r>
        <w:rPr/>
        <w:t>本；</w:t>
      </w:r>
    </w:p>
    <w:p>
      <w:pPr>
        <w:pStyle w:val="BodyText"/>
        <w:spacing w:line="300" w:lineRule="auto" w:before="24"/>
        <w:ind w:left="1134" w:right="6402"/>
        <w:jc w:val="left"/>
      </w:pPr>
      <w:r>
        <w:rPr>
          <w:rFonts w:ascii="Times New Roman" w:hAnsi="Times New Roman" w:cs="Times New Roman" w:eastAsia="Times New Roman" w:hint="default"/>
        </w:rPr>
        <w:t>(8)</w:t>
      </w:r>
      <w:r>
        <w:rPr/>
        <w:t>权益工具投资的公允价值发生严重或非暂时性下跌；</w:t>
      </w:r>
      <w:r>
        <w:rPr>
          <w:w w:val="99"/>
        </w:rPr>
        <w:t> </w:t>
      </w:r>
      <w:r>
        <w:rPr/>
        <w:t>金融资产的具体减值方法如下：</w:t>
      </w:r>
    </w:p>
    <w:p>
      <w:pPr>
        <w:pStyle w:val="BodyText"/>
        <w:spacing w:line="300" w:lineRule="auto" w:before="31"/>
        <w:ind w:left="1494" w:right="994" w:hanging="360"/>
        <w:jc w:val="left"/>
      </w:pPr>
      <w:r>
        <w:rPr/>
        <w:t>（</w:t>
      </w:r>
      <w:r>
        <w:rPr>
          <w:rFonts w:ascii="Times New Roman" w:hAnsi="Times New Roman" w:cs="Times New Roman" w:eastAsia="Times New Roman" w:hint="default"/>
        </w:rPr>
        <w:t>1</w:t>
      </w:r>
      <w:r>
        <w:rPr/>
        <w:t>）可供出售金融资产的减值准备 </w:t>
      </w:r>
      <w:r>
        <w:rPr>
          <w:spacing w:val="-2"/>
        </w:rPr>
        <w:t>本公司于资产负债表日对各项可供出售权益工具投资单独进行检查，若该权益工具投资于资产负债表日的公允价值低于</w:t>
      </w:r>
    </w:p>
    <w:p>
      <w:pPr>
        <w:pStyle w:val="BodyText"/>
        <w:spacing w:line="300" w:lineRule="auto" w:before="31"/>
        <w:ind w:right="1130"/>
        <w:jc w:val="both"/>
      </w:pPr>
      <w:r>
        <w:rPr>
          <w:spacing w:val="-1"/>
        </w:rPr>
        <w:t>其成本超过</w:t>
      </w:r>
      <w:r>
        <w:rPr>
          <w:rFonts w:ascii="Times New Roman" w:hAnsi="Times New Roman" w:cs="Times New Roman" w:eastAsia="Times New Roman" w:hint="default"/>
          <w:spacing w:val="-1"/>
        </w:rPr>
        <w:t>50%</w:t>
      </w:r>
      <w:r>
        <w:rPr>
          <w:spacing w:val="-1"/>
        </w:rPr>
        <w:t>（含</w:t>
      </w:r>
      <w:r>
        <w:rPr>
          <w:rFonts w:ascii="Times New Roman" w:hAnsi="Times New Roman" w:cs="Times New Roman" w:eastAsia="Times New Roman" w:hint="default"/>
          <w:spacing w:val="-1"/>
        </w:rPr>
        <w:t>50%</w:t>
      </w:r>
      <w:r>
        <w:rPr>
          <w:spacing w:val="-1"/>
        </w:rPr>
        <w:t>）或低于其成本持续时间超过一年（含一年）的，则表明其发生减值；若该权益工具投资于资产负</w:t>
      </w:r>
      <w:r>
        <w:rPr>
          <w:spacing w:val="-58"/>
        </w:rPr>
        <w:t> </w:t>
      </w:r>
      <w:r>
        <w:rPr>
          <w:spacing w:val="-58"/>
        </w:rPr>
      </w:r>
      <w:r>
        <w:rPr/>
        <w:t>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r>
        <w:rPr>
          <w:rFonts w:ascii="Times New Roman" w:hAnsi="Times New Roman" w:cs="Times New Roman" w:eastAsia="Times New Roman" w:hint="default"/>
        </w:rPr>
        <w:t>50%</w:t>
      </w:r>
      <w:r>
        <w:rPr/>
        <w:t>的，本公司会综合考虑其他相关因素诸如价格波动率等， 判断该权益工具投资是否发生减值。</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ind w:right="994" w:firstLine="360"/>
        <w:jc w:val="left"/>
      </w:pPr>
      <w:r>
        <w:rPr/>
        <w:t>上段所述成本按照可供出售权益工具投资的初始取得成本扣除已收回本金和已摊销金额、原已计入损益的减值损失确 </w:t>
      </w:r>
      <w:r>
        <w:rPr>
          <w:spacing w:val="-2"/>
        </w:rPr>
        <w:t>定；不存在活跃市场的可供出售权益工具投资的公允价值，按照类似金融资产当时市场收益率对未来现金流量折现确定的现</w:t>
      </w:r>
      <w:r>
        <w:rPr>
          <w:spacing w:val="-64"/>
        </w:rPr>
        <w:t> </w:t>
      </w:r>
      <w:r>
        <w:rPr>
          <w:spacing w:val="-64"/>
        </w:rPr>
      </w:r>
      <w:r>
        <w:rPr>
          <w:spacing w:val="-2"/>
        </w:rPr>
        <w:t>值确定；在活跃市场有报价的可供出售权益工具投资的公允价值根据证券交易所期末收盘价确定，除非该项可供出售权益工</w:t>
      </w:r>
      <w:r>
        <w:rPr>
          <w:spacing w:val="-64"/>
        </w:rPr>
        <w:t> </w:t>
      </w:r>
      <w:r>
        <w:rPr>
          <w:spacing w:val="-64"/>
        </w:rPr>
      </w:r>
      <w:r>
        <w:rPr>
          <w:spacing w:val="-2"/>
        </w:rPr>
        <w:t>具投资存在限售期。对于存在限售期的可供出售权益工具投资，按照证券交易所期末收盘价扣除市场参与者因承担指定期间</w:t>
      </w:r>
      <w:r>
        <w:rPr>
          <w:spacing w:val="-64"/>
        </w:rPr>
        <w:t> </w:t>
      </w:r>
      <w:r>
        <w:rPr>
          <w:spacing w:val="-64"/>
        </w:rPr>
      </w:r>
      <w:r>
        <w:rPr/>
        <w:t>内无法在公开市场上出售该权益工具的风险而要求获得的补偿金额后确定。</w:t>
      </w:r>
    </w:p>
    <w:p>
      <w:pPr>
        <w:pStyle w:val="BodyText"/>
        <w:spacing w:line="316" w:lineRule="auto" w:before="17"/>
        <w:ind w:right="1132" w:firstLine="360"/>
        <w:jc w:val="both"/>
      </w:pPr>
      <w:r>
        <w:rPr>
          <w:spacing w:val="-2"/>
        </w:rPr>
        <w:t>可供出售金融资产发生减值时，即使该金融资产没有终止确认，本公司将原直接计入其他综合收益的因公允价值下降形</w:t>
      </w:r>
      <w:r>
        <w:rPr/>
        <w:t> </w:t>
      </w:r>
      <w:r>
        <w:rPr>
          <w:spacing w:val="-2"/>
        </w:rPr>
        <w:t>成的累计损失从其他综合收益转出，计入当期损益。该转出的累计损失，等于可供出售金融资产的初始取得成本扣除已收回</w:t>
      </w:r>
      <w:r>
        <w:rPr>
          <w:spacing w:val="-66"/>
        </w:rPr>
        <w:t> </w:t>
      </w:r>
      <w:r>
        <w:rPr>
          <w:spacing w:val="-66"/>
        </w:rPr>
      </w:r>
      <w:r>
        <w:rPr/>
        <w:t>本金和已摊余金额、当前公允价值和原已计入损益的减值损失后的余额。</w:t>
      </w:r>
    </w:p>
    <w:p>
      <w:pPr>
        <w:pStyle w:val="BodyText"/>
        <w:spacing w:line="316" w:lineRule="auto" w:before="19"/>
        <w:ind w:right="1130" w:firstLine="360"/>
        <w:jc w:val="both"/>
      </w:pPr>
      <w:r>
        <w:rPr>
          <w:spacing w:val="-2"/>
        </w:rPr>
        <w:t>对于已确认减值损失的可供出售债务工具，在随后的会计期间公允价值已上升且客观上与确认原减值损失后发生的事项</w:t>
      </w:r>
      <w:r>
        <w:rPr/>
        <w:t> </w:t>
      </w:r>
      <w:r>
        <w:rPr>
          <w:spacing w:val="-2"/>
        </w:rPr>
        <w:t>有关的，原确认的减值损失予以转回计入当期损益；对于可供出售权益工具投资发生的减值损失，在该权益工具价值回升时</w:t>
      </w:r>
      <w:r>
        <w:rPr>
          <w:spacing w:val="-66"/>
        </w:rPr>
        <w:t> </w:t>
      </w:r>
      <w:r>
        <w:rPr>
          <w:spacing w:val="-66"/>
        </w:rPr>
      </w:r>
      <w:r>
        <w:rPr>
          <w:spacing w:val="-2"/>
        </w:rPr>
        <w:t>通过权益转回；但在活跃市场中没有报价且其公允价值不能可靠计量的权益工具投资，或与该权益工具挂钩并须通过交付该</w:t>
      </w:r>
      <w:r>
        <w:rPr>
          <w:spacing w:val="-64"/>
        </w:rPr>
        <w:t> </w:t>
      </w:r>
      <w:r>
        <w:rPr>
          <w:spacing w:val="-64"/>
        </w:rPr>
      </w:r>
      <w:r>
        <w:rPr/>
        <w:t>权益工具结算的衍生金融资产发生的减值损失，不得转回。</w:t>
      </w:r>
    </w:p>
    <w:p>
      <w:pPr>
        <w:pStyle w:val="BodyText"/>
        <w:spacing w:line="300" w:lineRule="auto" w:before="19"/>
        <w:ind w:left="1494" w:right="994" w:hanging="360"/>
        <w:jc w:val="left"/>
      </w:pPr>
      <w:r>
        <w:rPr/>
        <w:t>（</w:t>
      </w:r>
      <w:r>
        <w:rPr>
          <w:rFonts w:ascii="Times New Roman" w:hAnsi="Times New Roman" w:cs="Times New Roman" w:eastAsia="Times New Roman" w:hint="default"/>
        </w:rPr>
        <w:t>2</w:t>
      </w:r>
      <w:r>
        <w:rPr/>
        <w:t>）持有至到期投资的减值准备 </w:t>
      </w:r>
      <w:r>
        <w:rPr>
          <w:spacing w:val="-2"/>
        </w:rPr>
        <w:t>对于持有至到期投资，有客观证据表明其发生了减值的，根据其账面价值与预计未来现金流量现值之间差额计算确认减</w:t>
      </w:r>
    </w:p>
    <w:p>
      <w:pPr>
        <w:pStyle w:val="BodyText"/>
        <w:spacing w:line="316" w:lineRule="auto" w:before="31"/>
        <w:ind w:left="1134" w:right="994"/>
        <w:jc w:val="left"/>
      </w:pPr>
      <w:r>
        <w:rPr>
          <w:spacing w:val="-2"/>
        </w:rPr>
        <w:t>值损失；计提后如有证据表明其价值已恢复，原确认的减值损失可予以转回，记入当期损益，但该转回的账面价值不超过假</w:t>
      </w:r>
      <w:r>
        <w:rPr>
          <w:spacing w:val="-66"/>
        </w:rPr>
        <w:t> </w:t>
      </w:r>
      <w:r>
        <w:rPr>
          <w:spacing w:val="-66"/>
        </w:rPr>
      </w:r>
      <w:r>
        <w:rPr/>
        <w:t>定不计提减值准备情况下该金融资产在转回日的摊余成本。</w:t>
      </w:r>
    </w:p>
    <w:p>
      <w:pPr>
        <w:pStyle w:val="BodyText"/>
        <w:spacing w:line="300" w:lineRule="auto" w:before="19"/>
        <w:ind w:left="1494" w:right="994" w:hanging="360"/>
        <w:jc w:val="left"/>
      </w:pPr>
      <w:r>
        <w:rPr>
          <w:rFonts w:ascii="Times New Roman" w:hAnsi="Times New Roman" w:cs="Times New Roman" w:eastAsia="Times New Roman" w:hint="default"/>
        </w:rPr>
        <w:t>7.</w:t>
      </w:r>
      <w:r>
        <w:rPr/>
        <w:t>金融资产及金融负债的抵销 </w:t>
      </w:r>
      <w:r>
        <w:rPr>
          <w:spacing w:val="-2"/>
        </w:rPr>
        <w:t>金融资产和金融负债在资产负债表内分别列示，没有相互抵销。但是，同时满足下列条件的，以相互抵销后的净额在资</w:t>
      </w:r>
    </w:p>
    <w:p>
      <w:pPr>
        <w:pStyle w:val="BodyText"/>
        <w:spacing w:line="240" w:lineRule="auto" w:before="31"/>
        <w:ind w:left="1134" w:right="994"/>
        <w:jc w:val="left"/>
      </w:pPr>
      <w:r>
        <w:rPr/>
        <w:t>产负债表内列示：</w:t>
      </w:r>
    </w:p>
    <w:p>
      <w:pPr>
        <w:pStyle w:val="BodyText"/>
        <w:spacing w:line="240" w:lineRule="auto" w:before="76"/>
        <w:ind w:left="1134" w:right="994"/>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63"/>
        <w:ind w:right="994"/>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5"/>
        <w:spacing w:line="240" w:lineRule="auto"/>
        <w:ind w:right="994"/>
        <w:jc w:val="left"/>
        <w:rPr>
          <w:b w:val="0"/>
          <w:bCs w:val="0"/>
        </w:rPr>
      </w:pPr>
      <w:bookmarkStart w:name="11、应收款项" w:id="191"/>
      <w:bookmarkEnd w:id="191"/>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1）单项金额重大并单独计提坏账准备的应收款项" w:id="192"/>
      <w:bookmarkEnd w:id="19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单项金额重大并单项计提坏账准备的应收款项的确认标准：</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万元以上（含</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p>
        </w:tc>
      </w:tr>
    </w:tbl>
    <w:p>
      <w:pPr>
        <w:spacing w:line="240" w:lineRule="auto" w:before="2"/>
        <w:rPr>
          <w:rFonts w:ascii="宋体" w:hAnsi="宋体" w:cs="宋体" w:eastAsia="宋体" w:hint="default"/>
          <w:b/>
          <w:bCs/>
          <w:sz w:val="19"/>
          <w:szCs w:val="19"/>
        </w:rPr>
      </w:pPr>
    </w:p>
    <w:p>
      <w:pPr>
        <w:pStyle w:val="Heading5"/>
        <w:spacing w:line="240" w:lineRule="auto" w:before="35"/>
        <w:ind w:left="1134" w:right="994"/>
        <w:jc w:val="left"/>
        <w:rPr>
          <w:b w:val="0"/>
          <w:bCs w:val="0"/>
        </w:rPr>
      </w:pPr>
      <w:bookmarkStart w:name="（2）按信用风险特征组合计提坏账准备的应收款项" w:id="193"/>
      <w:bookmarkEnd w:id="19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134" w:right="994"/>
        <w:jc w:val="left"/>
      </w:pPr>
      <w:r>
        <w:rPr/>
        <w:t>组合中，采用账龄分析法计提坏账准备的：</w:t>
      </w:r>
    </w:p>
    <w:p>
      <w:pPr>
        <w:pStyle w:val="BodyText"/>
        <w:spacing w:line="240" w:lineRule="auto" w:before="116"/>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994"/>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72"/>
              <w:jc w:val="center"/>
              <w:rPr>
                <w:rFonts w:ascii="宋体" w:hAnsi="宋体" w:cs="宋体" w:eastAsia="宋体" w:hint="default"/>
                <w:sz w:val="18"/>
                <w:szCs w:val="18"/>
              </w:rPr>
            </w:pPr>
            <w:r>
              <w:rPr>
                <w:rFonts w:ascii="宋体" w:hAnsi="宋体" w:cs="宋体" w:eastAsia="宋体" w:hint="default"/>
                <w:sz w:val="18"/>
                <w:szCs w:val="18"/>
              </w:rPr>
              <w:t>关联方组合（合并范围内关联方款项）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3）单项金额不重大但单独计提坏账准备的应收款项" w:id="194"/>
      <w:bookmarkEnd w:id="19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存在客观证据表明本公司将无法按应收款项的原有条款收回 款项。</w:t>
            </w:r>
          </w:p>
        </w:tc>
      </w:tr>
      <w:tr>
        <w:trPr>
          <w:trHeight w:val="715"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3" w:right="69"/>
              <w:jc w:val="left"/>
              <w:rPr>
                <w:rFonts w:ascii="宋体" w:hAnsi="宋体" w:cs="宋体" w:eastAsia="宋体" w:hint="default"/>
                <w:sz w:val="18"/>
                <w:szCs w:val="18"/>
              </w:rPr>
            </w:pPr>
            <w:r>
              <w:rPr>
                <w:rFonts w:ascii="宋体" w:hAnsi="宋体" w:cs="宋体" w:eastAsia="宋体" w:hint="default"/>
                <w:sz w:val="18"/>
                <w:szCs w:val="18"/>
              </w:rPr>
              <w:t>根据应收款项的预计未来现金流量现值低于其账面价值的差 额进行计提。</w:t>
            </w:r>
          </w:p>
        </w:tc>
      </w:tr>
    </w:tbl>
    <w:p>
      <w:pPr>
        <w:spacing w:line="240" w:lineRule="auto" w:before="2"/>
        <w:rPr>
          <w:rFonts w:ascii="宋体" w:hAnsi="宋体" w:cs="宋体" w:eastAsia="宋体" w:hint="default"/>
          <w:b/>
          <w:bCs/>
          <w:sz w:val="19"/>
          <w:szCs w:val="19"/>
        </w:rPr>
      </w:pPr>
    </w:p>
    <w:p>
      <w:pPr>
        <w:pStyle w:val="Heading5"/>
        <w:spacing w:line="240" w:lineRule="auto" w:before="35"/>
        <w:ind w:left="1134" w:right="0"/>
        <w:jc w:val="both"/>
        <w:rPr>
          <w:b w:val="0"/>
          <w:bCs w:val="0"/>
        </w:rPr>
      </w:pPr>
      <w:bookmarkStart w:name="12、存货" w:id="195"/>
      <w:bookmarkEnd w:id="195"/>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left="1134" w:right="7692"/>
        <w:jc w:val="left"/>
      </w:pPr>
      <w:r>
        <w:rPr/>
        <w:t>公司是否需要遵守特殊行业的披露要求 否</w:t>
      </w:r>
    </w:p>
    <w:p>
      <w:pPr>
        <w:pStyle w:val="BodyText"/>
        <w:spacing w:line="240" w:lineRule="auto" w:before="26"/>
        <w:ind w:left="1134" w:right="0"/>
        <w:jc w:val="both"/>
      </w:pPr>
      <w:r>
        <w:rPr>
          <w:rFonts w:ascii="Times New Roman" w:hAnsi="Times New Roman" w:cs="Times New Roman" w:eastAsia="Times New Roman" w:hint="default"/>
        </w:rPr>
        <w:t>1</w:t>
      </w:r>
      <w:r>
        <w:rPr/>
        <w:t>）存货的分类</w:t>
      </w:r>
    </w:p>
    <w:p>
      <w:pPr>
        <w:pStyle w:val="BodyText"/>
        <w:spacing w:line="316" w:lineRule="auto" w:before="63"/>
        <w:ind w:right="994" w:firstLine="360"/>
        <w:jc w:val="left"/>
      </w:pPr>
      <w:r>
        <w:rPr>
          <w:spacing w:val="-2"/>
        </w:rPr>
        <w:t>存货是指本公司在日常活动中持有以备出售的产成品或商品、处在生产过程中的在产品、在生产过程或提供劳务过程中</w:t>
      </w:r>
      <w:r>
        <w:rPr/>
        <w:t> 耗用的材料和物料等。主要包括原材料、委托加工物资、在产品、自制半成品、发出商品、库存商品等。 </w:t>
      </w:r>
      <w:r>
        <w:rPr>
          <w:rFonts w:ascii="Times New Roman" w:hAnsi="Times New Roman" w:cs="Times New Roman" w:eastAsia="Times New Roman" w:hint="default"/>
        </w:rPr>
        <w:t>2</w:t>
      </w:r>
      <w:r>
        <w:rPr/>
        <w:t>）存货的计价方法</w:t>
      </w:r>
    </w:p>
    <w:p>
      <w:pPr>
        <w:pStyle w:val="BodyText"/>
        <w:spacing w:line="235" w:lineRule="exact" w:before="0"/>
        <w:ind w:left="1493" w:right="994"/>
        <w:jc w:val="left"/>
      </w:pPr>
      <w:r>
        <w:rPr/>
        <w:t>存货在取得时，按成本进行初始计量，包括采购成本、加工成本和其他成本。存货发出时按月末一次加权平均法计价。</w:t>
      </w:r>
    </w:p>
    <w:p>
      <w:pPr>
        <w:pStyle w:val="BodyText"/>
        <w:spacing w:line="300" w:lineRule="auto" w:before="76"/>
        <w:ind w:left="1494" w:right="994" w:hanging="360"/>
        <w:jc w:val="left"/>
      </w:pPr>
      <w:r>
        <w:rPr>
          <w:rFonts w:ascii="Times New Roman" w:hAnsi="Times New Roman" w:cs="Times New Roman" w:eastAsia="Times New Roman" w:hint="default"/>
        </w:rPr>
        <w:t>3</w:t>
      </w:r>
      <w:r>
        <w:rPr/>
        <w:t>）存货可变现净值的确定依据及存货跌价准备的计提方法 </w:t>
      </w:r>
      <w:r>
        <w:rPr>
          <w:spacing w:val="-2"/>
        </w:rPr>
        <w:t>期末对存货进行全面清查后，按存货的成本与可变现净值孰低提取或调整存货跌价准备。产成品和用于出售的材料等直</w:t>
      </w:r>
    </w:p>
    <w:p>
      <w:pPr>
        <w:pStyle w:val="BodyText"/>
        <w:spacing w:line="316" w:lineRule="auto" w:before="31"/>
        <w:ind w:left="1134" w:right="1131"/>
        <w:jc w:val="both"/>
      </w:pPr>
      <w:r>
        <w:rPr>
          <w:spacing w:val="-2"/>
        </w:rPr>
        <w:t>接用于出售的商品存货，在正常生产经营过程中，以该存货的估计售价减去估计的销售费用和相关税费后的金额，确定其可</w:t>
      </w:r>
      <w:r>
        <w:rPr>
          <w:spacing w:val="-66"/>
        </w:rPr>
        <w:t> </w:t>
      </w:r>
      <w:r>
        <w:rPr>
          <w:spacing w:val="-66"/>
        </w:rPr>
      </w:r>
      <w:r>
        <w:rPr>
          <w:spacing w:val="-2"/>
        </w:rPr>
        <w:t>变现净值；需要经过加工的材料存货，在正常生产经营过程中，以所生产的产成品的估计售价减去至完工时估计将要发生的</w:t>
      </w:r>
      <w:r>
        <w:rPr>
          <w:spacing w:val="-66"/>
        </w:rPr>
        <w:t> </w:t>
      </w:r>
      <w:r>
        <w:rPr>
          <w:spacing w:val="-66"/>
        </w:rPr>
      </w:r>
      <w:r>
        <w:rPr>
          <w:spacing w:val="-2"/>
        </w:rPr>
        <w:t>成本、估计的销售费用和相关税费后的金额，确定其可变现净值；为执行销售合同或者劳务合同而持有的存货，其可变现净</w:t>
      </w:r>
      <w:r>
        <w:rPr>
          <w:spacing w:val="-66"/>
        </w:rPr>
        <w:t> </w:t>
      </w:r>
      <w:r>
        <w:rPr>
          <w:spacing w:val="-66"/>
        </w:rPr>
      </w:r>
      <w:r>
        <w:rPr>
          <w:spacing w:val="-2"/>
        </w:rPr>
        <w:t>值以合同价格为基础计算，若持有存货的数量多于销售合同订购数量的，超出部分的存货的可变现净值以一般销售价格为基</w:t>
      </w:r>
      <w:r>
        <w:rPr>
          <w:spacing w:val="-64"/>
        </w:rPr>
        <w:t> </w:t>
      </w:r>
      <w:r>
        <w:rPr>
          <w:spacing w:val="-64"/>
        </w:rPr>
      </w:r>
      <w:r>
        <w:rPr/>
        <w:t>础计算。</w:t>
      </w:r>
    </w:p>
    <w:p>
      <w:pPr>
        <w:pStyle w:val="BodyText"/>
        <w:spacing w:line="316" w:lineRule="auto" w:before="19"/>
        <w:ind w:left="1134" w:right="1131"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316" w:lineRule="auto" w:before="19"/>
        <w:ind w:left="1134" w:right="994" w:firstLine="360"/>
        <w:jc w:val="left"/>
      </w:pPr>
      <w:r>
        <w:rPr>
          <w:spacing w:val="-2"/>
        </w:rPr>
        <w:t>以前减记存货价值的影响因素已经消失的，减记的金额予以恢复，并在原已计提的存货跌价准备金额内转回，转回的金</w:t>
      </w:r>
      <w:r>
        <w:rPr/>
        <w:t> 额计入当期损益。</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ind w:left="1493" w:right="8953" w:hanging="360"/>
        <w:jc w:val="left"/>
      </w:pPr>
      <w:r>
        <w:rPr>
          <w:rFonts w:ascii="Times New Roman" w:hAnsi="Times New Roman" w:cs="Times New Roman" w:eastAsia="Times New Roman" w:hint="default"/>
        </w:rPr>
        <w:t>4</w:t>
      </w:r>
      <w:r>
        <w:rPr/>
        <w:t>）存货的盘存制度 采用永续盘存制。</w:t>
      </w:r>
    </w:p>
    <w:p>
      <w:pPr>
        <w:pStyle w:val="BodyText"/>
        <w:spacing w:line="240" w:lineRule="auto" w:before="31"/>
        <w:ind w:right="994"/>
        <w:jc w:val="left"/>
      </w:pPr>
      <w:r>
        <w:rPr>
          <w:rFonts w:ascii="Times New Roman" w:hAnsi="Times New Roman" w:cs="Times New Roman" w:eastAsia="Times New Roman" w:hint="default"/>
        </w:rPr>
        <w:t>5</w:t>
      </w:r>
      <w:r>
        <w:rPr/>
        <w:t>）低值易耗品和包装物的摊销方法</w:t>
      </w:r>
    </w:p>
    <w:p>
      <w:pPr>
        <w:pStyle w:val="BodyText"/>
        <w:spacing w:line="240" w:lineRule="auto" w:before="63"/>
        <w:ind w:left="1134" w:right="994"/>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63"/>
        <w:ind w:right="994"/>
        <w:jc w:val="left"/>
      </w:pPr>
      <w:r>
        <w:rPr/>
        <w:t>（</w:t>
      </w:r>
      <w:r>
        <w:rPr>
          <w:rFonts w:ascii="Times New Roman" w:hAnsi="Times New Roman" w:cs="Times New Roman" w:eastAsia="Times New Roman" w:hint="default"/>
        </w:rPr>
        <w:t>2</w:t>
      </w:r>
      <w:r>
        <w:rPr/>
        <w:t>）包装物采用一次转销法；</w:t>
      </w:r>
    </w:p>
    <w:p>
      <w:pPr>
        <w:pStyle w:val="BodyText"/>
        <w:spacing w:line="240" w:lineRule="auto" w:before="103"/>
        <w:ind w:left="1134" w:right="994"/>
        <w:jc w:val="left"/>
      </w:pPr>
      <w:r>
        <w:rPr/>
        <w:t>（</w:t>
      </w:r>
      <w:r>
        <w:rPr>
          <w:rFonts w:ascii="Times New Roman" w:hAnsi="Times New Roman" w:cs="Times New Roman" w:eastAsia="Times New Roman" w:hint="default"/>
        </w:rPr>
        <w:t>3</w:t>
      </w:r>
      <w:r>
        <w:rPr/>
        <w:t>）其他周转材料采用一次转销法。</w:t>
      </w:r>
    </w:p>
    <w:p>
      <w:pPr>
        <w:spacing w:line="240" w:lineRule="auto" w:before="10"/>
        <w:rPr>
          <w:rFonts w:ascii="宋体" w:hAnsi="宋体" w:cs="宋体" w:eastAsia="宋体" w:hint="default"/>
          <w:sz w:val="25"/>
          <w:szCs w:val="25"/>
        </w:rPr>
      </w:pPr>
    </w:p>
    <w:p>
      <w:pPr>
        <w:pStyle w:val="Heading5"/>
        <w:spacing w:line="240" w:lineRule="auto"/>
        <w:ind w:left="1134" w:right="994"/>
        <w:jc w:val="left"/>
        <w:rPr>
          <w:b w:val="0"/>
          <w:bCs w:val="0"/>
        </w:rPr>
      </w:pPr>
      <w:bookmarkStart w:name="13、持有待售资产" w:id="196"/>
      <w:bookmarkEnd w:id="196"/>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4"/>
          <w:szCs w:val="24"/>
        </w:rPr>
      </w:pPr>
    </w:p>
    <w:p>
      <w:pPr>
        <w:spacing w:line="256" w:lineRule="auto" w:before="0"/>
        <w:ind w:left="1554" w:right="3192"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划分为持有待售确认标准</w:t>
      </w:r>
      <w:r>
        <w:rPr>
          <w:rFonts w:ascii="宋体" w:hAnsi="宋体" w:cs="宋体" w:eastAsia="宋体" w:hint="default"/>
          <w:b/>
          <w:bCs/>
          <w:w w:val="99"/>
          <w:sz w:val="21"/>
          <w:szCs w:val="21"/>
        </w:rPr>
        <w:t> </w:t>
      </w:r>
      <w:r>
        <w:rPr>
          <w:rFonts w:ascii="宋体" w:hAnsi="宋体" w:cs="宋体" w:eastAsia="宋体" w:hint="default"/>
          <w:sz w:val="21"/>
          <w:szCs w:val="21"/>
        </w:rPr>
        <w:t>本公司将同时满足下列条件的非流动资产或处置组确认为持有待售组成部分：</w:t>
      </w:r>
    </w:p>
    <w:p>
      <w:pPr>
        <w:pStyle w:val="Heading6"/>
        <w:spacing w:line="240" w:lineRule="auto" w:before="22"/>
        <w:ind w:left="1553" w:right="994" w:firstLine="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Heading6"/>
        <w:spacing w:line="256" w:lineRule="auto" w:before="21"/>
        <w:ind w:left="1134" w:right="1215"/>
        <w:jc w:val="both"/>
      </w:pPr>
      <w:r>
        <w:rPr/>
        <w:t>（</w:t>
      </w:r>
      <w:r>
        <w:rPr>
          <w:rFonts w:ascii="Times New Roman" w:hAnsi="Times New Roman" w:cs="Times New Roman" w:eastAsia="Times New Roman" w:hint="default"/>
        </w:rPr>
        <w:t>2</w:t>
      </w:r>
      <w:r>
        <w:rPr/>
        <w:t>）出售极可能发生，即本公司已经就一项出售计划作出决议，并已获得监管部门批准，且获得确 定的购买承诺，预计出售将在一年内完成。</w:t>
      </w:r>
    </w:p>
    <w:p>
      <w:pPr>
        <w:pStyle w:val="Heading6"/>
        <w:spacing w:line="273" w:lineRule="auto" w:before="22"/>
        <w:ind w:left="1134" w:right="1131"/>
        <w:jc w:val="both"/>
      </w:pPr>
      <w:r>
        <w:rPr>
          <w:spacing w:val="-1"/>
        </w:rPr>
        <w:t>确定的购买承诺，是指本公司与其他方签订的具有法律约束力的购买协议，该协议包含交易价格、时</w:t>
      </w:r>
      <w:r>
        <w:rPr/>
        <w:t> 间和足够严厉的违约惩罚等重要条款，使协议出现重大调整或者撤销的可能性极小。</w:t>
      </w:r>
    </w:p>
    <w:p>
      <w:pPr>
        <w:pStyle w:val="Heading6"/>
        <w:spacing w:line="256" w:lineRule="auto" w:before="7"/>
        <w:ind w:left="1554" w:right="994" w:hanging="420"/>
        <w:jc w:val="left"/>
      </w:pPr>
      <w:r>
        <w:rPr>
          <w:rFonts w:ascii="Times New Roman" w:hAnsi="Times New Roman" w:cs="Times New Roman" w:eastAsia="Times New Roman" w:hint="default"/>
          <w:b/>
          <w:bCs/>
        </w:rPr>
        <w:t>2.</w:t>
      </w:r>
      <w:r>
        <w:rPr>
          <w:rFonts w:ascii="宋体" w:hAnsi="宋体" w:cs="宋体" w:eastAsia="宋体" w:hint="default"/>
          <w:b/>
          <w:bCs/>
        </w:rPr>
        <w:t>持有待售核算方法</w:t>
      </w:r>
      <w:r>
        <w:rPr>
          <w:rFonts w:ascii="宋体" w:hAnsi="宋体" w:cs="宋体" w:eastAsia="宋体" w:hint="default"/>
          <w:b/>
          <w:bCs/>
          <w:w w:val="99"/>
        </w:rPr>
        <w:t> </w:t>
      </w:r>
      <w:r>
        <w:rPr>
          <w:spacing w:val="-1"/>
        </w:rPr>
        <w:t>本公司对于持有待售的非流动资产或处置组不计提折旧或摊销，其账面价值高于公允价值减去出售费</w:t>
      </w:r>
    </w:p>
    <w:p>
      <w:pPr>
        <w:pStyle w:val="Heading6"/>
        <w:spacing w:line="273" w:lineRule="auto" w:before="22"/>
        <w:ind w:left="1134" w:right="1023" w:firstLine="0"/>
        <w:jc w:val="left"/>
      </w:pPr>
      <w:r>
        <w:rPr>
          <w:spacing w:val="-3"/>
        </w:rPr>
        <w:t>用后的净额的，应当将账面价值减记至公允价值减去出售费用后的净额，减记的金额确认为资产减值损失，</w:t>
      </w:r>
      <w:r>
        <w:rPr>
          <w:spacing w:val="-92"/>
        </w:rPr>
        <w:t> </w:t>
      </w:r>
      <w:r>
        <w:rPr>
          <w:spacing w:val="-92"/>
        </w:rPr>
      </w:r>
      <w:r>
        <w:rPr/>
        <w:t>计入当期损益，同时计提持有待售资产减值准备。</w:t>
      </w:r>
    </w:p>
    <w:p>
      <w:pPr>
        <w:pStyle w:val="Heading6"/>
        <w:spacing w:line="273" w:lineRule="auto" w:before="7"/>
        <w:ind w:left="1134" w:right="1132"/>
        <w:jc w:val="both"/>
      </w:pPr>
      <w:r>
        <w:rPr>
          <w:spacing w:val="-1"/>
        </w:rPr>
        <w:t>对于取得日划分为持有待售类别的非流动资产或处置组，在初始计量时比较假定其不划分为持有待售</w:t>
      </w:r>
      <w:r>
        <w:rPr/>
        <w:t> 类别情况下的初始计量金额和公允价值减去出售费用后的净额，以两者孰低计量。</w:t>
      </w:r>
    </w:p>
    <w:p>
      <w:pPr>
        <w:pStyle w:val="Heading6"/>
        <w:spacing w:line="273" w:lineRule="auto" w:before="8"/>
        <w:ind w:right="1131"/>
        <w:jc w:val="both"/>
      </w:pPr>
      <w:r>
        <w:rPr>
          <w:spacing w:val="-1"/>
        </w:rPr>
        <w:t>上述原则适用于所有非流动资产，但不包括采用公允价值模式进行后续计量的投资性房地产、采用公</w:t>
      </w:r>
      <w:r>
        <w:rPr/>
        <w:t> </w:t>
      </w:r>
      <w:r>
        <w:rPr>
          <w:spacing w:val="-1"/>
        </w:rPr>
        <w:t>允价值减去出售费用后的净额计量的生物资产、职工薪酬形成的资产、递延所得税资产、由金融工具相关</w:t>
      </w:r>
      <w:r>
        <w:rPr>
          <w:spacing w:val="-83"/>
        </w:rPr>
        <w:t> </w:t>
      </w:r>
      <w:r>
        <w:rPr>
          <w:spacing w:val="-83"/>
        </w:rPr>
      </w:r>
      <w:r>
        <w:rPr/>
        <w:t>会计准则规范的金融资产、由保险合同相关会计准则规范的保险合同所产生的权利。</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994"/>
        <w:jc w:val="left"/>
        <w:rPr>
          <w:b w:val="0"/>
          <w:bCs w:val="0"/>
        </w:rPr>
      </w:pPr>
      <w:bookmarkStart w:name="14、长期股权投资" w:id="197"/>
      <w:bookmarkEnd w:id="19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994"/>
        <w:jc w:val="left"/>
      </w:pPr>
      <w:r>
        <w:rPr>
          <w:rFonts w:ascii="Times New Roman" w:hAnsi="Times New Roman" w:cs="Times New Roman" w:eastAsia="Times New Roman" w:hint="default"/>
        </w:rPr>
        <w:t>1.</w:t>
      </w:r>
      <w:r>
        <w:rPr/>
        <w:t>初始投资成本的确定</w:t>
      </w:r>
    </w:p>
    <w:p>
      <w:pPr>
        <w:pStyle w:val="BodyText"/>
        <w:spacing w:line="300" w:lineRule="auto" w:before="63"/>
        <w:ind w:left="1134" w:right="1122"/>
        <w:jc w:val="left"/>
      </w:pPr>
      <w:r>
        <w:rPr/>
        <w:t>（</w:t>
      </w:r>
      <w:r>
        <w:rPr>
          <w:rFonts w:ascii="Times New Roman" w:hAnsi="Times New Roman" w:cs="Times New Roman" w:eastAsia="Times New Roman" w:hint="default"/>
        </w:rPr>
        <w:t>1</w:t>
      </w:r>
      <w:r>
        <w:rPr/>
        <w:t>）企业合并形成的长期股权投资，具体会计政策详见本附注四、（四）同一控制下和非同一控制下企业合并的会计处理 方法。</w:t>
      </w:r>
    </w:p>
    <w:p>
      <w:pPr>
        <w:pStyle w:val="BodyText"/>
        <w:spacing w:line="300" w:lineRule="auto" w:before="31"/>
        <w:ind w:left="1494" w:right="994" w:hanging="360"/>
        <w:jc w:val="left"/>
      </w:pPr>
      <w:r>
        <w:rPr/>
        <w:t>（</w:t>
      </w:r>
      <w:r>
        <w:rPr>
          <w:rFonts w:ascii="Times New Roman" w:hAnsi="Times New Roman" w:cs="Times New Roman" w:eastAsia="Times New Roman" w:hint="default"/>
        </w:rPr>
        <w:t>2</w:t>
      </w:r>
      <w:r>
        <w:rPr/>
        <w:t>）其他方式取得的长期股权投资 </w:t>
      </w:r>
      <w:r>
        <w:rPr>
          <w:spacing w:val="-2"/>
        </w:rPr>
        <w:t>以支付现金方式取得的长期股权投资，按照实际支付的购买价款作为初始投资成本。初始投资成本包括与取得长期股权</w:t>
      </w:r>
    </w:p>
    <w:p>
      <w:pPr>
        <w:pStyle w:val="BodyText"/>
        <w:spacing w:line="316" w:lineRule="auto" w:before="31"/>
        <w:ind w:left="1494" w:right="994" w:hanging="360"/>
        <w:jc w:val="left"/>
      </w:pPr>
      <w:r>
        <w:rPr/>
        <w:t>投资直接相关的费用、税金及其他必要支出。 </w:t>
      </w:r>
      <w:r>
        <w:rPr>
          <w:spacing w:val="-2"/>
        </w:rPr>
        <w:t>以发行权益性证券取得的长期股权投资，按照发行权益性证券的公允价值作为初始投资成本；发行或取得自身权益工具</w:t>
      </w:r>
    </w:p>
    <w:p>
      <w:pPr>
        <w:pStyle w:val="BodyText"/>
        <w:spacing w:line="316" w:lineRule="auto" w:before="19"/>
        <w:ind w:left="1494" w:right="994" w:hanging="360"/>
        <w:jc w:val="left"/>
      </w:pPr>
      <w:r>
        <w:rPr/>
        <w:t>时发生的交易费用，可直接归属于权益性交易的从权益中扣减。 </w:t>
      </w:r>
      <w:r>
        <w:rPr>
          <w:spacing w:val="-2"/>
        </w:rPr>
        <w:t>在非货币性资产交换具备商业实质和换入资产或换出资产的公允价值能够可靠计量的前提下，非货币性资产交换换入的</w:t>
      </w:r>
    </w:p>
    <w:p>
      <w:pPr>
        <w:pStyle w:val="BodyText"/>
        <w:spacing w:line="316" w:lineRule="auto" w:before="19"/>
        <w:ind w:left="1134" w:right="994"/>
        <w:jc w:val="left"/>
      </w:pPr>
      <w:r>
        <w:rPr>
          <w:spacing w:val="-2"/>
        </w:rPr>
        <w:t>长期股权投资以换出资产的公允价值为基础确定其初始投资成本，除非有确凿证据表明换入资产的公允价值更加可靠；不满</w:t>
      </w:r>
      <w:r>
        <w:rPr>
          <w:spacing w:val="-63"/>
        </w:rPr>
        <w:t> </w:t>
      </w:r>
      <w:r>
        <w:rPr>
          <w:spacing w:val="-63"/>
        </w:rPr>
      </w:r>
      <w:r>
        <w:rPr/>
        <w:t>足上述前提的非货币性资产交换，以换出资产的账面价值和应支付的相关税费作为换入长期股权投资的初始投资成本。</w:t>
      </w:r>
    </w:p>
    <w:p>
      <w:pPr>
        <w:pStyle w:val="BodyText"/>
        <w:spacing w:line="240" w:lineRule="auto" w:before="19"/>
        <w:ind w:left="1493" w:right="994"/>
        <w:jc w:val="left"/>
      </w:pPr>
      <w:r>
        <w:rPr/>
        <w:t>通过债务重组取得的长期股权投资，其初始投资成本按照公允价值为基础确定。</w:t>
      </w:r>
    </w:p>
    <w:p>
      <w:pPr>
        <w:pStyle w:val="BodyText"/>
        <w:spacing w:line="240" w:lineRule="auto" w:before="76"/>
        <w:ind w:right="994"/>
        <w:jc w:val="left"/>
      </w:pPr>
      <w:r>
        <w:rPr>
          <w:rFonts w:ascii="Times New Roman" w:hAnsi="Times New Roman" w:cs="Times New Roman" w:eastAsia="Times New Roman" w:hint="default"/>
        </w:rPr>
        <w:t>2.</w:t>
      </w:r>
      <w:r>
        <w:rPr/>
        <w:t>后续计量及损益确认</w:t>
      </w:r>
    </w:p>
    <w:p>
      <w:pPr>
        <w:pStyle w:val="BodyText"/>
        <w:spacing w:line="240" w:lineRule="auto" w:before="63"/>
        <w:ind w:left="1134" w:right="994"/>
        <w:jc w:val="left"/>
      </w:pPr>
      <w:r>
        <w:rPr/>
        <w:t>（</w:t>
      </w:r>
      <w:r>
        <w:rPr>
          <w:rFonts w:ascii="Times New Roman" w:hAnsi="Times New Roman" w:cs="Times New Roman" w:eastAsia="Times New Roman" w:hint="default"/>
        </w:rPr>
        <w:t>1</w:t>
      </w:r>
      <w:r>
        <w:rPr/>
        <w:t>）成本法</w:t>
      </w:r>
    </w:p>
    <w:p>
      <w:pPr>
        <w:pStyle w:val="BodyText"/>
        <w:spacing w:line="240" w:lineRule="auto" w:before="63"/>
        <w:ind w:left="1494" w:right="994"/>
        <w:jc w:val="left"/>
      </w:pPr>
      <w:r>
        <w:rPr/>
        <w:t>本公司能够对被投资单位实施控制的长期股权投资采用成本法核算，并按照初始投资成本计价，追加或收回投资调整长</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left="1493" w:right="994" w:hanging="360"/>
        <w:jc w:val="left"/>
      </w:pPr>
      <w:r>
        <w:rPr/>
        <w:t>期股权投资的成本。 </w:t>
      </w:r>
      <w:r>
        <w:rPr>
          <w:spacing w:val="-2"/>
        </w:rPr>
        <w:t>除取得投资时实际支付的价款或对价中包含的已宣告但尚未发放的现金股利或利润外，本公司按照享有被投资单位宣告</w:t>
      </w:r>
    </w:p>
    <w:p>
      <w:pPr>
        <w:pStyle w:val="BodyText"/>
        <w:spacing w:line="240" w:lineRule="auto" w:before="19"/>
        <w:ind w:right="994"/>
        <w:jc w:val="left"/>
      </w:pPr>
      <w:r>
        <w:rPr/>
        <w:t>分派的现金股利或利润确认为当期投资收益。</w:t>
      </w:r>
    </w:p>
    <w:p>
      <w:pPr>
        <w:pStyle w:val="BodyText"/>
        <w:spacing w:line="240" w:lineRule="auto" w:before="76"/>
        <w:ind w:right="994"/>
        <w:jc w:val="left"/>
      </w:pPr>
      <w:r>
        <w:rPr/>
        <w:t>（</w:t>
      </w:r>
      <w:r>
        <w:rPr>
          <w:rFonts w:ascii="Times New Roman" w:hAnsi="Times New Roman" w:cs="Times New Roman" w:eastAsia="Times New Roman" w:hint="default"/>
        </w:rPr>
        <w:t>2</w:t>
      </w:r>
      <w:r>
        <w:rPr/>
        <w:t>）权益法</w:t>
      </w:r>
    </w:p>
    <w:p>
      <w:pPr>
        <w:pStyle w:val="BodyText"/>
        <w:spacing w:line="316" w:lineRule="auto" w:before="63"/>
        <w:ind w:left="1134" w:right="994" w:firstLine="360"/>
        <w:jc w:val="left"/>
      </w:pPr>
      <w:r>
        <w:rPr>
          <w:spacing w:val="-2"/>
        </w:rPr>
        <w:t>本公司对联营企业和合营企业的长期股权投资采用权益法核算；对于其中一部分通过风险投资机构、共同基金、信托公</w:t>
      </w:r>
      <w:r>
        <w:rPr/>
        <w:t> 司或包括投连险基金在内的类似主体间接持有的联营企业的权益性投资，采用公允价值计量且其变动计入损益。</w:t>
      </w:r>
    </w:p>
    <w:p>
      <w:pPr>
        <w:pStyle w:val="BodyText"/>
        <w:spacing w:line="316" w:lineRule="auto" w:before="19"/>
        <w:ind w:right="994" w:firstLine="360"/>
        <w:jc w:val="left"/>
      </w:pPr>
      <w:r>
        <w:rPr>
          <w:spacing w:val="-2"/>
        </w:rPr>
        <w:t>长期股权投资的初始投资成本大于投资时应享有被投资单位可辨认净资产公允价值份额的差额，不调整长期股权投资的</w:t>
      </w:r>
      <w:r>
        <w:rPr/>
        <w:t> 初始投资成本；初始投资成本小于投资时应享有被投资单位可辨认净资产公允价值份额的差额，计入当期损益。</w:t>
      </w:r>
    </w:p>
    <w:p>
      <w:pPr>
        <w:pStyle w:val="BodyText"/>
        <w:spacing w:line="316" w:lineRule="auto" w:before="19"/>
        <w:ind w:right="1033" w:firstLine="360"/>
        <w:jc w:val="left"/>
      </w:pPr>
      <w:r>
        <w:rPr>
          <w:spacing w:val="-2"/>
        </w:rPr>
        <w:t>本公司取得长期股权投资后，按照应享有或应分担的被投资单位实现的净损益和其他综合收益的份额，分别确认投资收</w:t>
      </w:r>
      <w:r>
        <w:rPr/>
        <w:t> 益和其他综合收益，同时调整长期股权投资的账面价值；并按照被投资单位宣告分派的利润或现金股利计算应享有的部分， </w:t>
      </w:r>
      <w:r>
        <w:rPr>
          <w:spacing w:val="-2"/>
        </w:rPr>
        <w:t>相应减少长期股权投资的账面价值；对于被投资单位除净损益、其他综合收益和利润分配以外所有者权益的其他变动，调整</w:t>
      </w:r>
      <w:r>
        <w:rPr>
          <w:spacing w:val="-66"/>
        </w:rPr>
        <w:t> </w:t>
      </w:r>
      <w:r>
        <w:rPr>
          <w:spacing w:val="-66"/>
        </w:rPr>
      </w:r>
      <w:r>
        <w:rPr/>
        <w:t>长期股权投资的账面价值并计入所有者权益。</w:t>
      </w:r>
    </w:p>
    <w:p>
      <w:pPr>
        <w:pStyle w:val="BodyText"/>
        <w:spacing w:line="316" w:lineRule="auto" w:before="19"/>
        <w:ind w:right="1132" w:firstLine="360"/>
        <w:jc w:val="both"/>
      </w:pPr>
      <w:r>
        <w:rPr>
          <w:spacing w:val="-2"/>
        </w:rPr>
        <w:t>本公司在确认应享有被投资单位净损益的份额时，以取得投资时被投资单位各项可辨认资产等的公允价值为基础，对被</w:t>
      </w:r>
      <w:r>
        <w:rPr/>
        <w:t> </w:t>
      </w:r>
      <w:r>
        <w:rPr>
          <w:spacing w:val="-2"/>
        </w:rPr>
        <w:t>投资单位的净利润进行调整后确认。本公司与联营企业、合营企业之间发生的未实现内部交易损益按照应享有的比例计算归</w:t>
      </w:r>
      <w:r>
        <w:rPr>
          <w:spacing w:val="-64"/>
        </w:rPr>
        <w:t> </w:t>
      </w:r>
      <w:r>
        <w:rPr>
          <w:spacing w:val="-64"/>
        </w:rPr>
      </w:r>
      <w:r>
        <w:rPr/>
        <w:t>属于本公司的部分予以抵销，在此基础上确认投资损益。</w:t>
      </w:r>
    </w:p>
    <w:p>
      <w:pPr>
        <w:pStyle w:val="BodyText"/>
        <w:spacing w:line="316" w:lineRule="auto" w:before="19"/>
        <w:ind w:left="1134" w:right="1032" w:firstLine="360"/>
        <w:jc w:val="left"/>
      </w:pPr>
      <w:r>
        <w:rPr>
          <w:spacing w:val="-2"/>
        </w:rPr>
        <w:t>本公司确认应分担被投资单位发生的亏损时，按照以下顺序进行处理：首先，冲减长期股权投资的账面价值。其次，长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6" w:lineRule="auto" w:before="19"/>
        <w:ind w:right="994" w:firstLine="360"/>
        <w:jc w:val="left"/>
      </w:pPr>
      <w:r>
        <w:rPr>
          <w:spacing w:val="-2"/>
        </w:rPr>
        <w:t>被投资单位以后期间实现盈利的，公司在扣除未确认的亏损分担额后，按与上述相反的顺序处理，减记已确认预计负债</w:t>
      </w:r>
      <w:r>
        <w:rPr/>
        <w:t> 的账面余额、恢复其他实质上构成对被投资单位净投资的长期权益及长期股权投资的账面价值后，恢复确认投资收益。 </w:t>
      </w:r>
      <w:r>
        <w:rPr>
          <w:rFonts w:ascii="Times New Roman" w:hAnsi="Times New Roman" w:cs="Times New Roman" w:eastAsia="Times New Roman" w:hint="default"/>
        </w:rPr>
        <w:t>3.</w:t>
      </w:r>
      <w:r>
        <w:rPr/>
        <w:t>长期股权投资核算方法的转换</w:t>
      </w:r>
    </w:p>
    <w:p>
      <w:pPr>
        <w:pStyle w:val="BodyText"/>
        <w:spacing w:line="300" w:lineRule="auto" w:before="0"/>
        <w:ind w:left="1494" w:right="994" w:hanging="360"/>
        <w:jc w:val="left"/>
      </w:pPr>
      <w:r>
        <w:rPr/>
        <w:t>（</w:t>
      </w:r>
      <w:r>
        <w:rPr>
          <w:rFonts w:ascii="Times New Roman" w:hAnsi="Times New Roman" w:cs="Times New Roman" w:eastAsia="Times New Roman" w:hint="default"/>
        </w:rPr>
        <w:t>1</w:t>
      </w:r>
      <w:r>
        <w:rPr/>
        <w:t>）公允价值计量转权益法核算 </w:t>
      </w:r>
      <w:r>
        <w:rPr>
          <w:spacing w:val="-2"/>
        </w:rPr>
        <w:t>本公司原持有的对被投资单位不具有控制、共同控制或重大影响的按金融工具确认和计量准则进行会计处理的权益性投</w:t>
      </w:r>
    </w:p>
    <w:p>
      <w:pPr>
        <w:pStyle w:val="BodyText"/>
        <w:spacing w:line="300" w:lineRule="auto" w:before="31"/>
        <w:ind w:right="994"/>
        <w:jc w:val="left"/>
      </w:pPr>
      <w:r>
        <w:rPr>
          <w:spacing w:val="-2"/>
        </w:rPr>
        <w:t>资，因追加投资等原因能够对被投资单位施加重大影响或实施共同控制但不构成控制的，按照《企业会计准则第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w:t>
      </w:r>
      <w:r>
        <w:rPr>
          <w:spacing w:val="-63"/>
        </w:rPr>
        <w:t> </w:t>
      </w:r>
      <w:r>
        <w:rPr/>
        <w:t>融工具确认和计量》确定的原持有的股权投资的公允价值加上新增投资成本之和，作为改按权益法核算的初始投资成本。</w:t>
      </w:r>
    </w:p>
    <w:p>
      <w:pPr>
        <w:pStyle w:val="BodyText"/>
        <w:spacing w:line="316" w:lineRule="auto" w:before="31"/>
        <w:ind w:right="994" w:firstLine="360"/>
        <w:jc w:val="left"/>
      </w:pPr>
      <w:r>
        <w:rPr>
          <w:spacing w:val="-2"/>
        </w:rPr>
        <w:t>原持有的股权投资分类为可供出售金融资产的，其公允价值与账面价值之间的差额，以及原计入其他综合收益的累计公</w:t>
      </w:r>
      <w:r>
        <w:rPr/>
        <w:t> 允价值变动转入改按权益法核算的当期损益。</w:t>
      </w:r>
    </w:p>
    <w:p>
      <w:pPr>
        <w:pStyle w:val="BodyText"/>
        <w:spacing w:line="316" w:lineRule="auto" w:before="19"/>
        <w:ind w:right="1213" w:firstLine="360"/>
        <w:jc w:val="left"/>
      </w:pPr>
      <w:r>
        <w:rPr/>
        <w:t>按权益法核算的初始投资成本小于按照追加投资后全新的持股比例计算确定的应享有被投资单位在追加投资日可辨认 净资产公允价值份额之间的差额，调整长期股权投资的账面价值，并计入当期营业外收入。</w:t>
      </w:r>
    </w:p>
    <w:p>
      <w:pPr>
        <w:pStyle w:val="BodyText"/>
        <w:spacing w:line="300" w:lineRule="auto" w:before="19"/>
        <w:ind w:left="1494" w:right="994" w:hanging="360"/>
        <w:jc w:val="left"/>
      </w:pPr>
      <w:r>
        <w:rPr/>
        <w:t>（</w:t>
      </w:r>
      <w:r>
        <w:rPr>
          <w:rFonts w:ascii="Times New Roman" w:hAnsi="Times New Roman" w:cs="Times New Roman" w:eastAsia="Times New Roman" w:hint="default"/>
        </w:rPr>
        <w:t>2</w:t>
      </w:r>
      <w:r>
        <w:rPr/>
        <w:t>）公允价值计量或权益法核算转成本法核算 </w:t>
      </w:r>
      <w:r>
        <w:rPr>
          <w:spacing w:val="-2"/>
        </w:rPr>
        <w:t>本公司原持有的对被投资单位不具有控制、共同控制或重大影响的按金融工具确认和计量准则进行会计处理的权益性投</w:t>
      </w:r>
    </w:p>
    <w:p>
      <w:pPr>
        <w:pStyle w:val="BodyText"/>
        <w:spacing w:line="316" w:lineRule="auto" w:before="31"/>
        <w:ind w:left="1134" w:right="994"/>
        <w:jc w:val="left"/>
      </w:pPr>
      <w:r>
        <w:rPr>
          <w:spacing w:val="-2"/>
        </w:rPr>
        <w:t>资，或原持有对联营企业、合营企业的长期股权投资，因追加投资等原因能够对非同一控制下的被投资单位实施控制的，在</w:t>
      </w:r>
      <w:r>
        <w:rPr>
          <w:spacing w:val="-65"/>
        </w:rPr>
        <w:t> </w:t>
      </w:r>
      <w:r>
        <w:rPr>
          <w:spacing w:val="-65"/>
        </w:rPr>
      </w:r>
      <w:r>
        <w:rPr/>
        <w:t>编制个别财务报表时，按照原持有的股权投资账面价值加上新增投资成本之和，作为改按成本法核算的初始投资成本。</w:t>
      </w:r>
    </w:p>
    <w:p>
      <w:pPr>
        <w:pStyle w:val="BodyText"/>
        <w:spacing w:line="316" w:lineRule="auto" w:before="19"/>
        <w:ind w:right="994" w:firstLine="360"/>
        <w:jc w:val="left"/>
      </w:pPr>
      <w:r>
        <w:rPr>
          <w:spacing w:val="-2"/>
        </w:rPr>
        <w:t>购买日之前持有的股权投资因采用权益法核算而确认的其他综合收益，在处置该项投资时采用与被投资单位直接处置相</w:t>
      </w:r>
      <w:r>
        <w:rPr/>
        <w:t> 关资产或负债相同的基础进行会计处理。</w:t>
      </w:r>
    </w:p>
    <w:p>
      <w:pPr>
        <w:pStyle w:val="BodyText"/>
        <w:spacing w:line="300" w:lineRule="auto" w:before="19"/>
        <w:ind w:left="1134" w:right="994" w:firstLine="360"/>
        <w:jc w:val="left"/>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w:t>
      </w:r>
      <w:r>
        <w:rPr/>
        <w:t> 其他综合收益的累计公允价值变动在改按成本法核算时转入当期损益。</w:t>
      </w:r>
    </w:p>
    <w:p>
      <w:pPr>
        <w:pStyle w:val="BodyText"/>
        <w:spacing w:line="300" w:lineRule="auto" w:before="31"/>
        <w:ind w:left="1494" w:right="994" w:hanging="360"/>
        <w:jc w:val="left"/>
      </w:pPr>
      <w:r>
        <w:rPr/>
        <w:t>（</w:t>
      </w:r>
      <w:r>
        <w:rPr>
          <w:rFonts w:ascii="Times New Roman" w:hAnsi="Times New Roman" w:cs="Times New Roman" w:eastAsia="Times New Roman" w:hint="default"/>
        </w:rPr>
        <w:t>3</w:t>
      </w:r>
      <w:r>
        <w:rPr/>
        <w:t>）权益法核算转公允价值计量 </w:t>
      </w:r>
      <w:r>
        <w:rPr>
          <w:spacing w:val="-2"/>
        </w:rPr>
        <w:t>本公司因处置部分股权投资等原因丧失了对被投资单位的共同控制或重大影响的，处置后的剩余股权改按《企业会计准</w:t>
      </w:r>
    </w:p>
    <w:p>
      <w:pPr>
        <w:pStyle w:val="BodyText"/>
        <w:spacing w:line="300" w:lineRule="auto" w:before="32"/>
        <w:ind w:right="994"/>
        <w:jc w:val="left"/>
      </w:pPr>
      <w:r>
        <w:rPr>
          <w:spacing w:val="-2"/>
        </w:rPr>
        <w:t>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金融工具确认和计量》核算，其在丧失共同控制或重大影响之日的公允价值与账面价值之间的差额计入当期损</w:t>
      </w:r>
      <w:r>
        <w:rPr>
          <w:spacing w:val="-62"/>
        </w:rPr>
        <w:t> </w:t>
      </w:r>
      <w:r>
        <w:rPr>
          <w:spacing w:val="-62"/>
        </w:rPr>
      </w:r>
      <w:r>
        <w:rPr/>
        <w:t>益。</w:t>
      </w:r>
    </w:p>
    <w:p>
      <w:pPr>
        <w:pStyle w:val="BodyText"/>
        <w:spacing w:line="316" w:lineRule="auto" w:before="31"/>
        <w:ind w:left="1134" w:right="994" w:firstLine="360"/>
        <w:jc w:val="left"/>
      </w:pPr>
      <w:r>
        <w:rPr>
          <w:spacing w:val="-2"/>
        </w:rPr>
        <w:t>原股权投资因采用权益法核算而确认的其他综合收益，在终止采用权益法核算时采用与被投资单位直接处置相关资产或</w:t>
      </w:r>
      <w:r>
        <w:rPr/>
        <w:t> 负债相同的基础进行会计处理。</w:t>
      </w:r>
    </w:p>
    <w:p>
      <w:pPr>
        <w:spacing w:after="0" w:line="316"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ind w:left="1494" w:right="994" w:hanging="360"/>
        <w:jc w:val="left"/>
      </w:pPr>
      <w:r>
        <w:rPr/>
        <w:t>（</w:t>
      </w:r>
      <w:r>
        <w:rPr>
          <w:rFonts w:ascii="Times New Roman" w:hAnsi="Times New Roman" w:cs="Times New Roman" w:eastAsia="Times New Roman" w:hint="default"/>
        </w:rPr>
        <w:t>4</w:t>
      </w:r>
      <w:r>
        <w:rPr/>
        <w:t>）成本法转权益法 </w:t>
      </w:r>
      <w:r>
        <w:rPr>
          <w:spacing w:val="-2"/>
        </w:rPr>
        <w:t>本公司因处置部分权益性投资等原因丧失了对被投资单位的控制的，在编制个别财务报表时，处置后的剩余股权能够对</w:t>
      </w:r>
    </w:p>
    <w:p>
      <w:pPr>
        <w:pStyle w:val="BodyText"/>
        <w:spacing w:line="240" w:lineRule="auto" w:before="31"/>
        <w:ind w:left="1134" w:right="994"/>
        <w:jc w:val="left"/>
      </w:pPr>
      <w:r>
        <w:rPr/>
        <w:t>被投资单位实施共同控制或施加重大影响的，改按权益法核算，并对该剩余股权视同自取得时即采用权益法核算进行调整。</w:t>
      </w:r>
    </w:p>
    <w:p>
      <w:pPr>
        <w:pStyle w:val="BodyText"/>
        <w:spacing w:line="300" w:lineRule="auto" w:before="76"/>
        <w:ind w:left="1494" w:right="994" w:hanging="360"/>
        <w:jc w:val="left"/>
      </w:pPr>
      <w:r>
        <w:rPr/>
        <w:t>（</w:t>
      </w:r>
      <w:r>
        <w:rPr>
          <w:rFonts w:ascii="Times New Roman" w:hAnsi="Times New Roman" w:cs="Times New Roman" w:eastAsia="Times New Roman" w:hint="default"/>
        </w:rPr>
        <w:t>5</w:t>
      </w:r>
      <w:r>
        <w:rPr/>
        <w:t>）成本法转公允价值计量 </w:t>
      </w:r>
      <w:r>
        <w:rPr>
          <w:spacing w:val="-2"/>
        </w:rPr>
        <w:t>本公司因处置部分权益性投资等原因丧失了对被投资单位的控制的，在编制个别财务报表时，处置后的剩余股权不能对</w:t>
      </w:r>
    </w:p>
    <w:p>
      <w:pPr>
        <w:pStyle w:val="BodyText"/>
        <w:spacing w:line="300" w:lineRule="auto" w:before="31"/>
        <w:ind w:left="1134" w:right="994"/>
        <w:jc w:val="left"/>
      </w:pPr>
      <w:r>
        <w:rPr>
          <w:spacing w:val="-2"/>
        </w:rPr>
        <w:t>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w:t>
      </w:r>
      <w:r>
        <w:rPr>
          <w:spacing w:val="-64"/>
        </w:rPr>
        <w:t> </w:t>
      </w:r>
      <w:r>
        <w:rPr>
          <w:spacing w:val="-64"/>
        </w:rPr>
      </w:r>
      <w:r>
        <w:rPr/>
        <w:t>理，其在丧失控制之日的公允价值与账面价值间的差额计入当期损益。</w:t>
      </w:r>
    </w:p>
    <w:p>
      <w:pPr>
        <w:pStyle w:val="BodyText"/>
        <w:spacing w:line="300" w:lineRule="auto" w:before="31"/>
        <w:ind w:left="1494" w:right="994" w:hanging="360"/>
        <w:jc w:val="left"/>
      </w:pPr>
      <w:r>
        <w:rPr>
          <w:rFonts w:ascii="Times New Roman" w:hAnsi="Times New Roman" w:cs="Times New Roman" w:eastAsia="Times New Roman" w:hint="default"/>
        </w:rPr>
        <w:t>4.</w:t>
      </w:r>
      <w:r>
        <w:rPr/>
        <w:t>长期股权投资的处置 </w:t>
      </w:r>
      <w:r>
        <w:rPr>
          <w:spacing w:val="-2"/>
        </w:rPr>
        <w:t>处置长期股权投资，其账面价值与实际取得价款之间的差额，应当计入当期损益。采用权益法核算的长期股权投资，在</w:t>
      </w:r>
    </w:p>
    <w:p>
      <w:pPr>
        <w:pStyle w:val="BodyText"/>
        <w:spacing w:line="316" w:lineRule="auto" w:before="31"/>
        <w:ind w:left="1134" w:right="994"/>
        <w:jc w:val="left"/>
      </w:pPr>
      <w:r>
        <w:rPr>
          <w:spacing w:val="-2"/>
        </w:rPr>
        <w:t>处置该项投资时，采用与被投资单位直接处置相关资产或负债相同的基础，按相应比例对原计入其他综合收益的部分进行会</w:t>
      </w:r>
      <w:r>
        <w:rPr>
          <w:spacing w:val="-64"/>
        </w:rPr>
        <w:t> </w:t>
      </w:r>
      <w:r>
        <w:rPr>
          <w:spacing w:val="-64"/>
        </w:rPr>
      </w:r>
      <w:r>
        <w:rPr/>
        <w:t>计处理。</w:t>
      </w:r>
    </w:p>
    <w:p>
      <w:pPr>
        <w:pStyle w:val="BodyText"/>
        <w:spacing w:line="316" w:lineRule="auto" w:before="19"/>
        <w:ind w:left="1134" w:right="1132" w:firstLine="360"/>
        <w:jc w:val="both"/>
      </w:pPr>
      <w:r>
        <w:rPr>
          <w:spacing w:val="-2"/>
        </w:rPr>
        <w:t>处置对子公司股权投资的各项交易的条款、条件以及经济影响符合以下一种或多种情况，将多次交易事项作为一揽子交</w:t>
      </w:r>
      <w:r>
        <w:rPr/>
        <w:t> 易进行会计处理：</w:t>
      </w:r>
    </w:p>
    <w:p>
      <w:pPr>
        <w:pStyle w:val="BodyText"/>
        <w:spacing w:line="240" w:lineRule="auto" w:before="19"/>
        <w:ind w:left="1134" w:right="994"/>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63"/>
        <w:ind w:left="1134" w:right="994"/>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63"/>
        <w:ind w:left="1134" w:right="994"/>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300" w:lineRule="auto" w:before="63"/>
        <w:ind w:left="1493" w:right="994" w:hanging="360"/>
        <w:jc w:val="left"/>
      </w:pPr>
      <w:r>
        <w:rPr/>
        <w:t>（</w:t>
      </w:r>
      <w:r>
        <w:rPr>
          <w:rFonts w:ascii="Times New Roman" w:hAnsi="Times New Roman" w:cs="Times New Roman" w:eastAsia="Times New Roman" w:hint="default"/>
        </w:rPr>
        <w:t>4</w:t>
      </w:r>
      <w:r>
        <w:rPr/>
        <w:t>）一项交易单独看是不经济的，但是和其他交易一并考虑时是经济的。 </w:t>
      </w:r>
      <w:r>
        <w:rPr>
          <w:spacing w:val="-2"/>
        </w:rPr>
        <w:t>因处置部分股权投资或其他原因丧失了对原有子公司控制权的，不属于一揽子交易的，区分个别财务报表和合并财务报</w:t>
      </w:r>
    </w:p>
    <w:p>
      <w:pPr>
        <w:pStyle w:val="BodyText"/>
        <w:spacing w:line="240" w:lineRule="auto" w:before="31"/>
        <w:ind w:right="994"/>
        <w:jc w:val="left"/>
      </w:pPr>
      <w:r>
        <w:rPr/>
        <w:t>表进行相关会计处理：</w:t>
      </w:r>
    </w:p>
    <w:p>
      <w:pPr>
        <w:pStyle w:val="BodyText"/>
        <w:spacing w:line="307" w:lineRule="auto" w:before="76"/>
        <w:ind w:right="1132" w:firstLine="360"/>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）在个别财务报表中，对于处置的股权，其账面价值与实际取得价款之间的差额计入当期损益。处置后的剩余股权 </w:t>
      </w:r>
      <w:r>
        <w:rPr>
          <w:spacing w:val="-2"/>
        </w:rPr>
        <w:t>能够对被投资单位实施共同控制或施加重大影响的，改按权益法核算，并对该剩余股权视同自取得时即采用权益法核算进行</w:t>
      </w:r>
      <w:r>
        <w:rPr>
          <w:spacing w:val="-64"/>
        </w:rPr>
        <w:t> </w:t>
      </w:r>
      <w:r>
        <w:rPr>
          <w:spacing w:val="-64"/>
        </w:rPr>
      </w:r>
      <w:r>
        <w:rPr>
          <w:spacing w:val="-2"/>
        </w:rPr>
        <w:t>调整；处置后的剩余股权不能对被投资单位实施共同控制或施加重大影响的，改按《企业会计准则第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w:t>
      </w:r>
      <w:r>
        <w:rPr>
          <w:spacing w:val="-63"/>
        </w:rPr>
        <w:t> </w:t>
      </w:r>
      <w:r>
        <w:rPr/>
        <w:t>和计量》的有关规定进行会计处理，其在丧失控制之日的公允价值与账面价值间的差额计入当期损益。</w:t>
      </w:r>
    </w:p>
    <w:p>
      <w:pPr>
        <w:pStyle w:val="BodyText"/>
        <w:spacing w:line="314" w:lineRule="auto" w:before="26"/>
        <w:ind w:left="1134" w:right="1131" w:firstLine="360"/>
        <w:jc w:val="both"/>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）在合并财务报表中，对于在丧失对子公司控制权以前的各项交易，处置价款与处置长期股权投资相应对享有子公 </w:t>
      </w:r>
      <w:r>
        <w:rPr>
          <w:spacing w:val="-2"/>
        </w:rPr>
        <w:t>司自购买日或合并日开始持续计算的净资产份额之间的差额，调整资本公积（股本溢价），资本公积不足冲减的，调整留存</w:t>
      </w:r>
      <w:r>
        <w:rPr>
          <w:spacing w:val="-66"/>
        </w:rPr>
        <w:t> </w:t>
      </w:r>
      <w:r>
        <w:rPr>
          <w:spacing w:val="-66"/>
        </w:rPr>
      </w:r>
      <w:r>
        <w:rPr>
          <w:spacing w:val="-2"/>
        </w:rPr>
        <w:t>收益；在丧失对子公司控制权时，对于剩余股权，按照其在丧失控制权日的公允价值进行重新计量。处置股权取得的对价与</w:t>
      </w:r>
      <w:r>
        <w:rPr>
          <w:spacing w:val="-66"/>
        </w:rPr>
        <w:t> </w:t>
      </w:r>
      <w:r>
        <w:rPr>
          <w:spacing w:val="-66"/>
        </w:rPr>
      </w:r>
      <w:r>
        <w:rPr>
          <w:spacing w:val="-2"/>
        </w:rPr>
        <w:t>剩余股权公允价值之和，减去按原持股比例计算应享有原有子公司自购买日开始持续计算的净资产的份额之间的差额，计入</w:t>
      </w:r>
      <w:r>
        <w:rPr>
          <w:spacing w:val="-64"/>
        </w:rPr>
        <w:t> </w:t>
      </w:r>
      <w:r>
        <w:rPr>
          <w:spacing w:val="-64"/>
        </w:rPr>
      </w:r>
      <w:r>
        <w:rPr>
          <w:spacing w:val="-2"/>
        </w:rPr>
        <w:t>丧失控制权当期的投资收益，同时冲减商誉。与原有子公司股权投资相关的其他综合收益等，在丧失控制权时转为当期投资</w:t>
      </w:r>
      <w:r>
        <w:rPr>
          <w:spacing w:val="-66"/>
        </w:rPr>
        <w:t> </w:t>
      </w:r>
      <w:r>
        <w:rPr>
          <w:spacing w:val="-66"/>
        </w:rPr>
      </w:r>
      <w:r>
        <w:rPr/>
        <w:t>收益。</w:t>
      </w:r>
    </w:p>
    <w:p>
      <w:pPr>
        <w:pStyle w:val="BodyText"/>
        <w:spacing w:line="316" w:lineRule="auto" w:before="20"/>
        <w:ind w:left="1134" w:right="1131" w:firstLine="360"/>
        <w:jc w:val="both"/>
      </w:pPr>
      <w:r>
        <w:rPr>
          <w:spacing w:val="-2"/>
        </w:rPr>
        <w:t>处置对子公司股权投资直至丧失控制权的各项交易属于一揽子交易的，将各项交易作为一项处置子公司股权投资并丧失</w:t>
      </w:r>
      <w:r>
        <w:rPr/>
        <w:t> 控制权的交易进行会计处理，区分个别财务报表和合并财务报表进行相关会计处理：</w:t>
      </w:r>
    </w:p>
    <w:p>
      <w:pPr>
        <w:pStyle w:val="BodyText"/>
        <w:spacing w:line="300" w:lineRule="auto" w:before="19"/>
        <w:ind w:left="1134" w:right="1141" w:firstLine="36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 确认为其他综合收益，在丧失控制权时一并转入丧失控制权当期的损益。</w:t>
      </w:r>
    </w:p>
    <w:p>
      <w:pPr>
        <w:pStyle w:val="BodyText"/>
        <w:spacing w:line="300" w:lineRule="auto" w:before="31"/>
        <w:ind w:left="1134" w:right="1141" w:firstLine="360"/>
        <w:jc w:val="both"/>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）在合并财务报表中，在丧失控制权之前每一次处置价款与处置投资对应的享有该子公司净资产份额的差额，确认 为其他综合收益，在丧失控制权时一并转入丧失控制权当期的损益。</w:t>
      </w:r>
    </w:p>
    <w:p>
      <w:pPr>
        <w:pStyle w:val="BodyText"/>
        <w:spacing w:line="300" w:lineRule="auto" w:before="31"/>
        <w:ind w:left="1494" w:right="994" w:hanging="360"/>
        <w:jc w:val="left"/>
      </w:pPr>
      <w:r>
        <w:rPr>
          <w:rFonts w:ascii="Times New Roman" w:hAnsi="Times New Roman" w:cs="Times New Roman" w:eastAsia="Times New Roman" w:hint="default"/>
        </w:rPr>
        <w:t>5.</w:t>
      </w:r>
      <w:r>
        <w:rPr/>
        <w:t>共同控制、重大影响的判断标准 </w:t>
      </w:r>
      <w:r>
        <w:rPr>
          <w:spacing w:val="-2"/>
        </w:rPr>
        <w:t>如果本公司按照相关约定与其他参与方集体控制某项安排，并且对该安排回报具有重大影响的活动决策，需要经过分享</w:t>
      </w:r>
    </w:p>
    <w:p>
      <w:pPr>
        <w:pStyle w:val="BodyText"/>
        <w:spacing w:line="316" w:lineRule="auto" w:before="31"/>
        <w:ind w:left="1493" w:right="994" w:hanging="360"/>
        <w:jc w:val="left"/>
      </w:pPr>
      <w:r>
        <w:rPr/>
        <w:t>控制权的参与方一致同意时才存在，则视为本公司与其他参与方共同控制某项安排，该安排即属于合营安排。 </w:t>
      </w:r>
      <w:r>
        <w:rPr>
          <w:spacing w:val="-2"/>
        </w:rPr>
        <w:t>合营安排通过单独主体达成的，根据相关约定判断本公司对该单独主体的净资产享有权利时，将该单独主体作为合营企</w:t>
      </w:r>
    </w:p>
    <w:p>
      <w:pPr>
        <w:pStyle w:val="BodyText"/>
        <w:spacing w:line="319" w:lineRule="auto" w:before="19"/>
        <w:ind w:right="994"/>
        <w:jc w:val="left"/>
      </w:pPr>
      <w:r>
        <w:rPr>
          <w:spacing w:val="-2"/>
        </w:rPr>
        <w:t>业，采用权益法核算。若根据相关约定判断本公司并非对该单独主体的净资产享有权利时，该单独主体作为共同经营，本公</w:t>
      </w:r>
      <w:r>
        <w:rPr>
          <w:spacing w:val="-66"/>
        </w:rPr>
        <w:t> </w:t>
      </w:r>
      <w:r>
        <w:rPr>
          <w:spacing w:val="-66"/>
        </w:rPr>
      </w:r>
      <w:r>
        <w:rPr/>
        <w:t>司确认与共同经营利益份额相关的项目，并按照相关企业会计准则的规定进行会计处理。</w:t>
      </w:r>
    </w:p>
    <w:p>
      <w:pPr>
        <w:pStyle w:val="BodyText"/>
        <w:spacing w:line="309" w:lineRule="auto" w:before="58"/>
        <w:ind w:right="1130"/>
        <w:jc w:val="both"/>
      </w:pPr>
      <w:r>
        <w:rPr>
          <w:spacing w:val="-2"/>
        </w:rPr>
        <w:t>重大影响，是指投资方对被投资单位的财务和经营政策有参与决策的权力，但并不能够控制或者与其他方一起共同控制这些</w:t>
      </w:r>
      <w:r>
        <w:rPr>
          <w:spacing w:val="-64"/>
        </w:rPr>
        <w:t> </w:t>
      </w:r>
      <w:r>
        <w:rPr>
          <w:spacing w:val="-64"/>
        </w:rPr>
      </w:r>
      <w:r>
        <w:rPr/>
        <w:t>政策的制定。本公司通过以下一种或多种情形，并综合考虑所有事实和情况后，判断对被投资单位具有重大影响。（</w:t>
      </w:r>
      <w:r>
        <w:rPr>
          <w:rFonts w:ascii="Times New Roman" w:hAnsi="Times New Roman" w:cs="Times New Roman" w:eastAsia="Times New Roman" w:hint="default"/>
        </w:rPr>
        <w:t>1</w:t>
      </w:r>
      <w:r>
        <w:rPr/>
        <w:t>）在</w:t>
      </w:r>
      <w:r>
        <w:rPr>
          <w:spacing w:val="-85"/>
        </w:rPr>
        <w:t> </w:t>
      </w:r>
      <w:r>
        <w:rPr>
          <w:spacing w:val="-2"/>
        </w:rPr>
        <w:t>被投资单位的董事会或类似权力机构中派有代表；（</w:t>
      </w:r>
      <w:r>
        <w:rPr>
          <w:rFonts w:ascii="Times New Roman" w:hAnsi="Times New Roman" w:cs="Times New Roman" w:eastAsia="Times New Roman" w:hint="default"/>
          <w:spacing w:val="-2"/>
        </w:rPr>
        <w:t>2</w:t>
      </w:r>
      <w:r>
        <w:rPr>
          <w:spacing w:val="-2"/>
        </w:rPr>
        <w:t>）参与被投资单位财务和经营政策制定过程；（</w:t>
      </w:r>
      <w:r>
        <w:rPr>
          <w:rFonts w:ascii="Times New Roman" w:hAnsi="Times New Roman" w:cs="Times New Roman" w:eastAsia="Times New Roman" w:hint="default"/>
          <w:spacing w:val="-2"/>
        </w:rPr>
        <w:t>3</w:t>
      </w:r>
      <w:r>
        <w:rPr>
          <w:spacing w:val="-2"/>
        </w:rPr>
        <w:t>）与被投资单位之间</w:t>
      </w:r>
    </w:p>
    <w:p>
      <w:pPr>
        <w:spacing w:after="0" w:line="309"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994"/>
        <w:jc w:val="left"/>
      </w:pPr>
      <w:r>
        <w:rPr/>
        <w:t>发生重要交易；（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5"/>
        <w:spacing w:line="240" w:lineRule="auto"/>
        <w:ind w:right="994"/>
        <w:jc w:val="left"/>
        <w:rPr>
          <w:b w:val="0"/>
          <w:bCs w:val="0"/>
        </w:rPr>
      </w:pPr>
      <w:bookmarkStart w:name="15、投资性房地产" w:id="198"/>
      <w:bookmarkEnd w:id="19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134" w:right="8952"/>
        <w:jc w:val="left"/>
      </w:pPr>
      <w:r>
        <w:rPr/>
        <w:t>投资性房地产计量模式 不适用</w:t>
      </w:r>
    </w:p>
    <w:p>
      <w:pPr>
        <w:spacing w:line="240" w:lineRule="auto" w:before="11"/>
        <w:rPr>
          <w:rFonts w:ascii="宋体" w:hAnsi="宋体" w:cs="宋体" w:eastAsia="宋体" w:hint="default"/>
          <w:sz w:val="19"/>
          <w:szCs w:val="19"/>
        </w:rPr>
      </w:pPr>
    </w:p>
    <w:p>
      <w:pPr>
        <w:pStyle w:val="Heading5"/>
        <w:spacing w:line="240" w:lineRule="auto"/>
        <w:ind w:left="1134" w:right="994"/>
        <w:jc w:val="left"/>
        <w:rPr>
          <w:b w:val="0"/>
          <w:bCs w:val="0"/>
        </w:rPr>
      </w:pPr>
      <w:bookmarkStart w:name="16、固定资产" w:id="199"/>
      <w:bookmarkEnd w:id="19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94"/>
        <w:jc w:val="left"/>
        <w:rPr>
          <w:b w:val="0"/>
          <w:bCs w:val="0"/>
        </w:rPr>
      </w:pPr>
      <w:bookmarkStart w:name="（1）确认条件" w:id="200"/>
      <w:bookmarkEnd w:id="20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left="1134" w:right="994"/>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9"/>
        <w:rPr>
          <w:rFonts w:ascii="宋体" w:hAnsi="宋体" w:cs="宋体" w:eastAsia="宋体" w:hint="default"/>
          <w:sz w:val="20"/>
          <w:szCs w:val="20"/>
        </w:rPr>
      </w:pPr>
    </w:p>
    <w:p>
      <w:pPr>
        <w:pStyle w:val="Heading5"/>
        <w:spacing w:line="240" w:lineRule="auto"/>
        <w:ind w:right="994"/>
        <w:jc w:val="left"/>
        <w:rPr>
          <w:b w:val="0"/>
          <w:bCs w:val="0"/>
        </w:rPr>
      </w:pPr>
      <w:bookmarkStart w:name="（2）折旧方法" w:id="201"/>
      <w:bookmarkEnd w:id="20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26"/>
        <w:gridCol w:w="1903"/>
        <w:gridCol w:w="1914"/>
        <w:gridCol w:w="1903"/>
      </w:tblGrid>
      <w:tr>
        <w:trPr>
          <w:trHeight w:val="397"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7"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26"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26"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26"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w:t>
            </w:r>
          </w:p>
        </w:tc>
        <w:tc>
          <w:tcPr>
            <w:tcW w:w="1926"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26"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240" w:lineRule="auto" w:before="10"/>
        <w:ind w:left="1134" w:right="994"/>
        <w:jc w:val="left"/>
      </w:pPr>
      <w:r>
        <w:rPr/>
        <w:t>不适用</w:t>
      </w:r>
    </w:p>
    <w:p>
      <w:pPr>
        <w:spacing w:line="240" w:lineRule="auto" w:before="12"/>
        <w:rPr>
          <w:rFonts w:ascii="宋体" w:hAnsi="宋体" w:cs="宋体" w:eastAsia="宋体" w:hint="default"/>
          <w:sz w:val="26"/>
          <w:szCs w:val="26"/>
        </w:rPr>
      </w:pPr>
    </w:p>
    <w:p>
      <w:pPr>
        <w:pStyle w:val="Heading5"/>
        <w:spacing w:line="240" w:lineRule="auto"/>
        <w:ind w:left="1134" w:right="994"/>
        <w:jc w:val="left"/>
        <w:rPr>
          <w:b w:val="0"/>
          <w:bCs w:val="0"/>
        </w:rPr>
      </w:pPr>
      <w:bookmarkStart w:name="（3）融资租入固定资产的认定依据、计价和折旧方法" w:id="202"/>
      <w:bookmarkEnd w:id="20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94"/>
        <w:jc w:val="left"/>
      </w:pPr>
      <w:r>
        <w:rPr/>
        <w:t>不适用</w:t>
      </w:r>
    </w:p>
    <w:p>
      <w:pPr>
        <w:spacing w:line="240" w:lineRule="auto" w:before="11"/>
        <w:rPr>
          <w:rFonts w:ascii="宋体" w:hAnsi="宋体" w:cs="宋体" w:eastAsia="宋体" w:hint="default"/>
          <w:sz w:val="26"/>
          <w:szCs w:val="26"/>
        </w:rPr>
      </w:pPr>
    </w:p>
    <w:p>
      <w:pPr>
        <w:pStyle w:val="Heading5"/>
        <w:spacing w:line="240" w:lineRule="auto"/>
        <w:ind w:left="1134" w:right="994"/>
        <w:jc w:val="left"/>
        <w:rPr>
          <w:b w:val="0"/>
          <w:bCs w:val="0"/>
        </w:rPr>
      </w:pPr>
      <w:bookmarkStart w:name="17、在建工程" w:id="203"/>
      <w:bookmarkEnd w:id="20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134" w:right="7692"/>
        <w:jc w:val="left"/>
      </w:pPr>
      <w:r>
        <w:rPr/>
        <w:t>公司是否需要遵守特殊行业的披露要求 否</w:t>
      </w:r>
    </w:p>
    <w:p>
      <w:pPr>
        <w:pStyle w:val="Heading6"/>
        <w:spacing w:line="256" w:lineRule="auto" w:before="0"/>
        <w:ind w:left="1553" w:right="994" w:hanging="62"/>
        <w:jc w:val="left"/>
      </w:pPr>
      <w:r>
        <w:rPr>
          <w:rFonts w:ascii="Times New Roman" w:hAnsi="Times New Roman" w:cs="Times New Roman" w:eastAsia="Times New Roman" w:hint="default"/>
          <w:b/>
          <w:bCs/>
        </w:rPr>
        <w:t>1.</w:t>
      </w:r>
      <w:r>
        <w:rPr>
          <w:rFonts w:ascii="宋体" w:hAnsi="宋体" w:cs="宋体" w:eastAsia="宋体" w:hint="default"/>
          <w:b/>
          <w:bCs/>
        </w:rPr>
        <w:t>在建工程初始计量</w:t>
      </w:r>
      <w:r>
        <w:rPr>
          <w:rFonts w:ascii="宋体" w:hAnsi="宋体" w:cs="宋体" w:eastAsia="宋体" w:hint="default"/>
          <w:b/>
          <w:bCs/>
          <w:w w:val="99"/>
        </w:rPr>
        <w:t> </w:t>
      </w:r>
      <w:r>
        <w:rPr>
          <w:spacing w:val="-1"/>
        </w:rPr>
        <w:t>本公司自行建造的在建工程按实际成本计价，实际成本由建造该项资产达到预定可使用状态前所发生</w:t>
      </w:r>
    </w:p>
    <w:p>
      <w:pPr>
        <w:pStyle w:val="Heading6"/>
        <w:spacing w:line="240" w:lineRule="auto" w:before="22"/>
        <w:ind w:right="0" w:firstLine="0"/>
        <w:jc w:val="both"/>
      </w:pPr>
      <w:r>
        <w:rPr/>
        <w:t>的必要支出构成等。</w:t>
      </w:r>
    </w:p>
    <w:p>
      <w:pPr>
        <w:spacing w:line="256" w:lineRule="auto" w:before="37"/>
        <w:ind w:left="1553" w:right="1093" w:hanging="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99"/>
          <w:sz w:val="21"/>
          <w:szCs w:val="21"/>
        </w:rPr>
        <w:t> </w:t>
      </w:r>
      <w:r>
        <w:rPr>
          <w:rFonts w:ascii="宋体" w:hAnsi="宋体" w:cs="宋体" w:eastAsia="宋体" w:hint="default"/>
          <w:sz w:val="21"/>
          <w:szCs w:val="21"/>
        </w:rPr>
        <w:t>在建工程项目按建造该项资产达到预定可使用状态前所发生的全部支出，作为固定资产的入账价值。</w:t>
      </w:r>
    </w:p>
    <w:p>
      <w:pPr>
        <w:pStyle w:val="Heading6"/>
        <w:spacing w:line="273" w:lineRule="auto" w:before="23"/>
        <w:ind w:right="1131" w:firstLine="0"/>
        <w:jc w:val="both"/>
      </w:pPr>
      <w:r>
        <w:rPr>
          <w:spacing w:val="-1"/>
        </w:rPr>
        <w:t>所建造的在建工程已达到预定可使用状态，但尚未办理竣工决算的，自达到预定可使用状态之日起，根据</w:t>
      </w:r>
      <w:r>
        <w:rPr>
          <w:spacing w:val="-83"/>
        </w:rPr>
        <w:t> </w:t>
      </w:r>
      <w:r>
        <w:rPr>
          <w:spacing w:val="-83"/>
        </w:rPr>
      </w:r>
      <w:r>
        <w:rPr>
          <w:spacing w:val="-1"/>
        </w:rPr>
        <w:t>工程预算、造价或者工程实际成本等，按估计的价值转入固定资产，并按本公司固定资产折旧政策计提固</w:t>
      </w:r>
      <w:r>
        <w:rPr>
          <w:spacing w:val="-83"/>
        </w:rPr>
        <w:t> </w:t>
      </w:r>
      <w:r>
        <w:rPr>
          <w:spacing w:val="-83"/>
        </w:rPr>
      </w:r>
      <w:r>
        <w:rPr/>
        <w:t>定资产的折旧，待办理竣工决算后，再按实际成本调整原来的暂估价值，但不调整原已计提的折旧额。</w:t>
      </w:r>
    </w:p>
    <w:p>
      <w:pPr>
        <w:spacing w:after="0" w:line="273"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994"/>
        <w:jc w:val="left"/>
        <w:rPr>
          <w:b w:val="0"/>
          <w:bCs w:val="0"/>
        </w:rPr>
      </w:pPr>
      <w:bookmarkStart w:name="18、借款费用" w:id="204"/>
      <w:bookmarkEnd w:id="204"/>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before="0"/>
        <w:ind w:left="1494" w:right="994" w:hanging="360"/>
        <w:jc w:val="left"/>
      </w:pPr>
      <w:r>
        <w:rPr>
          <w:rFonts w:ascii="Times New Roman" w:hAnsi="Times New Roman" w:cs="Times New Roman" w:eastAsia="Times New Roman" w:hint="default"/>
        </w:rPr>
        <w:t>1.</w:t>
      </w:r>
      <w:r>
        <w:rPr/>
        <w:t>借款费用资本化的确认原则 </w:t>
      </w:r>
      <w:r>
        <w:rPr>
          <w:spacing w:val="-4"/>
        </w:rPr>
        <w:t>公司发生的借款费用，可直接归属于符合资本化条件的资产的购建或者生产的，在符合资本化条件的情况下开始资本化，</w:t>
      </w:r>
    </w:p>
    <w:p>
      <w:pPr>
        <w:pStyle w:val="BodyText"/>
        <w:spacing w:line="316" w:lineRule="auto" w:before="32"/>
        <w:ind w:left="1493" w:right="1213" w:hanging="360"/>
        <w:jc w:val="left"/>
      </w:pPr>
      <w:r>
        <w:rPr/>
        <w:t>计入相关资产成本；其他借款费用，在发生时根据其发生额确认为费用，计入当期损益。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right="7333"/>
        <w:jc w:val="left"/>
      </w:pPr>
      <w:r>
        <w:rPr/>
        <w:t>产、投资性房地产和存货等资产。 借款费用同时满足下列条件时开始资本化：</w:t>
      </w:r>
    </w:p>
    <w:p>
      <w:pPr>
        <w:pStyle w:val="BodyText"/>
        <w:spacing w:line="300" w:lineRule="auto" w:before="19"/>
        <w:ind w:left="1134" w:right="1122"/>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）资产支出已经发生，资产支出包括为购建或者生产符合资本化条件的资产而以支付现金、转移非现金资产或者承担带 息债务形式发生的支出；</w:t>
      </w:r>
    </w:p>
    <w:p>
      <w:pPr>
        <w:pStyle w:val="BodyText"/>
        <w:spacing w:line="240" w:lineRule="auto" w:before="31"/>
        <w:ind w:left="1134" w:right="994"/>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1134" w:right="994"/>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14" w:lineRule="auto" w:before="63"/>
        <w:ind w:left="1493" w:right="994" w:hanging="360"/>
        <w:jc w:val="left"/>
      </w:pP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0"/>
        <w:ind w:right="994"/>
        <w:jc w:val="left"/>
      </w:pPr>
      <w:r>
        <w:rPr/>
        <w:t>款费用资本化。</w:t>
      </w:r>
    </w:p>
    <w:p>
      <w:pPr>
        <w:pStyle w:val="BodyText"/>
        <w:spacing w:line="300" w:lineRule="auto" w:before="76"/>
        <w:ind w:left="1493" w:right="994" w:hanging="360"/>
        <w:jc w:val="left"/>
      </w:pPr>
      <w:r>
        <w:rPr>
          <w:rFonts w:ascii="Times New Roman" w:hAnsi="Times New Roman" w:cs="Times New Roman" w:eastAsia="Times New Roman" w:hint="default"/>
        </w:rPr>
        <w:t>3.</w:t>
      </w:r>
      <w:r>
        <w:rPr/>
        <w:t>暂停资本化期间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9" w:lineRule="auto" w:before="13"/>
        <w:ind w:right="994"/>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 </w:t>
      </w:r>
      <w:r>
        <w:rPr>
          <w:rFonts w:ascii="Times New Roman" w:hAnsi="Times New Roman" w:cs="Times New Roman" w:eastAsia="Times New Roman" w:hint="default"/>
        </w:rPr>
        <w:t>4.</w:t>
      </w:r>
      <w:r>
        <w:rPr/>
        <w:t>借款费用资本化金额的计算方法</w:t>
      </w:r>
    </w:p>
    <w:p>
      <w:pPr>
        <w:pStyle w:val="BodyText"/>
        <w:spacing w:line="316" w:lineRule="auto" w:before="0"/>
        <w:ind w:left="1134" w:right="994" w:firstLine="360"/>
        <w:jc w:val="left"/>
      </w:pPr>
      <w:r>
        <w:rPr>
          <w:spacing w:val="-2"/>
        </w:rPr>
        <w:t>专门借款的利息费用（扣除尚未动用的借款资金存入银行取得的利息收入或者进行暂时性投资取得的投资收益）及其辅</w:t>
      </w:r>
      <w:r>
        <w:rPr/>
        <w:t> 助费用在所购建或者生产的符合资本化条件的资产达到预定可使用或者可销售状态前，予以资本化。</w:t>
      </w:r>
    </w:p>
    <w:p>
      <w:pPr>
        <w:pStyle w:val="BodyText"/>
        <w:spacing w:line="316" w:lineRule="auto" w:before="19"/>
        <w:ind w:right="994" w:firstLine="360"/>
        <w:jc w:val="left"/>
      </w:pPr>
      <w:r>
        <w:rPr>
          <w:spacing w:val="-2"/>
        </w:rPr>
        <w:t>根据累计资产支出超过专门借款部分的资产支出加权平均数乘以所占用一般借款的资本化率，计算确定一般借款应予资</w:t>
      </w:r>
      <w:r>
        <w:rPr/>
        <w:t> 本化的利息金额。资本化率根据一般借款加权平均利率计算确定。</w:t>
      </w:r>
    </w:p>
    <w:p>
      <w:pPr>
        <w:pStyle w:val="BodyText"/>
        <w:spacing w:line="240" w:lineRule="auto" w:before="19"/>
        <w:ind w:left="1494" w:right="994"/>
        <w:jc w:val="left"/>
      </w:pPr>
      <w:r>
        <w:rPr/>
        <w:t>借款存在折价或者溢价的，按照实际利率法确定每一会计期间应摊销的折价或者溢价金额，调整每期利息金额。</w:t>
      </w:r>
    </w:p>
    <w:p>
      <w:pPr>
        <w:spacing w:line="240" w:lineRule="auto" w:before="12"/>
        <w:rPr>
          <w:rFonts w:ascii="宋体" w:hAnsi="宋体" w:cs="宋体" w:eastAsia="宋体" w:hint="default"/>
          <w:sz w:val="26"/>
          <w:szCs w:val="26"/>
        </w:rPr>
      </w:pPr>
    </w:p>
    <w:p>
      <w:pPr>
        <w:pStyle w:val="Heading5"/>
        <w:spacing w:line="240" w:lineRule="auto"/>
        <w:ind w:right="994"/>
        <w:jc w:val="left"/>
        <w:rPr>
          <w:b w:val="0"/>
          <w:bCs w:val="0"/>
        </w:rPr>
      </w:pPr>
      <w:bookmarkStart w:name="19、生物资产" w:id="205"/>
      <w:bookmarkEnd w:id="205"/>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994"/>
        <w:jc w:val="left"/>
      </w:pPr>
      <w:r>
        <w:rPr/>
        <w:t>不适用。</w:t>
      </w:r>
    </w:p>
    <w:p>
      <w:pPr>
        <w:spacing w:line="240" w:lineRule="auto" w:before="12"/>
        <w:rPr>
          <w:rFonts w:ascii="宋体" w:hAnsi="宋体" w:cs="宋体" w:eastAsia="宋体" w:hint="default"/>
          <w:sz w:val="26"/>
          <w:szCs w:val="26"/>
        </w:rPr>
      </w:pPr>
    </w:p>
    <w:p>
      <w:pPr>
        <w:pStyle w:val="Heading5"/>
        <w:spacing w:line="240" w:lineRule="auto"/>
        <w:ind w:left="1134" w:right="994"/>
        <w:jc w:val="left"/>
        <w:rPr>
          <w:b w:val="0"/>
          <w:bCs w:val="0"/>
        </w:rPr>
      </w:pPr>
      <w:bookmarkStart w:name="20、油气资产" w:id="206"/>
      <w:bookmarkEnd w:id="206"/>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994"/>
        <w:jc w:val="left"/>
      </w:pPr>
      <w:r>
        <w:rPr/>
        <w:t>不适用。</w:t>
      </w:r>
    </w:p>
    <w:p>
      <w:pPr>
        <w:spacing w:line="240" w:lineRule="auto" w:before="12"/>
        <w:rPr>
          <w:rFonts w:ascii="宋体" w:hAnsi="宋体" w:cs="宋体" w:eastAsia="宋体" w:hint="default"/>
          <w:sz w:val="26"/>
          <w:szCs w:val="26"/>
        </w:rPr>
      </w:pPr>
    </w:p>
    <w:p>
      <w:pPr>
        <w:pStyle w:val="Heading5"/>
        <w:spacing w:line="240" w:lineRule="auto"/>
        <w:ind w:left="1134" w:right="994"/>
        <w:jc w:val="left"/>
        <w:rPr>
          <w:b w:val="0"/>
          <w:bCs w:val="0"/>
        </w:rPr>
      </w:pPr>
      <w:bookmarkStart w:name="21、无形资产" w:id="207"/>
      <w:bookmarkEnd w:id="207"/>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1）计价方法、使用寿命、减值测试" w:id="208"/>
      <w:bookmarkEnd w:id="20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134" w:right="7692"/>
        <w:jc w:val="left"/>
      </w:pPr>
      <w:r>
        <w:rPr/>
        <w:t>公司是否需要遵守特殊行业的披露要求 否</w:t>
      </w:r>
    </w:p>
    <w:p>
      <w:pPr>
        <w:pStyle w:val="BodyText"/>
        <w:spacing w:line="240" w:lineRule="auto" w:before="25"/>
        <w:ind w:left="1134" w:right="994"/>
        <w:jc w:val="left"/>
      </w:pPr>
      <w:r>
        <w:rPr>
          <w:rFonts w:ascii="Times New Roman" w:hAnsi="Times New Roman" w:cs="Times New Roman" w:eastAsia="Times New Roman" w:hint="default"/>
        </w:rPr>
        <w:t>1</w:t>
      </w:r>
      <w:r>
        <w:rPr/>
        <w:t>、无形资产的初始计量</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right="994" w:firstLine="360"/>
        <w:jc w:val="left"/>
      </w:pPr>
      <w:r>
        <w:rPr>
          <w:spacing w:val="-2"/>
        </w:rPr>
        <w:t>外购无形资产的成本，包括购买价款、相关税费以及直接归属于使该项资产达到预定用途所发生的其他支出。购买无形</w:t>
      </w:r>
      <w:r>
        <w:rPr/>
        <w:t> 资产的价款超过正常信用条件延期支付，实质上具有融资性质的，无形资产的成本以购买价款的现值为基础确定。</w:t>
      </w:r>
    </w:p>
    <w:p>
      <w:pPr>
        <w:pStyle w:val="BodyText"/>
        <w:spacing w:line="316" w:lineRule="auto" w:before="19"/>
        <w:ind w:right="994" w:firstLine="360"/>
        <w:jc w:val="left"/>
      </w:pPr>
      <w:r>
        <w:rPr>
          <w:spacing w:val="-2"/>
        </w:rPr>
        <w:t>债务重组取得债务人用以抵债的无形资产，以该无形资产的公允价值为基础确定其入账价值，并将重组债务的账面价值</w:t>
      </w:r>
      <w:r>
        <w:rPr/>
        <w:t> 与该用以抵债的无形资产公允价值之间的差额，计入当期损益。</w:t>
      </w:r>
    </w:p>
    <w:p>
      <w:pPr>
        <w:pStyle w:val="BodyText"/>
        <w:spacing w:line="316" w:lineRule="auto" w:before="19"/>
        <w:ind w:left="1134" w:right="1131" w:firstLine="360"/>
        <w:jc w:val="both"/>
      </w:pPr>
      <w:r>
        <w:rPr>
          <w:spacing w:val="-2"/>
        </w:rPr>
        <w:t>在非货币性资产交换具备商业实质且换入资产或换出资产的公允价值能够可靠计量的前提下，非货币性资产交换换入的</w:t>
      </w:r>
      <w:r>
        <w:rPr/>
        <w:t> </w:t>
      </w: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16" w:lineRule="auto" w:before="19"/>
        <w:ind w:right="994" w:firstLine="360"/>
        <w:jc w:val="left"/>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316" w:lineRule="auto" w:before="19"/>
        <w:ind w:right="994" w:firstLine="360"/>
        <w:jc w:val="left"/>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 </w:t>
      </w:r>
      <w:r>
        <w:rPr>
          <w:rFonts w:ascii="Times New Roman" w:hAnsi="Times New Roman" w:cs="Times New Roman" w:eastAsia="Times New Roman" w:hint="default"/>
        </w:rPr>
        <w:t>2</w:t>
      </w:r>
      <w:r>
        <w:rPr/>
        <w:t>、无形资产的后续计量</w:t>
      </w:r>
    </w:p>
    <w:p>
      <w:pPr>
        <w:pStyle w:val="BodyText"/>
        <w:spacing w:line="235" w:lineRule="exact" w:before="0"/>
        <w:ind w:left="1494" w:right="994"/>
        <w:jc w:val="left"/>
      </w:pPr>
      <w:r>
        <w:rPr/>
        <w:t>本公司在取得无形资产时分析判断其使用寿命，划分为使用寿命有限和使用寿命不确定的无形资产。</w:t>
      </w:r>
    </w:p>
    <w:p>
      <w:pPr>
        <w:pStyle w:val="BodyText"/>
        <w:spacing w:line="300" w:lineRule="auto" w:before="76"/>
        <w:ind w:left="1494" w:right="994" w:hanging="360"/>
        <w:jc w:val="left"/>
      </w:pPr>
      <w:r>
        <w:rPr/>
        <w:t>（</w:t>
      </w:r>
      <w:r>
        <w:rPr>
          <w:rFonts w:ascii="Times New Roman" w:hAnsi="Times New Roman" w:cs="Times New Roman" w:eastAsia="Times New Roman" w:hint="default"/>
        </w:rPr>
        <w:t>1</w:t>
      </w:r>
      <w:r>
        <w:rPr/>
        <w:t>）使用寿命有限的无形资产 </w:t>
      </w:r>
      <w:r>
        <w:rPr>
          <w:spacing w:val="-2"/>
        </w:rPr>
        <w:t>对于使用寿命有限的无形资产，在为企业带来经济利益的期限内按直线法摊销。使用寿命有限的无形资产预计寿命及依</w:t>
      </w:r>
    </w:p>
    <w:p>
      <w:pPr>
        <w:pStyle w:val="BodyText"/>
        <w:spacing w:line="240" w:lineRule="auto" w:before="31"/>
        <w:ind w:left="1134" w:right="994"/>
        <w:jc w:val="left"/>
      </w:pPr>
      <w:r>
        <w:rPr/>
        <w:t>据如下：</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2626"/>
        <w:gridCol w:w="2636"/>
        <w:gridCol w:w="3239"/>
      </w:tblGrid>
      <w:tr>
        <w:trPr>
          <w:trHeight w:val="347" w:hRule="exact"/>
        </w:trPr>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7" w:hRule="exact"/>
        </w:trPr>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按合同规定的使用年限</w:t>
            </w:r>
          </w:p>
        </w:tc>
      </w:tr>
      <w:tr>
        <w:trPr>
          <w:trHeight w:val="347" w:hRule="exact"/>
        </w:trPr>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专利及著作权</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按剩余使用年限</w:t>
            </w:r>
          </w:p>
        </w:tc>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根据预计可使用年限</w:t>
            </w:r>
          </w:p>
        </w:tc>
      </w:tr>
      <w:tr>
        <w:trPr>
          <w:trHeight w:val="348" w:hRule="exact"/>
        </w:trPr>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按剩余使用年限</w:t>
            </w:r>
          </w:p>
        </w:tc>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根据预计可使用年限</w:t>
            </w:r>
          </w:p>
        </w:tc>
      </w:tr>
      <w:tr>
        <w:trPr>
          <w:trHeight w:val="347" w:hRule="exact"/>
        </w:trPr>
        <w:tc>
          <w:tcPr>
            <w:tcW w:w="26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2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根据预计可使用年限</w:t>
            </w:r>
          </w:p>
        </w:tc>
      </w:tr>
    </w:tbl>
    <w:p>
      <w:pPr>
        <w:pStyle w:val="BodyText"/>
        <w:spacing w:line="319" w:lineRule="auto" w:before="10"/>
        <w:ind w:left="1494" w:right="1032"/>
        <w:jc w:val="left"/>
      </w:pPr>
      <w:r>
        <w:rPr/>
        <w:t>每期末，对使用寿命有限的无形资产的使用寿命及摊销方法进行复核，如与原先估计数存在差异的，进行相应的调整。 经复核，本期期末无形资产的使用寿命及摊销方法与以前估计未有不同。</w:t>
      </w:r>
    </w:p>
    <w:p>
      <w:pPr>
        <w:pStyle w:val="BodyText"/>
        <w:spacing w:line="312" w:lineRule="auto" w:before="17"/>
        <w:ind w:left="1493" w:right="3913" w:hanging="360"/>
        <w:jc w:val="left"/>
      </w:pPr>
      <w:r>
        <w:rPr/>
        <w:t>（</w:t>
      </w:r>
      <w:r>
        <w:rPr>
          <w:rFonts w:ascii="Times New Roman" w:hAnsi="Times New Roman" w:cs="Times New Roman" w:eastAsia="Times New Roman" w:hint="default"/>
        </w:rPr>
        <w:t>2</w:t>
      </w:r>
      <w:r>
        <w:rPr/>
        <w:t>）使用寿命不确定的无形资产 无法预见无形资产为企业带来经济利益期限的，视为使用寿命不确定的无形资产。 每期末，对使用寿命不确定的无形资产的使用寿命进行复核。 经复核，本公司无使用寿命不确定的无形资产。</w:t>
      </w:r>
    </w:p>
    <w:p>
      <w:pPr>
        <w:spacing w:line="240" w:lineRule="auto" w:before="10"/>
        <w:rPr>
          <w:rFonts w:ascii="宋体" w:hAnsi="宋体" w:cs="宋体" w:eastAsia="宋体" w:hint="default"/>
          <w:sz w:val="22"/>
          <w:szCs w:val="22"/>
        </w:rPr>
      </w:pPr>
    </w:p>
    <w:p>
      <w:pPr>
        <w:pStyle w:val="Heading5"/>
        <w:spacing w:line="240" w:lineRule="auto"/>
        <w:ind w:left="1134" w:right="994"/>
        <w:jc w:val="left"/>
        <w:rPr>
          <w:b w:val="0"/>
          <w:bCs w:val="0"/>
        </w:rPr>
      </w:pPr>
      <w:bookmarkStart w:name="（2）内部研究开发支出会计政策" w:id="209"/>
      <w:bookmarkEnd w:id="20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left="1493" w:right="994" w:hanging="360"/>
        <w:jc w:val="left"/>
      </w:pPr>
      <w:r>
        <w:rPr>
          <w:rFonts w:ascii="Times New Roman" w:hAnsi="Times New Roman" w:cs="Times New Roman" w:eastAsia="Times New Roman" w:hint="default"/>
        </w:rPr>
        <w:t>1</w:t>
      </w:r>
      <w:r>
        <w:rPr/>
        <w:t>、划分公司内部研究开发项目的研究阶段和开发阶段具体标准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316" w:lineRule="auto" w:before="24"/>
        <w:ind w:left="1493" w:right="5533" w:hanging="360"/>
        <w:jc w:val="left"/>
      </w:pPr>
      <w:r>
        <w:rPr/>
        <w:t>进的材料、装置、产品等活动的阶段。 内部研究开发项目研究阶段的支出，在发生时计入当期损益。</w:t>
      </w:r>
    </w:p>
    <w:p>
      <w:pPr>
        <w:pStyle w:val="BodyText"/>
        <w:spacing w:line="300" w:lineRule="auto" w:before="19"/>
        <w:ind w:left="1494" w:right="4452" w:hanging="360"/>
        <w:jc w:val="left"/>
      </w:pPr>
      <w:r>
        <w:rPr>
          <w:rFonts w:ascii="Times New Roman" w:hAnsi="Times New Roman" w:cs="Times New Roman" w:eastAsia="Times New Roman" w:hint="default"/>
        </w:rPr>
        <w:t>2</w:t>
      </w:r>
      <w:r>
        <w:rPr/>
        <w:t>、开发阶段支出符合资本化的具体标准 内部研究开发项目开发阶段的支出，同时满足下列条件时确认为无形资产：</w:t>
      </w:r>
    </w:p>
    <w:p>
      <w:pPr>
        <w:pStyle w:val="BodyText"/>
        <w:spacing w:line="240" w:lineRule="auto" w:before="31"/>
        <w:ind w:right="994"/>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right="994"/>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left="1134" w:right="1122"/>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）无形资产产生经济利益的方式，包括能够证明运用该无形资产生产的产品存在市场或无形资产自身存在市场，无形资 产将在内部使用的，能够证明其有用性；</w:t>
      </w:r>
    </w:p>
    <w:p>
      <w:pPr>
        <w:pStyle w:val="BodyText"/>
        <w:spacing w:line="240" w:lineRule="auto" w:before="31"/>
        <w:ind w:left="1134" w:right="994"/>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40" w:lineRule="auto" w:before="63"/>
        <w:ind w:left="1134" w:right="994"/>
        <w:jc w:val="left"/>
      </w:pPr>
      <w:r>
        <w:rPr/>
        <w:t>（</w:t>
      </w:r>
      <w:r>
        <w:rPr>
          <w:rFonts w:ascii="Times New Roman" w:hAnsi="Times New Roman" w:cs="Times New Roman" w:eastAsia="Times New Roman" w:hint="default"/>
        </w:rPr>
        <w:t>5</w:t>
      </w:r>
      <w:r>
        <w:rPr/>
        <w:t>）归属于该无形资产开发阶段的支出能够可靠地计量。 </w:t>
      </w:r>
      <w:r>
        <w:rPr>
          <w:spacing w:val="-4"/>
        </w:rPr>
        <w:t>不满足上述条件的开发阶段的支出，于发生时计入当期损益。以前期间已计入损益的开发支出不在以后期间重新确认为资产。</w:t>
      </w:r>
    </w:p>
    <w:p>
      <w:pPr>
        <w:spacing w:after="0" w:line="3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0"/>
        <w:jc w:val="both"/>
      </w:pPr>
      <w:r>
        <w:rPr/>
        <w:t>已资本化的开发阶段的支出在资产负债表上列示为开发支出，自该项目达到预定用途之日起转为无形资产。</w:t>
      </w:r>
    </w:p>
    <w:p>
      <w:pPr>
        <w:spacing w:line="240" w:lineRule="auto" w:before="10"/>
        <w:rPr>
          <w:rFonts w:ascii="宋体" w:hAnsi="宋体" w:cs="宋体" w:eastAsia="宋体" w:hint="default"/>
          <w:sz w:val="26"/>
          <w:szCs w:val="26"/>
        </w:rPr>
      </w:pPr>
    </w:p>
    <w:p>
      <w:pPr>
        <w:pStyle w:val="Heading5"/>
        <w:spacing w:line="240" w:lineRule="auto"/>
        <w:ind w:right="0"/>
        <w:jc w:val="both"/>
        <w:rPr>
          <w:b w:val="0"/>
          <w:bCs w:val="0"/>
        </w:rPr>
      </w:pPr>
      <w:bookmarkStart w:name="22、长期资产减值" w:id="210"/>
      <w:bookmarkEnd w:id="210"/>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8"/>
        <w:rPr>
          <w:rFonts w:ascii="宋体" w:hAnsi="宋体" w:cs="宋体" w:eastAsia="宋体" w:hint="default"/>
          <w:b/>
          <w:bCs/>
          <w:sz w:val="26"/>
          <w:szCs w:val="26"/>
        </w:rPr>
      </w:pPr>
    </w:p>
    <w:p>
      <w:pPr>
        <w:pStyle w:val="BodyText"/>
        <w:spacing w:line="316" w:lineRule="auto" w:before="0"/>
        <w:ind w:right="994" w:firstLine="360"/>
        <w:jc w:val="left"/>
      </w:pPr>
      <w:r>
        <w:rPr>
          <w:spacing w:val="-2"/>
        </w:rPr>
        <w:t>本公司在资产负债表日判断长期资产是否存在可能发生减值的迹象。如果长期资产存在减值迹象的，以单项资产为基础</w:t>
      </w:r>
      <w:r>
        <w:rPr/>
        <w:t> 估计其可收回金额；难以对单项资产的可收回金额进行估计的，以该资产所属的资产组为基础确定资产组的可收回金额。 资产可收回金额的估计，根据其公允价值减去处置费用后的净额与资产预计未来现金流量的现值两者之间较高者确定。 </w:t>
      </w:r>
      <w:r>
        <w:rPr>
          <w:spacing w:val="-2"/>
        </w:rPr>
        <w:t>可收回金额的计量结果表明，长期资产的可收回金额低于其账面价值的，将长期资产的账面价值减记至可收回金额，减记的</w:t>
      </w:r>
      <w:r>
        <w:rPr>
          <w:spacing w:val="-66"/>
        </w:rPr>
        <w:t> </w:t>
      </w:r>
      <w:r>
        <w:rPr>
          <w:spacing w:val="-66"/>
        </w:rPr>
      </w:r>
      <w:r>
        <w:rPr>
          <w:spacing w:val="-2"/>
        </w:rPr>
        <w:t>金额确认为资产减值损失，计入当期损益，同时计提相应的资产减值准备。资产减值损失一经确认，在以后会计期间不得转</w:t>
      </w:r>
      <w:r>
        <w:rPr>
          <w:spacing w:val="-66"/>
        </w:rPr>
        <w:t> </w:t>
      </w:r>
      <w:r>
        <w:rPr>
          <w:spacing w:val="-66"/>
        </w:rPr>
      </w:r>
      <w:r>
        <w:rPr/>
        <w:t>回。</w:t>
      </w:r>
    </w:p>
    <w:p>
      <w:pPr>
        <w:pStyle w:val="BodyText"/>
        <w:spacing w:line="316" w:lineRule="auto" w:before="19"/>
        <w:ind w:left="1134" w:right="994" w:firstLine="360"/>
        <w:jc w:val="left"/>
      </w:pPr>
      <w:r>
        <w:rPr>
          <w:spacing w:val="-2"/>
        </w:rPr>
        <w:t>资产减值损失确认后，减值资产的折旧或者摊销费用在未来期间作相应调整，以使该资产在剩余使用寿命内，系统地分</w:t>
      </w:r>
      <w:r>
        <w:rPr/>
        <w:t> 摊调整后的资产账面价值（扣除预计净残值）。</w:t>
      </w:r>
    </w:p>
    <w:p>
      <w:pPr>
        <w:pStyle w:val="BodyText"/>
        <w:spacing w:line="316" w:lineRule="auto" w:before="19"/>
        <w:ind w:left="1493" w:right="994"/>
        <w:jc w:val="left"/>
      </w:pPr>
      <w:r>
        <w:rPr/>
        <w:t>因企业合并所形成的商誉和使用寿命不确定的无形资产，无论是否存在减值迹象，每年都进行减值测试。 </w:t>
      </w:r>
      <w:r>
        <w:rPr>
          <w:spacing w:val="-2"/>
        </w:rPr>
        <w:t>在对商誉进行减值测试时，将商誉的账面价值分摊至预期从企业合并的协同效应中受益的资产组或资产组组合。在对包</w:t>
      </w:r>
    </w:p>
    <w:p>
      <w:pPr>
        <w:pStyle w:val="BodyText"/>
        <w:spacing w:line="316" w:lineRule="auto" w:before="19"/>
        <w:ind w:right="1131"/>
        <w:jc w:val="both"/>
      </w:pPr>
      <w:r>
        <w:rPr>
          <w:spacing w:val="-2"/>
        </w:rPr>
        <w:t>含商誉的相关资产组或者资产组组合进行减值测试时，如与商誉相关的资产组或者资产组组合存在减值迹象的，先对不包含</w:t>
      </w:r>
      <w:r>
        <w:rPr>
          <w:spacing w:val="-64"/>
        </w:rPr>
        <w:t> </w:t>
      </w:r>
      <w:r>
        <w:rPr>
          <w:spacing w:val="-64"/>
        </w:rPr>
      </w:r>
      <w:r>
        <w:rPr>
          <w:spacing w:val="-2"/>
        </w:rPr>
        <w:t>商誉的资产组或者资产组组合进行减值测试，计算可收回金额，并与相关账面价值相比较，确认相应的减值损失。再对包含</w:t>
      </w:r>
      <w:r>
        <w:rPr>
          <w:spacing w:val="-66"/>
        </w:rPr>
        <w:t> </w:t>
      </w:r>
      <w:r>
        <w:rPr>
          <w:spacing w:val="-66"/>
        </w:rPr>
      </w:r>
      <w:r>
        <w:rPr>
          <w:spacing w:val="-2"/>
        </w:rPr>
        <w:t>商誉的资产组或者资产组组合进行减值测试，比较这些相关资产组或者资产组组合的账面价值（包括所分摊的商誉的账面价</w:t>
      </w:r>
      <w:r>
        <w:rPr>
          <w:spacing w:val="-64"/>
        </w:rPr>
        <w:t> </w:t>
      </w:r>
      <w:r>
        <w:rPr>
          <w:spacing w:val="-64"/>
        </w:rPr>
      </w:r>
      <w:r>
        <w:rPr/>
        <w:t>值部分）与其可收回金额，如相关资产组或者资产组组合的可收回金额低于其账面价值的，确认商誉的减值损失。</w:t>
      </w:r>
    </w:p>
    <w:p>
      <w:pPr>
        <w:spacing w:line="240" w:lineRule="auto" w:before="7"/>
        <w:rPr>
          <w:rFonts w:ascii="宋体" w:hAnsi="宋体" w:cs="宋体" w:eastAsia="宋体" w:hint="default"/>
          <w:sz w:val="22"/>
          <w:szCs w:val="22"/>
        </w:rPr>
      </w:pPr>
    </w:p>
    <w:p>
      <w:pPr>
        <w:pStyle w:val="Heading5"/>
        <w:spacing w:line="240" w:lineRule="auto"/>
        <w:ind w:right="0"/>
        <w:jc w:val="both"/>
        <w:rPr>
          <w:b w:val="0"/>
          <w:bCs w:val="0"/>
        </w:rPr>
      </w:pPr>
      <w:bookmarkStart w:name="23、长期待摊费用" w:id="211"/>
      <w:bookmarkEnd w:id="211"/>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0"/>
        <w:jc w:val="both"/>
      </w:pPr>
      <w:r>
        <w:rPr>
          <w:rFonts w:ascii="Times New Roman" w:hAnsi="Times New Roman" w:cs="Times New Roman" w:eastAsia="Times New Roman" w:hint="default"/>
        </w:rPr>
        <w:t>1</w:t>
      </w:r>
      <w:r>
        <w:rPr/>
        <w:t>、摊销方法</w:t>
      </w:r>
    </w:p>
    <w:p>
      <w:pPr>
        <w:pStyle w:val="BodyText"/>
        <w:spacing w:line="300" w:lineRule="auto" w:before="63"/>
        <w:ind w:right="1123" w:firstLine="360"/>
        <w:jc w:val="left"/>
      </w:pPr>
      <w:r>
        <w:rPr/>
        <w:t>长期待摊费用，是指本公司已经发生但应由本期和以后各期负担的分摊期限在</w:t>
      </w:r>
      <w:r>
        <w:rPr>
          <w:rFonts w:ascii="Times New Roman" w:hAnsi="Times New Roman" w:cs="Times New Roman" w:eastAsia="Times New Roman" w:hint="default"/>
        </w:rPr>
        <w:t>1</w:t>
      </w:r>
      <w:r>
        <w:rPr/>
        <w:t>年以上的各项费用。长期待摊费用在受 益期内按直线法分期摊销。</w:t>
      </w:r>
    </w:p>
    <w:p>
      <w:pPr>
        <w:pStyle w:val="BodyText"/>
        <w:spacing w:line="240" w:lineRule="auto" w:before="31"/>
        <w:ind w:right="0"/>
        <w:jc w:val="both"/>
      </w:pPr>
      <w:r>
        <w:rPr>
          <w:rFonts w:ascii="Times New Roman" w:hAnsi="Times New Roman" w:cs="Times New Roman" w:eastAsia="Times New Roman" w:hint="default"/>
        </w:rPr>
        <w:t>2</w:t>
      </w:r>
      <w:r>
        <w:rPr/>
        <w:t>、摊销期限</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4114"/>
        <w:gridCol w:w="4241"/>
      </w:tblGrid>
      <w:tr>
        <w:trPr>
          <w:trHeight w:val="347" w:hRule="exact"/>
        </w:trPr>
        <w:tc>
          <w:tcPr>
            <w:tcW w:w="4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47" w:hRule="exact"/>
        </w:trPr>
        <w:tc>
          <w:tcPr>
            <w:tcW w:w="4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48" w:hRule="exact"/>
        </w:trPr>
        <w:tc>
          <w:tcPr>
            <w:tcW w:w="4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模具费</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宋体" w:hAnsi="宋体" w:cs="宋体" w:eastAsia="宋体" w:hint="default"/>
                <w:sz w:val="18"/>
                <w:szCs w:val="18"/>
              </w:rPr>
              <w:t>年</w:t>
            </w:r>
          </w:p>
        </w:tc>
      </w:tr>
      <w:tr>
        <w:trPr>
          <w:trHeight w:val="347" w:hRule="exact"/>
        </w:trPr>
        <w:tc>
          <w:tcPr>
            <w:tcW w:w="4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347" w:hRule="exact"/>
        </w:trPr>
        <w:tc>
          <w:tcPr>
            <w:tcW w:w="4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地图平台服务费</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r>
        <w:trPr>
          <w:trHeight w:val="348" w:hRule="exact"/>
        </w:trPr>
        <w:tc>
          <w:tcPr>
            <w:tcW w:w="4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2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5"/>
        <w:spacing w:line="240" w:lineRule="auto" w:before="35"/>
        <w:ind w:left="1134" w:right="994"/>
        <w:jc w:val="left"/>
        <w:rPr>
          <w:b w:val="0"/>
          <w:bCs w:val="0"/>
        </w:rPr>
      </w:pPr>
      <w:bookmarkStart w:name="24、职工薪酬" w:id="212"/>
      <w:bookmarkEnd w:id="212"/>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1）短期薪酬的会计处理方法" w:id="213"/>
      <w:bookmarkEnd w:id="21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1134" w:right="1131" w:firstLine="360"/>
        <w:jc w:val="both"/>
      </w:pPr>
      <w:r>
        <w:rPr>
          <w:spacing w:val="-2"/>
        </w:rPr>
        <w:t>短期薪酬是指本公司在职工提供相关服务的年度报告期间结束后十二个月内需要全部予以支付的职工薪酬，离职后福利</w:t>
      </w:r>
      <w:r>
        <w:rPr/>
        <w:t> </w:t>
      </w:r>
      <w:r>
        <w:rPr>
          <w:spacing w:val="-2"/>
        </w:rPr>
        <w:t>和辞退福利除外。本公司在职工提供服务的会计期间，将应付的短期薪酬确认为负债，并根据职工提供服务的受益对象计入</w:t>
      </w:r>
      <w:r>
        <w:rPr>
          <w:spacing w:val="-66"/>
        </w:rPr>
        <w:t> </w:t>
      </w:r>
      <w:r>
        <w:rPr>
          <w:spacing w:val="-66"/>
        </w:rPr>
      </w:r>
      <w:r>
        <w:rPr/>
        <w:t>相关资产成本和费用。</w:t>
      </w:r>
    </w:p>
    <w:p>
      <w:pPr>
        <w:spacing w:line="240" w:lineRule="auto" w:before="7"/>
        <w:rPr>
          <w:rFonts w:ascii="宋体" w:hAnsi="宋体" w:cs="宋体" w:eastAsia="宋体" w:hint="default"/>
          <w:sz w:val="22"/>
          <w:szCs w:val="22"/>
        </w:rPr>
      </w:pPr>
    </w:p>
    <w:p>
      <w:pPr>
        <w:pStyle w:val="Heading5"/>
        <w:spacing w:line="240" w:lineRule="auto"/>
        <w:ind w:left="1134" w:right="994"/>
        <w:jc w:val="left"/>
        <w:rPr>
          <w:b w:val="0"/>
          <w:bCs w:val="0"/>
        </w:rPr>
      </w:pPr>
      <w:bookmarkStart w:name="（2）离职后福利的会计处理方法" w:id="214"/>
      <w:bookmarkEnd w:id="21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494" w:right="994"/>
        <w:jc w:val="left"/>
      </w:pPr>
      <w:r>
        <w:rPr/>
        <w:t>离职后福利是指本公司为获得职工提供的服务而在职工退休或与企业解除劳动关系后，提供的各种形式的报酬和福利，</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ind w:left="1493" w:right="6613" w:hanging="360"/>
        <w:jc w:val="left"/>
      </w:pPr>
      <w:r>
        <w:rPr/>
        <w:t>短期薪酬和辞退福利除外。 本公司的离职后福利计划全部为设定提存计划。</w:t>
      </w:r>
    </w:p>
    <w:p>
      <w:pPr>
        <w:pStyle w:val="BodyText"/>
        <w:spacing w:line="316" w:lineRule="auto" w:before="19"/>
        <w:ind w:right="994" w:firstLine="360"/>
        <w:jc w:val="left"/>
      </w:pPr>
      <w:r>
        <w:rPr>
          <w:spacing w:val="-2"/>
        </w:rPr>
        <w:t>离职后福利设定提存计划主要为参加由各地劳动及社会保障机构组织实施的社会基本养老保险、失业保险等；在职工为</w:t>
      </w:r>
      <w:r>
        <w:rPr/>
        <w:t> 本公司提供服务的会计期间，将根据设定提存计划计算的应缴存金额确认为负债，并计入当期损益或相关资产成本。</w:t>
      </w:r>
    </w:p>
    <w:p>
      <w:pPr>
        <w:pStyle w:val="BodyText"/>
        <w:spacing w:line="240" w:lineRule="auto" w:before="19"/>
        <w:ind w:left="1493" w:right="994"/>
        <w:jc w:val="left"/>
      </w:pPr>
      <w:r>
        <w:rPr/>
        <w:t>本公司按照国家规定的标准定期缴付上述款项后，不再有其他的支付义务。</w:t>
      </w:r>
    </w:p>
    <w:p>
      <w:pPr>
        <w:spacing w:line="240" w:lineRule="auto" w:before="12"/>
        <w:rPr>
          <w:rFonts w:ascii="宋体" w:hAnsi="宋体" w:cs="宋体" w:eastAsia="宋体" w:hint="default"/>
          <w:sz w:val="26"/>
          <w:szCs w:val="26"/>
        </w:rPr>
      </w:pPr>
    </w:p>
    <w:p>
      <w:pPr>
        <w:pStyle w:val="Heading5"/>
        <w:spacing w:line="240" w:lineRule="auto"/>
        <w:ind w:right="994"/>
        <w:jc w:val="left"/>
        <w:rPr>
          <w:b w:val="0"/>
          <w:bCs w:val="0"/>
        </w:rPr>
      </w:pPr>
      <w:bookmarkStart w:name="（3）辞退福利的会计处理方法" w:id="215"/>
      <w:bookmarkEnd w:id="21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994" w:firstLine="360"/>
        <w:jc w:val="left"/>
      </w:pPr>
      <w:r>
        <w:rPr/>
        <w:t>辞退福利是指本公司在职工劳动合同到期之前解除与职工的劳动关系，或者为鼓励职工自愿接受裁减而给予职工的补 </w:t>
      </w:r>
      <w:r>
        <w:rPr>
          <w:spacing w:val="-2"/>
        </w:rPr>
        <w:t>偿，在本公司不能单方面撤回解除劳动关系计划或裁减建议时和确认与涉及支付辞退福利的重组相关的成本费用时两者孰早</w:t>
      </w:r>
      <w:r>
        <w:rPr>
          <w:spacing w:val="-64"/>
        </w:rPr>
        <w:t> </w:t>
      </w:r>
      <w:r>
        <w:rPr>
          <w:spacing w:val="-64"/>
        </w:rPr>
      </w:r>
      <w:r>
        <w:rPr/>
        <w:t>日，确认因解除与职工的劳动关系给予补偿而产生的负债，同时计入当期损益。</w:t>
      </w:r>
    </w:p>
    <w:p>
      <w:pPr>
        <w:pStyle w:val="BodyText"/>
        <w:spacing w:line="316" w:lineRule="auto" w:before="19"/>
        <w:ind w:right="994" w:firstLine="360"/>
        <w:jc w:val="left"/>
      </w:pPr>
      <w:r>
        <w:rPr>
          <w:spacing w:val="-2"/>
        </w:rPr>
        <w:t>本公司向接受内部退休安排的职工提供内退福利。内退福利是指，向未达到国家规定的退休年龄、经本公司管理层批准</w:t>
      </w:r>
      <w:r>
        <w:rPr/>
        <w:t> </w:t>
      </w:r>
      <w:r>
        <w:rPr>
          <w:spacing w:val="-2"/>
        </w:rPr>
        <w:t>自愿退出工作岗位的职工支付的工资及为其缴纳的社会保险费等。本公司自内部退休安排开始之日起至职工达到正常退休年</w:t>
      </w:r>
      <w:r>
        <w:rPr>
          <w:spacing w:val="-64"/>
        </w:rPr>
        <w:t> </w:t>
      </w:r>
      <w:r>
        <w:rPr>
          <w:spacing w:val="-64"/>
        </w:rPr>
      </w:r>
      <w:r>
        <w:rPr>
          <w:spacing w:val="-4"/>
        </w:rPr>
        <w:t>龄止，向内退职工支付内部退养福利。对于内退福利，本公司比照辞退福利进行会计处理，在符合辞退福利相关确认条件时，</w:t>
      </w:r>
      <w:r>
        <w:rPr>
          <w:spacing w:val="-46"/>
        </w:rPr>
        <w:t> </w:t>
      </w:r>
      <w:r>
        <w:rPr>
          <w:spacing w:val="-46"/>
        </w:rPr>
      </w:r>
      <w:r>
        <w:rPr>
          <w:spacing w:val="-2"/>
        </w:rPr>
        <w:t>将自职工停止提供服务日至正常退休日期间拟支付的内退职工工资和缴纳的社会保险费等，确认为负债，一次性计入当期损</w:t>
      </w:r>
      <w:r>
        <w:rPr>
          <w:spacing w:val="-64"/>
        </w:rPr>
        <w:t> </w:t>
      </w:r>
      <w:r>
        <w:rPr>
          <w:spacing w:val="-64"/>
        </w:rPr>
      </w:r>
      <w:r>
        <w:rPr/>
        <w:t>益。内退福利的精算假设变化及福利标准调整引起的差异于发生时计入当期损益。</w:t>
      </w:r>
    </w:p>
    <w:p>
      <w:pPr>
        <w:spacing w:line="240" w:lineRule="auto" w:before="7"/>
        <w:rPr>
          <w:rFonts w:ascii="宋体" w:hAnsi="宋体" w:cs="宋体" w:eastAsia="宋体" w:hint="default"/>
          <w:sz w:val="22"/>
          <w:szCs w:val="22"/>
        </w:rPr>
      </w:pPr>
    </w:p>
    <w:p>
      <w:pPr>
        <w:pStyle w:val="Heading5"/>
        <w:spacing w:line="240" w:lineRule="auto"/>
        <w:ind w:right="994"/>
        <w:jc w:val="left"/>
        <w:rPr>
          <w:b w:val="0"/>
          <w:bCs w:val="0"/>
        </w:rPr>
      </w:pPr>
      <w:bookmarkStart w:name="（4）其他长期职工福利的会计处理方法" w:id="216"/>
      <w:bookmarkEnd w:id="21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493" w:right="994"/>
        <w:jc w:val="left"/>
      </w:pPr>
      <w:r>
        <w:rPr/>
        <w:t>其他长期职工福利是指除短期薪酬、离职后福利、辞退福利之外的其他所有职工福利。</w:t>
      </w:r>
    </w:p>
    <w:p>
      <w:pPr>
        <w:spacing w:line="240" w:lineRule="auto" w:before="12"/>
        <w:rPr>
          <w:rFonts w:ascii="宋体" w:hAnsi="宋体" w:cs="宋体" w:eastAsia="宋体" w:hint="default"/>
          <w:sz w:val="26"/>
          <w:szCs w:val="26"/>
        </w:rPr>
      </w:pPr>
    </w:p>
    <w:p>
      <w:pPr>
        <w:pStyle w:val="Heading5"/>
        <w:spacing w:line="240" w:lineRule="auto"/>
        <w:ind w:right="994"/>
        <w:jc w:val="left"/>
        <w:rPr>
          <w:b w:val="0"/>
          <w:bCs w:val="0"/>
        </w:rPr>
      </w:pPr>
      <w:bookmarkStart w:name="25、预计负债" w:id="217"/>
      <w:bookmarkEnd w:id="217"/>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14" w:lineRule="auto" w:before="0"/>
        <w:ind w:left="1493" w:right="4813" w:hanging="360"/>
        <w:jc w:val="left"/>
      </w:pPr>
      <w:r>
        <w:rPr>
          <w:rFonts w:ascii="Times New Roman" w:hAnsi="Times New Roman" w:cs="Times New Roman" w:eastAsia="Times New Roman" w:hint="default"/>
        </w:rPr>
        <w:t>1.</w:t>
      </w:r>
      <w:r>
        <w:rPr/>
        <w:t>预计负债的确认标准 与或有事项相关的义务同时满足下列条件时，本公司确认为预计负债： 该义务是本公司承担的现时义务； 履行该义务很可能导致经济利益流出本公司； 该义务的金额能够可靠地计量。</w:t>
      </w:r>
    </w:p>
    <w:p>
      <w:pPr>
        <w:pStyle w:val="BodyText"/>
        <w:spacing w:line="300" w:lineRule="auto" w:before="20"/>
        <w:ind w:left="1493" w:right="4273" w:hanging="360"/>
        <w:jc w:val="left"/>
      </w:pPr>
      <w:r>
        <w:rPr>
          <w:rFonts w:ascii="Times New Roman" w:hAnsi="Times New Roman" w:cs="Times New Roman" w:eastAsia="Times New Roman" w:hint="default"/>
        </w:rPr>
        <w:t>2.</w:t>
      </w:r>
      <w:r>
        <w:rPr/>
        <w:t>预计负债的计量方法 本公司预计负债按履行相关现时义务所需的支出的最佳估计数进行初始计量。</w:t>
      </w:r>
    </w:p>
    <w:p>
      <w:pPr>
        <w:pStyle w:val="BodyText"/>
        <w:spacing w:line="316" w:lineRule="auto" w:before="31"/>
        <w:ind w:right="994" w:firstLine="360"/>
        <w:jc w:val="left"/>
      </w:pPr>
      <w:r>
        <w:rPr>
          <w:spacing w:val="-2"/>
        </w:rPr>
        <w:t>本公司在确定最佳估计数时，综合考虑与或有事项有关的风险、不确定性和货币时间价值等因素。对于货币时间价值影</w:t>
      </w:r>
      <w:r>
        <w:rPr/>
        <w:t> 响重大的，通过对相关未来现金流出进行折现后确定最佳估计数。</w:t>
      </w:r>
    </w:p>
    <w:p>
      <w:pPr>
        <w:pStyle w:val="BodyText"/>
        <w:spacing w:line="316" w:lineRule="auto" w:before="19"/>
        <w:ind w:left="1493" w:right="994"/>
        <w:jc w:val="left"/>
      </w:pPr>
      <w:r>
        <w:rPr/>
        <w:t>最佳估计数分别以下情况处理： </w:t>
      </w:r>
      <w:r>
        <w:rPr>
          <w:spacing w:val="-2"/>
        </w:rPr>
        <w:t>所需支出存在一个连续范围（或区间），且该范围内各种结果发生的可能性相同的，则最佳估计数按照该范围的中间值</w:t>
      </w:r>
    </w:p>
    <w:p>
      <w:pPr>
        <w:pStyle w:val="BodyText"/>
        <w:spacing w:line="316" w:lineRule="auto" w:before="19"/>
        <w:ind w:left="1493" w:right="994" w:hanging="360"/>
        <w:jc w:val="left"/>
      </w:pPr>
      <w:r>
        <w:rPr/>
        <w:t>即上下限金额的平均数确定。 </w:t>
      </w:r>
      <w:r>
        <w:rPr>
          <w:spacing w:val="-2"/>
        </w:rPr>
        <w:t>所需支出不存在一个连续范围（或区间），或虽然存在一个连续范围但该范围内各种结果发生的可能性不相同的，如或</w:t>
      </w:r>
    </w:p>
    <w:p>
      <w:pPr>
        <w:pStyle w:val="BodyText"/>
        <w:spacing w:line="316" w:lineRule="auto" w:before="19"/>
        <w:ind w:right="994"/>
        <w:jc w:val="left"/>
      </w:pPr>
      <w:r>
        <w:rPr>
          <w:spacing w:val="-2"/>
        </w:rPr>
        <w:t>有事项涉及单个项目的，则最佳估计数按照最可能发生金额确定；如或有事项涉及多个项目的，则最佳估计数按各种可能结</w:t>
      </w:r>
      <w:r>
        <w:rPr>
          <w:spacing w:val="-66"/>
        </w:rPr>
        <w:t> </w:t>
      </w:r>
      <w:r>
        <w:rPr>
          <w:spacing w:val="-66"/>
        </w:rPr>
      </w:r>
      <w:r>
        <w:rPr/>
        <w:t>果及相关概率计算确定。</w:t>
      </w:r>
    </w:p>
    <w:p>
      <w:pPr>
        <w:pStyle w:val="BodyText"/>
        <w:spacing w:line="316" w:lineRule="auto" w:before="19"/>
        <w:ind w:right="1033" w:firstLine="360"/>
        <w:jc w:val="left"/>
      </w:pPr>
      <w:r>
        <w:rPr/>
        <w:t>本公司清偿预计负债所需支出全部或部分预期由第三方补偿的，补偿金额在基本确定能够收到时，作为资产单独确认， 确认的补偿金额不超过预计负债的账面价值。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6"/>
        <w:ind w:right="994"/>
        <w:jc w:val="left"/>
        <w:rPr>
          <w:b w:val="0"/>
          <w:bCs w:val="0"/>
        </w:rPr>
      </w:pPr>
      <w:bookmarkStart w:name="26、股份支付" w:id="218"/>
      <w:bookmarkEnd w:id="218"/>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134" w:right="994"/>
        <w:jc w:val="left"/>
      </w:pPr>
      <w:r>
        <w:rPr>
          <w:rFonts w:ascii="Times New Roman" w:hAnsi="Times New Roman" w:cs="Times New Roman" w:eastAsia="Times New Roman" w:hint="default"/>
        </w:rPr>
        <w:t>1.</w:t>
      </w:r>
      <w:r>
        <w:rPr/>
        <w:t>股份支付的种类</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ind w:left="247" w:right="3403"/>
        <w:jc w:val="center"/>
      </w:pPr>
      <w:r>
        <w:rPr/>
        <w:t>本公司的股份支付分为以权益结算的股份支付和以现金结算的股份支付。</w:t>
      </w:r>
    </w:p>
    <w:p>
      <w:pPr>
        <w:pStyle w:val="BodyText"/>
        <w:spacing w:line="300" w:lineRule="auto" w:before="76"/>
        <w:ind w:left="1493" w:right="994" w:hanging="360"/>
        <w:jc w:val="left"/>
      </w:pPr>
      <w:r>
        <w:rPr>
          <w:rFonts w:ascii="Times New Roman" w:hAnsi="Times New Roman" w:cs="Times New Roman" w:eastAsia="Times New Roman" w:hint="default"/>
        </w:rPr>
        <w:t>2.</w:t>
      </w:r>
      <w:r>
        <w:rPr/>
        <w:t>权益工具公允价值的确定方法 </w:t>
      </w:r>
      <w:r>
        <w:rPr>
          <w:spacing w:val="-2"/>
        </w:rPr>
        <w:t>对于授予的存在活跃市场的期权等权益工具，按照活跃市场中的报价确定其公允价值。对于授予的不存在活跃市场的期</w:t>
      </w:r>
    </w:p>
    <w:p>
      <w:pPr>
        <w:pStyle w:val="BodyText"/>
        <w:spacing w:line="300" w:lineRule="auto" w:before="31"/>
        <w:ind w:right="994"/>
        <w:jc w:val="left"/>
      </w:pPr>
      <w:r>
        <w:rPr>
          <w:spacing w:val="-2"/>
        </w:rPr>
        <w:t>权等权益工具，采用期权定价模型等确定其公允价值，选用的期权定价模型考虑以下因素：（</w:t>
      </w:r>
      <w:r>
        <w:rPr>
          <w:rFonts w:ascii="Times New Roman" w:hAnsi="Times New Roman" w:cs="Times New Roman" w:eastAsia="Times New Roman" w:hint="default"/>
          <w:spacing w:val="-2"/>
        </w:rPr>
        <w:t>1</w:t>
      </w:r>
      <w:r>
        <w:rPr>
          <w:spacing w:val="-2"/>
        </w:rPr>
        <w:t>）期权的行权价格；（</w:t>
      </w:r>
      <w:r>
        <w:rPr>
          <w:rFonts w:ascii="Times New Roman" w:hAnsi="Times New Roman" w:cs="Times New Roman" w:eastAsia="Times New Roman" w:hint="default"/>
          <w:spacing w:val="-2"/>
        </w:rPr>
        <w:t>2</w:t>
      </w:r>
      <w:r>
        <w:rPr>
          <w:spacing w:val="-2"/>
        </w:rPr>
        <w:t>）期</w:t>
      </w:r>
      <w:r>
        <w:rPr>
          <w:spacing w:val="-76"/>
        </w:rPr>
        <w:t> </w:t>
      </w:r>
      <w:r>
        <w:rPr>
          <w:spacing w:val="-4"/>
        </w:rPr>
        <w:t>权的有效期；（</w:t>
      </w:r>
      <w:r>
        <w:rPr>
          <w:rFonts w:ascii="Times New Roman" w:hAnsi="Times New Roman" w:cs="Times New Roman" w:eastAsia="Times New Roman" w:hint="default"/>
          <w:spacing w:val="-4"/>
        </w:rPr>
        <w:t>3</w:t>
      </w:r>
      <w:r>
        <w:rPr>
          <w:spacing w:val="-4"/>
        </w:rPr>
        <w:t>）标的股份的现行价格；（</w:t>
      </w:r>
      <w:r>
        <w:rPr>
          <w:rFonts w:ascii="Times New Roman" w:hAnsi="Times New Roman" w:cs="Times New Roman" w:eastAsia="Times New Roman" w:hint="default"/>
          <w:spacing w:val="-4"/>
        </w:rPr>
        <w:t>4</w:t>
      </w:r>
      <w:r>
        <w:rPr>
          <w:spacing w:val="-4"/>
        </w:rPr>
        <w:t>）股价预计波动率；（</w:t>
      </w:r>
      <w:r>
        <w:rPr>
          <w:rFonts w:ascii="Times New Roman" w:hAnsi="Times New Roman" w:cs="Times New Roman" w:eastAsia="Times New Roman" w:hint="default"/>
          <w:spacing w:val="-4"/>
        </w:rPr>
        <w:t>5</w:t>
      </w:r>
      <w:r>
        <w:rPr>
          <w:spacing w:val="-4"/>
        </w:rPr>
        <w:t>）股份的预计股利；（</w:t>
      </w:r>
      <w:r>
        <w:rPr>
          <w:rFonts w:ascii="Times New Roman" w:hAnsi="Times New Roman" w:cs="Times New Roman" w:eastAsia="Times New Roman" w:hint="default"/>
          <w:spacing w:val="-4"/>
        </w:rPr>
        <w:t>6</w:t>
      </w:r>
      <w:r>
        <w:rPr>
          <w:spacing w:val="-4"/>
        </w:rPr>
        <w:t>）期权有效期内的无风险利率。</w:t>
      </w:r>
    </w:p>
    <w:p>
      <w:pPr>
        <w:pStyle w:val="BodyText"/>
        <w:spacing w:line="316" w:lineRule="auto" w:before="13"/>
        <w:ind w:right="1131" w:firstLine="360"/>
        <w:jc w:val="both"/>
      </w:pPr>
      <w:r>
        <w:rPr>
          <w:spacing w:val="-2"/>
        </w:rPr>
        <w:t>在确定权益工具授予日的公允价值时，考虑股份支付协议规定的可行权条件中的市场条件和非可行权条件的影响。股份</w:t>
      </w:r>
      <w:r>
        <w:rPr/>
        <w:t> </w:t>
      </w:r>
      <w:r>
        <w:rPr>
          <w:spacing w:val="-2"/>
        </w:rPr>
        <w:t>支付存在非可行权条件的，只要职工或其他方满足了所有可行权条件中的非市场条件（如服务期限等），即确认已得到服务</w:t>
      </w:r>
      <w:r>
        <w:rPr>
          <w:spacing w:val="-66"/>
        </w:rPr>
        <w:t> </w:t>
      </w:r>
      <w:r>
        <w:rPr>
          <w:spacing w:val="-66"/>
        </w:rPr>
      </w:r>
      <w:r>
        <w:rPr/>
        <w:t>相对应的成本费用。</w:t>
      </w:r>
    </w:p>
    <w:p>
      <w:pPr>
        <w:pStyle w:val="BodyText"/>
        <w:spacing w:line="300" w:lineRule="auto" w:before="19"/>
        <w:ind w:left="1493" w:right="994" w:hanging="360"/>
        <w:jc w:val="left"/>
      </w:pPr>
      <w:r>
        <w:rPr>
          <w:rFonts w:ascii="Times New Roman" w:hAnsi="Times New Roman" w:cs="Times New Roman" w:eastAsia="Times New Roman" w:hint="default"/>
        </w:rPr>
        <w:t>3.</w:t>
      </w:r>
      <w:r>
        <w:rPr/>
        <w:t>确定可行权权益工具最佳估计的依据 </w:t>
      </w:r>
      <w:r>
        <w:rPr>
          <w:spacing w:val="-2"/>
        </w:rPr>
        <w:t>等待期内每个资产负债表日，根据最新取得的可行权职工人数变动等后续信息作出最佳估计，修正预计可行权的权益工</w:t>
      </w:r>
    </w:p>
    <w:p>
      <w:pPr>
        <w:pStyle w:val="BodyText"/>
        <w:spacing w:line="240" w:lineRule="auto" w:before="31"/>
        <w:ind w:right="994"/>
        <w:jc w:val="left"/>
      </w:pPr>
      <w:r>
        <w:rPr/>
        <w:t>具数量。在可行权日，最终预计可行权权益工具的数量与实际可行权数量一致。</w:t>
      </w:r>
    </w:p>
    <w:p>
      <w:pPr>
        <w:pStyle w:val="BodyText"/>
        <w:spacing w:line="300" w:lineRule="auto" w:before="76"/>
        <w:ind w:left="1493" w:right="994" w:hanging="360"/>
        <w:jc w:val="left"/>
      </w:pPr>
      <w:r>
        <w:rPr>
          <w:rFonts w:ascii="Times New Roman" w:hAnsi="Times New Roman" w:cs="Times New Roman" w:eastAsia="Times New Roman" w:hint="default"/>
        </w:rPr>
        <w:t>4.</w:t>
      </w:r>
      <w:r>
        <w:rPr/>
        <w:t>会计处理方法 </w:t>
      </w:r>
      <w:r>
        <w:rPr>
          <w:spacing w:val="-2"/>
        </w:rPr>
        <w:t>以权益结算的股份支付，按授予职工权益工具的公允价值计量。授予后立即可行权的，在授予日按照权益工具的公允价</w:t>
      </w:r>
    </w:p>
    <w:p>
      <w:pPr>
        <w:pStyle w:val="BodyText"/>
        <w:spacing w:line="316" w:lineRule="auto" w:before="31"/>
        <w:ind w:right="1132"/>
        <w:jc w:val="both"/>
      </w:pPr>
      <w:r>
        <w:rPr>
          <w:spacing w:val="-2"/>
        </w:rPr>
        <w:t>值计入相关成本或费用，相应增加资本公积。在完成等待期内的服务或达到规定业绩条件才可行权的，在等待期内的每个资</w:t>
      </w:r>
      <w:r>
        <w:rPr>
          <w:spacing w:val="-66"/>
        </w:rPr>
        <w:t> </w:t>
      </w:r>
      <w:r>
        <w:rPr>
          <w:spacing w:val="-66"/>
        </w:rPr>
      </w:r>
      <w:r>
        <w:rPr>
          <w:spacing w:val="-2"/>
        </w:rPr>
        <w:t>产负债表日，以对可行权权益工具数量的最佳估计为基础，按照权益工具授予日的公允价值，将当期取得的服务计入相关成</w:t>
      </w:r>
      <w:r>
        <w:rPr>
          <w:spacing w:val="-66"/>
        </w:rPr>
        <w:t> </w:t>
      </w:r>
      <w:r>
        <w:rPr>
          <w:spacing w:val="-66"/>
        </w:rPr>
      </w:r>
      <w:r>
        <w:rPr/>
        <w:t>本或费用和资本公积。在可行权日之后不再对已确认的相关成本或费用和所有者权益总额进行调整。</w:t>
      </w:r>
    </w:p>
    <w:p>
      <w:pPr>
        <w:pStyle w:val="BodyText"/>
        <w:spacing w:line="316" w:lineRule="auto" w:before="19"/>
        <w:ind w:right="1131" w:firstLine="360"/>
        <w:jc w:val="both"/>
      </w:pPr>
      <w:r>
        <w:rPr>
          <w:spacing w:val="-2"/>
        </w:rPr>
        <w:t>以现金结算的股份支付，按照本公司承担的以股份或其他权益工具为基础计算确定的负债的公允价值计量。授予后立即</w:t>
      </w:r>
      <w:r>
        <w:rPr/>
        <w:t> </w:t>
      </w:r>
      <w:r>
        <w:rPr>
          <w:spacing w:val="-2"/>
        </w:rPr>
        <w:t>可行权的，在授予日以本公司承担负债的公允价值计入相关成本或费用，相应增加负债。在完成等待期内的服务或达到规定</w:t>
      </w:r>
      <w:r>
        <w:rPr>
          <w:spacing w:val="-66"/>
        </w:rPr>
        <w:t> </w:t>
      </w:r>
      <w:r>
        <w:rPr>
          <w:spacing w:val="-66"/>
        </w:rPr>
      </w:r>
      <w:r>
        <w:rPr>
          <w:spacing w:val="-2"/>
        </w:rPr>
        <w:t>业绩条件以后才可行权的以现金结算的股份支付，在等待期内的每个资产负债表日，以对可行权情况的最佳估计为基础，按</w:t>
      </w:r>
      <w:r>
        <w:rPr>
          <w:spacing w:val="-66"/>
        </w:rPr>
        <w:t> </w:t>
      </w:r>
      <w:r>
        <w:rPr>
          <w:spacing w:val="-66"/>
        </w:rPr>
      </w:r>
      <w:r>
        <w:rPr>
          <w:spacing w:val="-2"/>
        </w:rPr>
        <w:t>照本公司承担负债的公允价值金额，将当期取得的服务计入成本或费用和相应的负债。在相关负债结算前的每个资产负债表</w:t>
      </w:r>
      <w:r>
        <w:rPr>
          <w:spacing w:val="-64"/>
        </w:rPr>
        <w:t> </w:t>
      </w:r>
      <w:r>
        <w:rPr>
          <w:spacing w:val="-64"/>
        </w:rPr>
      </w:r>
      <w:r>
        <w:rPr/>
        <w:t>日以及结算日，对负债的公允价值重新计量，其变动计入当期损益。</w:t>
      </w:r>
    </w:p>
    <w:p>
      <w:pPr>
        <w:pStyle w:val="BodyText"/>
        <w:spacing w:line="319" w:lineRule="auto" w:before="19"/>
        <w:ind w:left="1134" w:right="1132" w:firstLine="360"/>
        <w:jc w:val="both"/>
      </w:pPr>
      <w:r>
        <w:rPr>
          <w:spacing w:val="-2"/>
        </w:rPr>
        <w:t>若在等待期内取消了授予的权益工具，本公司对取消所授予的权益性工具作为加速行权处理，将剩余等待期内应确认的</w:t>
      </w:r>
      <w:r>
        <w:rPr/>
        <w:t> </w:t>
      </w:r>
      <w:r>
        <w:rPr>
          <w:spacing w:val="-2"/>
        </w:rPr>
        <w:t>金额立即计入当期损益，同时确认资本公积。职工或其他方能够选择满足非可行权条件但在等待期内未满足的，本公司将其</w:t>
      </w:r>
      <w:r>
        <w:rPr>
          <w:spacing w:val="-66"/>
        </w:rPr>
        <w:t> </w:t>
      </w:r>
      <w:r>
        <w:rPr>
          <w:spacing w:val="-66"/>
        </w:rPr>
      </w:r>
      <w:r>
        <w:rPr/>
        <w:t>作为授予权益工具的取消处理。</w:t>
      </w:r>
    </w:p>
    <w:p>
      <w:pPr>
        <w:spacing w:line="240" w:lineRule="auto" w:before="5"/>
        <w:rPr>
          <w:rFonts w:ascii="宋体" w:hAnsi="宋体" w:cs="宋体" w:eastAsia="宋体" w:hint="default"/>
          <w:sz w:val="22"/>
          <w:szCs w:val="22"/>
        </w:rPr>
      </w:pPr>
    </w:p>
    <w:p>
      <w:pPr>
        <w:pStyle w:val="Heading5"/>
        <w:spacing w:line="240" w:lineRule="auto"/>
        <w:ind w:left="1134" w:right="994"/>
        <w:jc w:val="left"/>
        <w:rPr>
          <w:b w:val="0"/>
          <w:bCs w:val="0"/>
        </w:rPr>
      </w:pPr>
      <w:bookmarkStart w:name="27、优先股、永续债等其他金融工具" w:id="219"/>
      <w:bookmarkEnd w:id="219"/>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94"/>
        <w:jc w:val="left"/>
      </w:pPr>
      <w:r>
        <w:rPr/>
        <w:t>不适用。</w:t>
      </w:r>
    </w:p>
    <w:p>
      <w:pPr>
        <w:spacing w:line="240" w:lineRule="auto" w:before="12"/>
        <w:rPr>
          <w:rFonts w:ascii="宋体" w:hAnsi="宋体" w:cs="宋体" w:eastAsia="宋体" w:hint="default"/>
          <w:sz w:val="26"/>
          <w:szCs w:val="26"/>
        </w:rPr>
      </w:pPr>
    </w:p>
    <w:p>
      <w:pPr>
        <w:pStyle w:val="Heading5"/>
        <w:spacing w:line="240" w:lineRule="auto"/>
        <w:ind w:right="994"/>
        <w:jc w:val="left"/>
        <w:rPr>
          <w:b w:val="0"/>
          <w:bCs w:val="0"/>
        </w:rPr>
      </w:pPr>
      <w:bookmarkStart w:name="28、收入" w:id="220"/>
      <w:bookmarkEnd w:id="220"/>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before="0"/>
        <w:ind w:left="1134" w:right="7557"/>
        <w:jc w:val="left"/>
      </w:pPr>
      <w:r>
        <w:rPr/>
        <w:t>公司是否需要遵守特殊行业的披露要求 否 </w:t>
      </w:r>
      <w:r>
        <w:rPr>
          <w:rFonts w:ascii="Times New Roman" w:hAnsi="Times New Roman" w:cs="Times New Roman" w:eastAsia="Times New Roman" w:hint="default"/>
        </w:rPr>
        <w:t>1.</w:t>
      </w:r>
      <w:r>
        <w:rPr/>
        <w:t>销售商品收入确认时间的具体判断标准</w:t>
      </w:r>
    </w:p>
    <w:p>
      <w:pPr>
        <w:pStyle w:val="BodyText"/>
        <w:spacing w:line="201" w:lineRule="exact" w:before="0"/>
        <w:ind w:right="0" w:firstLine="360"/>
        <w:jc w:val="both"/>
      </w:pPr>
      <w:r>
        <w:rPr/>
        <w:t>公司已将商品所有权上的主要风险和报酬转移给购买方；公司既没有保留与所有权相联系的继续管理权，也没有对已售</w:t>
      </w:r>
    </w:p>
    <w:p>
      <w:pPr>
        <w:pStyle w:val="BodyText"/>
        <w:spacing w:line="316" w:lineRule="auto" w:before="76"/>
        <w:ind w:right="994"/>
        <w:jc w:val="left"/>
      </w:pPr>
      <w:r>
        <w:rPr>
          <w:spacing w:val="-2"/>
        </w:rPr>
        <w:t>出的商品实施有效控制；收入的金额能够可靠地计量；相关的经济利益很可能流入企业；相关的已发生或将发生的成本能够</w:t>
      </w:r>
      <w:r>
        <w:rPr>
          <w:spacing w:val="-66"/>
        </w:rPr>
        <w:t> </w:t>
      </w:r>
      <w:r>
        <w:rPr>
          <w:spacing w:val="-66"/>
        </w:rPr>
      </w:r>
      <w:r>
        <w:rPr/>
        <w:t>可靠地计量时，确认商品销售收入实现。</w:t>
      </w:r>
    </w:p>
    <w:p>
      <w:pPr>
        <w:pStyle w:val="BodyText"/>
        <w:spacing w:line="300" w:lineRule="auto" w:before="19"/>
        <w:ind w:left="1494" w:right="1032" w:hanging="360"/>
        <w:jc w:val="left"/>
      </w:pPr>
      <w:r>
        <w:rPr>
          <w:rFonts w:ascii="Times New Roman" w:hAnsi="Times New Roman" w:cs="Times New Roman" w:eastAsia="Times New Roman" w:hint="default"/>
        </w:rPr>
        <w:t>2.</w:t>
      </w:r>
      <w:r>
        <w:rPr/>
        <w:t>确认让渡资产使用权收入的依据 与交易相关的经济利益很可能流入企业，收入的金额能够可靠地计量时。分别下列情况确定让渡资产使用权收入金额：</w:t>
      </w:r>
    </w:p>
    <w:p>
      <w:pPr>
        <w:pStyle w:val="BodyText"/>
        <w:spacing w:line="240" w:lineRule="auto" w:before="31"/>
        <w:ind w:left="1134" w:right="994"/>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63"/>
        <w:ind w:right="994"/>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pStyle w:val="BodyText"/>
        <w:spacing w:line="300" w:lineRule="auto" w:before="63"/>
        <w:ind w:left="1494" w:right="994" w:hanging="360"/>
        <w:jc w:val="left"/>
      </w:pPr>
      <w:r>
        <w:rPr>
          <w:rFonts w:ascii="Times New Roman" w:hAnsi="Times New Roman" w:cs="Times New Roman" w:eastAsia="Times New Roman" w:hint="default"/>
        </w:rPr>
        <w:t>3.</w:t>
      </w:r>
      <w:r>
        <w:rPr/>
        <w:t>提供劳务收入的确认依据和方法 </w:t>
      </w:r>
      <w:r>
        <w:rPr>
          <w:spacing w:val="-4"/>
        </w:rPr>
        <w:t>在资产负债表日提供劳务交易的结果能够可靠估计的，采用完工百分比法确认提供劳务收入。提供劳务交易的完工进度，</w:t>
      </w:r>
    </w:p>
    <w:p>
      <w:pPr>
        <w:pStyle w:val="BodyText"/>
        <w:spacing w:line="240" w:lineRule="auto" w:before="31"/>
        <w:ind w:left="1134" w:right="994"/>
        <w:jc w:val="left"/>
      </w:pPr>
      <w:r>
        <w:rPr/>
        <w:t>依据已完工作的测量确定。</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ind w:left="1493" w:right="994"/>
        <w:jc w:val="left"/>
      </w:pPr>
      <w:r>
        <w:rPr/>
        <w:t>提供劳务交易的结果能够可靠估计，是指同时满足下列条件：</w:t>
      </w:r>
    </w:p>
    <w:p>
      <w:pPr>
        <w:pStyle w:val="BodyText"/>
        <w:spacing w:line="240" w:lineRule="auto" w:before="76"/>
        <w:ind w:right="994"/>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63"/>
        <w:ind w:right="994"/>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63"/>
        <w:ind w:left="1134" w:right="994"/>
        <w:jc w:val="left"/>
      </w:pPr>
      <w:r>
        <w:rPr/>
        <w:t>（</w:t>
      </w:r>
      <w:r>
        <w:rPr>
          <w:rFonts w:ascii="Times New Roman" w:hAnsi="Times New Roman" w:cs="Times New Roman" w:eastAsia="Times New Roman" w:hint="default"/>
        </w:rPr>
        <w:t>3</w:t>
      </w:r>
      <w:r>
        <w:rPr/>
        <w:t>）交易的完工进度能够可靠地确定；</w:t>
      </w:r>
    </w:p>
    <w:p>
      <w:pPr>
        <w:pStyle w:val="BodyText"/>
        <w:spacing w:line="300" w:lineRule="auto" w:before="63"/>
        <w:ind w:left="1494" w:right="994" w:hanging="360"/>
        <w:jc w:val="left"/>
      </w:pPr>
      <w:r>
        <w:rPr/>
        <w:t>（</w:t>
      </w:r>
      <w:r>
        <w:rPr>
          <w:rFonts w:ascii="Times New Roman" w:hAnsi="Times New Roman" w:cs="Times New Roman" w:eastAsia="Times New Roman" w:hint="default"/>
        </w:rPr>
        <w:t>4</w:t>
      </w:r>
      <w:r>
        <w:rPr/>
        <w:t>）交易中已发生和将发生的成本能够可靠地计量。 </w:t>
      </w:r>
      <w:r>
        <w:rPr>
          <w:spacing w:val="-2"/>
        </w:rPr>
        <w:t>按照已收或应收的合同或协议价款确定提供劳务收入总额，但已收或应收的合同或协议价款不公允的除外。资产负债表</w:t>
      </w:r>
    </w:p>
    <w:p>
      <w:pPr>
        <w:pStyle w:val="BodyText"/>
        <w:spacing w:line="316" w:lineRule="auto" w:before="31"/>
        <w:ind w:right="994"/>
        <w:jc w:val="left"/>
      </w:pP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 在资产负债表日提供劳务交易结果不能够可靠估计的，分别下列情况处理：</w:t>
      </w:r>
    </w:p>
    <w:p>
      <w:pPr>
        <w:pStyle w:val="BodyText"/>
        <w:spacing w:line="300" w:lineRule="auto" w:before="19"/>
        <w:ind w:left="1134" w:right="1122"/>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）已经发生的劳务成本预计能够得到补偿的，按照已经发生的劳务成本金额确认提供劳务收入，并按相同金额结转劳务 成本。</w:t>
      </w:r>
    </w:p>
    <w:p>
      <w:pPr>
        <w:pStyle w:val="BodyText"/>
        <w:spacing w:line="300" w:lineRule="auto" w:before="31"/>
        <w:ind w:left="1493" w:right="994" w:hanging="36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）已经发生的劳务成本预计不能够得到补偿的，将已经发生的劳务成本计入当期损益，不确认提供劳务收入。 </w:t>
      </w:r>
      <w:r>
        <w:rPr>
          <w:spacing w:val="-2"/>
        </w:rPr>
        <w:t>本公司与其他企业签订的合同或协议包括销售商品和提供劳务时，销售商品部分和提供劳务部分能够区分且能够单独计</w:t>
      </w:r>
    </w:p>
    <w:p>
      <w:pPr>
        <w:pStyle w:val="BodyText"/>
        <w:spacing w:line="316" w:lineRule="auto" w:before="31"/>
        <w:ind w:right="994"/>
        <w:jc w:val="left"/>
      </w:pPr>
      <w:r>
        <w:rPr>
          <w:spacing w:val="-2"/>
        </w:rPr>
        <w:t>量的，将销售商品的部分作为销售商品处理，将提供劳务的部分作为提供劳务处理。销售商品部分和提供劳务部分不能够区</w:t>
      </w:r>
      <w:r>
        <w:rPr>
          <w:spacing w:val="-66"/>
        </w:rPr>
        <w:t> </w:t>
      </w:r>
      <w:r>
        <w:rPr>
          <w:spacing w:val="-66"/>
        </w:rPr>
      </w:r>
      <w:r>
        <w:rPr/>
        <w:t>分，或虽能区分但不能够单独计量的，将销售商品部分和提供劳务部分全部作为销售商品处理。</w:t>
      </w:r>
    </w:p>
    <w:p>
      <w:pPr>
        <w:spacing w:line="240" w:lineRule="auto" w:before="7"/>
        <w:rPr>
          <w:rFonts w:ascii="宋体" w:hAnsi="宋体" w:cs="宋体" w:eastAsia="宋体" w:hint="default"/>
          <w:sz w:val="22"/>
          <w:szCs w:val="22"/>
        </w:rPr>
      </w:pPr>
    </w:p>
    <w:p>
      <w:pPr>
        <w:pStyle w:val="Heading5"/>
        <w:spacing w:line="240" w:lineRule="auto"/>
        <w:ind w:right="994"/>
        <w:jc w:val="left"/>
        <w:rPr>
          <w:b w:val="0"/>
          <w:bCs w:val="0"/>
        </w:rPr>
      </w:pPr>
      <w:bookmarkStart w:name="29、政府补助" w:id="221"/>
      <w:bookmarkEnd w:id="221"/>
      <w:r>
        <w:rPr>
          <w:b w:val="0"/>
          <w:bCs w:val="0"/>
        </w:rPr>
      </w:r>
      <w:r>
        <w:rPr>
          <w:rFonts w:ascii="Times New Roman" w:hAnsi="Times New Roman" w:cs="Times New Roman" w:eastAsia="Times New Roman" w:hint="default"/>
        </w:rPr>
        <w:t>29</w:t>
      </w:r>
      <w:r>
        <w:rPr/>
        <w:t>、政府补助</w:t>
      </w:r>
      <w:r>
        <w:rPr>
          <w:b w:val="0"/>
          <w:bCs w:val="0"/>
        </w:rPr>
      </w:r>
    </w:p>
    <w:p>
      <w:pPr>
        <w:spacing w:line="590" w:lineRule="atLeast" w:before="23"/>
        <w:ind w:left="1494" w:right="1572" w:hanging="360"/>
        <w:jc w:val="left"/>
        <w:rPr>
          <w:rFonts w:ascii="宋体" w:hAnsi="宋体" w:cs="宋体" w:eastAsia="宋体" w:hint="default"/>
          <w:sz w:val="21"/>
          <w:szCs w:val="21"/>
        </w:rPr>
      </w:pPr>
      <w:bookmarkStart w:name="（1）与资产相关的政府补助判断依据及会计处理方法" w:id="222"/>
      <w:bookmarkEnd w:id="2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与资产相关的政府补助，是指本公司取得的、用于购建或以其他方式形成长期资产的政府补助。</w:t>
      </w:r>
    </w:p>
    <w:p>
      <w:pPr>
        <w:pStyle w:val="BodyText"/>
        <w:spacing w:line="240" w:lineRule="auto" w:before="62"/>
        <w:ind w:right="994"/>
        <w:jc w:val="left"/>
      </w:pPr>
      <w:r>
        <w:rPr>
          <w:rFonts w:ascii="Times New Roman" w:hAnsi="Times New Roman" w:cs="Times New Roman" w:eastAsia="Times New Roman" w:hint="default"/>
        </w:rPr>
        <w:t>1.</w:t>
      </w:r>
      <w:r>
        <w:rPr/>
        <w:t>政府补助的确认</w:t>
      </w:r>
    </w:p>
    <w:p>
      <w:pPr>
        <w:pStyle w:val="Heading6"/>
        <w:spacing w:line="273" w:lineRule="auto" w:before="37"/>
        <w:ind w:right="994"/>
        <w:jc w:val="left"/>
      </w:pPr>
      <w:r>
        <w:rPr>
          <w:spacing w:val="-1"/>
        </w:rPr>
        <w:t>对期末有证据表明公司能够符合财政扶持政策规定的相关条件且预计能够收到财政扶持资金的，按应</w:t>
      </w:r>
      <w:r>
        <w:rPr/>
        <w:t> 收金额确认政府补助。除此之外，政府补助均在实际收到时确认。</w:t>
      </w:r>
    </w:p>
    <w:p>
      <w:pPr>
        <w:pStyle w:val="Heading6"/>
        <w:spacing w:line="264" w:lineRule="auto" w:before="7"/>
        <w:ind w:right="994"/>
        <w:jc w:val="left"/>
      </w:pPr>
      <w:r>
        <w:rPr>
          <w:spacing w:val="-1"/>
        </w:rPr>
        <w:t>政府补助为货币性资产的，按照收到或应收的金额计量。政府补助为非货币性资产的，按照公允价值</w:t>
      </w:r>
      <w:r>
        <w:rPr/>
        <w:t> 计量；公允价值不能够可靠取得的，按照名义金额（人民币</w:t>
      </w:r>
      <w:r>
        <w:rPr>
          <w:rFonts w:ascii="Times New Roman" w:hAnsi="Times New Roman" w:cs="Times New Roman" w:eastAsia="Times New Roman" w:hint="default"/>
        </w:rPr>
        <w:t>1</w:t>
      </w:r>
      <w:r>
        <w:rPr/>
        <w:t>元）计量。按照名义金额计量的政府补助， 直接计入当期损益。</w:t>
      </w:r>
    </w:p>
    <w:p>
      <w:pPr>
        <w:spacing w:line="240" w:lineRule="auto" w:before="0"/>
        <w:rPr>
          <w:rFonts w:ascii="宋体" w:hAnsi="宋体" w:cs="宋体" w:eastAsia="宋体" w:hint="default"/>
          <w:sz w:val="27"/>
          <w:szCs w:val="27"/>
        </w:rPr>
      </w:pPr>
    </w:p>
    <w:p>
      <w:pPr>
        <w:pStyle w:val="BodyText"/>
        <w:spacing w:line="300" w:lineRule="auto" w:before="0"/>
        <w:ind w:left="1493" w:right="994" w:hanging="360"/>
        <w:jc w:val="left"/>
      </w:pPr>
      <w:r>
        <w:rPr>
          <w:rFonts w:ascii="Times New Roman" w:hAnsi="Times New Roman" w:cs="Times New Roman" w:eastAsia="Times New Roman" w:hint="default"/>
        </w:rPr>
        <w:t>2.</w:t>
      </w:r>
      <w:r>
        <w:rPr/>
        <w:t>会计处理方法 </w:t>
      </w:r>
      <w:r>
        <w:rPr>
          <w:spacing w:val="-2"/>
        </w:rPr>
        <w:t>与资产相关的政府补助，确认为递延收益，按照所建造或购买的资产使用年限分期计入其他收益；与资产相关的政府补</w:t>
      </w:r>
    </w:p>
    <w:p>
      <w:pPr>
        <w:pStyle w:val="BodyText"/>
        <w:spacing w:line="316" w:lineRule="auto" w:before="31"/>
        <w:ind w:right="994"/>
        <w:jc w:val="left"/>
      </w:pPr>
      <w:r>
        <w:rPr>
          <w:spacing w:val="-2"/>
        </w:rPr>
        <w:t>助，确认为递延收益，按照所建造或购买的资产使用年限内按照合理、系统的方法分期计入损益；相关资产在使用寿命结束</w:t>
      </w:r>
      <w:r>
        <w:rPr>
          <w:spacing w:val="-66"/>
        </w:rPr>
        <w:t> </w:t>
      </w:r>
      <w:r>
        <w:rPr>
          <w:spacing w:val="-66"/>
        </w:rPr>
      </w:r>
      <w:r>
        <w:rPr/>
        <w:t>前被出售、转让、报废或发生毁损的，将尚未分配的相关递延收益余额转入资产处置当期的损益。</w:t>
      </w:r>
    </w:p>
    <w:p>
      <w:pPr>
        <w:pStyle w:val="Heading6"/>
        <w:spacing w:line="273" w:lineRule="auto" w:before="0"/>
        <w:ind w:right="994"/>
        <w:jc w:val="left"/>
      </w:pPr>
      <w:r>
        <w:rPr>
          <w:spacing w:val="-1"/>
        </w:rPr>
        <w:t>与企业日常活动相关的政府补助，按照经济业务实质，计入其他收益；与企业日常活动无关的政府补</w:t>
      </w:r>
      <w:r>
        <w:rPr/>
        <w:t> 助，计入营业外收支。</w:t>
      </w:r>
    </w:p>
    <w:p>
      <w:pPr>
        <w:pStyle w:val="Heading6"/>
        <w:spacing w:line="273" w:lineRule="auto" w:before="7"/>
        <w:ind w:left="1553" w:right="994" w:firstLine="0"/>
        <w:jc w:val="left"/>
      </w:pPr>
      <w:r>
        <w:rPr/>
        <w:t>财政将贴息资金直接拨付给企业的，将收到的贴息冲减相关借款费用。 </w:t>
      </w:r>
      <w:r>
        <w:rPr>
          <w:spacing w:val="-1"/>
        </w:rPr>
        <w:t>已确认的政府补助需要返还时，存在相关递延收益余额的，冲减相关递延收益账面余额，超出部分计</w:t>
      </w:r>
    </w:p>
    <w:p>
      <w:pPr>
        <w:pStyle w:val="Heading6"/>
        <w:spacing w:line="240" w:lineRule="auto" w:before="7"/>
        <w:ind w:right="994" w:firstLine="0"/>
        <w:jc w:val="left"/>
      </w:pPr>
      <w:r>
        <w:rPr/>
        <w:t>入当期损益；不存在相关递延收益的，直接计入当期损益。</w:t>
      </w:r>
    </w:p>
    <w:p>
      <w:pPr>
        <w:spacing w:line="240" w:lineRule="auto" w:before="11"/>
        <w:rPr>
          <w:rFonts w:ascii="宋体" w:hAnsi="宋体" w:cs="宋体" w:eastAsia="宋体" w:hint="default"/>
          <w:sz w:val="25"/>
          <w:szCs w:val="25"/>
        </w:rPr>
      </w:pPr>
    </w:p>
    <w:p>
      <w:pPr>
        <w:spacing w:line="506" w:lineRule="auto" w:before="0"/>
        <w:ind w:left="1554" w:right="3612" w:hanging="420"/>
        <w:jc w:val="left"/>
        <w:rPr>
          <w:rFonts w:ascii="宋体" w:hAnsi="宋体" w:cs="宋体" w:eastAsia="宋体" w:hint="default"/>
          <w:sz w:val="21"/>
          <w:szCs w:val="21"/>
        </w:rPr>
      </w:pPr>
      <w:bookmarkStart w:name="（2）与收益相关的政府补助判断依据及会计处理方法" w:id="223"/>
      <w:bookmarkEnd w:id="2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与收益相关的政府补助，是指除与资产相关的政府补助之外的政府补助。</w:t>
      </w:r>
    </w:p>
    <w:p>
      <w:pPr>
        <w:pStyle w:val="BodyText"/>
        <w:spacing w:line="240" w:lineRule="auto" w:before="141"/>
        <w:ind w:right="994"/>
        <w:jc w:val="left"/>
      </w:pPr>
      <w:r>
        <w:rPr>
          <w:rFonts w:ascii="Times New Roman" w:hAnsi="Times New Roman" w:cs="Times New Roman" w:eastAsia="Times New Roman" w:hint="default"/>
        </w:rPr>
        <w:t>1.</w:t>
      </w:r>
      <w:r>
        <w:rPr/>
        <w:t>政府补助的确认</w:t>
      </w:r>
    </w:p>
    <w:p>
      <w:pPr>
        <w:pStyle w:val="Heading6"/>
        <w:spacing w:line="240" w:lineRule="auto" w:before="37"/>
        <w:ind w:left="1553" w:right="994" w:firstLine="0"/>
        <w:jc w:val="left"/>
      </w:pPr>
      <w:r>
        <w:rPr/>
        <w:t>对期末有证据表明公司能够符合财政扶持政策规定的相关条件且预计能够收到财政扶持资金的，按应</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73" w:lineRule="auto" w:before="35"/>
        <w:ind w:left="1553" w:right="994" w:hanging="420"/>
        <w:jc w:val="left"/>
      </w:pPr>
      <w:r>
        <w:rPr/>
        <w:t>收金额确认政府补助。除此之外，政府补助均在实际收到时确认。 </w:t>
      </w:r>
      <w:r>
        <w:rPr>
          <w:spacing w:val="-1"/>
        </w:rPr>
        <w:t>政府补助为货币性资产的，按照收到或应收的金额计量。政府补助为非货币性资产的，按照公允价值</w:t>
      </w:r>
    </w:p>
    <w:p>
      <w:pPr>
        <w:pStyle w:val="Heading6"/>
        <w:spacing w:line="256" w:lineRule="auto" w:before="7"/>
        <w:ind w:right="1198" w:firstLine="0"/>
        <w:jc w:val="left"/>
      </w:pPr>
      <w:r>
        <w:rPr/>
        <w:t>计量；公允价值不能够可靠取得的，按照名义金额（人民币</w:t>
      </w:r>
      <w:r>
        <w:rPr>
          <w:rFonts w:ascii="Times New Roman" w:hAnsi="Times New Roman" w:cs="Times New Roman" w:eastAsia="Times New Roman" w:hint="default"/>
        </w:rPr>
        <w:t>1</w:t>
      </w:r>
      <w:r>
        <w:rPr/>
        <w:t>元）计量。按照名义金额计量的政府补助， 直接计入当期损益。</w:t>
      </w:r>
    </w:p>
    <w:p>
      <w:pPr>
        <w:spacing w:line="240" w:lineRule="auto" w:before="7"/>
        <w:rPr>
          <w:rFonts w:ascii="宋体" w:hAnsi="宋体" w:cs="宋体" w:eastAsia="宋体" w:hint="default"/>
          <w:sz w:val="27"/>
          <w:szCs w:val="27"/>
        </w:rPr>
      </w:pPr>
    </w:p>
    <w:p>
      <w:pPr>
        <w:pStyle w:val="BodyText"/>
        <w:spacing w:line="300" w:lineRule="auto" w:before="0"/>
        <w:ind w:left="1424" w:right="994" w:hanging="291"/>
        <w:jc w:val="left"/>
      </w:pPr>
      <w:r>
        <w:rPr>
          <w:rFonts w:ascii="Times New Roman" w:hAnsi="Times New Roman" w:cs="Times New Roman" w:eastAsia="Times New Roman" w:hint="default"/>
        </w:rPr>
        <w:t>2.</w:t>
      </w:r>
      <w:r>
        <w:rPr/>
        <w:t>会计处理方法 </w:t>
      </w:r>
      <w:r>
        <w:rPr>
          <w:spacing w:val="-1"/>
        </w:rPr>
        <w:t>与收益相关的政府补助，用于补偿企业以后期间的相关费用或损失的，确认为递延收益，在确认相关费用或损失的期间</w:t>
      </w:r>
    </w:p>
    <w:p>
      <w:pPr>
        <w:pStyle w:val="BodyText"/>
        <w:spacing w:line="240" w:lineRule="auto" w:before="31"/>
        <w:ind w:right="994"/>
        <w:jc w:val="left"/>
      </w:pPr>
      <w:r>
        <w:rPr/>
        <w:t>计入当期损益；用于补偿企业已发生的相关费用或损失的，取得时直接计入当期损益。</w:t>
      </w:r>
    </w:p>
    <w:p>
      <w:pPr>
        <w:pStyle w:val="Heading6"/>
        <w:spacing w:line="273" w:lineRule="auto" w:before="51"/>
        <w:ind w:right="994"/>
        <w:jc w:val="left"/>
      </w:pPr>
      <w:r>
        <w:rPr>
          <w:spacing w:val="-1"/>
        </w:rPr>
        <w:t>与企业日常活动相关的政府补助，按照经济业务实质，计入其他收益；与企业日常活动无关的政府补</w:t>
      </w:r>
      <w:r>
        <w:rPr/>
        <w:t> 助，计入营业外收支。</w:t>
      </w:r>
    </w:p>
    <w:p>
      <w:pPr>
        <w:pStyle w:val="Heading6"/>
        <w:spacing w:line="273" w:lineRule="auto" w:before="7"/>
        <w:ind w:right="994"/>
        <w:jc w:val="left"/>
      </w:pPr>
      <w:r>
        <w:rPr/>
        <w:t>财政将贴息资金直接拨付给企业的，将收到的贴息冲减相关借款费用。 </w:t>
      </w:r>
      <w:r>
        <w:rPr>
          <w:spacing w:val="-1"/>
        </w:rPr>
        <w:t>已确认的政府补助需要返还时，存在相关递延收益余额的，冲减相关递延收益账面余额，超出部分计入当</w:t>
      </w:r>
      <w:r>
        <w:rPr>
          <w:spacing w:val="-83"/>
        </w:rPr>
        <w:t> </w:t>
      </w:r>
      <w:r>
        <w:rPr>
          <w:spacing w:val="-83"/>
        </w:rPr>
      </w:r>
      <w:r>
        <w:rPr/>
        <w:t>期损益；不存在相关递延收益的，直接计入当期损益。</w:t>
      </w:r>
    </w:p>
    <w:p>
      <w:pPr>
        <w:spacing w:line="240" w:lineRule="auto" w:before="8"/>
        <w:rPr>
          <w:rFonts w:ascii="宋体" w:hAnsi="宋体" w:cs="宋体" w:eastAsia="宋体" w:hint="default"/>
          <w:sz w:val="23"/>
          <w:szCs w:val="23"/>
        </w:rPr>
      </w:pPr>
    </w:p>
    <w:p>
      <w:pPr>
        <w:pStyle w:val="Heading5"/>
        <w:spacing w:line="240" w:lineRule="auto"/>
        <w:ind w:right="994"/>
        <w:jc w:val="left"/>
        <w:rPr>
          <w:b w:val="0"/>
          <w:bCs w:val="0"/>
        </w:rPr>
      </w:pPr>
      <w:bookmarkStart w:name="30、递延所得税资产/递延所得税负债" w:id="224"/>
      <w:bookmarkEnd w:id="224"/>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right="994" w:firstLine="360"/>
        <w:jc w:val="left"/>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计算确认。于资产负债</w:t>
      </w:r>
      <w:r>
        <w:rPr/>
        <w:t> 表日，递延所得税资产和递延所得税负债，按照预期收回该资产或清偿该负债期间的适用税率计量。 </w:t>
      </w:r>
      <w:r>
        <w:rPr>
          <w:rFonts w:ascii="Times New Roman" w:hAnsi="Times New Roman" w:cs="Times New Roman" w:eastAsia="Times New Roman" w:hint="default"/>
        </w:rPr>
        <w:t>1.</w:t>
      </w:r>
      <w:r>
        <w:rPr/>
        <w:t>确认递延所得税资产的依据</w:t>
      </w:r>
    </w:p>
    <w:p>
      <w:pPr>
        <w:pStyle w:val="BodyText"/>
        <w:spacing w:line="314" w:lineRule="auto" w:before="5"/>
        <w:ind w:left="1134" w:right="1032" w:firstLine="360"/>
        <w:jc w:val="left"/>
      </w:pPr>
      <w:r>
        <w:rPr>
          <w:spacing w:val="-2"/>
        </w:rPr>
        <w:t>本公司以很可能取得用来抵扣可抵扣暂时性差异、能够结转以后年度的可抵扣亏损和税款抵减的应纳税所得额为限，确</w:t>
      </w:r>
      <w:r>
        <w:rPr/>
        <w:t> </w:t>
      </w:r>
      <w:r>
        <w:rPr>
          <w:spacing w:val="-2"/>
        </w:rPr>
        <w:t>认由可抵扣暂时性差异产生的递延所得税资产。但是，同时具有下列特征的交易中因资产或负债的初始确认所产生的递延所</w:t>
      </w:r>
      <w:r>
        <w:rPr>
          <w:spacing w:val="-64"/>
        </w:rPr>
        <w:t> </w:t>
      </w:r>
      <w:r>
        <w:rPr>
          <w:spacing w:val="-64"/>
        </w:rPr>
      </w:r>
      <w:r>
        <w:rPr/>
        <w:t>得税资产不予确认：（</w:t>
      </w:r>
      <w:r>
        <w:rPr>
          <w:rFonts w:ascii="Times New Roman" w:hAnsi="Times New Roman" w:cs="Times New Roman" w:eastAsia="Times New Roman" w:hint="default"/>
        </w:rPr>
        <w:t>1</w:t>
      </w:r>
      <w:r>
        <w:rPr/>
        <w:t>）该交易不是企业合并；（</w:t>
      </w:r>
      <w:r>
        <w:rPr>
          <w:rFonts w:ascii="Times New Roman" w:hAnsi="Times New Roman" w:cs="Times New Roman" w:eastAsia="Times New Roman" w:hint="default"/>
        </w:rPr>
        <w:t>2</w:t>
      </w:r>
      <w:r>
        <w:rPr/>
        <w:t>）交易发生时既不影响会计利润也不影响应纳税所得额或可抵扣亏损。 </w:t>
      </w:r>
      <w:r>
        <w:rPr>
          <w:spacing w:val="-2"/>
        </w:rPr>
        <w:t>对于与联营企业投资相关的可抵扣暂时性差异，同时满足下列条件的，确认相应的递延所得税资产：暂时性差异在可预见的</w:t>
      </w:r>
      <w:r>
        <w:rPr>
          <w:spacing w:val="-66"/>
        </w:rPr>
        <w:t> </w:t>
      </w:r>
      <w:r>
        <w:rPr>
          <w:spacing w:val="-66"/>
        </w:rPr>
      </w:r>
      <w:r>
        <w:rPr/>
        <w:t>未来很可能转回，且未来很可能获得用来抵扣可抵扣暂时性差异的应纳税所得额。</w:t>
      </w:r>
    </w:p>
    <w:p>
      <w:pPr>
        <w:pStyle w:val="BodyText"/>
        <w:spacing w:line="300" w:lineRule="auto" w:before="20"/>
        <w:ind w:left="1494" w:right="3372" w:hanging="360"/>
        <w:jc w:val="left"/>
      </w:pPr>
      <w:r>
        <w:rPr>
          <w:rFonts w:ascii="Times New Roman" w:hAnsi="Times New Roman" w:cs="Times New Roman" w:eastAsia="Times New Roman" w:hint="default"/>
        </w:rPr>
        <w:t>2.</w:t>
      </w:r>
      <w:r>
        <w:rPr/>
        <w:t>确认递延所得税负债的依据 公司将当期与以前期间应交未交的应纳税暂时性差异确认为递延所得税负债。但不包括：</w:t>
      </w:r>
    </w:p>
    <w:p>
      <w:pPr>
        <w:pStyle w:val="BodyText"/>
        <w:spacing w:line="240" w:lineRule="auto" w:before="31"/>
        <w:ind w:left="1134" w:right="994"/>
        <w:jc w:val="left"/>
      </w:pPr>
      <w:r>
        <w:rPr/>
        <w:t>（</w:t>
      </w:r>
      <w:r>
        <w:rPr>
          <w:rFonts w:ascii="Times New Roman" w:hAnsi="Times New Roman" w:cs="Times New Roman" w:eastAsia="Times New Roman" w:hint="default"/>
        </w:rPr>
        <w:t>1</w:t>
      </w:r>
      <w:r>
        <w:rPr/>
        <w:t>）商誉的初始确认所形成的暂时性差异；</w:t>
      </w:r>
    </w:p>
    <w:p>
      <w:pPr>
        <w:pStyle w:val="BodyText"/>
        <w:spacing w:line="300" w:lineRule="auto" w:before="63"/>
        <w:ind w:left="1134" w:right="1122"/>
        <w:jc w:val="left"/>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）非企业合并形成的交易或事项，且该交易或事项发生时既不影响会计利润，也不影响应纳税所得额（或可抵扣亏损） 所形成的暂时性差异；</w:t>
      </w:r>
    </w:p>
    <w:p>
      <w:pPr>
        <w:pStyle w:val="BodyText"/>
        <w:spacing w:line="300" w:lineRule="auto" w:before="31"/>
        <w:ind w:left="1134" w:right="1122"/>
        <w:jc w:val="left"/>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）对于与子公司、联营企业投资相关的应纳税暂时性差异，该暂时性差异转回的时间能够控制并且该暂时性差异在可预 见的未来很可能不会转回。</w:t>
      </w:r>
    </w:p>
    <w:p>
      <w:pPr>
        <w:spacing w:line="240" w:lineRule="auto" w:before="6"/>
        <w:rPr>
          <w:rFonts w:ascii="宋体" w:hAnsi="宋体" w:cs="宋体" w:eastAsia="宋体" w:hint="default"/>
          <w:sz w:val="23"/>
          <w:szCs w:val="23"/>
        </w:rPr>
      </w:pPr>
    </w:p>
    <w:p>
      <w:pPr>
        <w:pStyle w:val="Heading5"/>
        <w:spacing w:line="240" w:lineRule="auto"/>
        <w:ind w:left="1134" w:right="994"/>
        <w:jc w:val="left"/>
        <w:rPr>
          <w:b w:val="0"/>
          <w:bCs w:val="0"/>
        </w:rPr>
      </w:pPr>
      <w:bookmarkStart w:name="31、租赁" w:id="225"/>
      <w:bookmarkEnd w:id="225"/>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1）经营租赁的会计处理方法" w:id="226"/>
      <w:bookmarkEnd w:id="22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2" w:lineRule="auto" w:before="0"/>
        <w:ind w:left="1134" w:right="1122"/>
        <w:jc w:val="left"/>
      </w:pPr>
      <w:r>
        <w:rPr/>
        <w:t>（</w:t>
      </w:r>
      <w:r>
        <w:rPr>
          <w:rFonts w:ascii="Times New Roman" w:hAnsi="Times New Roman" w:cs="Times New Roman" w:eastAsia="Times New Roman" w:hint="default"/>
        </w:rPr>
        <w:t>1</w:t>
      </w:r>
      <w:r>
        <w:rPr/>
        <w:t>）公司租入资产所支付的租赁费，在不扣除免租期的整个租赁期内，按直线法进行分摊，计入当期费用。公司支付的与 租赁交易相关的初始直接费用，计入当期费用。 </w:t>
      </w: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w:t>
      </w:r>
    </w:p>
    <w:p>
      <w:pPr>
        <w:pStyle w:val="BodyText"/>
        <w:spacing w:line="314" w:lineRule="auto" w:before="23"/>
        <w:ind w:left="1134" w:right="1122"/>
        <w:jc w:val="left"/>
      </w:pPr>
      <w:r>
        <w:rPr/>
        <w:t>（</w:t>
      </w:r>
      <w:r>
        <w:rPr>
          <w:rFonts w:ascii="Times New Roman" w:hAnsi="Times New Roman" w:cs="Times New Roman" w:eastAsia="Times New Roman" w:hint="default"/>
        </w:rPr>
        <w:t>2</w:t>
      </w:r>
      <w:r>
        <w:rPr/>
        <w:t>）公司出租资产所收取的租赁费，在不扣除免租期的整个租赁期内，按直线法进行分摊，确认为租赁收入。公司支付的 </w:t>
      </w:r>
      <w:r>
        <w:rPr>
          <w:spacing w:val="-2"/>
        </w:rPr>
        <w:t>与租赁交易相关的初始直接费用，计入当期费用；如金额较大的，则予以资本化，在整个租赁期间内按照与租赁收入确认相</w:t>
      </w:r>
      <w:r>
        <w:rPr>
          <w:spacing w:val="-65"/>
        </w:rPr>
        <w:t> </w:t>
      </w:r>
      <w:r>
        <w:rPr>
          <w:spacing w:val="-65"/>
        </w:rPr>
      </w:r>
      <w:r>
        <w:rPr/>
        <w:t>同的基础分期计入当期收益。 </w:t>
      </w:r>
      <w:r>
        <w:rPr>
          <w:spacing w:val="-2"/>
        </w:rPr>
        <w:t>公司承担了应由承租方承担的与租赁相关的费用时，公司将该部分费用从租金收入总额中扣除，按扣除后的租金费用在租赁</w:t>
      </w:r>
      <w:r>
        <w:rPr>
          <w:spacing w:val="-64"/>
        </w:rPr>
        <w:t> </w:t>
      </w:r>
      <w:r>
        <w:rPr>
          <w:spacing w:val="-64"/>
        </w:rPr>
      </w:r>
      <w:r>
        <w:rPr/>
        <w:t>期内分配。</w:t>
      </w:r>
    </w:p>
    <w:p>
      <w:pPr>
        <w:spacing w:after="0" w:line="314"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994"/>
        <w:jc w:val="left"/>
        <w:rPr>
          <w:b w:val="0"/>
          <w:bCs w:val="0"/>
        </w:rPr>
      </w:pPr>
      <w:bookmarkStart w:name="（2）融资租赁的会计处理方法" w:id="227"/>
      <w:bookmarkEnd w:id="22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before="0"/>
        <w:ind w:left="1134" w:right="1131"/>
        <w:jc w:val="both"/>
      </w:pPr>
      <w:r>
        <w:rPr/>
        <w:t>（</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）融资租入资产：公司在承租开始日，将租赁资产公允价值与最低租赁付款额现值两者中较低者作为租入资产的入账价 </w:t>
      </w:r>
      <w:r>
        <w:rPr>
          <w:spacing w:val="-2"/>
        </w:rPr>
        <w:t>值，将最低租赁付款额作为长期应付款的入账价值，其差额作为未确认的融资费用。融资租入资产的认定依据、计价和折旧</w:t>
      </w:r>
      <w:r>
        <w:rPr>
          <w:spacing w:val="-66"/>
        </w:rPr>
        <w:t> </w:t>
      </w:r>
      <w:r>
        <w:rPr>
          <w:spacing w:val="-66"/>
        </w:rPr>
      </w:r>
      <w:r>
        <w:rPr/>
        <w:t>方法详见本附注四、（十二）固定资产。</w:t>
      </w:r>
    </w:p>
    <w:p>
      <w:pPr>
        <w:pStyle w:val="BodyText"/>
        <w:spacing w:line="240" w:lineRule="auto" w:before="24"/>
        <w:ind w:left="1351" w:right="994"/>
        <w:jc w:val="left"/>
      </w:pPr>
      <w:r>
        <w:rPr/>
        <w:t>公司采用实际利率法对未确认的融资费用，在资产租赁期间内摊销，计入财务费用。</w:t>
      </w:r>
    </w:p>
    <w:p>
      <w:pPr>
        <w:pStyle w:val="BodyText"/>
        <w:spacing w:line="309" w:lineRule="auto" w:before="76"/>
        <w:ind w:left="1134" w:right="994"/>
        <w:jc w:val="left"/>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）融资租出资产：公司在租赁开始日，将应收融资租赁款，未担保余值之和与其现值的差额确认为未实现融资收益，在 </w:t>
      </w:r>
      <w:r>
        <w:rPr>
          <w:spacing w:val="-4"/>
        </w:rPr>
        <w:t>将来收到租金的各期间内确认为租赁收入，公司发生的与出租交易相关的初始直接费用，计入应收融资租赁款的初始计量中，</w:t>
      </w:r>
      <w:r>
        <w:rPr>
          <w:spacing w:val="-44"/>
        </w:rPr>
        <w:t> </w:t>
      </w:r>
      <w:r>
        <w:rPr>
          <w:spacing w:val="-44"/>
        </w:rPr>
      </w:r>
      <w:r>
        <w:rPr/>
        <w:t>并减少租赁期内确认的收益金额。</w:t>
      </w:r>
    </w:p>
    <w:p>
      <w:pPr>
        <w:spacing w:line="240" w:lineRule="auto" w:before="12"/>
        <w:rPr>
          <w:rFonts w:ascii="宋体" w:hAnsi="宋体" w:cs="宋体" w:eastAsia="宋体" w:hint="default"/>
          <w:sz w:val="22"/>
          <w:szCs w:val="22"/>
        </w:rPr>
      </w:pPr>
    </w:p>
    <w:p>
      <w:pPr>
        <w:pStyle w:val="Heading5"/>
        <w:spacing w:line="240" w:lineRule="auto"/>
        <w:ind w:left="1134" w:right="994"/>
        <w:jc w:val="left"/>
        <w:rPr>
          <w:b w:val="0"/>
          <w:bCs w:val="0"/>
        </w:rPr>
      </w:pPr>
      <w:bookmarkStart w:name="32、其他重要的会计政策和会计估计" w:id="228"/>
      <w:bookmarkEnd w:id="228"/>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94"/>
        <w:jc w:val="left"/>
      </w:pPr>
      <w:r>
        <w:rPr/>
        <w:t>不适用。</w:t>
      </w:r>
    </w:p>
    <w:p>
      <w:pPr>
        <w:spacing w:line="240" w:lineRule="auto" w:before="12"/>
        <w:rPr>
          <w:rFonts w:ascii="宋体" w:hAnsi="宋体" w:cs="宋体" w:eastAsia="宋体" w:hint="default"/>
          <w:sz w:val="26"/>
          <w:szCs w:val="26"/>
        </w:rPr>
      </w:pPr>
    </w:p>
    <w:p>
      <w:pPr>
        <w:pStyle w:val="Heading5"/>
        <w:spacing w:line="240" w:lineRule="auto"/>
        <w:ind w:right="994"/>
        <w:jc w:val="left"/>
        <w:rPr>
          <w:b w:val="0"/>
          <w:bCs w:val="0"/>
        </w:rPr>
      </w:pPr>
      <w:bookmarkStart w:name="33、重要会计政策和会计估计变更" w:id="229"/>
      <w:bookmarkEnd w:id="229"/>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1）重要会计政策变更" w:id="230"/>
      <w:bookmarkEnd w:id="23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根据财政部于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日发布的</w:t>
            </w:r>
          </w:p>
          <w:p>
            <w:pPr>
              <w:pStyle w:val="TableParagraph"/>
              <w:spacing w:line="240" w:lineRule="auto" w:before="61"/>
              <w:ind w:left="22" w:right="0"/>
              <w:jc w:val="both"/>
              <w:rPr>
                <w:rFonts w:ascii="宋体" w:hAnsi="宋体" w:cs="宋体" w:eastAsia="宋体" w:hint="default"/>
                <w:sz w:val="18"/>
                <w:szCs w:val="18"/>
              </w:rPr>
            </w:pPr>
            <w:r>
              <w:rPr>
                <w:rFonts w:ascii="宋体" w:hAnsi="宋体" w:cs="宋体" w:eastAsia="宋体" w:hint="default"/>
                <w:sz w:val="18"/>
                <w:szCs w:val="18"/>
              </w:rPr>
              <w:t>关于印发修订《企业会计准则第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00" w:lineRule="auto" w:before="63"/>
              <w:ind w:left="22" w:right="52"/>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政府补助》的通知（财会〔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号）的相关规定，对政府补助相关处 理进行会计政策变更</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经公司董事会于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日批准</w:t>
            </w:r>
          </w:p>
        </w:tc>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962"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日发布的</w:t>
            </w:r>
          </w:p>
          <w:p>
            <w:pPr>
              <w:pStyle w:val="TableParagraph"/>
              <w:spacing w:line="314"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 非流动资产、处置组和终止经营》的相 关规定，对持有待售的非流动资产、处 置组和终止经营的相关处理进行会计政 策变更</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经公司董事会于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批准</w:t>
            </w:r>
          </w:p>
        </w:tc>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line="240" w:lineRule="auto" w:before="5"/>
        <w:rPr>
          <w:rFonts w:ascii="宋体" w:hAnsi="宋体" w:cs="宋体" w:eastAsia="宋体" w:hint="default"/>
          <w:sz w:val="5"/>
          <w:szCs w:val="5"/>
        </w:rPr>
      </w:pPr>
    </w:p>
    <w:p>
      <w:pPr>
        <w:pStyle w:val="Heading6"/>
        <w:spacing w:line="240" w:lineRule="auto" w:before="35"/>
        <w:ind w:left="1554" w:right="994" w:firstLine="0"/>
        <w:jc w:val="left"/>
      </w:pPr>
      <w:r>
        <w:rPr/>
        <w:t>会计政策变更说明：</w:t>
      </w:r>
    </w:p>
    <w:p>
      <w:pPr>
        <w:pStyle w:val="Heading6"/>
        <w:spacing w:line="256" w:lineRule="auto" w:before="37"/>
        <w:ind w:right="1214"/>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日，财政部公布了修订后的《企业会计准则第</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政府补助》，该准则修订自</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日起施行，同时要求企业对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日存在的政府补助采用未来适用法处理，对</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 至该准则施行日之间新增的政府补助根据修订后的准则进行调整。</w:t>
      </w:r>
    </w:p>
    <w:p>
      <w:pPr>
        <w:pStyle w:val="Heading6"/>
        <w:spacing w:line="261" w:lineRule="auto" w:before="22"/>
        <w:ind w:right="1128"/>
        <w:jc w:val="left"/>
      </w:pPr>
      <w:r>
        <w:rPr/>
        <w:t>本公司自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日开始采用该修订后的准则，上述会计政策变化的主要内容为：根据《企业会 </w:t>
      </w:r>
      <w:r>
        <w:rPr>
          <w:spacing w:val="-1"/>
        </w:rPr>
        <w:t>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政府补助》（财会〔</w:t>
      </w:r>
      <w:r>
        <w:rPr>
          <w:rFonts w:ascii="Times New Roman" w:hAnsi="Times New Roman" w:cs="Times New Roman" w:eastAsia="Times New Roman" w:hint="default"/>
          <w:spacing w:val="-1"/>
        </w:rPr>
        <w:t>2017</w:t>
      </w:r>
      <w:r>
        <w:rPr>
          <w:spacing w:val="-1"/>
        </w:rPr>
        <w:t>〕</w:t>
      </w:r>
      <w:r>
        <w:rPr>
          <w:rFonts w:ascii="Times New Roman" w:hAnsi="Times New Roman" w:cs="Times New Roman" w:eastAsia="Times New Roman" w:hint="default"/>
          <w:spacing w:val="-1"/>
        </w:rPr>
        <w:t>15</w:t>
      </w:r>
      <w:r>
        <w:rPr>
          <w:spacing w:val="-1"/>
        </w:rPr>
        <w:t>号）的要求，与企业日常活动相关的政府补助，应当按照</w:t>
      </w:r>
      <w:r>
        <w:rPr>
          <w:spacing w:val="-83"/>
        </w:rPr>
        <w:t> </w:t>
      </w:r>
      <w:r>
        <w:rPr>
          <w:spacing w:val="-83"/>
        </w:rPr>
      </w:r>
      <w:r>
        <w:rPr>
          <w:spacing w:val="-1"/>
        </w:rPr>
        <w:t>经济业务实质，计入其他收益或冲减相关成本费用。与企业日常活动无关的政府补助，应当计入营业外收</w:t>
      </w:r>
      <w:r>
        <w:rPr>
          <w:spacing w:val="-83"/>
        </w:rPr>
        <w:t> </w:t>
      </w:r>
      <w:r>
        <w:rPr>
          <w:spacing w:val="-83"/>
        </w:rPr>
      </w:r>
      <w:r>
        <w:rPr>
          <w:spacing w:val="-6"/>
          <w:w w:val="100"/>
        </w:rPr>
        <w:t>支。由此，公司将相应政府补助金额从利润表</w:t>
      </w:r>
      <w:r>
        <w:rPr>
          <w:rFonts w:ascii="Times New Roman" w:hAnsi="Times New Roman" w:cs="Times New Roman" w:eastAsia="Times New Roman" w:hint="default"/>
          <w:spacing w:val="-6"/>
          <w:w w:val="100"/>
        </w:rPr>
        <w:t>“</w:t>
      </w:r>
      <w:r>
        <w:rPr>
          <w:spacing w:val="-6"/>
          <w:w w:val="100"/>
        </w:rPr>
        <w:t>营业外收入</w:t>
      </w:r>
      <w:r>
        <w:rPr>
          <w:rFonts w:ascii="Times New Roman" w:hAnsi="Times New Roman" w:cs="Times New Roman" w:eastAsia="Times New Roman" w:hint="default"/>
          <w:spacing w:val="-6"/>
          <w:w w:val="100"/>
        </w:rPr>
        <w:t>”</w:t>
      </w:r>
      <w:r>
        <w:rPr>
          <w:spacing w:val="-6"/>
          <w:w w:val="100"/>
        </w:rPr>
        <w:t>项目调整为利润表</w:t>
      </w:r>
      <w:r>
        <w:rPr>
          <w:rFonts w:ascii="Times New Roman" w:hAnsi="Times New Roman" w:cs="Times New Roman" w:eastAsia="Times New Roman" w:hint="default"/>
          <w:spacing w:val="-6"/>
          <w:w w:val="100"/>
        </w:rPr>
        <w:t>“</w:t>
      </w:r>
      <w:r>
        <w:rPr>
          <w:spacing w:val="-6"/>
          <w:w w:val="100"/>
        </w:rPr>
        <w:t>其他收益</w:t>
      </w:r>
      <w:r>
        <w:rPr>
          <w:rFonts w:ascii="Times New Roman" w:hAnsi="Times New Roman" w:cs="Times New Roman" w:eastAsia="Times New Roman" w:hint="default"/>
          <w:spacing w:val="-6"/>
          <w:w w:val="100"/>
        </w:rPr>
        <w:t>”</w:t>
      </w:r>
      <w:r>
        <w:rPr>
          <w:spacing w:val="-6"/>
          <w:w w:val="100"/>
        </w:rPr>
        <w:t>项目列报，调减</w:t>
      </w:r>
      <w:r>
        <w:rPr>
          <w:rFonts w:ascii="Times New Roman" w:hAnsi="Times New Roman" w:cs="Times New Roman" w:eastAsia="Times New Roman" w:hint="default"/>
          <w:spacing w:val="-6"/>
          <w:w w:val="100"/>
        </w:rPr>
        <w:t>“</w:t>
      </w:r>
      <w:r>
        <w:rPr>
          <w:spacing w:val="-6"/>
          <w:w w:val="100"/>
        </w:rPr>
        <w:t>营</w:t>
      </w:r>
      <w:r>
        <w:rPr>
          <w:spacing w:val="-88"/>
          <w:w w:val="100"/>
        </w:rPr>
        <w:t> </w:t>
      </w:r>
      <w:r>
        <w:rPr/>
        <w:t>业外收入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至</w:t>
      </w:r>
      <w:r>
        <w:rPr>
          <w:rFonts w:ascii="Times New Roman" w:hAnsi="Times New Roman" w:cs="Times New Roman" w:eastAsia="Times New Roman" w:hint="default"/>
        </w:rPr>
        <w:t>6</w:t>
      </w:r>
      <w:r>
        <w:rPr/>
        <w:t>月发生额</w:t>
      </w:r>
      <w:r>
        <w:rPr>
          <w:rFonts w:ascii="Times New Roman" w:hAnsi="Times New Roman" w:cs="Times New Roman" w:eastAsia="Times New Roman" w:hint="default"/>
        </w:rPr>
        <w:t>25,152,073.54</w:t>
      </w:r>
      <w:r>
        <w:rPr/>
        <w:t>元，调增</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至</w:t>
      </w:r>
      <w:r>
        <w:rPr>
          <w:rFonts w:ascii="Times New Roman" w:hAnsi="Times New Roman" w:cs="Times New Roman" w:eastAsia="Times New Roman" w:hint="default"/>
        </w:rPr>
        <w:t>6</w:t>
      </w:r>
      <w:r>
        <w:rPr/>
        <w:t>月发生额</w:t>
      </w:r>
      <w:r>
        <w:rPr>
          <w:rFonts w:ascii="Times New Roman" w:hAnsi="Times New Roman" w:cs="Times New Roman" w:eastAsia="Times New Roman" w:hint="default"/>
        </w:rPr>
        <w:t>25,152,073.54</w:t>
      </w:r>
      <w:r>
        <w:rPr/>
        <w:t>元；对 于</w:t>
      </w:r>
      <w:r>
        <w:rPr>
          <w:rFonts w:ascii="Times New Roman" w:hAnsi="Times New Roman" w:cs="Times New Roman" w:eastAsia="Times New Roman" w:hint="default"/>
        </w:rPr>
        <w:t>2016</w:t>
      </w:r>
      <w:r>
        <w:rPr/>
        <w:t>年财务报表中可比期间的数据不予追溯调整。</w:t>
      </w:r>
    </w:p>
    <w:p>
      <w:pPr>
        <w:pStyle w:val="Heading6"/>
        <w:spacing w:line="256" w:lineRule="auto" w:before="0"/>
        <w:ind w:right="1198"/>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日，财政部发布了《企业会计准则第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 营》，该准则自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日起施行。本公司根据该准则及财政部《关于修订印发一般企业财务报表格</w:t>
      </w:r>
    </w:p>
    <w:p>
      <w:pPr>
        <w:spacing w:after="0" w:line="25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56" w:lineRule="auto" w:before="35"/>
        <w:ind w:right="1132" w:firstLine="0"/>
        <w:jc w:val="both"/>
      </w:pPr>
      <w:r>
        <w:rPr/>
        <w:t>式的通知》（财会〔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t>号）的规定，在利润表中新增了</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项目，并对净利润按经营持 </w:t>
      </w:r>
      <w:r>
        <w:rPr>
          <w:spacing w:val="-1"/>
        </w:rPr>
        <w:t>续性进行分类列报。本公司按照《企业会计准则第</w:t>
      </w:r>
      <w:r>
        <w:rPr>
          <w:rFonts w:ascii="Times New Roman" w:hAnsi="Times New Roman" w:cs="Times New Roman" w:eastAsia="Times New Roman" w:hint="default"/>
          <w:spacing w:val="-1"/>
        </w:rPr>
        <w:t>30</w:t>
      </w:r>
      <w:r>
        <w:rPr>
          <w:spacing w:val="-1"/>
        </w:rPr>
        <w:t>号</w:t>
      </w:r>
      <w:r>
        <w:rPr>
          <w:rFonts w:ascii="Times New Roman" w:hAnsi="Times New Roman" w:cs="Times New Roman" w:eastAsia="Times New Roman" w:hint="default"/>
          <w:spacing w:val="-1"/>
        </w:rPr>
        <w:t>——</w:t>
      </w:r>
      <w:r>
        <w:rPr>
          <w:spacing w:val="-1"/>
        </w:rPr>
        <w:t>财务报表列报》等的相关规定，对可比期间的</w:t>
      </w:r>
      <w:r>
        <w:rPr>
          <w:spacing w:val="-87"/>
        </w:rPr>
        <w:t> </w:t>
      </w:r>
      <w:r>
        <w:rPr>
          <w:spacing w:val="-87"/>
        </w:rPr>
      </w:r>
      <w:r>
        <w:rPr/>
        <w:t>比较数据进行调整。</w:t>
      </w:r>
    </w:p>
    <w:p>
      <w:pPr>
        <w:pStyle w:val="Heading6"/>
        <w:spacing w:line="256" w:lineRule="auto" w:before="22"/>
        <w:ind w:right="1131"/>
        <w:jc w:val="both"/>
      </w:pPr>
      <w:r>
        <w:rPr>
          <w:spacing w:val="-1"/>
        </w:rPr>
        <w:t>本公司已根据《企业会计准则第</w:t>
      </w:r>
      <w:r>
        <w:rPr>
          <w:rFonts w:ascii="Times New Roman" w:hAnsi="Times New Roman" w:cs="Times New Roman" w:eastAsia="Times New Roman" w:hint="default"/>
          <w:spacing w:val="-1"/>
        </w:rPr>
        <w:t>42</w:t>
      </w:r>
      <w:r>
        <w:rPr>
          <w:spacing w:val="-1"/>
        </w:rPr>
        <w:t>号</w:t>
      </w:r>
      <w:r>
        <w:rPr>
          <w:rFonts w:ascii="Times New Roman" w:hAnsi="Times New Roman" w:cs="Times New Roman" w:eastAsia="Times New Roman" w:hint="default"/>
          <w:spacing w:val="-1"/>
        </w:rPr>
        <w:t>——</w:t>
      </w:r>
      <w:r>
        <w:rPr>
          <w:spacing w:val="-1"/>
        </w:rPr>
        <w:t>持有待售的非流动资产、处置组和终止经营》的规定，对于</w:t>
      </w:r>
      <w:r>
        <w:rPr/>
        <w:t> </w:t>
      </w:r>
      <w:r>
        <w:rPr>
          <w:spacing w:val="-1"/>
        </w:rPr>
        <w:t>该规定影响的财务报表列报项目金额进行了调整，将</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日期间发生的非流动资</w:t>
      </w:r>
      <w:r>
        <w:rPr>
          <w:spacing w:val="-78"/>
        </w:rPr>
        <w:t> </w:t>
      </w:r>
      <w:r>
        <w:rPr>
          <w:spacing w:val="-2"/>
        </w:rPr>
        <w:t>产处置收益从</w:t>
      </w:r>
      <w:r>
        <w:rPr>
          <w:rFonts w:ascii="Times New Roman" w:hAnsi="Times New Roman" w:cs="Times New Roman" w:eastAsia="Times New Roman" w:hint="default"/>
          <w:spacing w:val="-2"/>
        </w:rPr>
        <w:t>“</w:t>
      </w:r>
      <w:r>
        <w:rPr>
          <w:spacing w:val="-2"/>
        </w:rPr>
        <w:t>营业外收入</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营业外支出</w:t>
      </w:r>
      <w:r>
        <w:rPr>
          <w:rFonts w:ascii="Times New Roman" w:hAnsi="Times New Roman" w:cs="Times New Roman" w:eastAsia="Times New Roman" w:hint="default"/>
          <w:spacing w:val="-2"/>
        </w:rPr>
        <w:t>”</w:t>
      </w:r>
      <w:r>
        <w:rPr>
          <w:spacing w:val="-2"/>
        </w:rPr>
        <w:t>调整至</w:t>
      </w:r>
      <w:r>
        <w:rPr>
          <w:rFonts w:ascii="Times New Roman" w:hAnsi="Times New Roman" w:cs="Times New Roman" w:eastAsia="Times New Roman" w:hint="default"/>
          <w:spacing w:val="-2"/>
        </w:rPr>
        <w:t>“</w:t>
      </w:r>
      <w:r>
        <w:rPr>
          <w:spacing w:val="-2"/>
        </w:rPr>
        <w:t>资产处置收益</w:t>
      </w:r>
      <w:r>
        <w:rPr>
          <w:rFonts w:ascii="Times New Roman" w:hAnsi="Times New Roman" w:cs="Times New Roman" w:eastAsia="Times New Roman" w:hint="default"/>
          <w:spacing w:val="-2"/>
        </w:rPr>
        <w:t>”777,584.50</w:t>
      </w:r>
      <w:r>
        <w:rPr>
          <w:spacing w:val="-2"/>
        </w:rPr>
        <w:t>元，对上年财务报表数据无影</w:t>
      </w:r>
      <w:r>
        <w:rPr>
          <w:spacing w:val="-56"/>
        </w:rPr>
        <w:t> </w:t>
      </w:r>
      <w:r>
        <w:rPr>
          <w:spacing w:val="-56"/>
        </w:rPr>
      </w:r>
      <w:r>
        <w:rPr/>
        <w:t>响。</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40" w:lineRule="auto"/>
        <w:ind w:left="1134" w:right="994"/>
        <w:jc w:val="left"/>
        <w:rPr>
          <w:b w:val="0"/>
          <w:bCs w:val="0"/>
        </w:rPr>
      </w:pPr>
      <w:bookmarkStart w:name="（2）重要会计估计变更" w:id="231"/>
      <w:bookmarkEnd w:id="23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line="544" w:lineRule="auto" w:before="0"/>
        <w:ind w:left="1133" w:right="92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34、其他" w:id="232"/>
      <w:bookmarkEnd w:id="232"/>
      <w:r>
        <w:rPr>
          <w:rFonts w:ascii="宋体" w:hAnsi="宋体" w:cs="宋体" w:eastAsia="宋体" w:hint="default"/>
          <w:sz w:val="18"/>
          <w:szCs w:val="18"/>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sz w:val="18"/>
          <w:szCs w:val="18"/>
        </w:rPr>
        <w:t>不适用。</w:t>
      </w:r>
    </w:p>
    <w:p>
      <w:pPr>
        <w:pStyle w:val="Heading4"/>
        <w:spacing w:line="240" w:lineRule="auto" w:before="100"/>
        <w:ind w:right="994"/>
        <w:jc w:val="left"/>
        <w:rPr>
          <w:b w:val="0"/>
          <w:bCs w:val="0"/>
        </w:rPr>
      </w:pPr>
      <w:bookmarkStart w:name="六、税项" w:id="233"/>
      <w:bookmarkEnd w:id="233"/>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1、主要税种及税率" w:id="234"/>
      <w:bookmarkEnd w:id="234"/>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178"/>
        <w:gridCol w:w="3190"/>
        <w:gridCol w:w="3179"/>
      </w:tblGrid>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78"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销售货物、应税销售服务收入</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p>
        </w:tc>
      </w:tr>
      <w:tr>
        <w:trPr>
          <w:trHeight w:val="402" w:hRule="exact"/>
        </w:trPr>
        <w:tc>
          <w:tcPr>
            <w:tcW w:w="3178"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178"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78"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应纳税所得税</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161" w:hRule="exact"/>
        </w:trPr>
        <w:tc>
          <w:tcPr>
            <w:tcW w:w="3178" w:type="dxa"/>
            <w:tcBorders>
              <w:top w:val="single" w:sz="4" w:space="0" w:color="000000"/>
              <w:left w:val="single" w:sz="4" w:space="0" w:color="000000"/>
              <w:bottom w:val="nil" w:sz="6" w:space="0" w:color="auto"/>
              <w:right w:val="single" w:sz="4" w:space="0" w:color="000000"/>
            </w:tcBorders>
            <w:shd w:val="clear" w:color="auto" w:fill="CCE8CF"/>
          </w:tcPr>
          <w:p>
            <w:pPr/>
          </w:p>
        </w:tc>
        <w:tc>
          <w:tcPr>
            <w:tcW w:w="3190" w:type="dxa"/>
            <w:vMerge w:val="restart"/>
            <w:tcBorders>
              <w:top w:val="single" w:sz="4" w:space="0" w:color="000000"/>
              <w:left w:val="single" w:sz="4" w:space="0" w:color="000000"/>
              <w:right w:val="single" w:sz="4" w:space="0" w:color="000000"/>
            </w:tcBorders>
            <w:shd w:val="clear" w:color="auto" w:fill="CCE8CF"/>
          </w:tcPr>
          <w:p>
            <w:pPr>
              <w:pStyle w:val="TableParagraph"/>
              <w:spacing w:line="300" w:lineRule="auto" w:before="52"/>
              <w:ind w:left="23" w:right="80"/>
              <w:jc w:val="left"/>
              <w:rPr>
                <w:rFonts w:ascii="宋体" w:hAnsi="宋体" w:cs="宋体" w:eastAsia="宋体" w:hint="default"/>
                <w:sz w:val="18"/>
                <w:szCs w:val="18"/>
              </w:rPr>
            </w:pPr>
            <w:r>
              <w:rPr>
                <w:rFonts w:ascii="宋体" w:hAnsi="宋体" w:cs="宋体" w:eastAsia="宋体" w:hint="default"/>
                <w:sz w:val="18"/>
                <w:szCs w:val="18"/>
              </w:rPr>
              <w:t>房产原值的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为纳税基准或以租金收 入为纳税基</w:t>
            </w:r>
          </w:p>
        </w:tc>
        <w:tc>
          <w:tcPr>
            <w:tcW w:w="3179"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1" w:hRule="exact"/>
        </w:trPr>
        <w:tc>
          <w:tcPr>
            <w:tcW w:w="317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vMerge/>
            <w:tcBorders>
              <w:left w:val="single" w:sz="4" w:space="0" w:color="000000"/>
              <w:right w:val="single" w:sz="4" w:space="0" w:color="000000"/>
            </w:tcBorders>
            <w:shd w:val="clear" w:color="auto" w:fill="CCE8CF"/>
          </w:tcPr>
          <w:p>
            <w:pPr/>
          </w:p>
        </w:tc>
        <w:tc>
          <w:tcPr>
            <w:tcW w:w="3179"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162" w:hRule="exact"/>
        </w:trPr>
        <w:tc>
          <w:tcPr>
            <w:tcW w:w="3178" w:type="dxa"/>
            <w:tcBorders>
              <w:top w:val="nil" w:sz="6" w:space="0" w:color="auto"/>
              <w:left w:val="single" w:sz="4" w:space="0" w:color="000000"/>
              <w:bottom w:val="single" w:sz="4" w:space="0" w:color="000000"/>
              <w:right w:val="single" w:sz="4" w:space="0" w:color="000000"/>
            </w:tcBorders>
            <w:shd w:val="clear" w:color="auto" w:fill="CCE8CF"/>
          </w:tcPr>
          <w:p>
            <w:pPr/>
          </w:p>
        </w:tc>
        <w:tc>
          <w:tcPr>
            <w:tcW w:w="3190" w:type="dxa"/>
            <w:vMerge/>
            <w:tcBorders>
              <w:left w:val="single" w:sz="4" w:space="0" w:color="000000"/>
              <w:bottom w:val="single" w:sz="4" w:space="0" w:color="000000"/>
              <w:right w:val="single" w:sz="4" w:space="0" w:color="000000"/>
            </w:tcBorders>
            <w:shd w:val="clear" w:color="auto" w:fill="CCE8CF"/>
          </w:tcPr>
          <w:p>
            <w:pPr/>
          </w:p>
        </w:tc>
        <w:tc>
          <w:tcPr>
            <w:tcW w:w="3179" w:type="dxa"/>
            <w:tcBorders>
              <w:top w:val="nil" w:sz="6" w:space="0" w:color="auto"/>
              <w:left w:val="single" w:sz="4" w:space="0" w:color="000000"/>
              <w:bottom w:val="single" w:sz="4" w:space="0" w:color="000000"/>
              <w:right w:val="single" w:sz="4" w:space="0" w:color="000000"/>
            </w:tcBorders>
            <w:shd w:val="clear" w:color="auto" w:fill="CCE8CF"/>
          </w:tcPr>
          <w:p>
            <w:pPr/>
          </w:p>
        </w:tc>
      </w:tr>
    </w:tbl>
    <w:p>
      <w:pPr>
        <w:pStyle w:val="BodyText"/>
        <w:spacing w:line="240" w:lineRule="auto" w:before="51"/>
        <w:ind w:left="1134" w:right="994"/>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深圳市易联技术有限公司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苏州新国都电子技术有限公司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浙江中正智能科技有限公司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深圳市新国都支付技术有限公司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深圳市信联征信有限公司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ExaDigm,Inc</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（详见其他说明）</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深圳市新国都金服软件有限公司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长沙公信诚丰信息技术服务有限公司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深圳市新国都末微技术服务有限公司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长沙法度互联网科技有限公司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杭州中宗电子有限公司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巴西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NEXGO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控股有限责任公司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税收优惠" w:id="235"/>
      <w:bookmarkEnd w:id="23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6"/>
        <w:spacing w:line="256" w:lineRule="auto" w:before="0"/>
        <w:ind w:left="1553" w:right="994" w:firstLine="0"/>
        <w:jc w:val="left"/>
      </w:pPr>
      <w:r>
        <w:rPr/>
        <w:t>（</w:t>
      </w:r>
      <w:r>
        <w:rPr>
          <w:rFonts w:ascii="Times New Roman" w:hAnsi="Times New Roman" w:cs="Times New Roman" w:eastAsia="Times New Roman" w:hint="default"/>
        </w:rPr>
        <w:t>1</w:t>
      </w:r>
      <w:r>
        <w:rPr/>
        <w:t>）增值税 </w:t>
      </w:r>
      <w:r>
        <w:rPr>
          <w:spacing w:val="-4"/>
        </w:rPr>
        <w:t>根据</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日起执行的财税</w:t>
      </w:r>
      <w:r>
        <w:rPr>
          <w:rFonts w:ascii="Times New Roman" w:hAnsi="Times New Roman" w:cs="Times New Roman" w:eastAsia="Times New Roman" w:hint="default"/>
          <w:spacing w:val="-4"/>
        </w:rPr>
        <w:t>[2011]100</w:t>
      </w:r>
      <w:r>
        <w:rPr>
          <w:spacing w:val="-4"/>
        </w:rPr>
        <w:t>号《财政部、国家税务总局关于软件产品增值税政策的通知》</w:t>
      </w:r>
    </w:p>
    <w:p>
      <w:pPr>
        <w:pStyle w:val="Heading6"/>
        <w:spacing w:line="256" w:lineRule="auto"/>
        <w:ind w:right="1128" w:firstLine="0"/>
        <w:jc w:val="left"/>
      </w:pPr>
      <w:r>
        <w:rPr/>
        <w:t>的有关规定，增值税一般纳税人销售其自行开发生产的软件产品，按</w:t>
      </w:r>
      <w:r>
        <w:rPr>
          <w:rFonts w:ascii="Times New Roman" w:hAnsi="Times New Roman" w:cs="Times New Roman" w:eastAsia="Times New Roman" w:hint="default"/>
        </w:rPr>
        <w:t>17%</w:t>
      </w:r>
      <w:r>
        <w:rPr/>
        <w:t>税率征收增值税后，对其增值税 实际税负超过</w:t>
      </w:r>
      <w:r>
        <w:rPr>
          <w:rFonts w:ascii="Times New Roman" w:hAnsi="Times New Roman" w:cs="Times New Roman" w:eastAsia="Times New Roman" w:hint="default"/>
        </w:rPr>
        <w:t>3%</w:t>
      </w:r>
      <w:r>
        <w:rPr/>
        <w:t>的部分实行即征即退政策。</w:t>
      </w:r>
    </w:p>
    <w:p>
      <w:pPr>
        <w:pStyle w:val="Heading6"/>
        <w:spacing w:line="273" w:lineRule="auto"/>
        <w:ind w:right="1110"/>
        <w:jc w:val="both"/>
      </w:pPr>
      <w:r>
        <w:rPr/>
        <w:t>本公司、深圳市易联技术有限公司、深圳市新国都支付技术有限公司、浙江中正智能科技有限公司、 苏州新国都电子技术有限公司、深圳市新国都金服软件有限公司均享受该税收优惠。</w:t>
      </w:r>
    </w:p>
    <w:p>
      <w:pPr>
        <w:pStyle w:val="BodyText"/>
        <w:spacing w:line="240" w:lineRule="auto" w:before="33"/>
        <w:ind w:left="1928" w:right="994"/>
        <w:jc w:val="left"/>
      </w:pPr>
      <w:r>
        <w:rPr>
          <w:rFonts w:ascii="Times New Roman" w:hAnsi="Times New Roman" w:cs="Times New Roman" w:eastAsia="Times New Roman" w:hint="default"/>
        </w:rPr>
        <w:t>(2)</w:t>
      </w:r>
      <w:r>
        <w:rPr/>
        <w:t>企业所得税</w:t>
      </w:r>
    </w:p>
    <w:p>
      <w:pPr>
        <w:pStyle w:val="Heading6"/>
        <w:spacing w:line="256" w:lineRule="auto" w:before="37"/>
        <w:ind w:right="1130"/>
        <w:jc w:val="both"/>
      </w:pPr>
      <w:r>
        <w:rPr>
          <w:spacing w:val="-2"/>
        </w:rPr>
        <w:t>本公司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日经复审后重新取得国家高新技术企业证书，证书编号：</w:t>
      </w:r>
      <w:r>
        <w:rPr>
          <w:rFonts w:ascii="Times New Roman" w:hAnsi="Times New Roman" w:cs="Times New Roman" w:eastAsia="Times New Roman" w:hint="default"/>
          <w:spacing w:val="-2"/>
        </w:rPr>
        <w:t>GR201744203891</w:t>
      </w:r>
      <w:r>
        <w:rPr>
          <w:spacing w:val="-2"/>
        </w:rPr>
        <w:t>，有效</w:t>
      </w:r>
      <w:r>
        <w:rPr/>
        <w:t> 期三年，</w:t>
      </w:r>
      <w:r>
        <w:rPr>
          <w:rFonts w:ascii="Times New Roman" w:hAnsi="Times New Roman" w:cs="Times New Roman" w:eastAsia="Times New Roman" w:hint="default"/>
        </w:rPr>
        <w:t>2017</w:t>
      </w:r>
      <w:r>
        <w:rPr/>
        <w:t>年度本公司企业所得税税率减按</w:t>
      </w:r>
      <w:r>
        <w:rPr>
          <w:rFonts w:ascii="Times New Roman" w:hAnsi="Times New Roman" w:cs="Times New Roman" w:eastAsia="Times New Roman" w:hint="default"/>
        </w:rPr>
        <w:t>15%</w:t>
      </w:r>
      <w:r>
        <w:rPr/>
        <w:t>执行。</w:t>
      </w:r>
    </w:p>
    <w:p>
      <w:pPr>
        <w:pStyle w:val="Heading6"/>
        <w:spacing w:line="256" w:lineRule="auto"/>
        <w:ind w:left="1134" w:right="1131"/>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日，深圳市易联技术有限公司取得证书编号为</w:t>
      </w:r>
      <w:r>
        <w:rPr>
          <w:rFonts w:ascii="Times New Roman" w:hAnsi="Times New Roman" w:cs="Times New Roman" w:eastAsia="Times New Roman" w:hint="default"/>
        </w:rPr>
        <w:t>GR201744202283</w:t>
      </w:r>
      <w:r>
        <w:rPr/>
        <w:t>的国家高新技术企业证 书。根据财税</w:t>
      </w:r>
      <w:r>
        <w:rPr>
          <w:rFonts w:ascii="Times New Roman" w:hAnsi="Times New Roman" w:cs="Times New Roman" w:eastAsia="Times New Roman" w:hint="default"/>
        </w:rPr>
        <w:t>[2012]27</w:t>
      </w:r>
      <w:r>
        <w:rPr/>
        <w:t>号《财政部、国家税务总局关于进一步鼓励软件产业和集成电路产业发展企业所得 </w:t>
      </w:r>
      <w:r>
        <w:rPr>
          <w:spacing w:val="-1"/>
        </w:rPr>
        <w:t>税政策的通知》、</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5</w:t>
      </w:r>
      <w:r>
        <w:rPr>
          <w:spacing w:val="-1"/>
        </w:rPr>
        <w:t>日深圳市南山区国家税务局出具的《企业所得税优惠事项备案表》，深圳市</w:t>
      </w:r>
      <w:r>
        <w:rPr>
          <w:spacing w:val="-83"/>
        </w:rPr>
        <w:t> </w:t>
      </w:r>
      <w:r>
        <w:rPr>
          <w:spacing w:val="-83"/>
        </w:rPr>
      </w:r>
      <w:r>
        <w:rPr/>
        <w:t>易联技术有限公司自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的税率缴纳企业所得税。</w:t>
      </w:r>
    </w:p>
    <w:p>
      <w:pPr>
        <w:pStyle w:val="Heading6"/>
        <w:spacing w:line="256" w:lineRule="auto"/>
        <w:ind w:left="1134" w:right="9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日，浙江中正智能科技有限公司取得国家高新技术企业证书，证书编号： </w:t>
      </w:r>
      <w:r>
        <w:rPr>
          <w:rFonts w:ascii="Times New Roman" w:hAnsi="Times New Roman" w:cs="Times New Roman" w:eastAsia="Times New Roman" w:hint="default"/>
          <w:spacing w:val="-4"/>
        </w:rPr>
        <w:t>GR201733003299</w:t>
      </w:r>
      <w:r>
        <w:rPr>
          <w:spacing w:val="-4"/>
        </w:rPr>
        <w:t>，有效期三年，</w:t>
      </w:r>
      <w:r>
        <w:rPr>
          <w:rFonts w:ascii="Times New Roman" w:hAnsi="Times New Roman" w:cs="Times New Roman" w:eastAsia="Times New Roman" w:hint="default"/>
          <w:spacing w:val="-4"/>
        </w:rPr>
        <w:t>2017</w:t>
      </w:r>
      <w:r>
        <w:rPr>
          <w:spacing w:val="-4"/>
        </w:rPr>
        <w:t>至</w:t>
      </w:r>
      <w:r>
        <w:rPr>
          <w:rFonts w:ascii="Times New Roman" w:hAnsi="Times New Roman" w:cs="Times New Roman" w:eastAsia="Times New Roman" w:hint="default"/>
          <w:spacing w:val="-4"/>
        </w:rPr>
        <w:t>2019</w:t>
      </w:r>
      <w:r>
        <w:rPr>
          <w:spacing w:val="-4"/>
        </w:rPr>
        <w:t>年度浙江中正智能科技有限公司企业所得税税率减按</w:t>
      </w:r>
      <w:r>
        <w:rPr>
          <w:rFonts w:ascii="Times New Roman" w:hAnsi="Times New Roman" w:cs="Times New Roman" w:eastAsia="Times New Roman" w:hint="default"/>
          <w:spacing w:val="-4"/>
        </w:rPr>
        <w:t>15%</w:t>
      </w:r>
      <w:r>
        <w:rPr>
          <w:spacing w:val="-4"/>
        </w:rPr>
        <w:t>执行。</w:t>
      </w:r>
    </w:p>
    <w:p>
      <w:pPr>
        <w:pStyle w:val="Heading6"/>
        <w:spacing w:line="256" w:lineRule="auto"/>
        <w:ind w:left="1134" w:right="994"/>
        <w:jc w:val="left"/>
      </w:pPr>
      <w:r>
        <w:rPr/>
        <w:t>长沙公信诚丰信息技术服务有限公司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日被湖南省科学技术厅、湖南省财政厅、湖南省国 </w:t>
      </w:r>
      <w:r>
        <w:rPr>
          <w:spacing w:val="-5"/>
        </w:rPr>
        <w:t>家税务局、湖南省地方税务局批准为高新技术企业，有效期三年</w:t>
      </w:r>
      <w:r>
        <w:rPr>
          <w:rFonts w:ascii="Times New Roman" w:hAnsi="Times New Roman" w:cs="Times New Roman" w:eastAsia="Times New Roman" w:hint="default"/>
          <w:spacing w:val="-5"/>
        </w:rPr>
        <w:t>,</w:t>
      </w:r>
      <w:r>
        <w:rPr>
          <w:spacing w:val="-5"/>
        </w:rPr>
        <w:t>高新技术企业证书编号：</w:t>
      </w:r>
      <w:r>
        <w:rPr>
          <w:rFonts w:ascii="Times New Roman" w:hAnsi="Times New Roman" w:cs="Times New Roman" w:eastAsia="Times New Roman" w:hint="default"/>
          <w:spacing w:val="-5"/>
        </w:rPr>
        <w:t>GF201543000485</w:t>
      </w:r>
      <w:r>
        <w:rPr>
          <w:spacing w:val="-5"/>
        </w:rPr>
        <w:t>。</w:t>
      </w:r>
      <w:r>
        <w:rPr>
          <w:spacing w:val="-70"/>
        </w:rPr>
        <w:t> </w:t>
      </w:r>
      <w:r>
        <w:rPr>
          <w:rFonts w:ascii="Times New Roman" w:hAnsi="Times New Roman" w:cs="Times New Roman" w:eastAsia="Times New Roman" w:hint="default"/>
        </w:rPr>
        <w:t>2017</w:t>
      </w:r>
      <w:r>
        <w:rPr/>
        <w:t>年度减按</w:t>
      </w:r>
      <w:r>
        <w:rPr>
          <w:rFonts w:ascii="Times New Roman" w:hAnsi="Times New Roman" w:cs="Times New Roman" w:eastAsia="Times New Roman" w:hint="default"/>
        </w:rPr>
        <w:t>15%</w:t>
      </w:r>
      <w:r>
        <w:rPr/>
        <w:t>的税率缴纳企业所得税。</w:t>
      </w:r>
    </w:p>
    <w:p>
      <w:pPr>
        <w:pStyle w:val="Heading6"/>
        <w:spacing w:line="256" w:lineRule="auto"/>
        <w:ind w:left="1134" w:right="1215"/>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日，深圳市信联征信有限公司取得证书编号为</w:t>
      </w:r>
      <w:r>
        <w:rPr>
          <w:rFonts w:ascii="Times New Roman" w:hAnsi="Times New Roman" w:cs="Times New Roman" w:eastAsia="Times New Roman" w:hint="default"/>
        </w:rPr>
        <w:t>GR201744204371</w:t>
      </w:r>
      <w:r>
        <w:rPr/>
        <w:t>的国家高新技术企业证 书。根据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日深圳市南山区国家税务局出具的《企业所得税优惠事项备案表》，深圳市信联征 信有限公司自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的税率缴纳企业所得税。</w:t>
      </w:r>
    </w:p>
    <w:p>
      <w:pPr>
        <w:pStyle w:val="Heading6"/>
        <w:spacing w:line="256" w:lineRule="auto"/>
        <w:ind w:right="1121"/>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日，深圳市新国都支付技术有限公司取得证书编号为</w:t>
      </w:r>
      <w:r>
        <w:rPr>
          <w:rFonts w:ascii="Times New Roman" w:hAnsi="Times New Roman" w:cs="Times New Roman" w:eastAsia="Times New Roman" w:hint="default"/>
          <w:spacing w:val="-2"/>
        </w:rPr>
        <w:t>GR201744202118</w:t>
      </w:r>
      <w:r>
        <w:rPr>
          <w:spacing w:val="-2"/>
        </w:rPr>
        <w:t>的国家高新技术企</w:t>
      </w:r>
      <w:r>
        <w:rPr/>
        <w:t> 业证书。根据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日深圳市南山区国家税务局出具的《企业所得税优惠事项备案表》，深圳市新 国都支付技术有限公司自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的税率缴纳企业所得税。</w:t>
      </w:r>
    </w:p>
    <w:p>
      <w:pPr>
        <w:pStyle w:val="Heading6"/>
        <w:spacing w:line="256" w:lineRule="auto"/>
        <w:ind w:right="1131"/>
        <w:jc w:val="both"/>
      </w:pPr>
      <w:r>
        <w:rPr>
          <w:spacing w:val="-3"/>
        </w:rPr>
        <w:t>苏州新国都电子技术有限公司取得编号为苏</w:t>
      </w:r>
      <w:r>
        <w:rPr>
          <w:rFonts w:ascii="Times New Roman" w:hAnsi="Times New Roman" w:cs="Times New Roman" w:eastAsia="Times New Roman" w:hint="default"/>
          <w:spacing w:val="-3"/>
        </w:rPr>
        <w:t>R-2015-E0088</w:t>
      </w:r>
      <w:r>
        <w:rPr>
          <w:spacing w:val="-3"/>
        </w:rPr>
        <w:t>号的软件企业证书，根据财税（</w:t>
      </w:r>
      <w:r>
        <w:rPr>
          <w:rFonts w:ascii="Times New Roman" w:hAnsi="Times New Roman" w:cs="Times New Roman" w:eastAsia="Times New Roman" w:hint="default"/>
          <w:spacing w:val="-3"/>
        </w:rPr>
        <w:t>2008</w:t>
      </w:r>
      <w:r>
        <w:rPr>
          <w:spacing w:val="-3"/>
        </w:rPr>
        <w:t>）第</w:t>
      </w:r>
      <w:r>
        <w:rPr>
          <w:rFonts w:ascii="Times New Roman" w:hAnsi="Times New Roman" w:cs="Times New Roman" w:eastAsia="Times New Roman" w:hint="default"/>
          <w:spacing w:val="-3"/>
        </w:rPr>
        <w:t>001</w:t>
      </w:r>
      <w:r>
        <w:rPr>
          <w:rFonts w:ascii="Times New Roman" w:hAnsi="Times New Roman" w:cs="Times New Roman" w:eastAsia="Times New Roman" w:hint="default"/>
        </w:rPr>
        <w:t> </w:t>
      </w:r>
      <w:r>
        <w:rPr>
          <w:spacing w:val="-1"/>
        </w:rPr>
        <w:t>号，财税（</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27</w:t>
      </w:r>
      <w:r>
        <w:rPr>
          <w:spacing w:val="-1"/>
        </w:rPr>
        <w:t>号以及国家税务总局</w:t>
      </w:r>
      <w:r>
        <w:rPr>
          <w:rFonts w:ascii="Times New Roman" w:hAnsi="Times New Roman" w:cs="Times New Roman" w:eastAsia="Times New Roman" w:hint="default"/>
          <w:spacing w:val="-1"/>
        </w:rPr>
        <w:t>2013</w:t>
      </w:r>
      <w:r>
        <w:rPr>
          <w:spacing w:val="-1"/>
        </w:rPr>
        <w:t>年第</w:t>
      </w:r>
      <w:r>
        <w:rPr>
          <w:rFonts w:ascii="Times New Roman" w:hAnsi="Times New Roman" w:cs="Times New Roman" w:eastAsia="Times New Roman" w:hint="default"/>
          <w:spacing w:val="-1"/>
        </w:rPr>
        <w:t>43</w:t>
      </w:r>
      <w:r>
        <w:rPr>
          <w:spacing w:val="-1"/>
        </w:rPr>
        <w:t>号公告文件，苏州新国都电子技术有限公司符合软件</w:t>
      </w:r>
      <w:r>
        <w:rPr>
          <w:spacing w:val="-84"/>
        </w:rPr>
        <w:t> </w:t>
      </w:r>
      <w:r>
        <w:rPr>
          <w:spacing w:val="-84"/>
        </w:rPr>
      </w:r>
      <w:r>
        <w:rPr/>
        <w:t>企业的认定条件，可以享受两免三减半的所得税优惠，</w:t>
      </w:r>
      <w:r>
        <w:rPr>
          <w:rFonts w:ascii="Times New Roman" w:hAnsi="Times New Roman" w:cs="Times New Roman" w:eastAsia="Times New Roman" w:hint="default"/>
        </w:rPr>
        <w:t>2017</w:t>
      </w:r>
      <w:r>
        <w:rPr/>
        <w:t>年度减半缴纳企业所得税。</w:t>
      </w:r>
    </w:p>
    <w:p>
      <w:pPr>
        <w:pStyle w:val="Heading6"/>
        <w:spacing w:line="256" w:lineRule="auto"/>
        <w:ind w:right="1131" w:firstLine="336"/>
        <w:jc w:val="both"/>
      </w:pPr>
      <w:r>
        <w:rPr>
          <w:spacing w:val="-2"/>
        </w:rPr>
        <w:t>根据财税</w:t>
      </w:r>
      <w:r>
        <w:rPr>
          <w:rFonts w:ascii="Times New Roman" w:hAnsi="Times New Roman" w:cs="Times New Roman" w:eastAsia="Times New Roman" w:hint="default"/>
          <w:spacing w:val="-2"/>
        </w:rPr>
        <w:t>[2012]27</w:t>
      </w:r>
      <w:r>
        <w:rPr>
          <w:spacing w:val="-2"/>
        </w:rPr>
        <w:t>号《财政部、国家税务总局关于进一步鼓励软件产业和集成电路产业发展企业所得税</w:t>
      </w:r>
      <w:r>
        <w:rPr/>
        <w:t> </w:t>
      </w:r>
      <w:r>
        <w:rPr>
          <w:spacing w:val="-1"/>
        </w:rPr>
        <w:t>政策的通知》以及</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w:t>
      </w:r>
      <w:r>
        <w:rPr>
          <w:spacing w:val="-1"/>
        </w:rPr>
        <w:t>日深圳市宝安区国家税务局出具的《企业所得税优惠事项备案表》，深圳市</w:t>
      </w:r>
      <w:r>
        <w:rPr>
          <w:spacing w:val="-85"/>
        </w:rPr>
        <w:t> </w:t>
      </w:r>
      <w:r>
        <w:rPr>
          <w:spacing w:val="-85"/>
        </w:rPr>
      </w:r>
      <w:r>
        <w:rPr/>
        <w:t>新国都金服软件有限公司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日免征企业所得税。</w:t>
      </w:r>
    </w:p>
    <w:p>
      <w:pPr>
        <w:spacing w:line="240" w:lineRule="auto" w:before="5"/>
        <w:rPr>
          <w:rFonts w:ascii="宋体" w:hAnsi="宋体" w:cs="宋体" w:eastAsia="宋体" w:hint="default"/>
          <w:sz w:val="23"/>
          <w:szCs w:val="23"/>
        </w:rPr>
      </w:pPr>
    </w:p>
    <w:p>
      <w:pPr>
        <w:pStyle w:val="Heading5"/>
        <w:spacing w:line="240" w:lineRule="auto"/>
        <w:ind w:left="1134" w:right="994"/>
        <w:jc w:val="left"/>
        <w:rPr>
          <w:b w:val="0"/>
          <w:bCs w:val="0"/>
        </w:rPr>
      </w:pPr>
      <w:bookmarkStart w:name="3、其他" w:id="236"/>
      <w:bookmarkEnd w:id="236"/>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4"/>
          <w:szCs w:val="24"/>
        </w:rPr>
      </w:pPr>
    </w:p>
    <w:p>
      <w:pPr>
        <w:pStyle w:val="Heading6"/>
        <w:spacing w:line="240" w:lineRule="auto" w:before="0"/>
        <w:ind w:left="1434" w:right="994" w:firstLine="0"/>
        <w:jc w:val="left"/>
        <w:rPr>
          <w:rFonts w:ascii="Times New Roman" w:hAnsi="Times New Roman" w:cs="Times New Roman" w:eastAsia="Times New Roman" w:hint="default"/>
        </w:rPr>
      </w:pPr>
      <w:r>
        <w:rPr>
          <w:rFonts w:ascii="Times New Roman" w:hAnsi="Times New Roman" w:cs="Times New Roman" w:eastAsia="Times New Roman" w:hint="default"/>
          <w:sz w:val="18"/>
          <w:szCs w:val="18"/>
        </w:rPr>
        <w:t>ExaDigm,Inc</w:t>
      </w:r>
      <w:r>
        <w:rPr>
          <w:rFonts w:ascii="Times New Roman" w:hAnsi="Times New Roman" w:cs="Times New Roman" w:eastAsia="Times New Roman" w:hint="default"/>
        </w:rPr>
        <w:t>?</w:t>
      </w:r>
      <w:r>
        <w:rPr/>
        <w:t>业</w:t>
      </w:r>
      <w:r>
        <w:rPr>
          <w:rFonts w:ascii="Times New Roman" w:hAnsi="Times New Roman" w:cs="Times New Roman" w:eastAsia="Times New Roman" w:hint="default"/>
        </w:rPr>
        <w:t>???</w:t>
      </w:r>
      <w:r>
        <w:rPr/>
        <w:t>为联</w:t>
      </w:r>
      <w:r>
        <w:rPr>
          <w:rFonts w:ascii="Times New Roman" w:hAnsi="Times New Roman" w:cs="Times New Roman" w:eastAsia="Times New Roman" w:hint="default"/>
        </w:rPr>
        <w:t>?????????</w:t>
      </w:r>
      <w:r>
        <w:rPr/>
        <w:t>亚</w:t>
      </w:r>
      <w:r>
        <w:rPr>
          <w:rFonts w:ascii="Times New Roman" w:hAnsi="Times New Roman" w:cs="Times New Roman" w:eastAsia="Times New Roman" w:hint="default"/>
        </w:rPr>
        <w:t>???????</w:t>
      </w:r>
      <w:r>
        <w:rPr/>
        <w:t>联</w:t>
      </w:r>
      <w:r>
        <w:rPr>
          <w:rFonts w:ascii="Times New Roman" w:hAnsi="Times New Roman" w:cs="Times New Roman" w:eastAsia="Times New Roman" w:hint="default"/>
        </w:rPr>
        <w:t>?????</w:t>
      </w:r>
      <w:r>
        <w:rPr/>
        <w:t>应纳</w:t>
      </w:r>
      <w:r>
        <w:rPr>
          <w:rFonts w:ascii="Times New Roman" w:hAnsi="Times New Roman" w:cs="Times New Roman" w:eastAsia="Times New Roman" w:hint="default"/>
        </w:rPr>
        <w:t>????</w:t>
      </w:r>
      <w:r>
        <w:rPr/>
        <w:t>级</w:t>
      </w:r>
      <w:r>
        <w:rPr>
          <w:rFonts w:ascii="Times New Roman" w:hAnsi="Times New Roman" w:cs="Times New Roman" w:eastAsia="Times New Roman" w:hint="default"/>
        </w:rPr>
        <w:t>??</w:t>
      </w:r>
      <w:r>
        <w:rPr/>
        <w:t>渐变</w:t>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2" w:type="dxa"/>
        <w:tblLayout w:type="fixed"/>
        <w:tblCellMar>
          <w:top w:w="0" w:type="dxa"/>
          <w:left w:w="0" w:type="dxa"/>
          <w:bottom w:w="0" w:type="dxa"/>
          <w:right w:w="0" w:type="dxa"/>
        </w:tblCellMar>
        <w:tblLook w:val="01E0"/>
      </w:tblPr>
      <w:tblGrid>
        <w:gridCol w:w="4135"/>
        <w:gridCol w:w="4121"/>
      </w:tblGrid>
      <w:tr>
        <w:trPr>
          <w:trHeight w:val="340" w:hRule="exact"/>
        </w:trPr>
        <w:tc>
          <w:tcPr>
            <w:tcW w:w="4135" w:type="dxa"/>
            <w:tcBorders>
              <w:top w:val="nil" w:sz="6" w:space="0" w:color="auto"/>
              <w:left w:val="nil" w:sz="6" w:space="0" w:color="auto"/>
              <w:bottom w:val="single" w:sz="6" w:space="0" w:color="000000"/>
              <w:right w:val="single" w:sz="6" w:space="0" w:color="000000"/>
            </w:tcBorders>
          </w:tcPr>
          <w:p>
            <w:pPr>
              <w:pStyle w:val="TableParagraph"/>
              <w:spacing w:line="240" w:lineRule="auto" w:before="20"/>
              <w:ind w:left="20" w:right="0"/>
              <w:jc w:val="center"/>
              <w:rPr>
                <w:rFonts w:ascii="宋体" w:hAnsi="宋体" w:cs="宋体" w:eastAsia="宋体" w:hint="default"/>
                <w:sz w:val="18"/>
                <w:szCs w:val="18"/>
              </w:rPr>
            </w:pPr>
            <w:r>
              <w:rPr>
                <w:rFonts w:ascii="宋体" w:hAnsi="宋体" w:cs="宋体" w:eastAsia="宋体" w:hint="default"/>
                <w:sz w:val="18"/>
                <w:szCs w:val="18"/>
              </w:rPr>
              <w:t>应纳税收入（美元）</w:t>
            </w:r>
          </w:p>
        </w:tc>
        <w:tc>
          <w:tcPr>
            <w:tcW w:w="412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对应税率</w:t>
            </w:r>
          </w:p>
        </w:tc>
      </w:tr>
      <w:tr>
        <w:trPr>
          <w:trHeight w:val="336" w:hRule="exact"/>
        </w:trPr>
        <w:tc>
          <w:tcPr>
            <w:tcW w:w="4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22" w:right="0"/>
              <w:jc w:val="center"/>
              <w:rPr>
                <w:rFonts w:ascii="Times New Roman" w:hAnsi="Times New Roman" w:cs="Times New Roman" w:eastAsia="Times New Roman" w:hint="default"/>
                <w:sz w:val="18"/>
                <w:szCs w:val="18"/>
              </w:rPr>
            </w:pPr>
            <w:r>
              <w:rPr>
                <w:rFonts w:ascii="Times New Roman"/>
                <w:sz w:val="18"/>
              </w:rPr>
              <w:t>0-50,000</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w:t>
            </w:r>
          </w:p>
        </w:tc>
      </w:tr>
      <w:tr>
        <w:trPr>
          <w:trHeight w:val="337" w:hRule="exact"/>
        </w:trPr>
        <w:tc>
          <w:tcPr>
            <w:tcW w:w="4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22" w:right="0"/>
              <w:jc w:val="center"/>
              <w:rPr>
                <w:rFonts w:ascii="Times New Roman" w:hAnsi="Times New Roman" w:cs="Times New Roman" w:eastAsia="Times New Roman" w:hint="default"/>
                <w:sz w:val="18"/>
                <w:szCs w:val="18"/>
              </w:rPr>
            </w:pPr>
            <w:r>
              <w:rPr>
                <w:rFonts w:ascii="Times New Roman"/>
                <w:sz w:val="18"/>
              </w:rPr>
              <w:t>50,000-75,000</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25%</w:t>
            </w:r>
          </w:p>
        </w:tc>
      </w:tr>
      <w:tr>
        <w:trPr>
          <w:trHeight w:val="337" w:hRule="exact"/>
        </w:trPr>
        <w:tc>
          <w:tcPr>
            <w:tcW w:w="4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1"/>
              <w:ind w:left="21" w:right="0"/>
              <w:jc w:val="center"/>
              <w:rPr>
                <w:rFonts w:ascii="Times New Roman" w:hAnsi="Times New Roman" w:cs="Times New Roman" w:eastAsia="Times New Roman" w:hint="default"/>
                <w:sz w:val="18"/>
                <w:szCs w:val="18"/>
              </w:rPr>
            </w:pPr>
            <w:r>
              <w:rPr>
                <w:rFonts w:ascii="Times New Roman"/>
                <w:sz w:val="18"/>
              </w:rPr>
              <w:t>75,000-100,000</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34%</w:t>
            </w:r>
          </w:p>
        </w:tc>
      </w:tr>
      <w:tr>
        <w:trPr>
          <w:trHeight w:val="338" w:hRule="exact"/>
        </w:trPr>
        <w:tc>
          <w:tcPr>
            <w:tcW w:w="4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2"/>
              <w:ind w:left="21" w:right="0"/>
              <w:jc w:val="center"/>
              <w:rPr>
                <w:rFonts w:ascii="Times New Roman" w:hAnsi="Times New Roman" w:cs="Times New Roman" w:eastAsia="Times New Roman" w:hint="default"/>
                <w:sz w:val="18"/>
                <w:szCs w:val="18"/>
              </w:rPr>
            </w:pPr>
            <w:r>
              <w:rPr>
                <w:rFonts w:ascii="Times New Roman"/>
                <w:sz w:val="18"/>
              </w:rPr>
              <w:t>100,000-335,000</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39%</w:t>
            </w:r>
          </w:p>
        </w:tc>
      </w:tr>
      <w:tr>
        <w:trPr>
          <w:trHeight w:val="337" w:hRule="exact"/>
        </w:trPr>
        <w:tc>
          <w:tcPr>
            <w:tcW w:w="4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20" w:right="0"/>
              <w:jc w:val="center"/>
              <w:rPr>
                <w:rFonts w:ascii="Times New Roman" w:hAnsi="Times New Roman" w:cs="Times New Roman" w:eastAsia="Times New Roman" w:hint="default"/>
                <w:sz w:val="18"/>
                <w:szCs w:val="18"/>
              </w:rPr>
            </w:pPr>
            <w:r>
              <w:rPr>
                <w:rFonts w:ascii="Times New Roman"/>
                <w:sz w:val="18"/>
              </w:rPr>
              <w:t>335,000-10,000,000</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34%</w:t>
            </w:r>
          </w:p>
        </w:tc>
      </w:tr>
      <w:tr>
        <w:trPr>
          <w:trHeight w:val="337" w:hRule="exact"/>
        </w:trPr>
        <w:tc>
          <w:tcPr>
            <w:tcW w:w="4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22" w:right="0"/>
              <w:jc w:val="center"/>
              <w:rPr>
                <w:rFonts w:ascii="Times New Roman" w:hAnsi="Times New Roman" w:cs="Times New Roman" w:eastAsia="Times New Roman" w:hint="default"/>
                <w:sz w:val="18"/>
                <w:szCs w:val="18"/>
              </w:rPr>
            </w:pPr>
            <w:r>
              <w:rPr>
                <w:rFonts w:ascii="Times New Roman"/>
                <w:sz w:val="18"/>
              </w:rPr>
              <w:t>10,000,000-15,000,000</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35%</w:t>
            </w:r>
          </w:p>
        </w:tc>
      </w:tr>
      <w:tr>
        <w:trPr>
          <w:trHeight w:val="336" w:hRule="exact"/>
        </w:trPr>
        <w:tc>
          <w:tcPr>
            <w:tcW w:w="4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50"/>
              <w:ind w:left="22" w:right="0"/>
              <w:jc w:val="center"/>
              <w:rPr>
                <w:rFonts w:ascii="Times New Roman" w:hAnsi="Times New Roman" w:cs="Times New Roman" w:eastAsia="Times New Roman" w:hint="default"/>
                <w:sz w:val="18"/>
                <w:szCs w:val="18"/>
              </w:rPr>
            </w:pPr>
            <w:r>
              <w:rPr>
                <w:rFonts w:ascii="Times New Roman"/>
                <w:sz w:val="18"/>
              </w:rPr>
              <w:t>15,000,000-18,333,333</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38%</w:t>
            </w:r>
          </w:p>
        </w:tc>
      </w:tr>
      <w:tr>
        <w:trPr>
          <w:trHeight w:val="338" w:hRule="exact"/>
        </w:trPr>
        <w:tc>
          <w:tcPr>
            <w:tcW w:w="413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1"/>
              <w:ind w:left="2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18,333,333</w:t>
            </w:r>
            <w:r>
              <w:rPr>
                <w:rFonts w:ascii="宋体" w:hAnsi="宋体" w:cs="宋体" w:eastAsia="宋体" w:hint="default"/>
                <w:sz w:val="18"/>
                <w:szCs w:val="18"/>
              </w:rPr>
              <w:t>及以上</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35%</w:t>
            </w:r>
          </w:p>
        </w:tc>
      </w:tr>
    </w:tbl>
    <w:p>
      <w:pPr>
        <w:pStyle w:val="Heading6"/>
        <w:spacing w:line="276" w:lineRule="exact" w:before="0"/>
        <w:ind w:left="1134" w:right="994" w:firstLine="0"/>
        <w:jc w:val="left"/>
      </w:pPr>
      <w:r>
        <w:rPr/>
        <w:t>加利福尼亚州所得税税率为</w:t>
      </w:r>
      <w:r>
        <w:rPr>
          <w:rFonts w:ascii="Times New Roman" w:hAnsi="Times New Roman" w:cs="Times New Roman" w:eastAsia="Times New Roman" w:hint="default"/>
        </w:rPr>
        <w:t>8.84%</w:t>
      </w:r>
      <w:r>
        <w:rPr/>
        <w:t>。</w:t>
      </w:r>
    </w:p>
    <w:p>
      <w:pPr>
        <w:pStyle w:val="Heading6"/>
        <w:spacing w:line="240" w:lineRule="auto" w:before="21"/>
        <w:ind w:left="1134" w:right="994" w:firstLine="0"/>
        <w:jc w:val="left"/>
      </w:pPr>
      <w:r>
        <w:rPr/>
        <w:t>巴西</w:t>
      </w:r>
      <w:r>
        <w:rPr>
          <w:rFonts w:ascii="Times New Roman" w:hAnsi="Times New Roman" w:cs="Times New Roman" w:eastAsia="Times New Roman" w:hint="default"/>
        </w:rPr>
        <w:t>NEXGO</w:t>
      </w:r>
      <w:r>
        <w:rPr/>
        <w:t>控股有限责任公司企业所得税的税率为应纳税所得额的</w:t>
      </w:r>
      <w:r>
        <w:rPr>
          <w:rFonts w:ascii="Times New Roman" w:hAnsi="Times New Roman" w:cs="Times New Roman" w:eastAsia="Times New Roman" w:hint="default"/>
        </w:rPr>
        <w:t>15%</w:t>
      </w:r>
      <w:r>
        <w:rPr/>
        <w:t>。</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4"/>
          <w:szCs w:val="24"/>
        </w:rPr>
      </w:pPr>
    </w:p>
    <w:p>
      <w:pPr>
        <w:pStyle w:val="Heading4"/>
        <w:spacing w:line="240" w:lineRule="auto"/>
        <w:ind w:left="1134" w:right="994"/>
        <w:jc w:val="left"/>
        <w:rPr>
          <w:b w:val="0"/>
          <w:bCs w:val="0"/>
        </w:rPr>
      </w:pPr>
      <w:bookmarkStart w:name="七、合并财务报表项目注释" w:id="237"/>
      <w:bookmarkEnd w:id="237"/>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1、货币资金" w:id="238"/>
      <w:bookmarkEnd w:id="238"/>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1,864,507.48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9,702.47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1,067,075,355.36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538,624,226.75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51,303,451.95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37,566,032.80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1,120,243,314.79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576,199,962.02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1,820,059.85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3,965,260.65</w:t>
            </w:r>
          </w:p>
        </w:tc>
      </w:tr>
    </w:tbl>
    <w:p>
      <w:pPr>
        <w:pStyle w:val="Heading6"/>
        <w:spacing w:line="525" w:lineRule="auto" w:before="51"/>
        <w:ind w:right="2300" w:firstLine="0"/>
        <w:jc w:val="left"/>
      </w:pPr>
      <w:r>
        <w:rPr/>
        <w:pict>
          <v:shape style="position:absolute;margin-left:56.34pt;margin-top:76.36171pt;width:428.35pt;height:89.2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52"/>
                    <w:gridCol w:w="2439"/>
                    <w:gridCol w:w="2439"/>
                  </w:tblGrid>
                  <w:tr>
                    <w:trPr>
                      <w:trHeight w:val="355" w:hRule="exact"/>
                    </w:trPr>
                    <w:tc>
                      <w:tcPr>
                        <w:tcW w:w="36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637"/>
                          <w:jc w:val="right"/>
                          <w:rPr>
                            <w:rFonts w:ascii="宋体" w:hAnsi="宋体" w:cs="宋体" w:eastAsia="宋体" w:hint="default"/>
                            <w:sz w:val="18"/>
                            <w:szCs w:val="18"/>
                          </w:rPr>
                        </w:pPr>
                        <w:r>
                          <w:rPr>
                            <w:rFonts w:ascii="宋体" w:hAnsi="宋体" w:cs="宋体" w:eastAsia="宋体" w:hint="default"/>
                            <w:sz w:val="18"/>
                            <w:szCs w:val="18"/>
                          </w:rPr>
                          <w:t>项目</w:t>
                        </w:r>
                      </w:p>
                    </w:tc>
                    <w:tc>
                      <w:tcPr>
                        <w:tcW w:w="24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39"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15,330,342.18</w:t>
                        </w:r>
                      </w:p>
                    </w:tc>
                    <w:tc>
                      <w:tcPr>
                        <w:tcW w:w="24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31,599,018.02</w:t>
                        </w:r>
                      </w:p>
                    </w:tc>
                  </w:tr>
                  <w:tr>
                    <w:trPr>
                      <w:trHeight w:val="353"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35,298,109.77</w:t>
                        </w:r>
                      </w:p>
                    </w:tc>
                    <w:tc>
                      <w:tcPr>
                        <w:tcW w:w="24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5,620,017.02</w:t>
                        </w:r>
                      </w:p>
                    </w:tc>
                  </w:tr>
                  <w:tr>
                    <w:trPr>
                      <w:trHeight w:val="35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24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346,997.76</w:t>
                        </w:r>
                      </w:p>
                    </w:tc>
                  </w:tr>
                  <w:tr>
                    <w:trPr>
                      <w:trHeight w:val="352" w:hRule="exact"/>
                    </w:trPr>
                    <w:tc>
                      <w:tcPr>
                        <w:tcW w:w="36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637"/>
                          <w:jc w:val="right"/>
                          <w:rPr>
                            <w:rFonts w:ascii="宋体" w:hAnsi="宋体" w:cs="宋体" w:eastAsia="宋体" w:hint="default"/>
                            <w:sz w:val="18"/>
                            <w:szCs w:val="18"/>
                          </w:rPr>
                        </w:pPr>
                        <w:r>
                          <w:rPr>
                            <w:rFonts w:ascii="宋体" w:hAnsi="宋体" w:cs="宋体" w:eastAsia="宋体" w:hint="default"/>
                            <w:sz w:val="18"/>
                            <w:szCs w:val="18"/>
                          </w:rPr>
                          <w:t>合计</w:t>
                        </w:r>
                      </w:p>
                    </w:tc>
                    <w:tc>
                      <w:tcPr>
                        <w:tcW w:w="24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50,628,451.95</w:t>
                        </w:r>
                      </w:p>
                    </w:tc>
                    <w:tc>
                      <w:tcPr>
                        <w:tcW w:w="2439"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37,566,032.80</w:t>
                        </w:r>
                      </w:p>
                    </w:tc>
                  </w:tr>
                </w:tbl>
                <w:p>
                  <w:pPr/>
                </w:p>
              </w:txbxContent>
            </v:textbox>
            <w10:wrap type="none"/>
          </v:shape>
        </w:pict>
      </w:r>
      <w:r>
        <w:rPr>
          <w:sz w:val="18"/>
          <w:szCs w:val="18"/>
        </w:rPr>
        <w:t>其他说明 </w:t>
      </w:r>
      <w:r>
        <w:rPr/>
        <w:t>其他货币资金期末余额中包含在途资金</w:t>
      </w:r>
      <w:r>
        <w:rPr>
          <w:rFonts w:ascii="Times New Roman" w:hAnsi="Times New Roman" w:cs="Times New Roman" w:eastAsia="Times New Roman" w:hint="default"/>
        </w:rPr>
        <w:t>675,000.00</w:t>
      </w:r>
      <w:r>
        <w:rPr/>
        <w:t>元以及受限制的货币资金</w:t>
      </w:r>
      <w:r>
        <w:rPr>
          <w:rFonts w:ascii="Times New Roman" w:hAnsi="Times New Roman" w:cs="Times New Roman" w:eastAsia="Times New Roman" w:hint="default"/>
        </w:rPr>
        <w:t>50,628,451.95</w:t>
      </w:r>
      <w:r>
        <w:rPr/>
        <w:t>元。 其中受限制的货币资金明细如下：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5"/>
        <w:spacing w:line="240" w:lineRule="auto" w:before="35"/>
        <w:ind w:left="1134" w:right="994"/>
        <w:jc w:val="left"/>
        <w:rPr>
          <w:b w:val="0"/>
          <w:bCs w:val="0"/>
        </w:rPr>
      </w:pPr>
      <w:bookmarkStart w:name="2、以公允价值计量且其变动计入当期损益的金融资产" w:id="239"/>
      <w:bookmarkEnd w:id="239"/>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994"/>
        <w:jc w:val="left"/>
      </w:pPr>
      <w:r>
        <w:rPr/>
        <w:t>其他说明：</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ind w:right="994"/>
        <w:jc w:val="left"/>
      </w:pPr>
      <w:r>
        <w:rPr/>
        <w:t>无</w:t>
      </w:r>
    </w:p>
    <w:p>
      <w:pPr>
        <w:spacing w:line="240" w:lineRule="auto" w:before="12"/>
        <w:rPr>
          <w:rFonts w:ascii="宋体" w:hAnsi="宋体" w:cs="宋体" w:eastAsia="宋体" w:hint="default"/>
          <w:sz w:val="26"/>
          <w:szCs w:val="26"/>
        </w:rPr>
      </w:pPr>
    </w:p>
    <w:p>
      <w:pPr>
        <w:pStyle w:val="Heading5"/>
        <w:spacing w:line="240" w:lineRule="auto"/>
        <w:ind w:left="1134" w:right="994"/>
        <w:jc w:val="left"/>
        <w:rPr>
          <w:b w:val="0"/>
          <w:bCs w:val="0"/>
        </w:rPr>
      </w:pPr>
      <w:bookmarkStart w:name="3、衍生金融资产" w:id="240"/>
      <w:bookmarkEnd w:id="240"/>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94"/>
        <w:jc w:val="left"/>
        <w:rPr>
          <w:b w:val="0"/>
          <w:bCs w:val="0"/>
        </w:rPr>
      </w:pPr>
      <w:bookmarkStart w:name="4、应收票据" w:id="241"/>
      <w:bookmarkEnd w:id="241"/>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94"/>
        <w:jc w:val="left"/>
        <w:rPr>
          <w:b w:val="0"/>
          <w:bCs w:val="0"/>
        </w:rPr>
      </w:pPr>
      <w:bookmarkStart w:name="（1）应收票据分类列示" w:id="242"/>
      <w:bookmarkEnd w:id="24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56,154,792.20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9,739,046.00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4,338,825.22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60,493,617.42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13,739,046.00</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期末公司已质押的应收票据" w:id="243"/>
      <w:bookmarkEnd w:id="243"/>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3）期末公司已背书或贴现且在资产负债表日尚未到期的应收票据" w:id="244"/>
      <w:bookmarkEnd w:id="244"/>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1,713,920.00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1,713,920.00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4）期末公司因出票人未履约而将其转应收账款的票据" w:id="245"/>
      <w:bookmarkEnd w:id="245"/>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left="1134" w:right="994"/>
        <w:jc w:val="left"/>
      </w:pPr>
      <w:r>
        <w:rPr/>
        <w:t>其他说明</w:t>
      </w:r>
    </w:p>
    <w:p>
      <w:pPr>
        <w:pStyle w:val="Heading5"/>
        <w:spacing w:line="256" w:lineRule="auto" w:before="90"/>
        <w:ind w:right="994"/>
        <w:jc w:val="left"/>
        <w:rPr>
          <w:b w:val="0"/>
          <w:bCs w:val="0"/>
        </w:rPr>
      </w:pPr>
      <w:r>
        <w:rPr>
          <w:w w:val="95"/>
        </w:rPr>
        <w:t>应收票据期末余额较期初增加</w:t>
      </w:r>
      <w:r>
        <w:rPr>
          <w:rFonts w:ascii="Times New Roman" w:hAnsi="Times New Roman" w:cs="Times New Roman" w:eastAsia="Times New Roman" w:hint="default"/>
          <w:w w:val="95"/>
        </w:rPr>
        <w:t>46,754,571.42</w:t>
      </w:r>
      <w:r>
        <w:rPr>
          <w:w w:val="95"/>
        </w:rPr>
        <w:t>元，增加比例</w:t>
      </w:r>
      <w:r>
        <w:rPr>
          <w:rFonts w:ascii="Times New Roman" w:hAnsi="Times New Roman" w:cs="Times New Roman" w:eastAsia="Times New Roman" w:hint="default"/>
          <w:w w:val="95"/>
        </w:rPr>
        <w:t>340.30%</w:t>
      </w:r>
      <w:r>
        <w:rPr>
          <w:w w:val="95"/>
        </w:rPr>
        <w:t>，主要原因系业务增长以票据结算方式</w:t>
      </w:r>
      <w:r>
        <w:rPr>
          <w:spacing w:val="68"/>
          <w:w w:val="95"/>
        </w:rPr>
        <w:t> </w:t>
      </w:r>
      <w:r>
        <w:rPr>
          <w:spacing w:val="68"/>
          <w:w w:val="95"/>
        </w:rPr>
      </w:r>
      <w:r>
        <w:rPr/>
        <w:t>增加所致。</w:t>
      </w:r>
      <w:r>
        <w:rPr>
          <w:b w:val="0"/>
          <w:bCs w:val="0"/>
        </w:rPr>
      </w:r>
    </w:p>
    <w:p>
      <w:pPr>
        <w:spacing w:after="0" w:line="256" w:lineRule="auto"/>
        <w:jc w:val="left"/>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5"/>
        <w:spacing w:line="240" w:lineRule="auto" w:before="35"/>
        <w:ind w:right="994"/>
        <w:jc w:val="left"/>
        <w:rPr>
          <w:b w:val="0"/>
          <w:bCs w:val="0"/>
        </w:rPr>
      </w:pPr>
      <w:bookmarkStart w:name="5、应收账款" w:id="246"/>
      <w:bookmarkEnd w:id="246"/>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1）应收账款分类披露" w:id="247"/>
      <w:bookmarkEnd w:id="24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11,768,6</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54.42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5,884,32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5,884,327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456,076,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763.01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36,988,4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22.09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8.11%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419,088,3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40.92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306,253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,853.59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29,448,92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0.64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9.62%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276,804,93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2.95</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467,845,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417.43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42,872,7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49.30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9.16%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424,972,6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68.13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306,253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,853.59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29,448,92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0.64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9.62%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276,804,93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2.95</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240" w:lineRule="auto" w:before="116"/>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4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杭州至正科技有限公司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11,768,654.42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5,884,327.21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w:t>
            </w:r>
          </w:p>
        </w:tc>
        <w:tc>
          <w:tcPr>
            <w:tcW w:w="19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预估部分无法收回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11,768,654.42</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5,884,327.21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0" w:right="0"/>
        </w:sectPr>
      </w:pPr>
    </w:p>
    <w:p>
      <w:pPr>
        <w:pStyle w:val="BodyText"/>
        <w:spacing w:line="240" w:lineRule="auto" w:before="51"/>
        <w:ind w:left="1134" w:right="-20"/>
        <w:jc w:val="left"/>
      </w:pPr>
      <w:r>
        <w:rPr/>
        <w:t>组合中，按账龄分析法计提坏账准备的应收账款：</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095" w:space="373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415,405,975.11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20,769,769.67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24,233,461.11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4,846,692.23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10,130,733.21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5,065,366.61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6,306,593.58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6,306,593.58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38"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after="0" w:line="338"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94"/>
        <w:jc w:val="left"/>
        <w:rPr>
          <w:b w:val="0"/>
          <w:bCs w:val="0"/>
        </w:rPr>
      </w:pPr>
      <w:bookmarkStart w:name="（2）本期计提、收回或转回的坏账准备情况" w:id="248"/>
      <w:bookmarkEnd w:id="24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ind w:right="-13"/>
        <w:jc w:val="left"/>
      </w:pPr>
      <w:r>
        <w:rPr/>
        <w:t>本期计提坏账准备金额</w:t>
      </w:r>
      <w:r>
        <w:rPr>
          <w:spacing w:val="-47"/>
        </w:rPr>
        <w:t> </w:t>
      </w:r>
      <w:r>
        <w:rPr>
          <w:rFonts w:ascii="Times New Roman" w:hAnsi="Times New Roman" w:cs="Times New Roman" w:eastAsia="Times New Roman" w:hint="default"/>
        </w:rPr>
        <w:t>17,516,479.16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7524" w:space="1305"/>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3）本期实际核销的应收账款情况" w:id="249"/>
      <w:bookmarkEnd w:id="24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4,092,650.50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通联支付网络服务股份有限公司上海分公司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65,060.00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中国移动通信集团江西有限公司抚州分公司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中国邮政集团公司河北省承德县分公司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青岛慧优众川信息技术有限公司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466,400.00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广州市第吉尔电子有限公司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364,560.50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广州市奇罗客电子制造有限公司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浙江曼德森生物科技有限公司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2,774,830.00</w:t>
            </w:r>
          </w:p>
        </w:tc>
      </w:tr>
    </w:tbl>
    <w:p>
      <w:pPr>
        <w:pStyle w:val="BodyText"/>
        <w:spacing w:line="240" w:lineRule="auto" w:before="51"/>
        <w:ind w:left="1134" w:right="994"/>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09"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9"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6"/>
              <w:ind w:left="22" w:right="123"/>
              <w:jc w:val="left"/>
              <w:rPr>
                <w:rFonts w:ascii="宋体" w:hAnsi="宋体" w:cs="宋体" w:eastAsia="宋体" w:hint="default"/>
                <w:sz w:val="18"/>
                <w:szCs w:val="18"/>
              </w:rPr>
            </w:pPr>
            <w:r>
              <w:rPr>
                <w:rFonts w:ascii="宋体" w:hAnsi="宋体" w:cs="宋体" w:eastAsia="宋体" w:hint="default"/>
                <w:sz w:val="18"/>
                <w:szCs w:val="18"/>
              </w:rPr>
              <w:t>浙江曼德森生物科 技有限公司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2,774,830.00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预计无法收回</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董事会决议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2,774,830.00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94"/>
        <w:jc w:val="left"/>
      </w:pPr>
      <w:r>
        <w:rPr/>
        <w:t>应收账款核销说明：</w:t>
      </w:r>
    </w:p>
    <w:p>
      <w:pPr>
        <w:spacing w:line="240" w:lineRule="auto" w:before="11"/>
        <w:rPr>
          <w:rFonts w:ascii="宋体" w:hAnsi="宋体" w:cs="宋体" w:eastAsia="宋体" w:hint="default"/>
          <w:sz w:val="26"/>
          <w:szCs w:val="26"/>
        </w:rPr>
      </w:pPr>
    </w:p>
    <w:p>
      <w:pPr>
        <w:pStyle w:val="Heading5"/>
        <w:spacing w:line="240" w:lineRule="auto"/>
        <w:ind w:left="1134" w:right="994"/>
        <w:jc w:val="left"/>
        <w:rPr>
          <w:b w:val="0"/>
          <w:bCs w:val="0"/>
        </w:rPr>
      </w:pPr>
      <w:bookmarkStart w:name="（4）按欠款方归集的期末余额前五名的应收账款情况" w:id="250"/>
      <w:bookmarkEnd w:id="25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1134" w:right="7692"/>
        <w:jc w:val="left"/>
      </w:pPr>
      <w:r>
        <w:rPr/>
        <w:t>公司是否需要遵守特殊行业的披露要求 否</w:t>
      </w:r>
    </w:p>
    <w:tbl>
      <w:tblPr>
        <w:tblW w:w="0" w:type="auto"/>
        <w:jc w:val="left"/>
        <w:tblInd w:w="1126" w:type="dxa"/>
        <w:tblLayout w:type="fixed"/>
        <w:tblCellMar>
          <w:top w:w="0" w:type="dxa"/>
          <w:left w:w="0" w:type="dxa"/>
          <w:bottom w:w="0" w:type="dxa"/>
          <w:right w:w="0" w:type="dxa"/>
        </w:tblCellMar>
        <w:tblLook w:val="01E0"/>
      </w:tblPr>
      <w:tblGrid>
        <w:gridCol w:w="2944"/>
        <w:gridCol w:w="1985"/>
        <w:gridCol w:w="1559"/>
        <w:gridCol w:w="1985"/>
      </w:tblGrid>
      <w:tr>
        <w:trPr>
          <w:trHeight w:val="667" w:hRule="exact"/>
        </w:trPr>
        <w:tc>
          <w:tcPr>
            <w:tcW w:w="2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6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0"/>
              <w:ind w:left="275" w:right="50" w:hanging="22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w:t>
            </w:r>
          </w:p>
        </w:tc>
        <w:tc>
          <w:tcPr>
            <w:tcW w:w="19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355"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81,787,553.36</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17.48</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4,089,377.67</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59,865,261.25</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12.80</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4,202,625.36</w:t>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24,530,536.53</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5.24</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1,226,526.83</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23,444,000.00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5.01</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1,172,200.00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2944"/>
        <w:gridCol w:w="1985"/>
        <w:gridCol w:w="1559"/>
        <w:gridCol w:w="1985"/>
      </w:tblGrid>
      <w:tr>
        <w:trPr>
          <w:trHeight w:val="355" w:hRule="exact"/>
        </w:trPr>
        <w:tc>
          <w:tcPr>
            <w:tcW w:w="2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21,950,451.78</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4.69</w:t>
            </w:r>
          </w:p>
        </w:tc>
        <w:tc>
          <w:tcPr>
            <w:tcW w:w="19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1,097,522.59</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211,577,802.92</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45.22</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11,788,252.45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240" w:lineRule="auto" w:before="35"/>
        <w:ind w:left="1134" w:right="994"/>
        <w:jc w:val="left"/>
        <w:rPr>
          <w:b w:val="0"/>
          <w:bCs w:val="0"/>
        </w:rPr>
      </w:pPr>
      <w:bookmarkStart w:name="（5）因金融资产转移而终止确认的应收账款" w:id="251"/>
      <w:bookmarkEnd w:id="25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94"/>
        <w:jc w:val="left"/>
        <w:rPr>
          <w:b w:val="0"/>
          <w:bCs w:val="0"/>
        </w:rPr>
      </w:pPr>
      <w:bookmarkStart w:name="（6）转移应收账款且继续涉入形成的资产、负债金额" w:id="252"/>
      <w:bookmarkEnd w:id="25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94"/>
        <w:jc w:val="left"/>
      </w:pPr>
      <w:r>
        <w:rPr/>
        <w:t>其他说明：</w:t>
      </w:r>
    </w:p>
    <w:p>
      <w:pPr>
        <w:spacing w:line="240" w:lineRule="auto" w:before="13"/>
        <w:rPr>
          <w:rFonts w:ascii="宋体" w:hAnsi="宋体" w:cs="宋体" w:eastAsia="宋体" w:hint="default"/>
          <w:sz w:val="12"/>
          <w:szCs w:val="12"/>
        </w:rPr>
      </w:pPr>
    </w:p>
    <w:p>
      <w:pPr>
        <w:pStyle w:val="Heading5"/>
        <w:spacing w:line="240" w:lineRule="auto"/>
        <w:ind w:right="994"/>
        <w:jc w:val="left"/>
        <w:rPr>
          <w:b w:val="0"/>
          <w:bCs w:val="0"/>
        </w:rPr>
      </w:pPr>
      <w:r>
        <w:rPr>
          <w:rFonts w:ascii="Times New Roman" w:hAnsi="Times New Roman" w:cs="Times New Roman" w:eastAsia="Times New Roman" w:hint="default"/>
        </w:rPr>
        <w:t>1.</w:t>
      </w:r>
      <w:r>
        <w:rPr/>
        <w:t>期末应收账款中无应收持本公司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％）表决权股份的股东单位及其他关联方款项。</w:t>
      </w:r>
      <w:r>
        <w:rPr>
          <w:b w:val="0"/>
          <w:bCs w:val="0"/>
        </w:rPr>
      </w:r>
    </w:p>
    <w:p>
      <w:pPr>
        <w:pStyle w:val="Heading5"/>
        <w:spacing w:line="256" w:lineRule="auto" w:before="141"/>
        <w:ind w:right="1139"/>
        <w:jc w:val="left"/>
        <w:rPr>
          <w:b w:val="0"/>
          <w:bCs w:val="0"/>
        </w:rPr>
      </w:pPr>
      <w:r>
        <w:rPr>
          <w:rFonts w:ascii="Times New Roman" w:hAnsi="Times New Roman" w:cs="Times New Roman" w:eastAsia="Times New Roman" w:hint="default"/>
        </w:rPr>
        <w:t>2.</w:t>
      </w:r>
      <w:r>
        <w:rPr/>
        <w:t>应收账款期末余额较期初增加</w:t>
      </w:r>
      <w:r>
        <w:rPr>
          <w:rFonts w:ascii="Times New Roman" w:hAnsi="Times New Roman" w:cs="Times New Roman" w:eastAsia="Times New Roman" w:hint="default"/>
        </w:rPr>
        <w:t>161,591,563.84</w:t>
      </w:r>
      <w:r>
        <w:rPr>
          <w:rFonts w:ascii="Times New Roman" w:hAnsi="Times New Roman" w:cs="Times New Roman" w:eastAsia="Times New Roman" w:hint="default"/>
          <w:spacing w:val="30"/>
        </w:rPr>
        <w:t> </w:t>
      </w:r>
      <w:r>
        <w:rPr/>
        <w:t>元，增加比例</w:t>
      </w:r>
      <w:r>
        <w:rPr>
          <w:rFonts w:ascii="Times New Roman" w:hAnsi="Times New Roman" w:cs="Times New Roman" w:eastAsia="Times New Roman" w:hint="default"/>
        </w:rPr>
        <w:t>52.76%</w:t>
      </w:r>
      <w:r>
        <w:rPr/>
        <w:t>，主要原因系四季度业务增长且减少</w:t>
      </w:r>
      <w:r>
        <w:rPr>
          <w:w w:val="99"/>
        </w:rPr>
        <w:t> </w:t>
      </w:r>
      <w:r>
        <w:rPr/>
        <w:t>无追溯权保理业务所致。</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pStyle w:val="Heading5"/>
        <w:spacing w:line="240" w:lineRule="auto"/>
        <w:ind w:right="994"/>
        <w:jc w:val="left"/>
        <w:rPr>
          <w:b w:val="0"/>
          <w:bCs w:val="0"/>
        </w:rPr>
      </w:pPr>
      <w:bookmarkStart w:name="6、预付款项" w:id="253"/>
      <w:bookmarkEnd w:id="253"/>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1）预付款项按账龄列示" w:id="254"/>
      <w:bookmarkEnd w:id="25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11,703,287.14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7,323,784.72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96.35%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431,039.69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202,285.50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190,645.50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12,336,612.33</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7,601,070.22</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5"/>
        <w:spacing w:line="240" w:lineRule="auto"/>
        <w:ind w:left="1134" w:right="994"/>
        <w:jc w:val="left"/>
        <w:rPr>
          <w:b w:val="0"/>
          <w:bCs w:val="0"/>
        </w:rPr>
      </w:pPr>
      <w:bookmarkStart w:name="（2）按预付对象归集的期末余额前五名的预付款情况" w:id="255"/>
      <w:bookmarkEnd w:id="25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2458"/>
        <w:gridCol w:w="1762"/>
        <w:gridCol w:w="992"/>
        <w:gridCol w:w="1276"/>
        <w:gridCol w:w="2042"/>
      </w:tblGrid>
      <w:tr>
        <w:trPr>
          <w:trHeight w:val="979" w:hRule="exact"/>
        </w:trPr>
        <w:tc>
          <w:tcPr>
            <w:tcW w:w="2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513"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338" w:lineRule="auto" w:before="21"/>
              <w:ind w:left="38" w:right="37"/>
              <w:jc w:val="center"/>
              <w:rPr>
                <w:rFonts w:ascii="Times New Roman" w:hAnsi="Times New Roman" w:cs="Times New Roman" w:eastAsia="Times New Roman" w:hint="default"/>
                <w:sz w:val="18"/>
                <w:szCs w:val="18"/>
              </w:rPr>
            </w:pPr>
            <w:r>
              <w:rPr>
                <w:rFonts w:ascii="宋体" w:hAnsi="宋体" w:cs="宋体" w:eastAsia="宋体" w:hint="default"/>
                <w:sz w:val="18"/>
                <w:szCs w:val="18"/>
              </w:rPr>
              <w:t>占预付款项 总额的比例 </w:t>
            </w:r>
            <w:r>
              <w:rPr>
                <w:rFonts w:ascii="Times New Roman" w:hAnsi="Times New Roman" w:cs="Times New Roman" w:eastAsia="Times New Roman" w:hint="default"/>
                <w:sz w:val="18"/>
                <w:szCs w:val="18"/>
              </w:rPr>
              <w:t>(%)</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预付款时间</w:t>
            </w:r>
          </w:p>
        </w:tc>
        <w:tc>
          <w:tcPr>
            <w:tcW w:w="204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2" w:hRule="exact"/>
        </w:trPr>
        <w:tc>
          <w:tcPr>
            <w:tcW w:w="24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兴唐通信科技有限公司</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1,858,153.86</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15.06</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665" w:hRule="exact"/>
        </w:trPr>
        <w:tc>
          <w:tcPr>
            <w:tcW w:w="245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3"/>
              <w:jc w:val="left"/>
              <w:rPr>
                <w:rFonts w:ascii="宋体" w:hAnsi="宋体" w:cs="宋体" w:eastAsia="宋体" w:hint="default"/>
                <w:sz w:val="18"/>
                <w:szCs w:val="18"/>
              </w:rPr>
            </w:pPr>
            <w:r>
              <w:rPr>
                <w:rFonts w:ascii="宋体" w:hAnsi="宋体" w:cs="宋体" w:eastAsia="宋体" w:hint="default"/>
                <w:spacing w:val="7"/>
                <w:sz w:val="18"/>
                <w:szCs w:val="18"/>
              </w:rPr>
              <w:t>深圳市迪安杰智能识别科技有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限公司</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975,480.00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7.91</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52" w:hRule="exact"/>
        </w:trPr>
        <w:tc>
          <w:tcPr>
            <w:tcW w:w="24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深圳市投资控股有限公司</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972,370.98</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7.88</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664" w:hRule="exact"/>
        </w:trPr>
        <w:tc>
          <w:tcPr>
            <w:tcW w:w="2458"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4"/>
              <w:jc w:val="left"/>
              <w:rPr>
                <w:rFonts w:ascii="宋体" w:hAnsi="宋体" w:cs="宋体" w:eastAsia="宋体" w:hint="default"/>
                <w:sz w:val="18"/>
                <w:szCs w:val="18"/>
              </w:rPr>
            </w:pPr>
            <w:r>
              <w:rPr>
                <w:rFonts w:ascii="宋体" w:hAnsi="宋体" w:cs="宋体" w:eastAsia="宋体" w:hint="default"/>
                <w:spacing w:val="7"/>
                <w:sz w:val="18"/>
                <w:szCs w:val="18"/>
              </w:rPr>
              <w:t>深圳市中小企业信用融资担保</w:t>
            </w:r>
            <w:r>
              <w:rPr>
                <w:rFonts w:ascii="宋体" w:hAnsi="宋体" w:cs="宋体" w:eastAsia="宋体" w:hint="default"/>
                <w:sz w:val="18"/>
                <w:szCs w:val="18"/>
              </w:rPr>
              <w:t> 集团有限公司</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800,000.00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6.48</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r>
        <w:trPr>
          <w:trHeight w:val="353" w:hRule="exact"/>
        </w:trPr>
        <w:tc>
          <w:tcPr>
            <w:tcW w:w="24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7"/>
                <w:sz w:val="18"/>
                <w:szCs w:val="18"/>
              </w:rPr>
              <w:t>北京银联金卡科技有限公司深</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795,125.80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6.45</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04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合同尚未执行完毕</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6" w:type="dxa"/>
        <w:tblLayout w:type="fixed"/>
        <w:tblCellMar>
          <w:top w:w="0" w:type="dxa"/>
          <w:left w:w="0" w:type="dxa"/>
          <w:bottom w:w="0" w:type="dxa"/>
          <w:right w:w="0" w:type="dxa"/>
        </w:tblCellMar>
        <w:tblLook w:val="01E0"/>
      </w:tblPr>
      <w:tblGrid>
        <w:gridCol w:w="2458"/>
        <w:gridCol w:w="1762"/>
        <w:gridCol w:w="992"/>
        <w:gridCol w:w="1276"/>
        <w:gridCol w:w="2042"/>
      </w:tblGrid>
      <w:tr>
        <w:trPr>
          <w:trHeight w:val="355" w:hRule="exact"/>
        </w:trPr>
        <w:tc>
          <w:tcPr>
            <w:tcW w:w="245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圳分公司</w:t>
            </w:r>
          </w:p>
        </w:tc>
        <w:tc>
          <w:tcPr>
            <w:tcW w:w="1762" w:type="dxa"/>
            <w:tcBorders>
              <w:top w:val="single" w:sz="6" w:space="0" w:color="000000"/>
              <w:left w:val="single" w:sz="6" w:space="0" w:color="000000"/>
              <w:bottom w:val="single" w:sz="12" w:space="0" w:color="000000"/>
              <w:right w:val="single" w:sz="6" w:space="0" w:color="000000"/>
            </w:tcBorders>
          </w:tcPr>
          <w:p>
            <w:pPr/>
          </w:p>
        </w:tc>
        <w:tc>
          <w:tcPr>
            <w:tcW w:w="992"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
        </w:tc>
        <w:tc>
          <w:tcPr>
            <w:tcW w:w="2042" w:type="dxa"/>
            <w:tcBorders>
              <w:top w:val="single" w:sz="6" w:space="0" w:color="000000"/>
              <w:left w:val="single" w:sz="6" w:space="0" w:color="000000"/>
              <w:bottom w:val="single" w:sz="12" w:space="0" w:color="000000"/>
              <w:right w:val="nil" w:sz="6" w:space="0" w:color="auto"/>
            </w:tcBorders>
          </w:tcPr>
          <w:p>
            <w:pPr/>
          </w:p>
        </w:tc>
      </w:tr>
      <w:tr>
        <w:trPr>
          <w:trHeight w:val="352" w:hRule="exact"/>
        </w:trPr>
        <w:tc>
          <w:tcPr>
            <w:tcW w:w="24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800" w:right="0"/>
              <w:jc w:val="left"/>
              <w:rPr>
                <w:rFonts w:ascii="Times New Roman" w:hAnsi="Times New Roman" w:cs="Times New Roman" w:eastAsia="Times New Roman" w:hint="default"/>
                <w:sz w:val="18"/>
                <w:szCs w:val="18"/>
              </w:rPr>
            </w:pPr>
            <w:r>
              <w:rPr>
                <w:rFonts w:ascii="Times New Roman"/>
                <w:sz w:val="18"/>
              </w:rPr>
              <w:t>5,401,130.64</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70" w:right="0"/>
              <w:jc w:val="left"/>
              <w:rPr>
                <w:rFonts w:ascii="Times New Roman" w:hAnsi="Times New Roman" w:cs="Times New Roman" w:eastAsia="Times New Roman" w:hint="default"/>
                <w:sz w:val="18"/>
                <w:szCs w:val="18"/>
              </w:rPr>
            </w:pPr>
            <w:r>
              <w:rPr>
                <w:rFonts w:ascii="Times New Roman"/>
                <w:sz w:val="18"/>
              </w:rPr>
              <w:t>43.78</w:t>
            </w:r>
          </w:p>
        </w:tc>
        <w:tc>
          <w:tcPr>
            <w:tcW w:w="1276" w:type="dxa"/>
            <w:tcBorders>
              <w:top w:val="single" w:sz="12" w:space="0" w:color="000000"/>
              <w:left w:val="single" w:sz="6" w:space="0" w:color="000000"/>
              <w:bottom w:val="single" w:sz="12" w:space="0" w:color="000000"/>
              <w:right w:val="single" w:sz="6" w:space="0" w:color="000000"/>
            </w:tcBorders>
          </w:tcPr>
          <w:p>
            <w:pPr/>
          </w:p>
        </w:tc>
        <w:tc>
          <w:tcPr>
            <w:tcW w:w="2042"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24"/>
          <w:szCs w:val="24"/>
        </w:rPr>
      </w:pPr>
    </w:p>
    <w:p>
      <w:pPr>
        <w:pStyle w:val="BodyText"/>
        <w:spacing w:line="240" w:lineRule="auto"/>
        <w:ind w:left="1134" w:right="994"/>
        <w:jc w:val="left"/>
      </w:pPr>
      <w:r>
        <w:rPr/>
        <w:t>其他说明：</w:t>
      </w:r>
    </w:p>
    <w:p>
      <w:pPr>
        <w:spacing w:line="240" w:lineRule="auto" w:before="1"/>
        <w:rPr>
          <w:rFonts w:ascii="宋体" w:hAnsi="宋体" w:cs="宋体" w:eastAsia="宋体" w:hint="default"/>
          <w:sz w:val="13"/>
          <w:szCs w:val="13"/>
        </w:rPr>
      </w:pPr>
    </w:p>
    <w:p>
      <w:pPr>
        <w:pStyle w:val="Heading5"/>
        <w:spacing w:line="240" w:lineRule="auto"/>
        <w:ind w:right="994"/>
        <w:jc w:val="left"/>
        <w:rPr>
          <w:b w:val="0"/>
          <w:bCs w:val="0"/>
        </w:rPr>
      </w:pPr>
      <w:r>
        <w:rPr>
          <w:rFonts w:ascii="Times New Roman" w:hAnsi="Times New Roman" w:cs="Times New Roman" w:eastAsia="Times New Roman" w:hint="default"/>
        </w:rPr>
        <w:t>1.</w:t>
      </w:r>
      <w:r>
        <w:rPr/>
        <w:t>期末预付款项中无预付持本公司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％）表决权股份的股东单位及其他关联方款项。</w:t>
      </w:r>
      <w:r>
        <w:rPr>
          <w:b w:val="0"/>
          <w:bCs w:val="0"/>
        </w:rPr>
      </w:r>
    </w:p>
    <w:p>
      <w:pPr>
        <w:pStyle w:val="Heading6"/>
        <w:spacing w:line="256" w:lineRule="auto" w:before="21"/>
        <w:ind w:right="994" w:firstLine="0"/>
        <w:jc w:val="left"/>
      </w:pPr>
      <w:r>
        <w:rPr>
          <w:rFonts w:ascii="Times New Roman" w:hAnsi="Times New Roman" w:cs="Times New Roman" w:eastAsia="Times New Roman" w:hint="default"/>
          <w:spacing w:val="-1"/>
        </w:rPr>
        <w:t>2.</w:t>
      </w:r>
      <w:r>
        <w:rPr>
          <w:spacing w:val="-1"/>
        </w:rPr>
        <w:t>预付款项期末余额较期初增加</w:t>
      </w:r>
      <w:r>
        <w:rPr>
          <w:rFonts w:ascii="Times New Roman" w:hAnsi="Times New Roman" w:cs="Times New Roman" w:eastAsia="Times New Roman" w:hint="default"/>
          <w:spacing w:val="-1"/>
        </w:rPr>
        <w:t>4,735,542.11</w:t>
      </w:r>
      <w:r>
        <w:rPr>
          <w:spacing w:val="-1"/>
        </w:rPr>
        <w:t>元，增加比例</w:t>
      </w:r>
      <w:r>
        <w:rPr>
          <w:rFonts w:ascii="Times New Roman" w:hAnsi="Times New Roman" w:cs="Times New Roman" w:eastAsia="Times New Roman" w:hint="default"/>
          <w:spacing w:val="-1"/>
        </w:rPr>
        <w:t>62.30%</w:t>
      </w:r>
      <w:r>
        <w:rPr>
          <w:spacing w:val="-1"/>
        </w:rPr>
        <w:t>，主要原因系预付货款及房租等其他服务</w:t>
      </w:r>
      <w:r>
        <w:rPr>
          <w:spacing w:val="-96"/>
        </w:rPr>
        <w:t> </w:t>
      </w:r>
      <w:r>
        <w:rPr>
          <w:spacing w:val="-96"/>
        </w:rPr>
      </w:r>
      <w:r>
        <w:rPr/>
        <w:t>费增加所致。</w:t>
      </w:r>
    </w:p>
    <w:p>
      <w:pPr>
        <w:spacing w:line="240" w:lineRule="auto" w:before="10"/>
        <w:rPr>
          <w:rFonts w:ascii="宋体" w:hAnsi="宋体" w:cs="宋体" w:eastAsia="宋体" w:hint="default"/>
          <w:sz w:val="24"/>
          <w:szCs w:val="24"/>
        </w:rPr>
      </w:pPr>
    </w:p>
    <w:p>
      <w:pPr>
        <w:pStyle w:val="Heading5"/>
        <w:spacing w:line="240" w:lineRule="auto"/>
        <w:ind w:right="994"/>
        <w:jc w:val="left"/>
        <w:rPr>
          <w:b w:val="0"/>
          <w:bCs w:val="0"/>
        </w:rPr>
      </w:pPr>
      <w:bookmarkStart w:name="7、应收利息" w:id="256"/>
      <w:bookmarkEnd w:id="256"/>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1）应收利息分类" w:id="257"/>
      <w:bookmarkEnd w:id="257"/>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1,016,406.63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433,364.32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1,016,406.63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433,364.32</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重要逾期利息" w:id="258"/>
      <w:bookmarkEnd w:id="258"/>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left="1134" w:right="994"/>
        <w:jc w:val="left"/>
        <w:rPr>
          <w:b w:val="0"/>
          <w:bCs w:val="0"/>
        </w:rPr>
      </w:pPr>
      <w:bookmarkStart w:name="8、应收股利" w:id="259"/>
      <w:bookmarkEnd w:id="259"/>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1）应收股利" w:id="260"/>
      <w:bookmarkEnd w:id="260"/>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89"/>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深圳嘉石大岩资本管理股份有限公司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重要的账龄超过1年的应收股利" w:id="261"/>
      <w:bookmarkEnd w:id="261"/>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134" w:right="994"/>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94"/>
        <w:jc w:val="left"/>
        <w:rPr>
          <w:b w:val="0"/>
          <w:bCs w:val="0"/>
        </w:rPr>
      </w:pPr>
      <w:bookmarkStart w:name="9、其他应收款" w:id="262"/>
      <w:bookmarkEnd w:id="262"/>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94"/>
        <w:jc w:val="left"/>
        <w:rPr>
          <w:b w:val="0"/>
          <w:bCs w:val="0"/>
        </w:rPr>
      </w:pPr>
      <w:bookmarkStart w:name="（1）其他应收款分类披露" w:id="263"/>
      <w:bookmarkEnd w:id="26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21,135,0</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29.75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6,129,06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29.00%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15,005,96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9.17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46,719,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191.15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5,340,002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41,379,188.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21,635,0</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29.75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6,629,06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0.58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30.64%</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15,005,96</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9.17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47,219,</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191.15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5,840,002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12.37%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41,379,188.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1"/>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6,454,332.94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322,716.66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9,755,919.73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1,951,183.95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2,139,234.23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1,069,617.12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2,785,542.85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2,785,542.85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21,135,029.75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6,129,060.58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29.00%</w:t>
            </w: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38"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94"/>
        <w:jc w:val="left"/>
        <w:rPr>
          <w:b w:val="0"/>
          <w:bCs w:val="0"/>
        </w:rPr>
      </w:pPr>
      <w:bookmarkStart w:name="（2）本期计提、收回或转回的坏账准备情况" w:id="264"/>
      <w:bookmarkEnd w:id="26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994"/>
        <w:jc w:val="left"/>
      </w:pPr>
      <w:r>
        <w:rPr/>
        <w:t>本期计提坏账准备金额</w:t>
      </w:r>
      <w:r>
        <w:rPr>
          <w:spacing w:val="-46"/>
        </w:rPr>
        <w:t> </w:t>
      </w:r>
      <w:r>
        <w:rPr>
          <w:rFonts w:ascii="Times New Roman" w:hAnsi="Times New Roman" w:cs="Times New Roman" w:eastAsia="Times New Roman" w:hint="default"/>
        </w:rPr>
        <w:t>789,057.91</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994"/>
        <w:jc w:val="left"/>
      </w:pPr>
      <w:r>
        <w:rPr/>
        <w:t>其中本期坏账准备转回或收回金额重要的：</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3）本期实际核销的其他应收款情况" w:id="265"/>
      <w:bookmarkEnd w:id="26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134" w:right="994"/>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994"/>
        <w:jc w:val="left"/>
      </w:pPr>
      <w:r>
        <w:rPr/>
        <w:t>其他应收款核销说明：</w:t>
      </w:r>
    </w:p>
    <w:p>
      <w:pPr>
        <w:spacing w:line="240" w:lineRule="auto" w:before="11"/>
        <w:rPr>
          <w:rFonts w:ascii="宋体" w:hAnsi="宋体" w:cs="宋体" w:eastAsia="宋体" w:hint="default"/>
          <w:sz w:val="26"/>
          <w:szCs w:val="26"/>
        </w:rPr>
      </w:pPr>
    </w:p>
    <w:p>
      <w:pPr>
        <w:pStyle w:val="Heading5"/>
        <w:spacing w:line="240" w:lineRule="auto"/>
        <w:ind w:left="1134" w:right="994"/>
        <w:jc w:val="left"/>
        <w:rPr>
          <w:b w:val="0"/>
          <w:bCs w:val="0"/>
        </w:rPr>
      </w:pPr>
      <w:bookmarkStart w:name="（4）其他应收款按款项性质分类情况" w:id="266"/>
      <w:bookmarkEnd w:id="26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职员借款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3,116,229.53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2,988,632.91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8,621,050.29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14,554,986.81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代垫社保款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797,749.93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574,663.48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500,907.95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21,635,029.75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47,219,191.15</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5）按欠款方归集的期末余额前五名的其他应收款情况" w:id="267"/>
      <w:bookmarkEnd w:id="26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4"/>
        <w:gridCol w:w="1595"/>
        <w:gridCol w:w="1594"/>
        <w:gridCol w:w="1596"/>
        <w:gridCol w:w="1595"/>
      </w:tblGrid>
      <w:tr>
        <w:trPr>
          <w:trHeight w:val="70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9"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6"/>
              <w:ind w:left="22" w:right="119"/>
              <w:jc w:val="left"/>
              <w:rPr>
                <w:rFonts w:ascii="宋体" w:hAnsi="宋体" w:cs="宋体" w:eastAsia="宋体" w:hint="default"/>
                <w:sz w:val="18"/>
                <w:szCs w:val="18"/>
              </w:rPr>
            </w:pPr>
            <w:r>
              <w:rPr>
                <w:rFonts w:ascii="宋体" w:hAnsi="宋体" w:cs="宋体" w:eastAsia="宋体" w:hint="default"/>
                <w:sz w:val="18"/>
                <w:szCs w:val="18"/>
              </w:rPr>
              <w:t>深圳市柏士泰科技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8,600,000.00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深圳市投资控股有 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1,764,649.30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88,232.47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麦启光</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1,159,920.00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1,159,920.00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麦启光</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472,560.00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23,628.00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北京市海淀区人民 法院</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1,464,000.00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732,000.00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4"/>
        <w:gridCol w:w="1594"/>
        <w:gridCol w:w="1595"/>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北京瑞天启明科技 发展有限责任公司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项目服务费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13,961,129.30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4,223,780.47</w:t>
            </w:r>
          </w:p>
        </w:tc>
      </w:tr>
    </w:tbl>
    <w:p>
      <w:pPr>
        <w:spacing w:line="240" w:lineRule="auto" w:before="3"/>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6）涉及政府补助的应收款项" w:id="268"/>
      <w:bookmarkEnd w:id="268"/>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7）因金融资产转移而终止确认的其他应收款" w:id="269"/>
      <w:bookmarkEnd w:id="269"/>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8）转移其他应收款且继续涉入形成的资产、负债金额" w:id="270"/>
      <w:bookmarkEnd w:id="270"/>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10、存货" w:id="271"/>
      <w:bookmarkEnd w:id="271"/>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134" w:right="7512"/>
        <w:jc w:val="left"/>
      </w:pPr>
      <w:r>
        <w:rPr/>
        <w:t>公司是否需要遵守房地产行业的披露要求 否</w:t>
      </w:r>
    </w:p>
    <w:p>
      <w:pPr>
        <w:spacing w:line="240" w:lineRule="auto" w:before="12"/>
        <w:rPr>
          <w:rFonts w:ascii="宋体" w:hAnsi="宋体" w:cs="宋体" w:eastAsia="宋体" w:hint="default"/>
          <w:sz w:val="19"/>
          <w:szCs w:val="19"/>
        </w:rPr>
      </w:pPr>
    </w:p>
    <w:p>
      <w:pPr>
        <w:pStyle w:val="Heading5"/>
        <w:spacing w:line="240" w:lineRule="auto"/>
        <w:ind w:left="1134" w:right="994"/>
        <w:jc w:val="left"/>
        <w:rPr>
          <w:b w:val="0"/>
          <w:bCs w:val="0"/>
        </w:rPr>
      </w:pPr>
      <w:bookmarkStart w:name="（1）存货分类" w:id="272"/>
      <w:bookmarkEnd w:id="27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87,818,841.64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1,779,000.50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86,039,841.14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30,976,151.35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833,800.93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30,142,350.42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4,214,996.27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4,214,996.27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3,706,404.06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3,706,404.06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17,359,001.17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17,359,001.17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11,123,220.41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11,123,220.41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75,769,129.80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6,763,298.58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69,005,831.22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62,617,444.09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3,646,662.52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58,970,781.57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30,569,273.30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800,294.22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29,768,979.08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20,107,907.05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1,980,345.24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18,127,561.81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46,054,880.12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46,054,880.12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38,851,258.63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616,225.13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38,235,033.50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261,786,122.30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9,342,593.30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252,443,529.00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167,382,385.59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7,077,033.82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160,305,351.77</w:t>
            </w:r>
          </w:p>
        </w:tc>
      </w:tr>
    </w:tbl>
    <w:p>
      <w:pPr>
        <w:pStyle w:val="BodyText"/>
        <w:spacing w:line="340" w:lineRule="auto" w:before="51"/>
        <w:ind w:left="113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40"/>
        <w:ind w:right="1574"/>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0"/>
        <w:ind w:right="1754"/>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spacing w:after="0" w:line="338"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94"/>
        <w:jc w:val="left"/>
        <w:rPr>
          <w:b w:val="0"/>
          <w:bCs w:val="0"/>
        </w:rPr>
      </w:pPr>
      <w:bookmarkStart w:name="（2）存货跌价准备" w:id="273"/>
      <w:bookmarkEnd w:id="27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833,800.93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1,172,968.73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227,769.16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1,779,000.50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3,646,662.52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4,542,042.77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1,425,406.71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6,763,298.58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6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1,980,345.24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435,663.48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1,615,714.50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800,294.22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616,225.13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70,747.38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686,972.51</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7,077,033.82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6,221,422.36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3,268,890.37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686,972.51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9,342,593.30</w:t>
            </w:r>
          </w:p>
        </w:tc>
      </w:tr>
    </w:tbl>
    <w:p>
      <w:pPr>
        <w:pStyle w:val="Heading6"/>
        <w:spacing w:line="260" w:lineRule="exact" w:before="0"/>
        <w:ind w:left="1134" w:right="994" w:firstLine="0"/>
        <w:jc w:val="left"/>
      </w:pPr>
      <w:r>
        <w:rPr/>
        <w:t>其他减少系存货核销所致。</w:t>
      </w:r>
    </w:p>
    <w:p>
      <w:pPr>
        <w:spacing w:line="240" w:lineRule="auto" w:before="11"/>
        <w:rPr>
          <w:rFonts w:ascii="宋体" w:hAnsi="宋体" w:cs="宋体" w:eastAsia="宋体" w:hint="default"/>
          <w:sz w:val="25"/>
          <w:szCs w:val="25"/>
        </w:rPr>
      </w:pPr>
    </w:p>
    <w:p>
      <w:pPr>
        <w:pStyle w:val="Heading5"/>
        <w:spacing w:line="240" w:lineRule="auto"/>
        <w:ind w:left="1134" w:right="994"/>
        <w:jc w:val="left"/>
        <w:rPr>
          <w:b w:val="0"/>
          <w:bCs w:val="0"/>
        </w:rPr>
      </w:pPr>
      <w:bookmarkStart w:name="（3）存货期末余额含有借款费用资本化金额的说明" w:id="274"/>
      <w:bookmarkEnd w:id="274"/>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4）期末建造合同形成的已完工未结算资产情况" w:id="275"/>
      <w:bookmarkEnd w:id="275"/>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left="1134" w:right="994"/>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94"/>
        <w:jc w:val="left"/>
        <w:rPr>
          <w:b w:val="0"/>
          <w:bCs w:val="0"/>
        </w:rPr>
      </w:pPr>
      <w:bookmarkStart w:name="11、持有待售的资产" w:id="276"/>
      <w:bookmarkEnd w:id="276"/>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0"/>
              <w:jc w:val="right"/>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深圳嘉石大岩资本管理 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489,269,960.76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9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489,269,960.76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94"/>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94"/>
        <w:jc w:val="left"/>
        <w:rPr>
          <w:b w:val="0"/>
          <w:bCs w:val="0"/>
        </w:rPr>
      </w:pPr>
      <w:bookmarkStart w:name="12、一年内到期的非流动资产" w:id="277"/>
      <w:bookmarkEnd w:id="277"/>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994"/>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94"/>
        <w:jc w:val="left"/>
        <w:rPr>
          <w:b w:val="0"/>
          <w:bCs w:val="0"/>
        </w:rPr>
      </w:pPr>
      <w:bookmarkStart w:name="13、其他流动资产" w:id="278"/>
      <w:bookmarkEnd w:id="278"/>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871,087.20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4,285,677.37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19,098,353.98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4,284,095.98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145,614.24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28,569,773.35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20,115,055.42</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14、可供出售金融资产" w:id="279"/>
      <w:bookmarkEnd w:id="279"/>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94"/>
        <w:jc w:val="left"/>
        <w:rPr>
          <w:b w:val="0"/>
          <w:bCs w:val="0"/>
        </w:rPr>
      </w:pPr>
      <w:bookmarkStart w:name="（1）可供出售金融资产情况" w:id="280"/>
      <w:bookmarkEnd w:id="280"/>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001"/>
        <w:gridCol w:w="1195"/>
        <w:gridCol w:w="1196"/>
        <w:gridCol w:w="1196"/>
        <w:gridCol w:w="1248"/>
        <w:gridCol w:w="1367"/>
        <w:gridCol w:w="1367"/>
      </w:tblGrid>
      <w:tr>
        <w:trPr>
          <w:trHeight w:val="206" w:hRule="exact"/>
        </w:trPr>
        <w:tc>
          <w:tcPr>
            <w:tcW w:w="20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20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1"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20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50,240,000.00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50,240,000.00</w:t>
            </w:r>
          </w:p>
        </w:tc>
      </w:tr>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50,240,000.00</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期末按公允价值计量的可供出售金融资产" w:id="281"/>
      <w:bookmarkEnd w:id="281"/>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3）期末按成本计量的可供出售金融资产" w:id="282"/>
      <w:bookmarkEnd w:id="282"/>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杭州磐联 科技有限 公司</w:t>
            </w:r>
          </w:p>
        </w:tc>
        <w:tc>
          <w:tcPr>
            <w:tcW w:w="870"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240,000.00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240,000.00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信美人寿 相互保险 社</w:t>
            </w:r>
          </w:p>
        </w:tc>
        <w:tc>
          <w:tcPr>
            <w:tcW w:w="870"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50,240,000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240,000.00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994"/>
        <w:jc w:val="left"/>
        <w:rPr>
          <w:b w:val="0"/>
          <w:bCs w:val="0"/>
        </w:rPr>
      </w:pPr>
      <w:bookmarkStart w:name="（4）报告期内可供出售金融资产减值的变动情况" w:id="283"/>
      <w:bookmarkEnd w:id="283"/>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5）可供出售权益工具期末公允价值严重下跌或非暂时性下跌但未计提减值准备的相关说" w:id="284"/>
      <w:bookmarkEnd w:id="284"/>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15、持有至到期投资" w:id="285"/>
      <w:bookmarkEnd w:id="285"/>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94"/>
        <w:jc w:val="left"/>
        <w:rPr>
          <w:b w:val="0"/>
          <w:bCs w:val="0"/>
        </w:rPr>
      </w:pPr>
      <w:bookmarkStart w:name="（1）持有至到期投资情况" w:id="286"/>
      <w:bookmarkEnd w:id="286"/>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期末重要的持有至到期投资" w:id="287"/>
      <w:bookmarkEnd w:id="287"/>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3）本期重分类的持有至到期投资" w:id="288"/>
      <w:bookmarkEnd w:id="288"/>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left="1134" w:right="994"/>
        <w:jc w:val="left"/>
        <w:rPr>
          <w:b w:val="0"/>
          <w:bCs w:val="0"/>
        </w:rPr>
      </w:pPr>
      <w:bookmarkStart w:name="16、长期应收款" w:id="289"/>
      <w:bookmarkEnd w:id="289"/>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94"/>
        <w:jc w:val="left"/>
        <w:rPr>
          <w:b w:val="0"/>
          <w:bCs w:val="0"/>
        </w:rPr>
      </w:pPr>
      <w:bookmarkStart w:name="（1）长期应收款情况" w:id="290"/>
      <w:bookmarkEnd w:id="290"/>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因金融资产转移而终止确认的长期应收款" w:id="291"/>
      <w:bookmarkEnd w:id="291"/>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4" w:right="994"/>
        <w:jc w:val="left"/>
        <w:rPr>
          <w:b w:val="0"/>
          <w:bCs w:val="0"/>
        </w:rPr>
      </w:pPr>
      <w:bookmarkStart w:name="（3）转移长期应收款且继续涉入形成的资产、负债金额" w:id="292"/>
      <w:bookmarkEnd w:id="292"/>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94"/>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94"/>
        <w:jc w:val="left"/>
        <w:rPr>
          <w:b w:val="0"/>
          <w:bCs w:val="0"/>
        </w:rPr>
      </w:pPr>
      <w:bookmarkStart w:name="17、长期股权投资" w:id="293"/>
      <w:bookmarkEnd w:id="293"/>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13"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深圳市大 拿科技有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7,884,722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-3,622,43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-4,262,28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深圳嘉石 大岩资本 管理股份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518,047,1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13.90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3,576,518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-9,911,17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-489,269,</w:t>
            </w:r>
          </w:p>
          <w:p>
            <w:pPr>
              <w:pStyle w:val="TableParagraph"/>
              <w:spacing w:line="240" w:lineRule="auto" w:before="105"/>
              <w:ind w:left="246" w:right="0"/>
              <w:jc w:val="center"/>
              <w:rPr>
                <w:rFonts w:ascii="Times New Roman" w:hAnsi="Times New Roman" w:cs="Times New Roman" w:eastAsia="Times New Roman" w:hint="default"/>
                <w:sz w:val="18"/>
                <w:szCs w:val="18"/>
              </w:rPr>
            </w:pPr>
            <w:r>
              <w:rPr>
                <w:rFonts w:ascii="Times New Roman"/>
                <w:sz w:val="18"/>
              </w:rPr>
              <w:t>960.76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-22,442,5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525,931,8</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36.09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-3,622,43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-685,771.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-9,911,17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-489,269,</w:t>
            </w:r>
          </w:p>
          <w:p>
            <w:pPr>
              <w:pStyle w:val="TableParagraph"/>
              <w:spacing w:line="240" w:lineRule="auto" w:before="105"/>
              <w:ind w:left="246" w:right="0"/>
              <w:jc w:val="center"/>
              <w:rPr>
                <w:rFonts w:ascii="Times New Roman" w:hAnsi="Times New Roman" w:cs="Times New Roman" w:eastAsia="Times New Roman" w:hint="default"/>
                <w:sz w:val="18"/>
                <w:szCs w:val="18"/>
              </w:rPr>
            </w:pPr>
            <w:r>
              <w:rPr>
                <w:rFonts w:ascii="Times New Roman"/>
                <w:sz w:val="18"/>
              </w:rPr>
              <w:t>960.76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-22,442,5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525,931,8</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36.09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-3,622,43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-685,771.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-9,911,17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-489,269,</w:t>
            </w:r>
          </w:p>
          <w:p>
            <w:pPr>
              <w:pStyle w:val="TableParagraph"/>
              <w:spacing w:line="240" w:lineRule="auto" w:before="105"/>
              <w:ind w:left="246" w:right="0"/>
              <w:jc w:val="center"/>
              <w:rPr>
                <w:rFonts w:ascii="Times New Roman" w:hAnsi="Times New Roman" w:cs="Times New Roman" w:eastAsia="Times New Roman" w:hint="default"/>
                <w:sz w:val="18"/>
                <w:szCs w:val="18"/>
              </w:rPr>
            </w:pPr>
            <w:r>
              <w:rPr>
                <w:rFonts w:ascii="Times New Roman"/>
                <w:sz w:val="18"/>
              </w:rPr>
              <w:t>960.76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-22,442,5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994"/>
        <w:jc w:val="left"/>
      </w:pPr>
      <w:r>
        <w:rPr/>
        <w:t>其他说明</w:t>
      </w:r>
    </w:p>
    <w:p>
      <w:pPr>
        <w:pStyle w:val="Heading6"/>
        <w:spacing w:line="264" w:lineRule="auto" w:before="89"/>
        <w:ind w:right="1130" w:firstLine="0"/>
        <w:jc w:val="both"/>
      </w:pPr>
      <w:r>
        <w:rPr>
          <w:rFonts w:ascii="Times New Roman" w:hAnsi="Times New Roman" w:cs="Times New Roman" w:eastAsia="Times New Roman" w:hint="default"/>
          <w:spacing w:val="-2"/>
        </w:rPr>
        <w:t>1.</w:t>
      </w:r>
      <w:r>
        <w:rPr>
          <w:spacing w:val="-2"/>
        </w:rPr>
        <w:t>本公司对深圳市大拿科技有限公司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大拿科技公司</w:t>
      </w:r>
      <w:r>
        <w:rPr>
          <w:rFonts w:ascii="Times New Roman" w:hAnsi="Times New Roman" w:cs="Times New Roman" w:eastAsia="Times New Roman" w:hint="default"/>
          <w:spacing w:val="-2"/>
        </w:rPr>
        <w:t>”)</w:t>
      </w:r>
      <w:r>
        <w:rPr>
          <w:spacing w:val="-2"/>
        </w:rPr>
        <w:t>的持股比例为</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日，经董</w:t>
      </w:r>
      <w:r>
        <w:rPr>
          <w:spacing w:val="-56"/>
        </w:rPr>
        <w:t> </w:t>
      </w:r>
      <w:r>
        <w:rPr>
          <w:spacing w:val="-56"/>
        </w:rPr>
      </w:r>
      <w:r>
        <w:rPr>
          <w:spacing w:val="-1"/>
        </w:rPr>
        <w:t>事会批准，本公司与大拿科技公司股东余承富签订不可撤销的转让协议，本公司将持有的大拿科技公司的</w:t>
      </w:r>
      <w:r>
        <w:rPr>
          <w:spacing w:val="-81"/>
        </w:rPr>
        <w:t> </w:t>
      </w:r>
      <w:r>
        <w:rPr>
          <w:spacing w:val="-81"/>
        </w:rPr>
      </w:r>
      <w:r>
        <w:rPr>
          <w:rFonts w:ascii="Times New Roman" w:hAnsi="Times New Roman" w:cs="Times New Roman" w:eastAsia="Times New Roman" w:hint="default"/>
        </w:rPr>
        <w:t>30%</w:t>
      </w:r>
      <w:r>
        <w:rPr/>
        <w:t>股权以</w:t>
      </w:r>
      <w:r>
        <w:rPr>
          <w:rFonts w:ascii="Times New Roman" w:hAnsi="Times New Roman" w:cs="Times New Roman" w:eastAsia="Times New Roman" w:hint="default"/>
        </w:rPr>
        <w:t>4,100,000.00</w:t>
      </w:r>
      <w:r>
        <w:rPr/>
        <w:t>元转让予余承富，截至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日止，已完成股权交割和工商变更手续。</w:t>
      </w:r>
    </w:p>
    <w:p>
      <w:pPr>
        <w:pStyle w:val="Heading6"/>
        <w:spacing w:line="261" w:lineRule="auto" w:before="0"/>
        <w:ind w:right="994" w:firstLine="0"/>
        <w:jc w:val="left"/>
      </w:pPr>
      <w:r>
        <w:rPr>
          <w:rFonts w:ascii="Times New Roman" w:hAnsi="Times New Roman" w:cs="Times New Roman" w:eastAsia="Times New Roman" w:hint="default"/>
        </w:rPr>
        <w:t>2.</w:t>
      </w:r>
      <w:r>
        <w:rPr/>
        <w:t>本公司对深圳嘉石大岩资本管理有限公司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嘉石大岩公司</w:t>
      </w:r>
      <w:r>
        <w:rPr>
          <w:rFonts w:ascii="Times New Roman" w:hAnsi="Times New Roman" w:cs="Times New Roman" w:eastAsia="Times New Roman" w:hint="default"/>
        </w:rPr>
        <w:t>”)</w:t>
      </w:r>
      <w:r>
        <w:rPr/>
        <w:t>的持股比例为</w:t>
      </w:r>
      <w:r>
        <w:rPr>
          <w:rFonts w:ascii="Times New Roman" w:hAnsi="Times New Roman" w:cs="Times New Roman" w:eastAsia="Times New Roman" w:hint="default"/>
        </w:rPr>
        <w:t>25%</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 </w:t>
      </w:r>
      <w:r>
        <w:rPr>
          <w:spacing w:val="-1"/>
        </w:rPr>
        <w:t>日，经董事会批准，本公司与深圳大岩科技有限公司签订不可撤销的转让协议，将本公司持有的嘉石大岩</w:t>
      </w:r>
      <w:r>
        <w:rPr>
          <w:spacing w:val="-83"/>
        </w:rPr>
        <w:t> </w:t>
      </w:r>
      <w:r>
        <w:rPr>
          <w:spacing w:val="-83"/>
        </w:rPr>
      </w:r>
      <w:r>
        <w:rPr>
          <w:spacing w:val="-1"/>
        </w:rPr>
        <w:t>公司的</w:t>
      </w:r>
      <w:r>
        <w:rPr>
          <w:rFonts w:ascii="Times New Roman" w:hAnsi="Times New Roman" w:cs="Times New Roman" w:eastAsia="Times New Roman" w:hint="default"/>
          <w:spacing w:val="-1"/>
        </w:rPr>
        <w:t>25%</w:t>
      </w:r>
      <w:r>
        <w:rPr>
          <w:spacing w:val="-1"/>
        </w:rPr>
        <w:t>股权以</w:t>
      </w:r>
      <w:r>
        <w:rPr>
          <w:rFonts w:ascii="Times New Roman" w:hAnsi="Times New Roman" w:cs="Times New Roman" w:eastAsia="Times New Roman" w:hint="default"/>
          <w:spacing w:val="-1"/>
        </w:rPr>
        <w:t>500,000,000.00</w:t>
      </w:r>
      <w:r>
        <w:rPr>
          <w:spacing w:val="-1"/>
        </w:rPr>
        <w:t>元转让予深圳大岩科技有限公司，截至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日止，尚未完成股权</w:t>
      </w:r>
      <w:r>
        <w:rPr>
          <w:spacing w:val="-96"/>
        </w:rPr>
        <w:t> </w:t>
      </w:r>
      <w:r>
        <w:rPr>
          <w:spacing w:val="-96"/>
        </w:rPr>
      </w:r>
      <w:r>
        <w:rPr/>
        <w:t>交割，该股权转让交易预计在</w:t>
      </w:r>
      <w:r>
        <w:rPr>
          <w:rFonts w:ascii="Times New Roman" w:hAnsi="Times New Roman" w:cs="Times New Roman" w:eastAsia="Times New Roman" w:hint="default"/>
        </w:rPr>
        <w:t>2018</w:t>
      </w:r>
      <w:r>
        <w:rPr/>
        <w:t>年内完成。现将该长期股权投资划分为持有待售资产。</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pStyle w:val="Heading5"/>
        <w:spacing w:line="240" w:lineRule="auto"/>
        <w:ind w:right="994"/>
        <w:jc w:val="left"/>
        <w:rPr>
          <w:b w:val="0"/>
          <w:bCs w:val="0"/>
        </w:rPr>
      </w:pPr>
      <w:bookmarkStart w:name="18、投资性房地产" w:id="294"/>
      <w:bookmarkEnd w:id="294"/>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1）采用成本计量模式的投资性房地产" w:id="295"/>
      <w:bookmarkEnd w:id="295"/>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94"/>
        <w:jc w:val="left"/>
        <w:rPr>
          <w:b w:val="0"/>
          <w:bCs w:val="0"/>
        </w:rPr>
      </w:pPr>
      <w:bookmarkStart w:name="（2）采用公允价值计量模式的投资性房地产" w:id="296"/>
      <w:bookmarkEnd w:id="296"/>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94"/>
        <w:jc w:val="left"/>
        <w:rPr>
          <w:b w:val="0"/>
          <w:bCs w:val="0"/>
        </w:rPr>
      </w:pPr>
      <w:bookmarkStart w:name="（3）未办妥产权证书的投资性房地产情况" w:id="297"/>
      <w:bookmarkEnd w:id="297"/>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left="1134" w:right="994"/>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94"/>
        <w:jc w:val="left"/>
        <w:rPr>
          <w:b w:val="0"/>
          <w:bCs w:val="0"/>
        </w:rPr>
      </w:pPr>
      <w:bookmarkStart w:name="19、固定资产" w:id="298"/>
      <w:bookmarkEnd w:id="298"/>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94"/>
        <w:jc w:val="left"/>
        <w:rPr>
          <w:b w:val="0"/>
          <w:bCs w:val="0"/>
        </w:rPr>
      </w:pPr>
      <w:bookmarkStart w:name="（1）固定资产情况" w:id="299"/>
      <w:bookmarkEnd w:id="29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电子及其他设备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388,804,536.60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2,647,527.18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6,725,486.28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6,359,187.81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28,718,266.14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433,255,004.01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113,576.93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76,168.10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2,372,536.19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3,845,191.38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6,407,472.60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113,576.93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76,168.10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2,372,536.19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3,845,191.38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6,407,472.60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100,350.80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433,419.04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5,292,035.44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2,913,535.50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8,739,340.78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433,419.04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736,853.96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2,913,535.50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4,083,808.50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100,350.80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4,555,181.48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4,655,532.28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388,704,185.80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2,327,685.07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6,801,654.38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3,439,688.56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29,649,922.02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430,923,135.83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4,982,735.69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1,841,576.08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5,676,483.52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1,705,311.62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16,330,081.92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30,536,188.83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9,237,255.89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268,757.44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470,959.71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1,054,905.62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3,465,275.82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14,497,154.48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9,237,255.89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268,757.44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470,959.71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1,054,905.62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3,465,275.82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14,497,154.48</w:t>
            </w:r>
          </w:p>
        </w:tc>
      </w:tr>
      <w:tr>
        <w:trPr>
          <w:trHeight w:val="402" w:hRule="exact"/>
        </w:trPr>
        <w:tc>
          <w:tcPr>
            <w:tcW w:w="1356" w:type="dxa"/>
            <w:tcBorders>
              <w:top w:val="single" w:sz="4" w:space="0" w:color="000000"/>
              <w:left w:val="single" w:sz="4" w:space="0" w:color="000000"/>
              <w:bottom w:val="single" w:sz="12" w:space="0" w:color="D2D2D2"/>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411,748.08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1,397,989.81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2,767,053.81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4,576,791.70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411,748.08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496,156.39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2,767,053.81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3,674,958.28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901,833.42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901,833.42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14,219,991.58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1,698,585.44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6,147,443.23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1,362,227.43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17,028,303.93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40,456,551.61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374,484,194.22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629,099.63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654,211.15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2,077,461.13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12,621,618.09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390,466,584.22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383,821,800.91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805,951.10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1,049,002.76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4,653,876.19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12,388,184.22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402,718,815.18</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暂时闲置的固定资产情况" w:id="300"/>
      <w:bookmarkEnd w:id="300"/>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3）通过融资租赁租入的固定资产情况" w:id="301"/>
      <w:bookmarkEnd w:id="301"/>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4）通过经营租赁租出的固定资产" w:id="302"/>
      <w:bookmarkEnd w:id="302"/>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397"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7" w:hRule="exact"/>
        </w:trPr>
        <w:tc>
          <w:tcPr>
            <w:tcW w:w="47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出租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机</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2,077,461.13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994"/>
        <w:jc w:val="left"/>
        <w:rPr>
          <w:b w:val="0"/>
          <w:bCs w:val="0"/>
        </w:rPr>
      </w:pPr>
      <w:bookmarkStart w:name="（5）未办妥产权证书的固定资产情况" w:id="303"/>
      <w:bookmarkEnd w:id="303"/>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76"/>
              <w:jc w:val="righ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17,219,566.71</w:t>
            </w:r>
          </w:p>
        </w:tc>
        <w:tc>
          <w:tcPr>
            <w:tcW w:w="31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right="624"/>
              <w:jc w:val="right"/>
              <w:rPr>
                <w:rFonts w:ascii="宋体" w:hAnsi="宋体" w:cs="宋体" w:eastAsia="宋体" w:hint="default"/>
                <w:sz w:val="18"/>
                <w:szCs w:val="18"/>
              </w:rPr>
            </w:pPr>
            <w:r>
              <w:rPr>
                <w:rFonts w:ascii="宋体" w:hAnsi="宋体" w:cs="宋体" w:eastAsia="宋体" w:hint="default"/>
                <w:sz w:val="18"/>
                <w:szCs w:val="18"/>
              </w:rPr>
              <w:t>人才安居房，无法办理产权证书</w:t>
            </w:r>
          </w:p>
        </w:tc>
      </w:tr>
    </w:tbl>
    <w:p>
      <w:pPr>
        <w:pStyle w:val="BodyText"/>
        <w:spacing w:line="240" w:lineRule="auto" w:before="51"/>
        <w:ind w:left="1134" w:right="994"/>
        <w:jc w:val="left"/>
      </w:pPr>
      <w:r>
        <w:rPr/>
        <w:t>其他说明</w:t>
      </w:r>
    </w:p>
    <w:p>
      <w:pPr>
        <w:spacing w:line="240" w:lineRule="auto" w:before="13"/>
        <w:rPr>
          <w:rFonts w:ascii="宋体" w:hAnsi="宋体" w:cs="宋体" w:eastAsia="宋体" w:hint="default"/>
          <w:sz w:val="12"/>
          <w:szCs w:val="12"/>
        </w:rPr>
      </w:pPr>
    </w:p>
    <w:p>
      <w:pPr>
        <w:pStyle w:val="Heading5"/>
        <w:spacing w:line="240" w:lineRule="auto"/>
        <w:ind w:right="994"/>
        <w:jc w:val="left"/>
        <w:rPr>
          <w:b w:val="0"/>
          <w:bCs w:val="0"/>
        </w:rPr>
      </w:pPr>
      <w:r>
        <w:rPr>
          <w:rFonts w:ascii="Times New Roman" w:hAnsi="Times New Roman" w:cs="Times New Roman" w:eastAsia="Times New Roman" w:hint="default"/>
        </w:rPr>
        <w:t>1.</w:t>
      </w:r>
      <w:r>
        <w:rPr/>
        <w:t>期末用于抵押的固定资产账面价值</w:t>
      </w:r>
      <w:r>
        <w:rPr>
          <w:rFonts w:ascii="Times New Roman" w:hAnsi="Times New Roman" w:cs="Times New Roman" w:eastAsia="Times New Roman" w:hint="default"/>
        </w:rPr>
        <w:t>357,264,627.51</w:t>
      </w:r>
      <w:r>
        <w:rPr/>
        <w:t>元。</w:t>
      </w:r>
      <w:r>
        <w:rPr>
          <w:b w:val="0"/>
          <w:bCs w:val="0"/>
        </w:rPr>
      </w:r>
    </w:p>
    <w:p>
      <w:pPr>
        <w:pStyle w:val="Heading5"/>
        <w:spacing w:line="240" w:lineRule="auto" w:before="141"/>
        <w:ind w:left="1134" w:right="994"/>
        <w:jc w:val="left"/>
        <w:rPr>
          <w:b w:val="0"/>
          <w:bCs w:val="0"/>
        </w:rPr>
      </w:pPr>
      <w:r>
        <w:rPr>
          <w:rFonts w:ascii="Times New Roman" w:hAnsi="Times New Roman" w:cs="Times New Roman" w:eastAsia="Times New Roman" w:hint="default"/>
        </w:rPr>
        <w:t>2.</w:t>
      </w:r>
      <w:r>
        <w:rPr/>
        <w:t>期末固定资产不存在可收回金额低于账面价值的情形，故未计提固定资产减值准备。</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Heading5"/>
        <w:spacing w:line="240" w:lineRule="auto" w:before="178"/>
        <w:ind w:left="1134" w:right="994"/>
        <w:jc w:val="left"/>
        <w:rPr>
          <w:b w:val="0"/>
          <w:bCs w:val="0"/>
        </w:rPr>
      </w:pPr>
      <w:bookmarkStart w:name="20、在建工程" w:id="304"/>
      <w:bookmarkEnd w:id="304"/>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1）在建工程情况" w:id="305"/>
      <w:bookmarkEnd w:id="30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重要在建工程项目本期变动情况" w:id="306"/>
      <w:bookmarkEnd w:id="30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3）本期计提在建工程减值准备情况" w:id="307"/>
      <w:bookmarkEnd w:id="307"/>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21、工程物资" w:id="308"/>
      <w:bookmarkEnd w:id="308"/>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994"/>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94"/>
        <w:jc w:val="left"/>
        <w:rPr>
          <w:b w:val="0"/>
          <w:bCs w:val="0"/>
        </w:rPr>
      </w:pPr>
      <w:bookmarkStart w:name="22、固定资产清理" w:id="309"/>
      <w:bookmarkEnd w:id="309"/>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994"/>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94"/>
        <w:jc w:val="left"/>
        <w:rPr>
          <w:b w:val="0"/>
          <w:bCs w:val="0"/>
        </w:rPr>
      </w:pPr>
      <w:bookmarkStart w:name="23、生产性生物资产" w:id="310"/>
      <w:bookmarkEnd w:id="310"/>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94"/>
        <w:jc w:val="left"/>
        <w:rPr>
          <w:b w:val="0"/>
          <w:bCs w:val="0"/>
        </w:rPr>
      </w:pPr>
      <w:bookmarkStart w:name="（1）采用成本计量模式的生产性生物资产" w:id="311"/>
      <w:bookmarkEnd w:id="311"/>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994"/>
        <w:jc w:val="left"/>
        <w:rPr>
          <w:b w:val="0"/>
          <w:bCs w:val="0"/>
        </w:rPr>
      </w:pPr>
      <w:bookmarkStart w:name="（2）采用公允价值计量模式的生产性生物资产" w:id="312"/>
      <w:bookmarkEnd w:id="312"/>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994"/>
        <w:jc w:val="left"/>
        <w:rPr>
          <w:b w:val="0"/>
          <w:bCs w:val="0"/>
        </w:rPr>
      </w:pPr>
      <w:bookmarkStart w:name="24、油气资产" w:id="313"/>
      <w:bookmarkEnd w:id="313"/>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994"/>
        <w:jc w:val="left"/>
        <w:rPr>
          <w:b w:val="0"/>
          <w:bCs w:val="0"/>
        </w:rPr>
      </w:pPr>
      <w:bookmarkStart w:name="25、无形资产" w:id="314"/>
      <w:bookmarkEnd w:id="314"/>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4" w:right="994"/>
        <w:jc w:val="left"/>
        <w:rPr>
          <w:b w:val="0"/>
          <w:bCs w:val="0"/>
        </w:rPr>
      </w:pPr>
      <w:bookmarkStart w:name="（1）无形资产情况" w:id="315"/>
      <w:bookmarkEnd w:id="31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994"/>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w:t>
      </w:r>
    </w:p>
    <w:p>
      <w:pPr>
        <w:pStyle w:val="BodyText"/>
        <w:spacing w:line="240" w:lineRule="auto" w:before="102"/>
        <w:ind w:right="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20,564,938.80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44,943,157.89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28,142,258.25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30,557.36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93,680,912.30</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2,972,514.91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2,972,514.91</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2,972,514.91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2,972,514.91</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20,564,938.80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44,943,157.89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31,114,773.16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30,557.36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96,653,427.21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2,055,593.64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14,981,052.63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7,740,180.55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24,787,012.61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411,318.72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9,987,368.42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5,962,783.61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6,790.53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16,368,261.28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411,318.72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9,987,368.42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5,962,783.61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16,368,261.28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2,466,912.36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24,968,421.05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13,702,964.16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16,976.32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41,155,273.89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18,098,026.44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19,974,736.84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17,411,809.00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13,581.04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55,498,153.32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18,509,345.16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29,962,105.26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20,402,077.70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20,371.57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68,893,899.69</w:t>
            </w:r>
          </w:p>
        </w:tc>
      </w:tr>
    </w:tbl>
    <w:p>
      <w:pPr>
        <w:pStyle w:val="BodyText"/>
        <w:spacing w:line="240" w:lineRule="auto" w:before="51"/>
        <w:ind w:left="1134" w:right="994"/>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2）未办妥产权证书的土地使用权情况" w:id="316"/>
      <w:bookmarkEnd w:id="31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134" w:right="994"/>
        <w:jc w:val="left"/>
      </w:pPr>
      <w:r>
        <w:rPr/>
        <w:t>其他说明：</w:t>
      </w:r>
    </w:p>
    <w:p>
      <w:pPr>
        <w:spacing w:line="240" w:lineRule="auto" w:before="1"/>
        <w:rPr>
          <w:rFonts w:ascii="宋体" w:hAnsi="宋体" w:cs="宋体" w:eastAsia="宋体" w:hint="default"/>
          <w:sz w:val="13"/>
          <w:szCs w:val="13"/>
        </w:rPr>
      </w:pPr>
    </w:p>
    <w:p>
      <w:pPr>
        <w:pStyle w:val="Heading5"/>
        <w:spacing w:line="240" w:lineRule="auto"/>
        <w:ind w:right="994"/>
        <w:jc w:val="left"/>
        <w:rPr>
          <w:b w:val="0"/>
          <w:bCs w:val="0"/>
        </w:rPr>
      </w:pPr>
      <w:r>
        <w:rPr>
          <w:rFonts w:ascii="宋体" w:hAnsi="宋体" w:cs="宋体" w:eastAsia="宋体" w:hint="default"/>
        </w:rPr>
        <w:t>1.</w:t>
      </w:r>
      <w:r>
        <w:rPr>
          <w:rFonts w:ascii="宋体" w:hAnsi="宋体" w:cs="宋体" w:eastAsia="宋体" w:hint="default"/>
          <w:spacing w:val="37"/>
        </w:rPr>
        <w:t> </w:t>
      </w:r>
      <w:r>
        <w:rPr/>
        <w:t>期末用于抵押的无形资产账面价值为</w:t>
      </w:r>
      <w:r>
        <w:rPr>
          <w:rFonts w:ascii="Times New Roman" w:hAnsi="Times New Roman" w:cs="Times New Roman" w:eastAsia="Times New Roman" w:hint="default"/>
        </w:rPr>
        <w:t>18,098,026.44</w:t>
      </w:r>
      <w:r>
        <w:rPr/>
        <w:t>元。</w:t>
      </w:r>
      <w:r>
        <w:rPr>
          <w:b w:val="0"/>
          <w:bCs w:val="0"/>
        </w:rPr>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b/>
          <w:bCs/>
          <w:sz w:val="24"/>
          <w:szCs w:val="24"/>
        </w:rPr>
      </w:pPr>
    </w:p>
    <w:p>
      <w:pPr>
        <w:pStyle w:val="Heading5"/>
        <w:spacing w:line="240" w:lineRule="auto" w:before="35"/>
        <w:ind w:right="994"/>
        <w:jc w:val="left"/>
        <w:rPr>
          <w:b w:val="0"/>
          <w:bCs w:val="0"/>
        </w:rPr>
      </w:pPr>
      <w:r>
        <w:rPr>
          <w:rFonts w:ascii="宋体" w:hAnsi="宋体" w:cs="宋体" w:eastAsia="宋体" w:hint="default"/>
        </w:rPr>
        <w:t>2.</w:t>
      </w:r>
      <w:r>
        <w:rPr>
          <w:rFonts w:ascii="宋体" w:hAnsi="宋体" w:cs="宋体" w:eastAsia="宋体" w:hint="default"/>
          <w:spacing w:val="35"/>
        </w:rPr>
        <w:t> </w:t>
      </w:r>
      <w:r>
        <w:rPr/>
        <w:t>期末无形资产不存在减值迹象，故未计提无形资产减值准备。</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pStyle w:val="Heading5"/>
        <w:spacing w:line="240" w:lineRule="auto"/>
        <w:ind w:right="994"/>
        <w:jc w:val="left"/>
        <w:rPr>
          <w:b w:val="0"/>
          <w:bCs w:val="0"/>
        </w:rPr>
      </w:pPr>
      <w:bookmarkStart w:name="26、开发支出" w:id="317"/>
      <w:bookmarkEnd w:id="317"/>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134" w:right="994"/>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94"/>
        <w:jc w:val="left"/>
        <w:rPr>
          <w:b w:val="0"/>
          <w:bCs w:val="0"/>
        </w:rPr>
      </w:pPr>
      <w:bookmarkStart w:name="27、商誉" w:id="318"/>
      <w:bookmarkEnd w:id="318"/>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94"/>
        <w:jc w:val="left"/>
        <w:rPr>
          <w:b w:val="0"/>
          <w:bCs w:val="0"/>
        </w:rPr>
      </w:pPr>
      <w:bookmarkStart w:name="（1）商誉账面原值" w:id="319"/>
      <w:bookmarkEnd w:id="31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浙江中正智能科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139,753,563.89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139,753,563.89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ExaDigm,Inc</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36,293,613.94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36,293,613.94</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长沙公信诚丰信 息技术服务有限 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433,158,998.49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433,158,998.49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609,206,176.32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609,206,176.32</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商誉减值准备" w:id="320"/>
      <w:bookmarkEnd w:id="32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5"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浙江中正智能科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1,840,654.90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1,840,654.90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ExaDigm,Inc</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3,607,110.37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3,607,110.37</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both"/>
              <w:rPr>
                <w:rFonts w:ascii="宋体" w:hAnsi="宋体" w:cs="宋体" w:eastAsia="宋体" w:hint="default"/>
                <w:sz w:val="18"/>
                <w:szCs w:val="18"/>
              </w:rPr>
            </w:pPr>
            <w:r>
              <w:rPr>
                <w:rFonts w:ascii="宋体" w:hAnsi="宋体" w:cs="宋体" w:eastAsia="宋体" w:hint="default"/>
                <w:sz w:val="18"/>
                <w:szCs w:val="18"/>
              </w:rPr>
              <w:t>长沙公信诚丰信 息技术服务有限 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5,447,765.27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5,447,765.27</w:t>
            </w:r>
          </w:p>
        </w:tc>
      </w:tr>
    </w:tbl>
    <w:p>
      <w:pPr>
        <w:pStyle w:val="BodyText"/>
        <w:spacing w:line="240" w:lineRule="auto" w:before="51"/>
        <w:ind w:left="1134" w:right="994"/>
        <w:jc w:val="left"/>
      </w:pPr>
      <w:r>
        <w:rPr/>
        <w:t>说明商誉减值测试过程、参数及商誉减值损失的确认方法：</w:t>
      </w:r>
    </w:p>
    <w:p>
      <w:pPr>
        <w:spacing w:line="240" w:lineRule="auto" w:before="13"/>
        <w:rPr>
          <w:rFonts w:ascii="宋体" w:hAnsi="宋体" w:cs="宋体" w:eastAsia="宋体" w:hint="default"/>
          <w:sz w:val="12"/>
          <w:szCs w:val="12"/>
        </w:rPr>
      </w:pPr>
    </w:p>
    <w:p>
      <w:pPr>
        <w:pStyle w:val="Heading6"/>
        <w:spacing w:line="240" w:lineRule="auto" w:before="0"/>
        <w:ind w:left="1556" w:right="994" w:firstLine="0"/>
        <w:jc w:val="left"/>
      </w:pPr>
      <w:r>
        <w:rPr/>
        <w:t>本公司对企业合并取得的子公司商誉进行了减值测试，子公司的可回收金额按照预计未来现金流量的</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56" w:lineRule="auto" w:before="35"/>
        <w:ind w:right="994" w:firstLine="0"/>
        <w:jc w:val="left"/>
      </w:pPr>
      <w:r>
        <w:rPr>
          <w:spacing w:val="-1"/>
        </w:rPr>
        <w:t>现值确定，其预计未来现金流量根据管理层批准的</w:t>
      </w:r>
      <w:r>
        <w:rPr>
          <w:rFonts w:ascii="Times New Roman" w:hAnsi="Times New Roman" w:cs="Times New Roman" w:eastAsia="Times New Roman" w:hint="default"/>
          <w:spacing w:val="-1"/>
        </w:rPr>
        <w:t>5</w:t>
      </w:r>
      <w:r>
        <w:rPr>
          <w:spacing w:val="-1"/>
        </w:rPr>
        <w:t>年期财务预算为基础的现金流量来确定，</w:t>
      </w:r>
      <w:r>
        <w:rPr>
          <w:rFonts w:ascii="Times New Roman" w:hAnsi="Times New Roman" w:cs="Times New Roman" w:eastAsia="Times New Roman" w:hint="default"/>
          <w:spacing w:val="-1"/>
        </w:rPr>
        <w:t>5</w:t>
      </w:r>
      <w:r>
        <w:rPr>
          <w:spacing w:val="-1"/>
        </w:rPr>
        <w:t>年期后的现</w:t>
      </w:r>
      <w:r>
        <w:rPr>
          <w:spacing w:val="-83"/>
        </w:rPr>
        <w:t> </w:t>
      </w:r>
      <w:r>
        <w:rPr/>
        <w:t>金流量以增长率为零推算。</w:t>
      </w:r>
    </w:p>
    <w:p>
      <w:pPr>
        <w:pStyle w:val="Heading6"/>
        <w:spacing w:line="256" w:lineRule="auto" w:before="142"/>
        <w:ind w:right="994"/>
        <w:jc w:val="left"/>
      </w:pPr>
      <w:r>
        <w:rPr>
          <w:spacing w:val="-1"/>
        </w:rPr>
        <w:t>计算子公司于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日的预计未来现金流量现值采用了关键假设。以下详述了管理层为进行商</w:t>
      </w:r>
      <w:r>
        <w:rPr/>
        <w:t> 誉的减值测试，在确定现金流量预测时作出的关键假设。</w:t>
      </w:r>
    </w:p>
    <w:p>
      <w:pPr>
        <w:pStyle w:val="Heading6"/>
        <w:spacing w:line="357" w:lineRule="auto" w:before="143"/>
        <w:ind w:left="1553" w:right="1093" w:firstLine="0"/>
        <w:jc w:val="left"/>
      </w:pPr>
      <w:r>
        <w:rPr/>
        <w:t>折现率</w:t>
      </w:r>
      <w:r>
        <w:rPr>
          <w:rFonts w:ascii="Times New Roman" w:hAnsi="Times New Roman" w:cs="Times New Roman" w:eastAsia="Times New Roman" w:hint="default"/>
        </w:rPr>
        <w:t>=</w:t>
      </w:r>
      <w:r>
        <w:rPr/>
        <w:t>企业加权平均资金成本</w:t>
      </w:r>
      <w:r>
        <w:rPr>
          <w:rFonts w:ascii="Times New Roman" w:hAnsi="Times New Roman" w:cs="Times New Roman" w:eastAsia="Times New Roman" w:hint="default"/>
        </w:rPr>
        <w:t>/(1-</w:t>
      </w:r>
      <w:r>
        <w:rPr/>
        <w:t>适用的所得税率</w:t>
      </w:r>
      <w:r>
        <w:rPr>
          <w:rFonts w:ascii="Times New Roman" w:hAnsi="Times New Roman" w:cs="Times New Roman" w:eastAsia="Times New Roman" w:hint="default"/>
        </w:rPr>
        <w:t>)</w:t>
      </w:r>
      <w:r>
        <w:rPr/>
        <w:t>。 管理层经过上述商誉减值测试，合并长沙公信诚丰信息技术服务有限公司形成的商誉无需计提减值。</w:t>
      </w:r>
    </w:p>
    <w:p>
      <w:pPr>
        <w:pStyle w:val="Heading6"/>
        <w:spacing w:line="225" w:lineRule="exact" w:before="0"/>
        <w:ind w:right="994" w:firstLine="0"/>
        <w:jc w:val="left"/>
      </w:pPr>
      <w:r>
        <w:rPr/>
        <w:t>合并</w:t>
      </w:r>
      <w:r>
        <w:rPr>
          <w:rFonts w:ascii="Times New Roman" w:hAnsi="Times New Roman" w:cs="Times New Roman" w:eastAsia="Times New Roman" w:hint="default"/>
        </w:rPr>
        <w:t>ExaDigm,Inc</w:t>
      </w:r>
      <w:r>
        <w:rPr/>
        <w:t>形成的商誉减值金额</w:t>
      </w:r>
      <w:r>
        <w:rPr>
          <w:rFonts w:ascii="Times New Roman" w:hAnsi="Times New Roman" w:cs="Times New Roman" w:eastAsia="Times New Roman" w:hint="default"/>
        </w:rPr>
        <w:t>3,607,110.37</w:t>
      </w:r>
      <w:r>
        <w:rPr/>
        <w:t>元，合并浙江中正智能科技有限公司形成的商誉减值金</w:t>
      </w:r>
    </w:p>
    <w:p>
      <w:pPr>
        <w:pStyle w:val="Heading6"/>
        <w:spacing w:line="240" w:lineRule="auto" w:before="21"/>
        <w:ind w:right="994" w:firstLine="0"/>
        <w:jc w:val="left"/>
      </w:pPr>
      <w:r>
        <w:rPr/>
        <w:t>额</w:t>
      </w:r>
      <w:r>
        <w:rPr>
          <w:rFonts w:ascii="Times New Roman" w:hAnsi="Times New Roman" w:cs="Times New Roman" w:eastAsia="Times New Roman" w:hint="default"/>
        </w:rPr>
        <w:t>1,840,654.90</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9"/>
          <w:szCs w:val="19"/>
        </w:rPr>
      </w:pPr>
    </w:p>
    <w:p>
      <w:pPr>
        <w:pStyle w:val="BodyText"/>
        <w:spacing w:line="240" w:lineRule="auto" w:before="0"/>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28、长期待摊费用" w:id="321"/>
      <w:bookmarkEnd w:id="321"/>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607"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5,614,919.94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1,020,106.81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2,531,045.67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4,103,981.08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地图平台服务费</w:t>
            </w:r>
          </w:p>
        </w:tc>
        <w:tc>
          <w:tcPr>
            <w:tcW w:w="1607"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25,000.10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9,999.96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15,000.14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高尔夫会费</w:t>
            </w:r>
          </w:p>
        </w:tc>
        <w:tc>
          <w:tcPr>
            <w:tcW w:w="1607"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1,815,132.00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305,186.50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572,445.50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937,500.00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模具费</w:t>
            </w:r>
          </w:p>
        </w:tc>
        <w:tc>
          <w:tcPr>
            <w:tcW w:w="1607"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698,803.77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1,501,312.21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670,977.59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1,529,138.39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07"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102,206.14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58,723.02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126,212.59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34,716.57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8,256,061.95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2,580,142.04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3,643,422.31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572,445.50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6,620,336.18</w:t>
            </w:r>
          </w:p>
        </w:tc>
      </w:tr>
    </w:tbl>
    <w:p>
      <w:pPr>
        <w:pStyle w:val="BodyText"/>
        <w:spacing w:line="240" w:lineRule="auto" w:before="51"/>
        <w:ind w:left="1134" w:right="994"/>
        <w:jc w:val="left"/>
      </w:pPr>
      <w:r>
        <w:rPr/>
        <w:t>其他说明</w:t>
      </w:r>
    </w:p>
    <w:p>
      <w:pPr>
        <w:spacing w:line="240" w:lineRule="auto" w:before="3"/>
        <w:rPr>
          <w:rFonts w:ascii="宋体" w:hAnsi="宋体" w:cs="宋体" w:eastAsia="宋体" w:hint="default"/>
          <w:sz w:val="22"/>
          <w:szCs w:val="22"/>
        </w:rPr>
      </w:pPr>
    </w:p>
    <w:p>
      <w:pPr>
        <w:pStyle w:val="Heading5"/>
        <w:spacing w:line="240" w:lineRule="auto"/>
        <w:ind w:right="994"/>
        <w:jc w:val="left"/>
        <w:rPr>
          <w:b w:val="0"/>
          <w:bCs w:val="0"/>
        </w:rPr>
      </w:pPr>
      <w:r>
        <w:rPr/>
        <w:t>其他减少系收回高尔夫球会退回的会员费所致。</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p>
      <w:pPr>
        <w:pStyle w:val="Heading5"/>
        <w:spacing w:line="240" w:lineRule="auto"/>
        <w:ind w:right="994"/>
        <w:jc w:val="left"/>
        <w:rPr>
          <w:b w:val="0"/>
          <w:bCs w:val="0"/>
        </w:rPr>
      </w:pPr>
      <w:bookmarkStart w:name="29、递延所得税资产/递延所得税负债" w:id="322"/>
      <w:bookmarkEnd w:id="322"/>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1）未经抵销的递延所得税资产" w:id="323"/>
      <w:bookmarkEnd w:id="32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49,893,738.03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7,488,238.73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34,731,871.40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7,364,836.19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58,338,697.01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8,750,804.55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69,212,582.07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17,303,145.52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4,978,692.63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622,336.58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未弥补亏损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37,971,073.09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5,720,678.23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37,761,681.33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9,440,420.33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9" w:right="0"/>
              <w:jc w:val="left"/>
              <w:rPr>
                <w:rFonts w:ascii="Times New Roman" w:hAnsi="Times New Roman" w:cs="Times New Roman" w:eastAsia="Times New Roman" w:hint="default"/>
                <w:sz w:val="18"/>
                <w:szCs w:val="18"/>
              </w:rPr>
            </w:pPr>
            <w:r>
              <w:rPr>
                <w:rFonts w:ascii="Times New Roman"/>
                <w:sz w:val="18"/>
              </w:rPr>
              <w:t>151,182,200.76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22,582,058.09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141,706,134.80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34,108,402.04</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未经抵销的递延所得税负债" w:id="324"/>
      <w:bookmarkEnd w:id="32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评估增值资产的计税基 础和入账价值差异产生 的递延所得税</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32,365,448.70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4,854,817.31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46,549,075.06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6,982,456.05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32,365,448.70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4,854,817.31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46,549,075.06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6,982,456.05</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3）以抵销后净额列示的递延所得税资产或负债" w:id="325"/>
      <w:bookmarkEnd w:id="325"/>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162"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8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22,582,058.09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34,108,402.04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4,854,817.31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6,982,456.05</w:t>
            </w:r>
          </w:p>
        </w:tc>
      </w:tr>
    </w:tbl>
    <w:p>
      <w:pPr>
        <w:spacing w:line="240" w:lineRule="auto" w:before="3"/>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4）未确认递延所得税资产明细" w:id="326"/>
      <w:bookmarkEnd w:id="326"/>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8,950,665.15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41,832,650.64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20,708,494.05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16,778,628.13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20,464,737.30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25,729,293.28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83,005,881.99</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5）未确认递延所得税资产的可抵扣亏损将于以下年度到期" w:id="327"/>
      <w:bookmarkEnd w:id="327"/>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1"/>
        <w:ind w:left="1134" w:right="994"/>
        <w:jc w:val="left"/>
      </w:pPr>
      <w:r>
        <w:rPr/>
        <w:t>其他说明：</w:t>
      </w:r>
    </w:p>
    <w:p>
      <w:pPr>
        <w:pStyle w:val="Heading6"/>
        <w:spacing w:line="261" w:lineRule="auto" w:before="90"/>
        <w:ind w:right="1131"/>
        <w:jc w:val="both"/>
      </w:pPr>
      <w:r>
        <w:rPr/>
        <w:t>因本公司将金融</w:t>
      </w:r>
      <w:r>
        <w:rPr>
          <w:rFonts w:ascii="Times New Roman" w:hAnsi="Times New Roman" w:cs="Times New Roman" w:eastAsia="Times New Roman" w:hint="default"/>
        </w:rPr>
        <w:t>POS</w:t>
      </w:r>
      <w:r>
        <w:rPr/>
        <w:t>设备技术研发、销售和生产业务全部切换至全资子公司深圳市新国都支付技术有 限公司（以下简称：支付公司），实现支付公司独立经营</w:t>
      </w:r>
      <w:r>
        <w:rPr>
          <w:rFonts w:ascii="Times New Roman" w:hAnsi="Times New Roman" w:cs="Times New Roman" w:eastAsia="Times New Roman" w:hint="default"/>
        </w:rPr>
        <w:t>POS</w:t>
      </w:r>
      <w:r>
        <w:rPr/>
        <w:t>业务，本公司则作为集团公司统筹管理旗下 </w:t>
      </w:r>
      <w:r>
        <w:rPr>
          <w:spacing w:val="-1"/>
        </w:rPr>
        <w:t>不同业务模块。本公司未来能否获得足够的应纳税所得额具有不确定性，因此对本公司的可抵扣暂时性差</w:t>
      </w:r>
      <w:r>
        <w:rPr>
          <w:spacing w:val="-81"/>
        </w:rPr>
        <w:t> </w:t>
      </w:r>
      <w:r>
        <w:rPr>
          <w:spacing w:val="-81"/>
        </w:rPr>
      </w:r>
      <w:r>
        <w:rPr/>
        <w:t>异未确认递延所得税资产。</w:t>
      </w:r>
    </w:p>
    <w:p>
      <w:pPr>
        <w:spacing w:after="0" w:line="261"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994"/>
        <w:jc w:val="left"/>
        <w:rPr>
          <w:b w:val="0"/>
          <w:bCs w:val="0"/>
        </w:rPr>
      </w:pPr>
      <w:bookmarkStart w:name="30、其他非流动资产" w:id="328"/>
      <w:bookmarkEnd w:id="328"/>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预付股权出资款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351,460,199.90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预付的设备采购款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279,031.00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824,850.00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预付装修款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287,930.71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352,027,161.61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824,850.00</w:t>
            </w:r>
          </w:p>
        </w:tc>
      </w:tr>
    </w:tbl>
    <w:p>
      <w:pPr>
        <w:pStyle w:val="BodyText"/>
        <w:spacing w:line="240" w:lineRule="auto" w:before="51"/>
        <w:ind w:left="1134" w:right="994"/>
        <w:jc w:val="left"/>
      </w:pPr>
      <w:r>
        <w:rPr/>
        <w:t>其他说明：</w:t>
      </w:r>
    </w:p>
    <w:p>
      <w:pPr>
        <w:spacing w:line="240" w:lineRule="auto" w:before="2"/>
        <w:rPr>
          <w:rFonts w:ascii="宋体" w:hAnsi="宋体" w:cs="宋体" w:eastAsia="宋体" w:hint="default"/>
          <w:sz w:val="22"/>
          <w:szCs w:val="22"/>
        </w:rPr>
      </w:pPr>
    </w:p>
    <w:p>
      <w:pPr>
        <w:pStyle w:val="Heading6"/>
        <w:spacing w:line="256" w:lineRule="auto" w:before="0"/>
        <w:ind w:right="113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20</w:t>
      </w:r>
      <w:r>
        <w:rPr>
          <w:spacing w:val="-1"/>
        </w:rPr>
        <w:t>日，本公司与嘉联支付有限公司的股东山南市敏思达技术有限公司签署了《关于嘉联支</w:t>
      </w:r>
      <w:r>
        <w:rPr/>
        <w:t> </w:t>
      </w:r>
      <w:r>
        <w:rPr>
          <w:spacing w:val="-2"/>
        </w:rPr>
        <w:t>付有限公司之股权转让协议》，本公司以人民币</w:t>
      </w:r>
      <w:r>
        <w:rPr>
          <w:rFonts w:ascii="Times New Roman" w:hAnsi="Times New Roman" w:cs="Times New Roman" w:eastAsia="Times New Roman" w:hint="default"/>
          <w:spacing w:val="-2"/>
        </w:rPr>
        <w:t>71,000.00</w:t>
      </w:r>
      <w:r>
        <w:rPr>
          <w:spacing w:val="-2"/>
        </w:rPr>
        <w:t>万元收购嘉联支付有限公司</w:t>
      </w:r>
      <w:r>
        <w:rPr>
          <w:rFonts w:ascii="Times New Roman" w:hAnsi="Times New Roman" w:cs="Times New Roman" w:eastAsia="Times New Roman" w:hint="default"/>
          <w:spacing w:val="-2"/>
        </w:rPr>
        <w:t>100%</w:t>
      </w:r>
      <w:r>
        <w:rPr>
          <w:spacing w:val="-2"/>
        </w:rPr>
        <w:t>股权。本次交易</w:t>
      </w:r>
      <w:r>
        <w:rPr>
          <w:spacing w:val="-96"/>
        </w:rPr>
        <w:t> </w:t>
      </w:r>
      <w:r>
        <w:rPr>
          <w:spacing w:val="-96"/>
        </w:rPr>
      </w:r>
      <w:r>
        <w:rPr>
          <w:spacing w:val="-1"/>
        </w:rPr>
        <w:t>经公司第四届董事会第八次会议、第四届监事会第八次会议及</w:t>
      </w:r>
      <w:r>
        <w:rPr>
          <w:rFonts w:ascii="Times New Roman" w:hAnsi="Times New Roman" w:cs="Times New Roman" w:eastAsia="Times New Roman" w:hint="default"/>
          <w:spacing w:val="-1"/>
        </w:rPr>
        <w:t>2017</w:t>
      </w:r>
      <w:r>
        <w:rPr>
          <w:spacing w:val="-1"/>
        </w:rPr>
        <w:t>年第三次临时股东大会审议通过，但本</w:t>
      </w:r>
      <w:r>
        <w:rPr>
          <w:spacing w:val="-80"/>
        </w:rPr>
        <w:t> </w:t>
      </w:r>
      <w:r>
        <w:rPr>
          <w:spacing w:val="-80"/>
        </w:rPr>
      </w:r>
      <w:r>
        <w:rPr>
          <w:spacing w:val="-1"/>
        </w:rPr>
        <w:t>次交易涉及的嘉联支付有限公司主要出资人变更事项尚需经中国人民银行审核批准。截至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spacing w:val="-78"/>
        </w:rPr>
        <w:t> </w:t>
      </w:r>
      <w:r>
        <w:rPr/>
        <w:t>止，本公司已支付股权收购款</w:t>
      </w:r>
      <w:r>
        <w:rPr>
          <w:rFonts w:ascii="Times New Roman" w:hAnsi="Times New Roman" w:cs="Times New Roman" w:eastAsia="Times New Roman" w:hint="default"/>
        </w:rPr>
        <w:t>350,000,000.00</w:t>
      </w:r>
      <w:r>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5"/>
        <w:spacing w:line="240" w:lineRule="auto"/>
        <w:ind w:right="994"/>
        <w:jc w:val="left"/>
        <w:rPr>
          <w:b w:val="0"/>
          <w:bCs w:val="0"/>
        </w:rPr>
      </w:pPr>
      <w:bookmarkStart w:name="31、短期借款" w:id="329"/>
      <w:bookmarkEnd w:id="329"/>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1）短期借款分类" w:id="330"/>
      <w:bookmarkEnd w:id="33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68,032,183.33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1,179,084.73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674,032,183.33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17,179,084.73</w:t>
            </w:r>
          </w:p>
        </w:tc>
      </w:tr>
    </w:tbl>
    <w:p>
      <w:pPr>
        <w:pStyle w:val="BodyText"/>
        <w:spacing w:line="240" w:lineRule="auto" w:before="51"/>
        <w:ind w:left="1134" w:right="994"/>
        <w:jc w:val="left"/>
      </w:pPr>
      <w:r>
        <w:rPr/>
        <w:t>短期借款分类的说明：</w:t>
      </w:r>
    </w:p>
    <w:p>
      <w:pPr>
        <w:spacing w:line="240" w:lineRule="auto" w:before="1"/>
        <w:rPr>
          <w:rFonts w:ascii="宋体" w:hAnsi="宋体" w:cs="宋体" w:eastAsia="宋体" w:hint="default"/>
          <w:sz w:val="13"/>
          <w:szCs w:val="13"/>
        </w:rPr>
      </w:pPr>
    </w:p>
    <w:p>
      <w:pPr>
        <w:pStyle w:val="Heading6"/>
        <w:spacing w:line="256" w:lineRule="auto" w:before="0"/>
        <w:ind w:right="1130"/>
        <w:jc w:val="left"/>
      </w:pPr>
      <w:r>
        <w:rPr>
          <w:spacing w:val="-2"/>
        </w:rPr>
        <w:t>本公司与华夏银行股份有限公司深圳大中华支行签署编号为</w:t>
      </w:r>
      <w:r>
        <w:rPr>
          <w:rFonts w:ascii="Times New Roman" w:hAnsi="Times New Roman" w:cs="Times New Roman" w:eastAsia="Times New Roman" w:hint="default"/>
          <w:spacing w:val="-2"/>
        </w:rPr>
        <w:t>SZ03</w:t>
      </w:r>
      <w:r>
        <w:rPr>
          <w:spacing w:val="-2"/>
        </w:rPr>
        <w:t>（融资）</w:t>
      </w:r>
      <w:r>
        <w:rPr>
          <w:rFonts w:ascii="Times New Roman" w:hAnsi="Times New Roman" w:cs="Times New Roman" w:eastAsia="Times New Roman" w:hint="default"/>
          <w:spacing w:val="-2"/>
        </w:rPr>
        <w:t>20170011</w:t>
      </w:r>
      <w:r>
        <w:rPr>
          <w:spacing w:val="-2"/>
        </w:rPr>
        <w:t>号的《最高额融资</w:t>
      </w:r>
      <w:r>
        <w:rPr/>
        <w:t> </w:t>
      </w:r>
      <w:r>
        <w:rPr>
          <w:spacing w:val="-1"/>
        </w:rPr>
        <w:t>合同》，最高融资额度为</w:t>
      </w:r>
      <w:r>
        <w:rPr>
          <w:rFonts w:ascii="Times New Roman" w:hAnsi="Times New Roman" w:cs="Times New Roman" w:eastAsia="Times New Roman" w:hint="default"/>
          <w:spacing w:val="-1"/>
        </w:rPr>
        <w:t>10,000.00</w:t>
      </w:r>
      <w:r>
        <w:rPr>
          <w:spacing w:val="-1"/>
        </w:rPr>
        <w:t>万元，在该最高额融资合同项下由本公司实际控制人刘祥与华夏银行股</w:t>
      </w:r>
      <w:r>
        <w:rPr>
          <w:spacing w:val="-79"/>
        </w:rPr>
        <w:t> </w:t>
      </w:r>
      <w:r>
        <w:rPr>
          <w:spacing w:val="-79"/>
        </w:rPr>
      </w:r>
      <w:r>
        <w:rPr/>
        <w:t>份有限公司深圳大中华支行签署编号为</w:t>
      </w:r>
      <w:r>
        <w:rPr>
          <w:rFonts w:ascii="Times New Roman" w:hAnsi="Times New Roman" w:cs="Times New Roman" w:eastAsia="Times New Roman" w:hint="default"/>
        </w:rPr>
        <w:t>SZ03</w:t>
      </w:r>
      <w:r>
        <w:rPr/>
        <w:t>（高保）</w:t>
      </w:r>
      <w:r>
        <w:rPr>
          <w:rFonts w:ascii="Times New Roman" w:hAnsi="Times New Roman" w:cs="Times New Roman" w:eastAsia="Times New Roman" w:hint="default"/>
        </w:rPr>
        <w:t>20170011-11</w:t>
      </w:r>
      <w:r>
        <w:rPr/>
        <w:t>号的个人最高额保证合同，对前述最高 额融资合同提供担保。本公司于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日与华夏银行股份有限公司深圳大中华支行签署了编号为 </w:t>
      </w:r>
      <w:r>
        <w:rPr>
          <w:rFonts w:ascii="Times New Roman" w:hAnsi="Times New Roman" w:cs="Times New Roman" w:eastAsia="Times New Roman" w:hint="default"/>
        </w:rPr>
        <w:t>SZ0310120170055</w:t>
      </w:r>
      <w:r>
        <w:rPr/>
        <w:t>号流动资金借款合同，取得</w:t>
      </w:r>
      <w:r>
        <w:rPr>
          <w:rFonts w:ascii="Times New Roman" w:hAnsi="Times New Roman" w:cs="Times New Roman" w:eastAsia="Times New Roman" w:hint="default"/>
        </w:rPr>
        <w:t>7,000.00</w:t>
      </w:r>
      <w:r>
        <w:rPr/>
        <w:t>万元的借款，截止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日尚未归还。</w:t>
      </w:r>
    </w:p>
    <w:p>
      <w:pPr>
        <w:pStyle w:val="Heading6"/>
        <w:spacing w:line="256" w:lineRule="auto" w:before="125"/>
        <w:ind w:right="1131"/>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日，本公司与江苏银行股份有限公司深圳分行签署编号</w:t>
      </w:r>
      <w:r>
        <w:rPr>
          <w:rFonts w:ascii="Times New Roman" w:hAnsi="Times New Roman" w:cs="Times New Roman" w:eastAsia="Times New Roman" w:hint="default"/>
        </w:rPr>
        <w:t>SX161417000749</w:t>
      </w:r>
      <w:r>
        <w:rPr/>
        <w:t>号的《最高额综 </w:t>
      </w:r>
      <w:r>
        <w:rPr>
          <w:spacing w:val="-1"/>
        </w:rPr>
        <w:t>合授信合同》，授信额度为</w:t>
      </w:r>
      <w:r>
        <w:rPr>
          <w:rFonts w:ascii="Times New Roman" w:hAnsi="Times New Roman" w:cs="Times New Roman" w:eastAsia="Times New Roman" w:hint="default"/>
          <w:spacing w:val="-1"/>
        </w:rPr>
        <w:t>10,000.00</w:t>
      </w:r>
      <w:r>
        <w:rPr>
          <w:spacing w:val="-1"/>
        </w:rPr>
        <w:t>万元，在该授信合同项下由本公司实际控制人刘祥与江苏银行股份有</w:t>
      </w:r>
      <w:r>
        <w:rPr>
          <w:spacing w:val="-81"/>
        </w:rPr>
        <w:t> </w:t>
      </w:r>
      <w:r>
        <w:rPr>
          <w:spacing w:val="-81"/>
        </w:rPr>
      </w:r>
      <w:r>
        <w:rPr>
          <w:spacing w:val="-2"/>
        </w:rPr>
        <w:t>限公司深圳分行签署编号</w:t>
      </w:r>
      <w:r>
        <w:rPr>
          <w:rFonts w:ascii="Times New Roman" w:hAnsi="Times New Roman" w:cs="Times New Roman" w:eastAsia="Times New Roman" w:hint="default"/>
          <w:spacing w:val="-2"/>
        </w:rPr>
        <w:t>BZ161417000049</w:t>
      </w:r>
      <w:r>
        <w:rPr>
          <w:spacing w:val="-2"/>
        </w:rPr>
        <w:t>号的最高额个人连带责任保证书，对前述授信合同提供担保。本</w:t>
      </w:r>
      <w:r>
        <w:rPr>
          <w:spacing w:val="-83"/>
        </w:rPr>
        <w:t> </w:t>
      </w:r>
      <w:r>
        <w:rPr>
          <w:spacing w:val="-83"/>
        </w:rPr>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4</w:t>
      </w:r>
      <w:r>
        <w:rPr/>
        <w:t>日与江苏银行股份有限公司深圳分行签署了编号为</w:t>
      </w:r>
      <w:r>
        <w:rPr>
          <w:rFonts w:ascii="Times New Roman" w:hAnsi="Times New Roman" w:cs="Times New Roman" w:eastAsia="Times New Roman" w:hint="default"/>
        </w:rPr>
        <w:t>JK161417000060</w:t>
      </w:r>
      <w:r>
        <w:rPr/>
        <w:t>号《流动资金借款 合同》，取得</w:t>
      </w:r>
      <w:r>
        <w:rPr>
          <w:rFonts w:ascii="Times New Roman" w:hAnsi="Times New Roman" w:cs="Times New Roman" w:eastAsia="Times New Roman" w:hint="default"/>
        </w:rPr>
        <w:t>10,000.00</w:t>
      </w:r>
      <w:r>
        <w:rPr/>
        <w:t>万元的借款，截止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日尚未归还。</w:t>
      </w:r>
    </w:p>
    <w:p>
      <w:pPr>
        <w:pStyle w:val="Heading6"/>
        <w:spacing w:line="256" w:lineRule="auto" w:before="125"/>
        <w:ind w:left="1134" w:right="1026"/>
        <w:jc w:val="left"/>
      </w:pP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13</w:t>
      </w:r>
      <w:r>
        <w:rPr>
          <w:spacing w:val="-5"/>
        </w:rPr>
        <w:t>日，本公司与北京银行股份有限公司深圳分行签署编号为</w:t>
      </w:r>
      <w:r>
        <w:rPr>
          <w:rFonts w:ascii="Times New Roman" w:hAnsi="Times New Roman" w:cs="Times New Roman" w:eastAsia="Times New Roman" w:hint="default"/>
          <w:spacing w:val="-5"/>
        </w:rPr>
        <w:t>0453551</w:t>
      </w:r>
      <w:r>
        <w:rPr>
          <w:spacing w:val="-5"/>
        </w:rPr>
        <w:t>号的《综合授信合同》，</w:t>
      </w:r>
      <w:r>
        <w:rPr/>
        <w:t> 最高融资额度为</w:t>
      </w:r>
      <w:r>
        <w:rPr>
          <w:rFonts w:ascii="Times New Roman" w:hAnsi="Times New Roman" w:cs="Times New Roman" w:eastAsia="Times New Roman" w:hint="default"/>
        </w:rPr>
        <w:t>15,000.00</w:t>
      </w:r>
      <w:r>
        <w:rPr/>
        <w:t>万元，在该综合授信合同项下由本公司之子公司深圳市新国都支付技术有限公司 与北京银行股份有限公司深圳分行签署编号为</w:t>
      </w:r>
      <w:r>
        <w:rPr>
          <w:rFonts w:ascii="Times New Roman" w:hAnsi="Times New Roman" w:cs="Times New Roman" w:eastAsia="Times New Roman" w:hint="default"/>
        </w:rPr>
        <w:t>0453551-001</w:t>
      </w:r>
      <w:r>
        <w:rPr/>
        <w:t>号的最高额保证合同以及本公司实际控制人刘</w:t>
      </w:r>
    </w:p>
    <w:p>
      <w:pPr>
        <w:spacing w:after="0" w:line="25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56" w:lineRule="auto" w:before="35"/>
        <w:ind w:left="1134" w:right="1132" w:firstLine="0"/>
        <w:jc w:val="both"/>
      </w:pPr>
      <w:r>
        <w:rPr/>
        <w:t>祥及其配偶高倩分别与北京银行股份有限公司深圳分行签署编号为</w:t>
      </w:r>
      <w:r>
        <w:rPr>
          <w:rFonts w:ascii="Times New Roman" w:hAnsi="Times New Roman" w:cs="Times New Roman" w:eastAsia="Times New Roman" w:hint="default"/>
        </w:rPr>
        <w:t>0453551-002</w:t>
      </w:r>
      <w:r>
        <w:rPr/>
        <w:t>号和</w:t>
      </w:r>
      <w:r>
        <w:rPr>
          <w:rFonts w:ascii="Times New Roman" w:hAnsi="Times New Roman" w:cs="Times New Roman" w:eastAsia="Times New Roman" w:hint="default"/>
        </w:rPr>
        <w:t>0453551-003</w:t>
      </w:r>
      <w:r>
        <w:rPr/>
        <w:t>号的最高 </w:t>
      </w:r>
      <w:r>
        <w:rPr>
          <w:spacing w:val="-1"/>
        </w:rPr>
        <w:t>额保证合同，对前述授信合同提供担保。本公司于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14</w:t>
      </w:r>
      <w:r>
        <w:rPr>
          <w:spacing w:val="-1"/>
        </w:rPr>
        <w:t>日与北京银行股份有限公司深圳分行签署</w:t>
      </w:r>
      <w:r>
        <w:rPr>
          <w:spacing w:val="-82"/>
        </w:rPr>
        <w:t> </w:t>
      </w:r>
      <w:r>
        <w:rPr>
          <w:spacing w:val="-82"/>
        </w:rPr>
      </w:r>
      <w:r>
        <w:rPr/>
        <w:t>了编号为</w:t>
      </w:r>
      <w:r>
        <w:rPr>
          <w:rFonts w:ascii="Times New Roman" w:hAnsi="Times New Roman" w:cs="Times New Roman" w:eastAsia="Times New Roman" w:hint="default"/>
        </w:rPr>
        <w:t>0453893</w:t>
      </w:r>
      <w:r>
        <w:rPr/>
        <w:t>号《借款合同》，取得</w:t>
      </w:r>
      <w:r>
        <w:rPr>
          <w:rFonts w:ascii="Times New Roman" w:hAnsi="Times New Roman" w:cs="Times New Roman" w:eastAsia="Times New Roman" w:hint="default"/>
        </w:rPr>
        <w:t>15,000.00</w:t>
      </w:r>
      <w:r>
        <w:rPr/>
        <w:t>万元的借款，截止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日尚未归还。</w:t>
      </w:r>
    </w:p>
    <w:p>
      <w:pPr>
        <w:pStyle w:val="Heading6"/>
        <w:spacing w:line="240" w:lineRule="auto" w:before="125"/>
        <w:ind w:left="1554" w:right="994" w:firstLine="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日，本公司与中国银行股份有限公司深圳龙岗支行签署编号为</w:t>
      </w:r>
      <w:r>
        <w:rPr>
          <w:rFonts w:ascii="Times New Roman" w:hAnsi="Times New Roman" w:cs="Times New Roman" w:eastAsia="Times New Roman" w:hint="default"/>
        </w:rPr>
        <w:t>2017</w:t>
      </w:r>
      <w:r>
        <w:rPr/>
        <w:t>圳中银岗额协字第</w:t>
      </w:r>
    </w:p>
    <w:p>
      <w:pPr>
        <w:pStyle w:val="Heading6"/>
        <w:spacing w:line="256" w:lineRule="auto" w:before="21"/>
        <w:ind w:right="1132" w:firstLine="0"/>
        <w:jc w:val="left"/>
      </w:pPr>
      <w:r>
        <w:rPr>
          <w:rFonts w:ascii="Times New Roman" w:hAnsi="Times New Roman" w:cs="Times New Roman" w:eastAsia="Times New Roman" w:hint="default"/>
          <w:spacing w:val="-1"/>
        </w:rPr>
        <w:t>0000079</w:t>
      </w:r>
      <w:r>
        <w:rPr>
          <w:spacing w:val="-1"/>
        </w:rPr>
        <w:t>号的《授信额度协议》，授信额度为</w:t>
      </w:r>
      <w:r>
        <w:rPr>
          <w:rFonts w:ascii="Times New Roman" w:hAnsi="Times New Roman" w:cs="Times New Roman" w:eastAsia="Times New Roman" w:hint="default"/>
          <w:spacing w:val="-1"/>
        </w:rPr>
        <w:t>9,000.00</w:t>
      </w:r>
      <w:r>
        <w:rPr>
          <w:spacing w:val="-1"/>
        </w:rPr>
        <w:t>万元，在该授信合同项下由本公司实际控制人刘祥与</w:t>
      </w:r>
      <w:r>
        <w:rPr>
          <w:spacing w:val="-80"/>
        </w:rPr>
        <w:t> </w:t>
      </w:r>
      <w:r>
        <w:rPr>
          <w:spacing w:val="-80"/>
        </w:rPr>
      </w:r>
      <w:r>
        <w:rPr/>
        <w:t>中国银行股份有限公司深圳龙岗支行签署编号为</w:t>
      </w:r>
      <w:r>
        <w:rPr>
          <w:rFonts w:ascii="Times New Roman" w:hAnsi="Times New Roman" w:cs="Times New Roman" w:eastAsia="Times New Roman" w:hint="default"/>
        </w:rPr>
        <w:t>2017</w:t>
      </w:r>
      <w:r>
        <w:rPr/>
        <w:t>圳中银岗额保字第</w:t>
      </w:r>
      <w:r>
        <w:rPr>
          <w:rFonts w:ascii="Times New Roman" w:hAnsi="Times New Roman" w:cs="Times New Roman" w:eastAsia="Times New Roman" w:hint="default"/>
        </w:rPr>
        <w:t>0000079</w:t>
      </w:r>
      <w:r>
        <w:rPr/>
        <w:t>号的最高额保证合同，对 前述授信合同提供担保。本公司于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日与中国银行股份有限公司深圳龙岗支行签署了编号为 </w:t>
      </w:r>
      <w:r>
        <w:rPr>
          <w:rFonts w:ascii="Times New Roman" w:hAnsi="Times New Roman" w:cs="Times New Roman" w:eastAsia="Times New Roman" w:hint="default"/>
        </w:rPr>
        <w:t>2017</w:t>
      </w:r>
      <w:r>
        <w:rPr/>
        <w:t>圳中银岗额借字第</w:t>
      </w:r>
      <w:r>
        <w:rPr>
          <w:rFonts w:ascii="Times New Roman" w:hAnsi="Times New Roman" w:cs="Times New Roman" w:eastAsia="Times New Roman" w:hint="default"/>
        </w:rPr>
        <w:t>0000079-1</w:t>
      </w:r>
      <w:r>
        <w:rPr/>
        <w:t>号流动资金借款合同，取得</w:t>
      </w:r>
      <w:r>
        <w:rPr>
          <w:rFonts w:ascii="Times New Roman" w:hAnsi="Times New Roman" w:cs="Times New Roman" w:eastAsia="Times New Roman" w:hint="default"/>
        </w:rPr>
        <w:t>6,000.00</w:t>
      </w:r>
      <w:r>
        <w:rPr/>
        <w:t>万元的借款，截止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 未归还。</w:t>
      </w:r>
    </w:p>
    <w:p>
      <w:pPr>
        <w:pStyle w:val="Heading6"/>
        <w:spacing w:line="259" w:lineRule="auto" w:before="142"/>
        <w:ind w:right="9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日，本公司、本公司之子公司深圳市新国都支付技术有限公司与中信银行股份有限公司 </w:t>
      </w:r>
      <w:r>
        <w:rPr>
          <w:spacing w:val="-1"/>
        </w:rPr>
        <w:t>深圳分行签订编号为</w:t>
      </w:r>
      <w:r>
        <w:rPr>
          <w:rFonts w:ascii="Times New Roman" w:hAnsi="Times New Roman" w:cs="Times New Roman" w:eastAsia="Times New Roman" w:hint="default"/>
          <w:spacing w:val="-1"/>
        </w:rPr>
        <w:t>2017</w:t>
      </w:r>
      <w:r>
        <w:rPr>
          <w:spacing w:val="-1"/>
        </w:rPr>
        <w:t>深银前海综字第</w:t>
      </w:r>
      <w:r>
        <w:rPr>
          <w:rFonts w:ascii="Times New Roman" w:hAnsi="Times New Roman" w:cs="Times New Roman" w:eastAsia="Times New Roman" w:hint="default"/>
          <w:spacing w:val="-1"/>
        </w:rPr>
        <w:t>0007</w:t>
      </w:r>
      <w:r>
        <w:rPr>
          <w:spacing w:val="-1"/>
        </w:rPr>
        <w:t>号综合授信合同，授信额度为</w:t>
      </w:r>
      <w:r>
        <w:rPr>
          <w:rFonts w:ascii="Times New Roman" w:hAnsi="Times New Roman" w:cs="Times New Roman" w:eastAsia="Times New Roman" w:hint="default"/>
          <w:spacing w:val="-1"/>
        </w:rPr>
        <w:t>20,000.00</w:t>
      </w:r>
      <w:r>
        <w:rPr>
          <w:spacing w:val="-1"/>
        </w:rPr>
        <w:t>万元，由本公司与中</w:t>
      </w:r>
      <w:r>
        <w:rPr>
          <w:spacing w:val="-76"/>
        </w:rPr>
        <w:t> </w:t>
      </w:r>
      <w:r>
        <w:rPr>
          <w:spacing w:val="-76"/>
        </w:rPr>
      </w:r>
      <w:r>
        <w:rPr>
          <w:spacing w:val="-1"/>
        </w:rPr>
        <w:t>信银行股份有限公司深圳分行签署了编号为</w:t>
      </w:r>
      <w:r>
        <w:rPr>
          <w:rFonts w:ascii="Times New Roman" w:hAnsi="Times New Roman" w:cs="Times New Roman" w:eastAsia="Times New Roman" w:hint="default"/>
          <w:spacing w:val="-1"/>
        </w:rPr>
        <w:t>2017</w:t>
      </w:r>
      <w:r>
        <w:rPr>
          <w:spacing w:val="-1"/>
        </w:rPr>
        <w:t>深银前海最保字第</w:t>
      </w:r>
      <w:r>
        <w:rPr>
          <w:rFonts w:ascii="Times New Roman" w:hAnsi="Times New Roman" w:cs="Times New Roman" w:eastAsia="Times New Roman" w:hint="default"/>
          <w:spacing w:val="-1"/>
        </w:rPr>
        <w:t>0003</w:t>
      </w:r>
      <w:r>
        <w:rPr>
          <w:spacing w:val="-1"/>
        </w:rPr>
        <w:t>号的最高额保证合同，同时由本公</w:t>
      </w:r>
      <w:r>
        <w:rPr>
          <w:spacing w:val="-79"/>
        </w:rPr>
        <w:t> </w:t>
      </w:r>
      <w:r>
        <w:rPr>
          <w:spacing w:val="-79"/>
        </w:rPr>
      </w:r>
      <w:r>
        <w:rPr/>
        <w:t>司实际控制人刘祥与中信银行股份有限公司深圳分行签订了编号为</w:t>
      </w:r>
      <w:r>
        <w:rPr>
          <w:rFonts w:ascii="Times New Roman" w:hAnsi="Times New Roman" w:cs="Times New Roman" w:eastAsia="Times New Roman" w:hint="default"/>
        </w:rPr>
        <w:t>2017</w:t>
      </w:r>
      <w:r>
        <w:rPr/>
        <w:t>深银前海额保字第</w:t>
      </w:r>
      <w:r>
        <w:rPr>
          <w:rFonts w:ascii="Times New Roman" w:hAnsi="Times New Roman" w:cs="Times New Roman" w:eastAsia="Times New Roman" w:hint="default"/>
        </w:rPr>
        <w:t>0003</w:t>
      </w:r>
      <w:r>
        <w:rPr/>
        <w:t>号的最高 </w:t>
      </w:r>
      <w:r>
        <w:rPr>
          <w:spacing w:val="-1"/>
        </w:rPr>
        <w:t>额保证合同，对前述综合授信合同提供担保。本公司之子公司深圳市新国都支付技术有限公司与中信银行</w:t>
      </w:r>
      <w:r>
        <w:rPr>
          <w:spacing w:val="-81"/>
        </w:rPr>
        <w:t> </w:t>
      </w:r>
      <w:r>
        <w:rPr>
          <w:spacing w:val="-81"/>
        </w:rPr>
      </w:r>
      <w:r>
        <w:rPr/>
        <w:t>股份有限公司深圳分行于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日签署了编号为</w:t>
      </w:r>
      <w:r>
        <w:rPr>
          <w:rFonts w:ascii="Times New Roman" w:hAnsi="Times New Roman" w:cs="Times New Roman" w:eastAsia="Times New Roman" w:hint="default"/>
        </w:rPr>
        <w:t>2017</w:t>
      </w:r>
      <w:r>
        <w:rPr/>
        <w:t>深银前海贷字第</w:t>
      </w:r>
      <w:r>
        <w:rPr>
          <w:rFonts w:ascii="Times New Roman" w:hAnsi="Times New Roman" w:cs="Times New Roman" w:eastAsia="Times New Roman" w:hint="default"/>
        </w:rPr>
        <w:t>0010</w:t>
      </w:r>
      <w:r>
        <w:rPr/>
        <w:t>号人民币流动资金贷款合 同，取得人民币</w:t>
      </w:r>
      <w:r>
        <w:rPr>
          <w:rFonts w:ascii="Times New Roman" w:hAnsi="Times New Roman" w:cs="Times New Roman" w:eastAsia="Times New Roman" w:hint="default"/>
        </w:rPr>
        <w:t>7,000.00</w:t>
      </w:r>
      <w:r>
        <w:rPr/>
        <w:t>万元的借款，截止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日尚未归还。</w:t>
      </w:r>
    </w:p>
    <w:p>
      <w:pPr>
        <w:pStyle w:val="Heading6"/>
        <w:spacing w:line="259" w:lineRule="auto" w:before="122"/>
        <w:ind w:right="9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日，本公司之子公司深圳市新国都支付技术有限公司与上海浦东发展银行股份有限公司 </w:t>
      </w:r>
      <w:r>
        <w:rPr>
          <w:spacing w:val="-2"/>
        </w:rPr>
        <w:t>深圳分行签署编号为</w:t>
      </w:r>
      <w:r>
        <w:rPr>
          <w:rFonts w:ascii="Times New Roman" w:hAnsi="Times New Roman" w:cs="Times New Roman" w:eastAsia="Times New Roman" w:hint="default"/>
          <w:spacing w:val="-2"/>
        </w:rPr>
        <w:t>BC2017062800001539</w:t>
      </w:r>
      <w:r>
        <w:rPr>
          <w:spacing w:val="-2"/>
        </w:rPr>
        <w:t>融资额度协议，融资额度金额为人民币</w:t>
      </w:r>
      <w:r>
        <w:rPr>
          <w:rFonts w:ascii="Times New Roman" w:hAnsi="Times New Roman" w:cs="Times New Roman" w:eastAsia="Times New Roman" w:hint="default"/>
          <w:spacing w:val="-2"/>
        </w:rPr>
        <w:t>28,571.00</w:t>
      </w:r>
      <w:r>
        <w:rPr>
          <w:spacing w:val="-2"/>
        </w:rPr>
        <w:t>万元，在该融资</w:t>
      </w:r>
      <w:r>
        <w:rPr>
          <w:spacing w:val="-83"/>
        </w:rPr>
        <w:t> </w:t>
      </w:r>
      <w:r>
        <w:rPr>
          <w:spacing w:val="-83"/>
        </w:rPr>
      </w:r>
      <w:r>
        <w:rPr/>
        <w:t>额度协议下由本公司与上海浦东发展银行股份有限公司深圳分行签署编号为</w:t>
      </w:r>
      <w:r>
        <w:rPr>
          <w:rFonts w:ascii="Times New Roman" w:hAnsi="Times New Roman" w:cs="Times New Roman" w:eastAsia="Times New Roman" w:hint="default"/>
        </w:rPr>
        <w:t>ZB7910201700000012</w:t>
      </w:r>
      <w:r>
        <w:rPr/>
        <w:t>的最高 </w:t>
      </w:r>
      <w:r>
        <w:rPr>
          <w:spacing w:val="-1"/>
        </w:rPr>
        <w:t>额保证合同，同时由本公司实际控制人刘祥及其配偶高倩与上海浦东发展银行股份有限公司深圳分行签署</w:t>
      </w:r>
      <w:r>
        <w:rPr>
          <w:spacing w:val="-81"/>
        </w:rPr>
        <w:t> </w:t>
      </w:r>
      <w:r>
        <w:rPr>
          <w:spacing w:val="-81"/>
        </w:rPr>
      </w:r>
      <w:r>
        <w:rPr>
          <w:spacing w:val="-2"/>
        </w:rPr>
        <w:t>编号为</w:t>
      </w:r>
      <w:r>
        <w:rPr>
          <w:rFonts w:ascii="Times New Roman" w:hAnsi="Times New Roman" w:cs="Times New Roman" w:eastAsia="Times New Roman" w:hint="default"/>
          <w:spacing w:val="-2"/>
        </w:rPr>
        <w:t>ZB7910201700000013</w:t>
      </w:r>
      <w:r>
        <w:rPr>
          <w:spacing w:val="-2"/>
        </w:rPr>
        <w:t>的最高额保证合同，对前述融资额度协议提供保证。深圳市新国都支付技术有</w:t>
      </w:r>
      <w:r>
        <w:rPr>
          <w:spacing w:val="-82"/>
        </w:rPr>
        <w:t> </w:t>
      </w:r>
      <w:r>
        <w:rPr>
          <w:spacing w:val="-82"/>
        </w:rPr>
      </w:r>
      <w:r>
        <w:rPr/>
        <w:t>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日签署了编号为</w:t>
      </w:r>
      <w:r>
        <w:rPr>
          <w:rFonts w:ascii="Times New Roman" w:hAnsi="Times New Roman" w:cs="Times New Roman" w:eastAsia="Times New Roman" w:hint="default"/>
        </w:rPr>
        <w:t>79192017280124</w:t>
      </w:r>
      <w:r>
        <w:rPr/>
        <w:t>的流动资金借款合同，取得了人民币</w:t>
      </w:r>
      <w:r>
        <w:rPr>
          <w:rFonts w:ascii="Times New Roman" w:hAnsi="Times New Roman" w:cs="Times New Roman" w:eastAsia="Times New Roman" w:hint="default"/>
        </w:rPr>
        <w:t>2,000.00</w:t>
      </w:r>
      <w:r>
        <w:rPr/>
        <w:t>万元 的借款，截止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日尚未归还。</w:t>
      </w:r>
    </w:p>
    <w:p>
      <w:pPr>
        <w:pStyle w:val="Heading6"/>
        <w:spacing w:line="256" w:lineRule="auto" w:before="122"/>
        <w:ind w:right="994"/>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14</w:t>
      </w:r>
      <w:r>
        <w:rPr>
          <w:spacing w:val="-1"/>
        </w:rPr>
        <w:t>日，本公司之子公司深圳市新国都支付技术有限公司与中国银行股份有限公司深圳龙岗</w:t>
      </w:r>
      <w:r>
        <w:rPr/>
        <w:t> </w:t>
      </w:r>
      <w:r>
        <w:rPr>
          <w:spacing w:val="-1"/>
        </w:rPr>
        <w:t>支行签署编号为</w:t>
      </w:r>
      <w:r>
        <w:rPr>
          <w:rFonts w:ascii="Times New Roman" w:hAnsi="Times New Roman" w:cs="Times New Roman" w:eastAsia="Times New Roman" w:hint="default"/>
          <w:spacing w:val="-1"/>
        </w:rPr>
        <w:t>2017</w:t>
      </w:r>
      <w:r>
        <w:rPr>
          <w:spacing w:val="-1"/>
        </w:rPr>
        <w:t>圳中银岗额协字第</w:t>
      </w:r>
      <w:r>
        <w:rPr>
          <w:rFonts w:ascii="Times New Roman" w:hAnsi="Times New Roman" w:cs="Times New Roman" w:eastAsia="Times New Roman" w:hint="default"/>
          <w:spacing w:val="-1"/>
        </w:rPr>
        <w:t>0000080</w:t>
      </w:r>
      <w:r>
        <w:rPr>
          <w:spacing w:val="-1"/>
        </w:rPr>
        <w:t>号授信额度协议，授信额度金额为人民币</w:t>
      </w:r>
      <w:r>
        <w:rPr>
          <w:rFonts w:ascii="Times New Roman" w:hAnsi="Times New Roman" w:cs="Times New Roman" w:eastAsia="Times New Roman" w:hint="default"/>
          <w:spacing w:val="-1"/>
        </w:rPr>
        <w:t>8,000.00</w:t>
      </w:r>
      <w:r>
        <w:rPr>
          <w:spacing w:val="-1"/>
        </w:rPr>
        <w:t>万元，在</w:t>
      </w:r>
      <w:r>
        <w:rPr>
          <w:spacing w:val="-74"/>
        </w:rPr>
        <w:t> </w:t>
      </w:r>
      <w:r>
        <w:rPr>
          <w:spacing w:val="-74"/>
        </w:rPr>
      </w:r>
      <w:r>
        <w:rPr/>
        <w:t>该授信额度协议下由本公司与中国银行股份有限公司深圳龙岗支行签署编号为</w:t>
      </w:r>
      <w:r>
        <w:rPr>
          <w:rFonts w:ascii="Times New Roman" w:hAnsi="Times New Roman" w:cs="Times New Roman" w:eastAsia="Times New Roman" w:hint="default"/>
        </w:rPr>
        <w:t>2017</w:t>
      </w:r>
      <w:r>
        <w:rPr/>
        <w:t>圳中银岗额保字第 </w:t>
      </w:r>
      <w:r>
        <w:rPr>
          <w:rFonts w:ascii="Times New Roman" w:hAnsi="Times New Roman" w:cs="Times New Roman" w:eastAsia="Times New Roman" w:hint="default"/>
        </w:rPr>
        <w:t>0000080</w:t>
      </w:r>
      <w:r>
        <w:rPr/>
        <w:t>号的最高额保证，对前述授信额度协议提供保证。深圳市新国都支付技术有限公司于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p>
    <w:p>
      <w:pPr>
        <w:pStyle w:val="Heading6"/>
        <w:spacing w:line="256" w:lineRule="auto"/>
        <w:ind w:right="1128" w:firstLine="0"/>
        <w:jc w:val="left"/>
      </w:pPr>
      <w:r>
        <w:rPr>
          <w:rFonts w:ascii="Times New Roman" w:hAnsi="Times New Roman" w:cs="Times New Roman" w:eastAsia="Times New Roman" w:hint="default"/>
        </w:rPr>
        <w:t>14</w:t>
      </w:r>
      <w:r>
        <w:rPr/>
        <w:t>日签署了编号为</w:t>
      </w:r>
      <w:r>
        <w:rPr>
          <w:rFonts w:ascii="Times New Roman" w:hAnsi="Times New Roman" w:cs="Times New Roman" w:eastAsia="Times New Roman" w:hint="default"/>
        </w:rPr>
        <w:t>2017</w:t>
      </w:r>
      <w:r>
        <w:rPr/>
        <w:t>圳中银岗额借字第</w:t>
      </w:r>
      <w:r>
        <w:rPr>
          <w:rFonts w:ascii="Times New Roman" w:hAnsi="Times New Roman" w:cs="Times New Roman" w:eastAsia="Times New Roman" w:hint="default"/>
        </w:rPr>
        <w:t>0000080-1</w:t>
      </w:r>
      <w:r>
        <w:rPr/>
        <w:t>号的流动资金借款合同，取得了人民币</w:t>
      </w:r>
      <w:r>
        <w:rPr>
          <w:rFonts w:ascii="Times New Roman" w:hAnsi="Times New Roman" w:cs="Times New Roman" w:eastAsia="Times New Roman" w:hint="default"/>
        </w:rPr>
        <w:t>4,000.00</w:t>
      </w:r>
      <w:r>
        <w:rPr/>
        <w:t>万元的 借款，截止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日尚未归还。</w:t>
      </w:r>
    </w:p>
    <w:p>
      <w:pPr>
        <w:pStyle w:val="Heading6"/>
        <w:spacing w:line="256" w:lineRule="auto" w:before="125"/>
        <w:ind w:right="9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日，本公司之子公司深圳市新国都支付技术有限公司与江苏银行股份有限公司深圳分行 签署编号为</w:t>
      </w:r>
      <w:r>
        <w:rPr>
          <w:rFonts w:ascii="Times New Roman" w:hAnsi="Times New Roman" w:cs="Times New Roman" w:eastAsia="Times New Roman" w:hint="default"/>
        </w:rPr>
        <w:t>SX161417000751</w:t>
      </w:r>
      <w:r>
        <w:rPr/>
        <w:t>号的最高额综合授信合同，最高综合授信额度为人民币</w:t>
      </w:r>
      <w:r>
        <w:rPr>
          <w:rFonts w:ascii="Times New Roman" w:hAnsi="Times New Roman" w:cs="Times New Roman" w:eastAsia="Times New Roman" w:hint="default"/>
        </w:rPr>
        <w:t>8,000.00</w:t>
      </w:r>
      <w:r>
        <w:rPr/>
        <w:t>万元，在该最 高额综合授信合同下由本公司与江苏银行股份有限公司深圳支行签署编号为</w:t>
      </w:r>
      <w:r>
        <w:rPr>
          <w:rFonts w:ascii="Times New Roman" w:hAnsi="Times New Roman" w:cs="Times New Roman" w:eastAsia="Times New Roman" w:hint="default"/>
        </w:rPr>
        <w:t>BZ161417000045</w:t>
      </w:r>
      <w:r>
        <w:rPr/>
        <w:t>的最高额保 </w:t>
      </w:r>
      <w:r>
        <w:rPr>
          <w:spacing w:val="-1"/>
        </w:rPr>
        <w:t>证合同，对前述最高额综合授信合同提供保证。深圳市新国都支付技术有限公司于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29</w:t>
      </w:r>
      <w:r>
        <w:rPr>
          <w:spacing w:val="-1"/>
        </w:rPr>
        <w:t>日签署了</w:t>
      </w:r>
      <w:r>
        <w:rPr>
          <w:spacing w:val="-81"/>
        </w:rPr>
        <w:t> </w:t>
      </w:r>
      <w:r>
        <w:rPr>
          <w:spacing w:val="-81"/>
        </w:rPr>
      </w:r>
      <w:r>
        <w:rPr/>
        <w:t>编号为</w:t>
      </w:r>
      <w:r>
        <w:rPr>
          <w:rFonts w:ascii="Times New Roman" w:hAnsi="Times New Roman" w:cs="Times New Roman" w:eastAsia="Times New Roman" w:hint="default"/>
        </w:rPr>
        <w:t>JK161417000067</w:t>
      </w:r>
      <w:r>
        <w:rPr/>
        <w:t>号的流动资金借款合同，取得了人民币</w:t>
      </w:r>
      <w:r>
        <w:rPr>
          <w:rFonts w:ascii="Times New Roman" w:hAnsi="Times New Roman" w:cs="Times New Roman" w:eastAsia="Times New Roman" w:hint="default"/>
        </w:rPr>
        <w:t>8,000.00</w:t>
      </w:r>
      <w:r>
        <w:rPr/>
        <w:t>万元的借款，截止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尚未归还。</w:t>
      </w:r>
    </w:p>
    <w:p>
      <w:pPr>
        <w:pStyle w:val="Heading6"/>
        <w:spacing w:line="240" w:lineRule="auto" w:before="142"/>
        <w:ind w:left="1974" w:right="994" w:firstLine="0"/>
        <w:jc w:val="left"/>
      </w:pPr>
      <w:r>
        <w:rPr/>
        <w:t>本公司之子公司深圳市易联技术有限公司向兴业银行股份有限公司深圳后海支行借款人民币</w:t>
      </w:r>
    </w:p>
    <w:p>
      <w:pPr>
        <w:pStyle w:val="Heading6"/>
        <w:spacing w:line="240" w:lineRule="auto" w:before="37"/>
        <w:ind w:right="994" w:firstLine="0"/>
        <w:jc w:val="left"/>
      </w:pPr>
      <w:r>
        <w:rPr>
          <w:rFonts w:ascii="Times New Roman" w:hAnsi="Times New Roman" w:cs="Times New Roman" w:eastAsia="Times New Roman" w:hint="default"/>
        </w:rPr>
        <w:t>1,600.00</w:t>
      </w:r>
      <w:r>
        <w:rPr/>
        <w:t>万元，公司实际控制人刘祥及深圳市中小融资担保有限公司为该笔贷款提供担保。</w:t>
      </w:r>
    </w:p>
    <w:p>
      <w:pPr>
        <w:pStyle w:val="Heading6"/>
        <w:spacing w:line="240" w:lineRule="auto" w:before="141"/>
        <w:ind w:left="1554" w:right="994" w:firstLine="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日本公司与招商银行股份有限公司深圳车公庙支行签订的编号为</w:t>
      </w:r>
      <w:r>
        <w:rPr>
          <w:rFonts w:ascii="Times New Roman" w:hAnsi="Times New Roman" w:cs="Times New Roman" w:eastAsia="Times New Roman" w:hint="default"/>
        </w:rPr>
        <w:t>2017</w:t>
      </w:r>
      <w:r>
        <w:rPr/>
        <w:t>年罗字第</w:t>
      </w:r>
    </w:p>
    <w:p>
      <w:pPr>
        <w:pStyle w:val="Heading6"/>
        <w:spacing w:line="256" w:lineRule="auto" w:before="21"/>
        <w:ind w:right="1131" w:firstLine="0"/>
        <w:jc w:val="left"/>
      </w:pPr>
      <w:r>
        <w:rPr>
          <w:rFonts w:ascii="Times New Roman" w:hAnsi="Times New Roman" w:cs="Times New Roman" w:eastAsia="Times New Roman" w:hint="default"/>
        </w:rPr>
        <w:t>0017320586-01</w:t>
      </w:r>
      <w:r>
        <w:rPr/>
        <w:t>号的授信协议，授信额度为人民币</w:t>
      </w:r>
      <w:r>
        <w:rPr>
          <w:rFonts w:ascii="Times New Roman" w:hAnsi="Times New Roman" w:cs="Times New Roman" w:eastAsia="Times New Roman" w:hint="default"/>
        </w:rPr>
        <w:t>7,000.00</w:t>
      </w:r>
      <w:r>
        <w:rPr/>
        <w:t>万元，由于本公司与招商银行股份有限公司深圳 </w:t>
      </w:r>
      <w:r>
        <w:rPr>
          <w:spacing w:val="-2"/>
        </w:rPr>
        <w:t>车公庙支行于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14</w:t>
      </w:r>
      <w:r>
        <w:rPr>
          <w:spacing w:val="-2"/>
        </w:rPr>
        <w:t>日签订了编号为</w:t>
      </w:r>
      <w:r>
        <w:rPr>
          <w:rFonts w:ascii="Times New Roman" w:hAnsi="Times New Roman" w:cs="Times New Roman" w:eastAsia="Times New Roman" w:hint="default"/>
          <w:spacing w:val="-2"/>
        </w:rPr>
        <w:t>2017</w:t>
      </w:r>
      <w:r>
        <w:rPr>
          <w:spacing w:val="-2"/>
        </w:rPr>
        <w:t>年罗字第</w:t>
      </w:r>
      <w:r>
        <w:rPr>
          <w:rFonts w:ascii="Times New Roman" w:hAnsi="Times New Roman" w:cs="Times New Roman" w:eastAsia="Times New Roman" w:hint="default"/>
          <w:spacing w:val="-2"/>
        </w:rPr>
        <w:t>0017320586-01</w:t>
      </w:r>
      <w:r>
        <w:rPr>
          <w:spacing w:val="-2"/>
        </w:rPr>
        <w:t>号的付款代理合作协议，截止</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31"/>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日，已使用前述授信额度中人民币</w:t>
      </w:r>
      <w:r>
        <w:rPr>
          <w:rFonts w:ascii="Times New Roman" w:hAnsi="Times New Roman" w:cs="Times New Roman" w:eastAsia="Times New Roman" w:hint="default"/>
        </w:rPr>
        <w:t>3,000.00</w:t>
      </w:r>
      <w:r>
        <w:rPr/>
        <w:t>万元，实际融资金额为人民币</w:t>
      </w:r>
      <w:r>
        <w:rPr>
          <w:rFonts w:ascii="Times New Roman" w:hAnsi="Times New Roman" w:cs="Times New Roman" w:eastAsia="Times New Roman" w:hint="default"/>
        </w:rPr>
        <w:t>29,100,000.03</w:t>
      </w:r>
      <w:r>
        <w:rPr/>
        <w:t>元。</w:t>
      </w:r>
      <w:r>
        <w:rPr>
          <w:spacing w:val="-2"/>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日深圳市新国都支付技术有限公司与招商银行股份有限公司深圳车公庙支行签订的编号为</w:t>
      </w:r>
    </w:p>
    <w:p>
      <w:pPr>
        <w:spacing w:after="0" w:line="25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56" w:lineRule="auto" w:before="35"/>
        <w:ind w:right="1026" w:firstLine="0"/>
        <w:jc w:val="left"/>
      </w:pPr>
      <w:r>
        <w:rPr>
          <w:rFonts w:ascii="Times New Roman" w:hAnsi="Times New Roman" w:cs="Times New Roman" w:eastAsia="Times New Roman" w:hint="default"/>
        </w:rPr>
        <w:t>2017</w:t>
      </w:r>
      <w:r>
        <w:rPr/>
        <w:t>年罗字第</w:t>
      </w:r>
      <w:r>
        <w:rPr>
          <w:rFonts w:ascii="Times New Roman" w:hAnsi="Times New Roman" w:cs="Times New Roman" w:eastAsia="Times New Roman" w:hint="default"/>
        </w:rPr>
        <w:t>0017320586-02</w:t>
      </w:r>
      <w:r>
        <w:rPr/>
        <w:t>号的授信协议，授信额度为人民币</w:t>
      </w:r>
      <w:r>
        <w:rPr>
          <w:rFonts w:ascii="Times New Roman" w:hAnsi="Times New Roman" w:cs="Times New Roman" w:eastAsia="Times New Roman" w:hint="default"/>
        </w:rPr>
        <w:t>4,000.00</w:t>
      </w:r>
      <w:r>
        <w:rPr/>
        <w:t>万元，由于深圳市新国都支付技术 有限公司与招商银行股份有限公司深圳车公庙支行于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日签订了编号为</w:t>
      </w:r>
      <w:r>
        <w:rPr>
          <w:rFonts w:ascii="Times New Roman" w:hAnsi="Times New Roman" w:cs="Times New Roman" w:eastAsia="Times New Roman" w:hint="default"/>
        </w:rPr>
        <w:t>2017</w:t>
      </w:r>
      <w:r>
        <w:rPr/>
        <w:t>年罗字第 </w:t>
      </w:r>
      <w:r>
        <w:rPr>
          <w:rFonts w:ascii="Times New Roman" w:hAnsi="Times New Roman" w:cs="Times New Roman" w:eastAsia="Times New Roman" w:hint="default"/>
          <w:spacing w:val="-2"/>
        </w:rPr>
        <w:t>0017320586-02</w:t>
      </w:r>
      <w:r>
        <w:rPr>
          <w:spacing w:val="-2"/>
        </w:rPr>
        <w:t>号的付款代理合作协议，截止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日，已使用前述授信额度中人民币</w:t>
      </w:r>
      <w:r>
        <w:rPr>
          <w:rFonts w:ascii="Times New Roman" w:hAnsi="Times New Roman" w:cs="Times New Roman" w:eastAsia="Times New Roman" w:hint="default"/>
          <w:spacing w:val="-2"/>
        </w:rPr>
        <w:t>4,000.00</w:t>
      </w:r>
      <w:r>
        <w:rPr>
          <w:spacing w:val="-2"/>
        </w:rPr>
        <w:t>万元，</w:t>
      </w:r>
      <w:r>
        <w:rPr>
          <w:spacing w:val="-82"/>
        </w:rPr>
        <w:t> </w:t>
      </w:r>
      <w:r>
        <w:rPr>
          <w:spacing w:val="-82"/>
        </w:rPr>
      </w:r>
      <w:r>
        <w:rPr/>
        <w:t>实际融资金额为人民币</w:t>
      </w:r>
      <w:r>
        <w:rPr>
          <w:rFonts w:ascii="Times New Roman" w:hAnsi="Times New Roman" w:cs="Times New Roman" w:eastAsia="Times New Roman" w:hint="default"/>
        </w:rPr>
        <w:t>38,932,183.30</w:t>
      </w:r>
      <w:r>
        <w:rPr/>
        <w:t>元。</w:t>
      </w:r>
    </w:p>
    <w:p>
      <w:pPr>
        <w:spacing w:line="240" w:lineRule="auto" w:before="6"/>
        <w:rPr>
          <w:rFonts w:ascii="宋体" w:hAnsi="宋体" w:cs="宋体" w:eastAsia="宋体" w:hint="default"/>
          <w:sz w:val="23"/>
          <w:szCs w:val="23"/>
        </w:rPr>
      </w:pPr>
    </w:p>
    <w:p>
      <w:pPr>
        <w:pStyle w:val="Heading5"/>
        <w:spacing w:line="240" w:lineRule="auto"/>
        <w:ind w:left="1134" w:right="994"/>
        <w:jc w:val="left"/>
        <w:rPr>
          <w:b w:val="0"/>
          <w:bCs w:val="0"/>
        </w:rPr>
      </w:pPr>
      <w:bookmarkStart w:name="（2）已逾期未偿还的短期借款情况" w:id="331"/>
      <w:bookmarkEnd w:id="331"/>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994"/>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32、以公允价值计量且其变动计入当期损益的金融负债" w:id="332"/>
      <w:bookmarkEnd w:id="332"/>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33、衍生金融负债" w:id="333"/>
      <w:bookmarkEnd w:id="333"/>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94"/>
        <w:jc w:val="left"/>
        <w:rPr>
          <w:b w:val="0"/>
          <w:bCs w:val="0"/>
        </w:rPr>
      </w:pPr>
      <w:bookmarkStart w:name="34、应付票据" w:id="334"/>
      <w:bookmarkEnd w:id="334"/>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79,198,336.67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1,325,908.33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50,113,254.98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105,363,953.99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129,311,591.65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106,689,862.32</w:t>
            </w:r>
          </w:p>
        </w:tc>
      </w:tr>
    </w:tbl>
    <w:p>
      <w:pPr>
        <w:pStyle w:val="BodyText"/>
        <w:spacing w:line="240" w:lineRule="auto" w:before="51"/>
        <w:ind w:left="1134" w:right="994"/>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5"/>
        <w:spacing w:line="240" w:lineRule="auto"/>
        <w:ind w:left="1134" w:right="994"/>
        <w:jc w:val="left"/>
        <w:rPr>
          <w:b w:val="0"/>
          <w:bCs w:val="0"/>
        </w:rPr>
      </w:pPr>
      <w:bookmarkStart w:name="35、应付账款" w:id="335"/>
      <w:bookmarkEnd w:id="335"/>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94"/>
        <w:jc w:val="left"/>
        <w:rPr>
          <w:b w:val="0"/>
          <w:bCs w:val="0"/>
        </w:rPr>
      </w:pPr>
      <w:bookmarkStart w:name="（1）应付账款列示" w:id="336"/>
      <w:bookmarkEnd w:id="33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应付供应商货款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270,051,722.55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118,751,202.94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应付未付费用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2,747,533.18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15,300,953.24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272,799,255.73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134,052,156.18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994"/>
        <w:jc w:val="left"/>
        <w:rPr>
          <w:b w:val="0"/>
          <w:bCs w:val="0"/>
        </w:rPr>
      </w:pPr>
      <w:bookmarkStart w:name="（2）账龄超过1年的重要应付账款" w:id="337"/>
      <w:bookmarkEnd w:id="33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left="1134" w:right="994"/>
        <w:jc w:val="left"/>
      </w:pPr>
      <w:r>
        <w:rPr/>
        <w:t>其他说明：</w:t>
      </w:r>
    </w:p>
    <w:p>
      <w:pPr>
        <w:spacing w:line="240" w:lineRule="auto" w:before="13"/>
        <w:rPr>
          <w:rFonts w:ascii="宋体" w:hAnsi="宋体" w:cs="宋体" w:eastAsia="宋体" w:hint="default"/>
          <w:sz w:val="12"/>
          <w:szCs w:val="12"/>
        </w:rPr>
      </w:pPr>
    </w:p>
    <w:p>
      <w:pPr>
        <w:pStyle w:val="Heading5"/>
        <w:spacing w:line="240" w:lineRule="auto"/>
        <w:ind w:right="994"/>
        <w:jc w:val="left"/>
        <w:rPr>
          <w:b w:val="0"/>
          <w:bCs w:val="0"/>
        </w:rPr>
      </w:pPr>
      <w:r>
        <w:rPr>
          <w:rFonts w:ascii="宋体" w:hAnsi="宋体" w:cs="宋体" w:eastAsia="宋体" w:hint="default"/>
        </w:rPr>
        <w:t>1.</w:t>
      </w:r>
      <w:r>
        <w:rPr>
          <w:rFonts w:ascii="宋体" w:hAnsi="宋体" w:cs="宋体" w:eastAsia="宋体" w:hint="default"/>
          <w:spacing w:val="35"/>
        </w:rPr>
        <w:t> </w:t>
      </w:r>
      <w:r>
        <w:rPr/>
        <w:t>期末余额中无应付持本公司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％）表决权股份的股东单位款项。</w:t>
      </w:r>
      <w:r>
        <w:rPr>
          <w:b w:val="0"/>
          <w:bCs w:val="0"/>
        </w:rPr>
      </w:r>
    </w:p>
    <w:p>
      <w:pPr>
        <w:pStyle w:val="Heading5"/>
        <w:spacing w:line="240" w:lineRule="auto" w:before="141"/>
        <w:ind w:right="994"/>
        <w:jc w:val="left"/>
        <w:rPr>
          <w:b w:val="0"/>
          <w:bCs w:val="0"/>
        </w:rPr>
      </w:pPr>
      <w:r>
        <w:rPr>
          <w:rFonts w:ascii="宋体" w:hAnsi="宋体" w:cs="宋体" w:eastAsia="宋体" w:hint="default"/>
        </w:rPr>
        <w:t>2.</w:t>
      </w:r>
      <w:r>
        <w:rPr>
          <w:rFonts w:ascii="宋体" w:hAnsi="宋体" w:cs="宋体" w:eastAsia="宋体" w:hint="default"/>
          <w:spacing w:val="37"/>
        </w:rPr>
        <w:t> </w:t>
      </w:r>
      <w:r>
        <w:rPr/>
        <w:t>期末余额中无应付其他关联方款项。</w:t>
      </w:r>
      <w:r>
        <w:rPr>
          <w:b w:val="0"/>
          <w:bCs w:val="0"/>
        </w:rPr>
      </w:r>
    </w:p>
    <w:p>
      <w:pPr>
        <w:pStyle w:val="Heading5"/>
        <w:spacing w:line="256" w:lineRule="auto" w:before="157"/>
        <w:ind w:left="1494" w:right="1132" w:hanging="360"/>
        <w:jc w:val="left"/>
        <w:rPr>
          <w:b w:val="0"/>
          <w:bCs w:val="0"/>
        </w:rPr>
      </w:pPr>
      <w:r>
        <w:rPr>
          <w:rFonts w:ascii="宋体" w:hAnsi="宋体" w:cs="宋体" w:eastAsia="宋体" w:hint="default"/>
        </w:rPr>
        <w:t>3.</w:t>
      </w:r>
      <w:r>
        <w:rPr>
          <w:rFonts w:ascii="宋体" w:hAnsi="宋体" w:cs="宋体" w:eastAsia="宋体" w:hint="default"/>
          <w:spacing w:val="36"/>
        </w:rPr>
        <w:t> </w:t>
      </w:r>
      <w:r>
        <w:rPr/>
        <w:t>应付期末余额较期初增加</w:t>
      </w:r>
      <w:r>
        <w:rPr>
          <w:rFonts w:ascii="Times New Roman" w:hAnsi="Times New Roman" w:cs="Times New Roman" w:eastAsia="Times New Roman" w:hint="default"/>
        </w:rPr>
        <w:t>138,747,099.55</w:t>
      </w:r>
      <w:r>
        <w:rPr/>
        <w:t>元，增加比例</w:t>
      </w:r>
      <w:r>
        <w:rPr>
          <w:rFonts w:ascii="Times New Roman" w:hAnsi="Times New Roman" w:cs="Times New Roman" w:eastAsia="Times New Roman" w:hint="default"/>
        </w:rPr>
        <w:t>103.50%</w:t>
      </w:r>
      <w:r>
        <w:rPr/>
        <w:t>，主要原因系</w:t>
      </w:r>
      <w:r>
        <w:rPr>
          <w:rFonts w:ascii="Times New Roman" w:hAnsi="Times New Roman" w:cs="Times New Roman" w:eastAsia="Times New Roman" w:hint="default"/>
        </w:rPr>
        <w:t>2017</w:t>
      </w:r>
      <w:r>
        <w:rPr/>
        <w:t>年第四季度采购增加</w:t>
      </w:r>
      <w:r>
        <w:rPr>
          <w:w w:val="99"/>
        </w:rPr>
        <w:t> </w:t>
      </w:r>
      <w:r>
        <w:rPr/>
        <w:t>所致。</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94"/>
        <w:jc w:val="left"/>
        <w:rPr>
          <w:b w:val="0"/>
          <w:bCs w:val="0"/>
        </w:rPr>
      </w:pPr>
      <w:bookmarkStart w:name="36、预收款项" w:id="338"/>
      <w:bookmarkEnd w:id="338"/>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1）预收款项列示" w:id="339"/>
      <w:bookmarkEnd w:id="33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16,580,197.35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24,370,796.68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预收信息查询费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431,468.39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152,715.90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预收其他款项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17,011,665.74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24,525,312.58</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账龄超过1年的重要预收款项" w:id="340"/>
      <w:bookmarkEnd w:id="34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3）期末建造合同形成的已结算未完工项目情况" w:id="341"/>
      <w:bookmarkEnd w:id="341"/>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134" w:right="994"/>
        <w:jc w:val="left"/>
      </w:pPr>
      <w:r>
        <w:rPr/>
        <w:t>其他说明：</w:t>
      </w:r>
    </w:p>
    <w:p>
      <w:pPr>
        <w:spacing w:line="240" w:lineRule="auto" w:before="1"/>
        <w:rPr>
          <w:rFonts w:ascii="宋体" w:hAnsi="宋体" w:cs="宋体" w:eastAsia="宋体" w:hint="default"/>
          <w:sz w:val="13"/>
          <w:szCs w:val="13"/>
        </w:rPr>
      </w:pPr>
    </w:p>
    <w:p>
      <w:pPr>
        <w:pStyle w:val="Heading5"/>
        <w:spacing w:line="240" w:lineRule="auto"/>
        <w:ind w:right="994"/>
        <w:jc w:val="left"/>
        <w:rPr>
          <w:b w:val="0"/>
          <w:bCs w:val="0"/>
        </w:rPr>
      </w:pPr>
      <w:r>
        <w:rPr>
          <w:rFonts w:ascii="宋体" w:hAnsi="宋体" w:cs="宋体" w:eastAsia="宋体" w:hint="default"/>
        </w:rPr>
        <w:t>1.</w:t>
      </w:r>
      <w:r>
        <w:rPr>
          <w:rFonts w:ascii="宋体" w:hAnsi="宋体" w:cs="宋体" w:eastAsia="宋体" w:hint="default"/>
          <w:spacing w:val="35"/>
        </w:rPr>
        <w:t> </w:t>
      </w:r>
      <w:r>
        <w:rPr/>
        <w:t>期末余额中无预收持本公司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％）表决权股份的股东单位款项。</w:t>
      </w:r>
      <w:r>
        <w:rPr>
          <w:b w:val="0"/>
          <w:bCs w:val="0"/>
        </w:rPr>
      </w:r>
    </w:p>
    <w:p>
      <w:pPr>
        <w:pStyle w:val="Heading5"/>
        <w:spacing w:line="240" w:lineRule="auto" w:before="141"/>
        <w:ind w:right="994"/>
        <w:jc w:val="left"/>
        <w:rPr>
          <w:b w:val="0"/>
          <w:bCs w:val="0"/>
        </w:rPr>
      </w:pPr>
      <w:r>
        <w:rPr>
          <w:rFonts w:ascii="宋体" w:hAnsi="宋体" w:cs="宋体" w:eastAsia="宋体" w:hint="default"/>
        </w:rPr>
        <w:t>2.</w:t>
      </w:r>
      <w:r>
        <w:rPr>
          <w:rFonts w:ascii="宋体" w:hAnsi="宋体" w:cs="宋体" w:eastAsia="宋体" w:hint="default"/>
          <w:spacing w:val="37"/>
        </w:rPr>
        <w:t> </w:t>
      </w:r>
      <w:r>
        <w:rPr/>
        <w:t>期末余额中无预收其他关联方款项。</w:t>
      </w:r>
      <w:r>
        <w:rPr>
          <w:b w:val="0"/>
          <w:bCs w:val="0"/>
        </w:rPr>
      </w:r>
    </w:p>
    <w:p>
      <w:pPr>
        <w:pStyle w:val="Heading5"/>
        <w:spacing w:line="240" w:lineRule="auto" w:before="157"/>
        <w:ind w:right="994"/>
        <w:jc w:val="left"/>
        <w:rPr>
          <w:b w:val="0"/>
          <w:bCs w:val="0"/>
        </w:rPr>
      </w:pPr>
      <w:r>
        <w:rPr>
          <w:rFonts w:ascii="宋体" w:hAnsi="宋体" w:cs="宋体" w:eastAsia="宋体" w:hint="default"/>
        </w:rPr>
        <w:t>3.</w:t>
      </w:r>
      <w:r>
        <w:rPr>
          <w:rFonts w:ascii="宋体" w:hAnsi="宋体" w:cs="宋体" w:eastAsia="宋体" w:hint="default"/>
          <w:spacing w:val="36"/>
        </w:rPr>
        <w:t> </w:t>
      </w:r>
      <w:r>
        <w:rPr/>
        <w:t>期末余额中无账龄超过一年的重要预收款项。</w:t>
      </w:r>
      <w:r>
        <w:rPr>
          <w:b w:val="0"/>
          <w:bCs w:val="0"/>
        </w:rPr>
      </w:r>
    </w:p>
    <w:p>
      <w:pPr>
        <w:pStyle w:val="Heading5"/>
        <w:spacing w:line="240" w:lineRule="auto" w:before="157"/>
        <w:ind w:right="994"/>
        <w:jc w:val="left"/>
        <w:rPr>
          <w:b w:val="0"/>
          <w:bCs w:val="0"/>
        </w:rPr>
      </w:pPr>
      <w:r>
        <w:rPr>
          <w:rFonts w:ascii="宋体" w:hAnsi="宋体" w:cs="宋体" w:eastAsia="宋体" w:hint="default"/>
        </w:rPr>
        <w:t>4.</w:t>
      </w:r>
      <w:r>
        <w:rPr>
          <w:rFonts w:ascii="宋体" w:hAnsi="宋体" w:cs="宋体" w:eastAsia="宋体" w:hint="default"/>
          <w:spacing w:val="30"/>
        </w:rPr>
        <w:t> </w:t>
      </w:r>
      <w:r>
        <w:rPr/>
        <w:t>预收款项期末余额较期初减少</w:t>
      </w:r>
      <w:r>
        <w:rPr>
          <w:rFonts w:ascii="Times New Roman" w:hAnsi="Times New Roman" w:cs="Times New Roman" w:eastAsia="Times New Roman" w:hint="default"/>
        </w:rPr>
        <w:t>7,513,646.84</w:t>
      </w:r>
      <w:r>
        <w:rPr/>
        <w:t>元，减少比例</w:t>
      </w:r>
      <w:r>
        <w:rPr>
          <w:rFonts w:ascii="Times New Roman" w:hAnsi="Times New Roman" w:cs="Times New Roman" w:eastAsia="Times New Roman" w:hint="default"/>
        </w:rPr>
        <w:t>30.64%</w:t>
      </w:r>
      <w:r>
        <w:rPr/>
        <w:t>，主要原因系期初预收款项结转所致。</w:t>
      </w:r>
      <w:r>
        <w:rPr>
          <w:b w:val="0"/>
          <w:bCs w:val="0"/>
        </w:rPr>
      </w:r>
    </w:p>
    <w:p>
      <w:pPr>
        <w:spacing w:after="0" w:line="240" w:lineRule="auto"/>
        <w:jc w:val="left"/>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5"/>
        <w:spacing w:line="240" w:lineRule="auto" w:before="35"/>
        <w:ind w:right="994"/>
        <w:jc w:val="left"/>
        <w:rPr>
          <w:b w:val="0"/>
          <w:bCs w:val="0"/>
        </w:rPr>
      </w:pPr>
      <w:bookmarkStart w:name="37、应付职工薪酬" w:id="342"/>
      <w:bookmarkEnd w:id="342"/>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1）应付职工薪酬列示" w:id="343"/>
      <w:bookmarkEnd w:id="34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34,343,849.66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219,405,172.76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236,531,913.40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17,217,109.02</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9,674,629.11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9,427,294.11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412,335.00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34,508,849.66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229,079,801.87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245,959,207.51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17,629,444.02</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短期薪酬列示" w:id="344"/>
      <w:bookmarkEnd w:id="34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33,935,904.18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202,697,236.06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220,045,178.33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16,587,961.91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5,634,760.70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5,634,760.70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5,509,183.99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5,287,738.99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361,145.00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126,500.00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4,927,840.10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4,727,333.10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327,007.00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9,791.14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308,056.61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290,605.61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27,242.14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3,408.86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273,287.28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269,800.28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6,895.86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74,890.00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4,476,284.82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4,441,174.82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193,355.48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1,087,707.19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1,123,060.56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158,002.11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34,343,849.66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219,405,172.76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236,531,913.40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17,217,109.02</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3）设定提存计划列示" w:id="345"/>
      <w:bookmarkEnd w:id="34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9,221,542.94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8,977,437.94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398,105.00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453,086.17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449,856.17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14,230.00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9,674,629.11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9,427,294.11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412,335.00</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38、应交税费" w:id="346"/>
      <w:bookmarkEnd w:id="346"/>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15,784,783.49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5,625,004.03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7,847,056.26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9,423,739.14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895,278.30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2,358,944.01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1,086,379.15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361,638.58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776,044.26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258,972.73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1,785,651.01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1,139,048.77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28,175,192.47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19,167,347.26</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39、应付利息" w:id="347"/>
      <w:bookmarkEnd w:id="347"/>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16,177,777.85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16,177,777.81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1,191,398.61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17,369,176.46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16,177,777.81</w:t>
            </w:r>
          </w:p>
        </w:tc>
      </w:tr>
    </w:tbl>
    <w:p>
      <w:pPr>
        <w:pStyle w:val="BodyText"/>
        <w:spacing w:line="240" w:lineRule="auto" w:before="51"/>
        <w:ind w:left="1134" w:right="994"/>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left="1134" w:right="994"/>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94"/>
        <w:jc w:val="left"/>
        <w:rPr>
          <w:b w:val="0"/>
          <w:bCs w:val="0"/>
        </w:rPr>
      </w:pPr>
      <w:bookmarkStart w:name="40、应付股利" w:id="348"/>
      <w:bookmarkEnd w:id="348"/>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994"/>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5"/>
        <w:spacing w:line="240" w:lineRule="auto"/>
        <w:ind w:right="994"/>
        <w:jc w:val="left"/>
        <w:rPr>
          <w:b w:val="0"/>
          <w:bCs w:val="0"/>
        </w:rPr>
      </w:pPr>
      <w:bookmarkStart w:name="41、其他应付款" w:id="349"/>
      <w:bookmarkEnd w:id="349"/>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94"/>
        <w:jc w:val="left"/>
        <w:rPr>
          <w:b w:val="0"/>
          <w:bCs w:val="0"/>
        </w:rPr>
      </w:pPr>
      <w:bookmarkStart w:name="（1）按款项性质列示其他应付款" w:id="350"/>
      <w:bookmarkEnd w:id="35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工程设备款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16,429,020.76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50,043,765.53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1,353,783.96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预提未支付款及其他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4,990,609.85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2,175,949.83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22,773,414.57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452,219,715.36</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账龄超过1年的重要其他应付款" w:id="351"/>
      <w:bookmarkEnd w:id="35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昆山恒升建筑工程有限公司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15,232,933.42</w:t>
            </w:r>
          </w:p>
        </w:tc>
        <w:tc>
          <w:tcPr>
            <w:tcW w:w="31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质保金，已于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月支付</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15,232,933.42</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94"/>
        <w:jc w:val="left"/>
      </w:pPr>
      <w:r>
        <w:rPr/>
        <w:t>其他说明</w:t>
      </w:r>
    </w:p>
    <w:p>
      <w:pPr>
        <w:spacing w:line="240" w:lineRule="auto" w:before="1"/>
        <w:rPr>
          <w:rFonts w:ascii="宋体" w:hAnsi="宋体" w:cs="宋体" w:eastAsia="宋体" w:hint="default"/>
          <w:sz w:val="13"/>
          <w:szCs w:val="13"/>
        </w:rPr>
      </w:pPr>
    </w:p>
    <w:p>
      <w:pPr>
        <w:pStyle w:val="Heading5"/>
        <w:spacing w:line="240" w:lineRule="auto"/>
        <w:ind w:right="994"/>
        <w:jc w:val="left"/>
        <w:rPr>
          <w:b w:val="0"/>
          <w:bCs w:val="0"/>
        </w:rPr>
      </w:pPr>
      <w:r>
        <w:rPr>
          <w:rFonts w:ascii="宋体" w:hAnsi="宋体" w:cs="宋体" w:eastAsia="宋体" w:hint="default"/>
        </w:rPr>
        <w:t>1.</w:t>
      </w:r>
      <w:r>
        <w:rPr>
          <w:rFonts w:ascii="宋体" w:hAnsi="宋体" w:cs="宋体" w:eastAsia="宋体" w:hint="default"/>
          <w:spacing w:val="35"/>
        </w:rPr>
        <w:t> </w:t>
      </w:r>
      <w:r>
        <w:rPr/>
        <w:t>期末余额中无应付持本公司</w:t>
      </w:r>
      <w:r>
        <w:rPr>
          <w:rFonts w:ascii="Times New Roman" w:hAnsi="Times New Roman" w:cs="Times New Roman" w:eastAsia="Times New Roman" w:hint="default"/>
        </w:rPr>
        <w:t>5</w:t>
      </w:r>
      <w:r>
        <w:rPr/>
        <w:t>％以上（含</w:t>
      </w:r>
      <w:r>
        <w:rPr>
          <w:rFonts w:ascii="Times New Roman" w:hAnsi="Times New Roman" w:cs="Times New Roman" w:eastAsia="Times New Roman" w:hint="default"/>
        </w:rPr>
        <w:t>5</w:t>
      </w:r>
      <w:r>
        <w:rPr/>
        <w:t>％）表决权股份的股东单位款项。</w:t>
      </w:r>
      <w:r>
        <w:rPr>
          <w:b w:val="0"/>
          <w:bCs w:val="0"/>
        </w:rPr>
      </w:r>
    </w:p>
    <w:p>
      <w:pPr>
        <w:pStyle w:val="Heading5"/>
        <w:spacing w:line="240" w:lineRule="auto" w:before="140"/>
        <w:ind w:right="994"/>
        <w:jc w:val="left"/>
        <w:rPr>
          <w:b w:val="0"/>
          <w:bCs w:val="0"/>
        </w:rPr>
      </w:pPr>
      <w:r>
        <w:rPr>
          <w:rFonts w:ascii="宋体" w:hAnsi="宋体" w:cs="宋体" w:eastAsia="宋体" w:hint="default"/>
        </w:rPr>
        <w:t>2.</w:t>
      </w:r>
      <w:r>
        <w:rPr>
          <w:rFonts w:ascii="宋体" w:hAnsi="宋体" w:cs="宋体" w:eastAsia="宋体" w:hint="default"/>
          <w:spacing w:val="37"/>
        </w:rPr>
        <w:t> </w:t>
      </w:r>
      <w:r>
        <w:rPr/>
        <w:t>期末余额中无应付其他关联方款项。</w:t>
      </w:r>
      <w:r>
        <w:rPr>
          <w:b w:val="0"/>
          <w:bCs w:val="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pStyle w:val="Heading5"/>
        <w:spacing w:line="240" w:lineRule="auto"/>
        <w:ind w:right="994"/>
        <w:jc w:val="left"/>
        <w:rPr>
          <w:b w:val="0"/>
          <w:bCs w:val="0"/>
        </w:rPr>
      </w:pPr>
      <w:bookmarkStart w:name="42、持有待售的负债" w:id="352"/>
      <w:bookmarkEnd w:id="352"/>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43、一年内到期的非流动负债" w:id="353"/>
      <w:bookmarkEnd w:id="353"/>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44、其他流动负债" w:id="354"/>
      <w:bookmarkEnd w:id="354"/>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994"/>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134" w:right="994"/>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94"/>
        <w:jc w:val="left"/>
        <w:rPr>
          <w:b w:val="0"/>
          <w:bCs w:val="0"/>
        </w:rPr>
      </w:pPr>
      <w:bookmarkStart w:name="45、长期借款" w:id="355"/>
      <w:bookmarkEnd w:id="355"/>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94"/>
        <w:jc w:val="left"/>
        <w:rPr>
          <w:b w:val="0"/>
          <w:bCs w:val="0"/>
        </w:rPr>
      </w:pPr>
      <w:bookmarkStart w:name="（1）长期借款分类" w:id="356"/>
      <w:bookmarkEnd w:id="35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70,000,000.00</w:t>
            </w:r>
          </w:p>
        </w:tc>
      </w:tr>
    </w:tbl>
    <w:p>
      <w:pPr>
        <w:pStyle w:val="BodyText"/>
        <w:spacing w:line="240" w:lineRule="auto" w:before="51"/>
        <w:ind w:left="1134" w:right="994"/>
        <w:jc w:val="left"/>
      </w:pPr>
      <w:r>
        <w:rPr/>
        <w:t>长期借款分类的说明：</w:t>
      </w:r>
    </w:p>
    <w:p>
      <w:pPr>
        <w:spacing w:line="240" w:lineRule="auto" w:before="13"/>
        <w:rPr>
          <w:rFonts w:ascii="宋体" w:hAnsi="宋体" w:cs="宋体" w:eastAsia="宋体" w:hint="default"/>
          <w:sz w:val="12"/>
          <w:szCs w:val="12"/>
        </w:rPr>
      </w:pPr>
    </w:p>
    <w:p>
      <w:pPr>
        <w:pStyle w:val="Heading6"/>
        <w:spacing w:line="256" w:lineRule="auto" w:before="0"/>
        <w:ind w:right="1214"/>
        <w:jc w:val="both"/>
      </w:pPr>
      <w:r>
        <w:rPr/>
        <w:t>公司分别于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月与中信银行股份有限公司深圳分行签订借款本金人民币</w:t>
      </w:r>
      <w:r>
        <w:rPr>
          <w:rFonts w:ascii="Times New Roman" w:hAnsi="Times New Roman" w:cs="Times New Roman" w:eastAsia="Times New Roman" w:hint="default"/>
        </w:rPr>
        <w:t>6,000.00</w:t>
      </w:r>
      <w:r>
        <w:rPr/>
        <w:t>万 元、</w:t>
      </w:r>
      <w:r>
        <w:rPr>
          <w:rFonts w:ascii="Times New Roman" w:hAnsi="Times New Roman" w:cs="Times New Roman" w:eastAsia="Times New Roman" w:hint="default"/>
        </w:rPr>
        <w:t>4,000.00</w:t>
      </w:r>
      <w:r>
        <w:rPr/>
        <w:t>万元的</w:t>
      </w:r>
      <w:r>
        <w:rPr>
          <w:rFonts w:ascii="Times New Roman" w:hAnsi="Times New Roman" w:cs="Times New Roman" w:eastAsia="Times New Roman" w:hint="default"/>
        </w:rPr>
        <w:t>3</w:t>
      </w:r>
      <w:r>
        <w:rPr/>
        <w:t>年期借款，并约定每半年归还本金的</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2017</w:t>
      </w:r>
      <w:r>
        <w:rPr/>
        <w:t>年已归还</w:t>
      </w:r>
      <w:r>
        <w:rPr>
          <w:rFonts w:ascii="Times New Roman" w:hAnsi="Times New Roman" w:cs="Times New Roman" w:eastAsia="Times New Roman" w:hint="default"/>
        </w:rPr>
        <w:t>2,000.00</w:t>
      </w:r>
      <w:r>
        <w:rPr/>
        <w:t>万元。另外，</w:t>
      </w:r>
      <w:r>
        <w:rPr>
          <w:rFonts w:ascii="Times New Roman" w:hAnsi="Times New Roman" w:cs="Times New Roman" w:eastAsia="Times New Roman" w:hint="default"/>
        </w:rPr>
        <w:t>2018 </w:t>
      </w:r>
      <w:r>
        <w:rPr/>
        <w:t>年度按约定需归还的</w:t>
      </w:r>
      <w:r>
        <w:rPr>
          <w:rFonts w:ascii="Times New Roman" w:hAnsi="Times New Roman" w:cs="Times New Roman" w:eastAsia="Times New Roman" w:hint="default"/>
        </w:rPr>
        <w:t>2,000.00</w:t>
      </w:r>
      <w:r>
        <w:rPr/>
        <w:t>万元本金重分类至一年到期的非流动负债中。</w:t>
      </w:r>
    </w:p>
    <w:p>
      <w:pPr>
        <w:pStyle w:val="Heading6"/>
        <w:spacing w:line="256" w:lineRule="auto"/>
        <w:ind w:right="994"/>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月与中国民生银行股份有限公司深圳分行签订借款本金人民币</w:t>
      </w:r>
      <w:r>
        <w:rPr>
          <w:rFonts w:ascii="Times New Roman" w:hAnsi="Times New Roman" w:cs="Times New Roman" w:eastAsia="Times New Roman" w:hint="default"/>
        </w:rPr>
        <w:t>20,000.00</w:t>
      </w:r>
      <w:r>
        <w:rPr/>
        <w:t>万元的</w:t>
      </w:r>
      <w:r>
        <w:rPr>
          <w:rFonts w:ascii="Times New Roman" w:hAnsi="Times New Roman" w:cs="Times New Roman" w:eastAsia="Times New Roman" w:hint="default"/>
        </w:rPr>
        <w:t>3</w:t>
      </w:r>
      <w:r>
        <w:rPr/>
        <w:t>年期 </w:t>
      </w:r>
      <w:r>
        <w:rPr>
          <w:spacing w:val="-1"/>
        </w:rPr>
        <w:t>借款，并约定自放款之日起第一年内归还</w:t>
      </w:r>
      <w:r>
        <w:rPr>
          <w:rFonts w:ascii="Times New Roman" w:hAnsi="Times New Roman" w:cs="Times New Roman" w:eastAsia="Times New Roman" w:hint="default"/>
          <w:spacing w:val="-1"/>
        </w:rPr>
        <w:t>4,000.00</w:t>
      </w:r>
      <w:r>
        <w:rPr>
          <w:spacing w:val="-1"/>
        </w:rPr>
        <w:t>万元本金，第二年内归还</w:t>
      </w:r>
      <w:r>
        <w:rPr>
          <w:rFonts w:ascii="Times New Roman" w:hAnsi="Times New Roman" w:cs="Times New Roman" w:eastAsia="Times New Roman" w:hint="default"/>
          <w:spacing w:val="-1"/>
        </w:rPr>
        <w:t>6,000.00</w:t>
      </w:r>
      <w:r>
        <w:rPr>
          <w:spacing w:val="-1"/>
        </w:rPr>
        <w:t>万元本金，第三年内归</w:t>
      </w:r>
      <w:r>
        <w:rPr>
          <w:spacing w:val="-78"/>
        </w:rPr>
        <w:t> </w:t>
      </w:r>
      <w:r>
        <w:rPr>
          <w:spacing w:val="-78"/>
        </w:rPr>
      </w:r>
      <w:r>
        <w:rPr>
          <w:spacing w:val="-1"/>
        </w:rPr>
        <w:t>还</w:t>
      </w:r>
      <w:r>
        <w:rPr>
          <w:rFonts w:ascii="Times New Roman" w:hAnsi="Times New Roman" w:cs="Times New Roman" w:eastAsia="Times New Roman" w:hint="default"/>
          <w:spacing w:val="-1"/>
        </w:rPr>
        <w:t>10,000.00</w:t>
      </w:r>
      <w:r>
        <w:rPr>
          <w:spacing w:val="-1"/>
        </w:rPr>
        <w:t>万元本金，</w:t>
      </w:r>
      <w:r>
        <w:rPr>
          <w:rFonts w:ascii="Times New Roman" w:hAnsi="Times New Roman" w:cs="Times New Roman" w:eastAsia="Times New Roman" w:hint="default"/>
          <w:spacing w:val="-1"/>
        </w:rPr>
        <w:t>2017</w:t>
      </w:r>
      <w:r>
        <w:rPr>
          <w:spacing w:val="-1"/>
        </w:rPr>
        <w:t>年度尚未归还本金。公司实际控制人刘祥及嘉联支付有限公司为该笔贷款提供</w:t>
      </w:r>
      <w:r>
        <w:rPr>
          <w:spacing w:val="-76"/>
        </w:rPr>
        <w:t> </w:t>
      </w:r>
      <w:r>
        <w:rPr>
          <w:spacing w:val="-76"/>
        </w:rPr>
      </w:r>
      <w:r>
        <w:rPr/>
        <w:t>保证担保。</w:t>
      </w:r>
      <w:r>
        <w:rPr>
          <w:rFonts w:ascii="Times New Roman" w:hAnsi="Times New Roman" w:cs="Times New Roman" w:eastAsia="Times New Roman" w:hint="default"/>
        </w:rPr>
        <w:t>2018</w:t>
      </w:r>
      <w:r>
        <w:rPr/>
        <w:t>年度按约定需归还的</w:t>
      </w:r>
      <w:r>
        <w:rPr>
          <w:rFonts w:ascii="Times New Roman" w:hAnsi="Times New Roman" w:cs="Times New Roman" w:eastAsia="Times New Roman" w:hint="default"/>
        </w:rPr>
        <w:t>4,000.00</w:t>
      </w:r>
      <w:r>
        <w:rPr/>
        <w:t>万元本金重分类至一年内到期的非流动负债中。</w:t>
      </w:r>
    </w:p>
    <w:p>
      <w:pPr>
        <w:spacing w:line="240" w:lineRule="auto" w:before="4"/>
        <w:rPr>
          <w:rFonts w:ascii="宋体" w:hAnsi="宋体" w:cs="宋体" w:eastAsia="宋体" w:hint="default"/>
          <w:sz w:val="29"/>
          <w:szCs w:val="29"/>
        </w:rPr>
      </w:pPr>
    </w:p>
    <w:p>
      <w:pPr>
        <w:pStyle w:val="BodyText"/>
        <w:spacing w:line="240" w:lineRule="auto" w:before="0"/>
        <w:ind w:left="1134" w:right="994"/>
        <w:jc w:val="left"/>
      </w:pPr>
      <w:r>
        <w:rPr/>
        <w:t>其他说明，包括利率区间：</w:t>
      </w:r>
    </w:p>
    <w:p>
      <w:pPr>
        <w:spacing w:line="240" w:lineRule="auto" w:before="11"/>
        <w:rPr>
          <w:rFonts w:ascii="宋体" w:hAnsi="宋体" w:cs="宋体" w:eastAsia="宋体" w:hint="default"/>
          <w:sz w:val="26"/>
          <w:szCs w:val="26"/>
        </w:rPr>
      </w:pPr>
    </w:p>
    <w:p>
      <w:pPr>
        <w:pStyle w:val="Heading5"/>
        <w:spacing w:line="240" w:lineRule="auto"/>
        <w:ind w:left="1134" w:right="994"/>
        <w:jc w:val="left"/>
        <w:rPr>
          <w:b w:val="0"/>
          <w:bCs w:val="0"/>
        </w:rPr>
      </w:pPr>
      <w:bookmarkStart w:name="46、应付债券" w:id="357"/>
      <w:bookmarkEnd w:id="357"/>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94"/>
        <w:jc w:val="left"/>
        <w:rPr>
          <w:b w:val="0"/>
          <w:bCs w:val="0"/>
        </w:rPr>
      </w:pPr>
      <w:bookmarkStart w:name="（1）应付债券" w:id="358"/>
      <w:bookmarkEnd w:id="358"/>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公开发行债券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398,330,615.41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397,154,334.33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398,330,615.41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397,154,334.33</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应付债券的增减变动（不包括划分为金融负债的优先股、永续债等其他金融工具）" w:id="359"/>
      <w:bookmarkEnd w:id="359"/>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新国 都（代码 </w:t>
            </w:r>
            <w:r>
              <w:rPr>
                <w:rFonts w:ascii="Times New Roman" w:hAnsi="Times New Roman" w:cs="Times New Roman" w:eastAsia="Times New Roman" w:hint="default"/>
                <w:sz w:val="18"/>
                <w:szCs w:val="18"/>
              </w:rPr>
              <w:t>112379</w:t>
            </w:r>
            <w:r>
              <w:rPr>
                <w:rFonts w:ascii="宋体" w:hAnsi="宋体" w:cs="宋体" w:eastAsia="宋体" w:hint="default"/>
                <w:sz w:val="18"/>
                <w:szCs w:val="18"/>
              </w:rPr>
              <w:t>）</w:t>
            </w:r>
          </w:p>
        </w:tc>
        <w:tc>
          <w:tcPr>
            <w:tcW w:w="79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396,400,0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397,154,3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34.33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1,176,281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398,330,6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15.41</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396,400,0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397,154,3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34.33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1,176,281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398,330,6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15.41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994"/>
        <w:jc w:val="left"/>
        <w:rPr>
          <w:b w:val="0"/>
          <w:bCs w:val="0"/>
        </w:rPr>
      </w:pPr>
      <w:bookmarkStart w:name="（3）可转换公司债券的转股条件、转股时间说明" w:id="360"/>
      <w:bookmarkEnd w:id="360"/>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4）划分为金融负债的其他金融工具说明" w:id="361"/>
      <w:bookmarkEnd w:id="361"/>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57" w:lineRule="auto"/>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635" w:space="319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7513"/>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5"/>
        <w:spacing w:line="240" w:lineRule="auto"/>
        <w:ind w:right="994"/>
        <w:jc w:val="left"/>
        <w:rPr>
          <w:b w:val="0"/>
          <w:bCs w:val="0"/>
        </w:rPr>
      </w:pPr>
      <w:bookmarkStart w:name="47、长期应付款" w:id="362"/>
      <w:bookmarkEnd w:id="362"/>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94"/>
        <w:jc w:val="left"/>
        <w:rPr>
          <w:b w:val="0"/>
          <w:bCs w:val="0"/>
        </w:rPr>
      </w:pPr>
      <w:bookmarkStart w:name="（1）按款项性质列示长期应付款" w:id="363"/>
      <w:bookmarkEnd w:id="36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48、长期应付职工薪酬" w:id="364"/>
      <w:bookmarkEnd w:id="364"/>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1）长期应付职工薪酬表" w:id="365"/>
      <w:bookmarkEnd w:id="365"/>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设定受益计划变动情况" w:id="366"/>
      <w:bookmarkEnd w:id="366"/>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994"/>
        <w:jc w:val="left"/>
      </w:pPr>
      <w:r>
        <w:rPr/>
        <w:t>设定受益计划义务现值：</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994"/>
        <w:jc w:val="left"/>
      </w:pPr>
      <w:r>
        <w:rPr/>
        <w:t>计划资产：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994"/>
        <w:jc w:val="left"/>
      </w:pPr>
      <w:r>
        <w:rPr/>
        <w:t>设定受益计划净负债（净资产）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3553"/>
        <w:jc w:val="left"/>
      </w:pPr>
      <w:r>
        <w:rPr/>
        <w:t>设定受益计划的内容及与之相关风险、对公司未来现金流量、时间和不确定性的影响说明： 设定受益计划重大精算假设及敏感性分析结果说明：</w:t>
      </w:r>
    </w:p>
    <w:p>
      <w:pPr>
        <w:spacing w:after="0" w:line="360" w:lineRule="auto"/>
        <w:jc w:val="left"/>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994"/>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94"/>
        <w:jc w:val="left"/>
        <w:rPr>
          <w:b w:val="0"/>
          <w:bCs w:val="0"/>
        </w:rPr>
      </w:pPr>
      <w:bookmarkStart w:name="49、专项应付款" w:id="367"/>
      <w:bookmarkEnd w:id="367"/>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134" w:right="994"/>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94"/>
        <w:jc w:val="left"/>
        <w:rPr>
          <w:b w:val="0"/>
          <w:bCs w:val="0"/>
        </w:rPr>
      </w:pPr>
      <w:bookmarkStart w:name="50、预计负债" w:id="368"/>
      <w:bookmarkEnd w:id="368"/>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134" w:right="994"/>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5"/>
        <w:spacing w:line="240" w:lineRule="auto"/>
        <w:ind w:left="1134" w:right="994"/>
        <w:jc w:val="left"/>
        <w:rPr>
          <w:b w:val="0"/>
          <w:bCs w:val="0"/>
        </w:rPr>
      </w:pPr>
      <w:bookmarkStart w:name="51、递延收益" w:id="369"/>
      <w:bookmarkEnd w:id="369"/>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20,464,737.30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24,816,538.15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24,419,855.79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20,861,419.66</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安居房长期租赁费</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1,315,549.85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343,089.00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762,737.75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895,901.10</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人才安居房长期租 金</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21,780,287.15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25,159,627.15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25,182,593.54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21,757,320.76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94"/>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6"/>
        <w:gridCol w:w="1381"/>
        <w:gridCol w:w="1367"/>
        <w:gridCol w:w="1367"/>
        <w:gridCol w:w="1368"/>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1" w:firstLine="90"/>
              <w:jc w:val="left"/>
              <w:rPr>
                <w:rFonts w:ascii="宋体" w:hAnsi="宋体" w:cs="宋体" w:eastAsia="宋体" w:hint="default"/>
                <w:sz w:val="18"/>
                <w:szCs w:val="18"/>
              </w:rPr>
            </w:pPr>
            <w:r>
              <w:rPr>
                <w:rFonts w:ascii="宋体" w:hAnsi="宋体" w:cs="宋体" w:eastAsia="宋体" w:hint="default"/>
                <w:sz w:val="18"/>
                <w:szCs w:val="18"/>
              </w:rPr>
              <w:t>指纹与人脸识 别安全支付技术 专项补贴</w:t>
            </w:r>
          </w:p>
        </w:tc>
        <w:tc>
          <w:tcPr>
            <w:tcW w:w="1381"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244,082.48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4,755,917.52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51"/>
              <w:ind w:left="22" w:right="45" w:firstLine="90"/>
              <w:jc w:val="left"/>
              <w:rPr>
                <w:rFonts w:ascii="宋体" w:hAnsi="宋体" w:cs="宋体" w:eastAsia="宋体" w:hint="default"/>
                <w:sz w:val="18"/>
                <w:szCs w:val="18"/>
              </w:rPr>
            </w:pPr>
            <w:r>
              <w:rPr>
                <w:rFonts w:ascii="宋体" w:hAnsi="宋体" w:cs="宋体" w:eastAsia="宋体" w:hint="default"/>
                <w:sz w:val="18"/>
                <w:szCs w:val="18"/>
              </w:rPr>
              <w:t>国密算法安全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机具研产一 体化项目专项补 贴</w:t>
            </w:r>
          </w:p>
        </w:tc>
        <w:tc>
          <w:tcPr>
            <w:tcW w:w="1381"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4,502,307.89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1,165,516.08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3,336,791.81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51"/>
              <w:ind w:left="22" w:right="61" w:firstLine="90"/>
              <w:jc w:val="both"/>
              <w:rPr>
                <w:rFonts w:ascii="宋体" w:hAnsi="宋体" w:cs="宋体" w:eastAsia="宋体" w:hint="default"/>
                <w:sz w:val="18"/>
                <w:szCs w:val="18"/>
              </w:rPr>
            </w:pPr>
            <w:r>
              <w:rPr>
                <w:rFonts w:ascii="Times New Roman" w:hAnsi="Times New Roman" w:cs="Times New Roman" w:eastAsia="Times New Roman" w:hint="default"/>
                <w:sz w:val="18"/>
                <w:szCs w:val="18"/>
              </w:rPr>
              <w:t>PCP4.0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电子支 付信息安全关键 技术专项补贴</w:t>
            </w:r>
          </w:p>
        </w:tc>
        <w:tc>
          <w:tcPr>
            <w:tcW w:w="1381"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51"/>
              <w:ind w:left="22" w:right="21" w:firstLine="90"/>
              <w:jc w:val="left"/>
              <w:rPr>
                <w:rFonts w:ascii="宋体" w:hAnsi="宋体" w:cs="宋体" w:eastAsia="宋体" w:hint="default"/>
                <w:sz w:val="18"/>
                <w:szCs w:val="18"/>
              </w:rPr>
            </w:pPr>
            <w:r>
              <w:rPr>
                <w:rFonts w:ascii="宋体" w:hAnsi="宋体" w:cs="宋体" w:eastAsia="宋体" w:hint="default"/>
                <w:sz w:val="18"/>
                <w:szCs w:val="18"/>
              </w:rPr>
              <w:t>基于移动互联 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系列支付 终端产业化项目 专项补贴</w:t>
            </w:r>
          </w:p>
        </w:tc>
        <w:tc>
          <w:tcPr>
            <w:tcW w:w="1381"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1,727,262.74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432,737.26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1,294,525.48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56"/>
        <w:gridCol w:w="1381"/>
        <w:gridCol w:w="1367"/>
        <w:gridCol w:w="1367"/>
        <w:gridCol w:w="1368"/>
        <w:gridCol w:w="1367"/>
        <w:gridCol w:w="1367"/>
      </w:tblGrid>
      <w:tr>
        <w:trPr>
          <w:trHeight w:val="1338"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51"/>
              <w:ind w:left="22" w:right="61" w:firstLine="90"/>
              <w:jc w:val="left"/>
              <w:rPr>
                <w:rFonts w:ascii="宋体" w:hAnsi="宋体" w:cs="宋体" w:eastAsia="宋体" w:hint="default"/>
                <w:sz w:val="18"/>
                <w:szCs w:val="18"/>
              </w:rPr>
            </w:pPr>
            <w:r>
              <w:rPr>
                <w:rFonts w:ascii="宋体" w:hAnsi="宋体" w:cs="宋体" w:eastAsia="宋体" w:hint="default"/>
                <w:sz w:val="18"/>
                <w:szCs w:val="18"/>
              </w:rPr>
              <w:t>云计算应用的 </w:t>
            </w:r>
            <w:r>
              <w:rPr>
                <w:rFonts w:ascii="Times New Roman" w:hAnsi="Times New Roman" w:cs="Times New Roman" w:eastAsia="Times New Roman" w:hint="default"/>
                <w:sz w:val="18"/>
                <w:szCs w:val="18"/>
              </w:rPr>
              <w:t>S-POS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平台软件 研发及产业化项 目专项补贴</w:t>
            </w:r>
          </w:p>
        </w:tc>
        <w:tc>
          <w:tcPr>
            <w:tcW w:w="1381"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825,000.00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525,000.00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51" w:firstLine="90"/>
              <w:jc w:val="left"/>
              <w:rPr>
                <w:rFonts w:ascii="宋体" w:hAnsi="宋体" w:cs="宋体" w:eastAsia="宋体" w:hint="default"/>
                <w:sz w:val="18"/>
                <w:szCs w:val="18"/>
              </w:rPr>
            </w:pPr>
            <w:r>
              <w:rPr>
                <w:rFonts w:ascii="宋体" w:hAnsi="宋体" w:cs="宋体" w:eastAsia="宋体" w:hint="default"/>
                <w:sz w:val="18"/>
                <w:szCs w:val="18"/>
              </w:rPr>
              <w:t>国际科技合作 项目专项补贴</w:t>
            </w:r>
          </w:p>
        </w:tc>
        <w:tc>
          <w:tcPr>
            <w:tcW w:w="1381"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51" w:firstLine="90"/>
              <w:jc w:val="left"/>
              <w:rPr>
                <w:rFonts w:ascii="宋体" w:hAnsi="宋体" w:cs="宋体" w:eastAsia="宋体" w:hint="default"/>
                <w:sz w:val="18"/>
                <w:szCs w:val="18"/>
              </w:rPr>
            </w:pPr>
            <w:r>
              <w:rPr>
                <w:rFonts w:ascii="宋体" w:hAnsi="宋体" w:cs="宋体" w:eastAsia="宋体" w:hint="default"/>
                <w:sz w:val="18"/>
                <w:szCs w:val="18"/>
              </w:rPr>
              <w:t>国际科技合作 项目专项补贴</w:t>
            </w:r>
          </w:p>
        </w:tc>
        <w:tc>
          <w:tcPr>
            <w:tcW w:w="1381"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贴息补贴款</w:t>
            </w:r>
          </w:p>
        </w:tc>
        <w:tc>
          <w:tcPr>
            <w:tcW w:w="1381"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5,210,166.67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3,223,333.34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2,786,833.33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1" w:firstLine="180"/>
              <w:jc w:val="left"/>
              <w:rPr>
                <w:rFonts w:ascii="宋体" w:hAnsi="宋体" w:cs="宋体" w:eastAsia="宋体" w:hint="default"/>
                <w:sz w:val="18"/>
                <w:szCs w:val="18"/>
              </w:rPr>
            </w:pPr>
            <w:r>
              <w:rPr>
                <w:rFonts w:ascii="宋体" w:hAnsi="宋体" w:cs="宋体" w:eastAsia="宋体" w:hint="default"/>
                <w:sz w:val="18"/>
                <w:szCs w:val="18"/>
              </w:rPr>
              <w:t>国家知识产权 优势企业奖励</w:t>
            </w:r>
          </w:p>
        </w:tc>
        <w:tc>
          <w:tcPr>
            <w:tcW w:w="1381"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产业奖励款</w:t>
            </w:r>
          </w:p>
        </w:tc>
        <w:tc>
          <w:tcPr>
            <w:tcW w:w="1381"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51" w:firstLine="90"/>
              <w:jc w:val="left"/>
              <w:rPr>
                <w:rFonts w:ascii="宋体" w:hAnsi="宋体" w:cs="宋体" w:eastAsia="宋体" w:hint="default"/>
                <w:sz w:val="18"/>
                <w:szCs w:val="18"/>
              </w:rPr>
            </w:pPr>
            <w:r>
              <w:rPr>
                <w:rFonts w:ascii="宋体" w:hAnsi="宋体" w:cs="宋体" w:eastAsia="宋体" w:hint="default"/>
                <w:sz w:val="18"/>
                <w:szCs w:val="18"/>
              </w:rPr>
              <w:t>产业转型升级 配套奖励</w:t>
            </w:r>
          </w:p>
        </w:tc>
        <w:tc>
          <w:tcPr>
            <w:tcW w:w="1381"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房租补贴</w:t>
            </w:r>
          </w:p>
        </w:tc>
        <w:tc>
          <w:tcPr>
            <w:tcW w:w="1381"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1" w:firstLine="90"/>
              <w:jc w:val="left"/>
              <w:rPr>
                <w:rFonts w:ascii="宋体" w:hAnsi="宋体" w:cs="宋体" w:eastAsia="宋体" w:hint="default"/>
                <w:sz w:val="18"/>
                <w:szCs w:val="18"/>
              </w:rPr>
            </w:pPr>
            <w:r>
              <w:rPr>
                <w:rFonts w:ascii="宋体" w:hAnsi="宋体" w:cs="宋体" w:eastAsia="宋体" w:hint="default"/>
                <w:sz w:val="18"/>
                <w:szCs w:val="18"/>
              </w:rPr>
              <w:t>高端移动智能 支付终端设计和 成果转化奖励款</w:t>
            </w:r>
          </w:p>
        </w:tc>
        <w:tc>
          <w:tcPr>
            <w:tcW w:w="1381"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51" w:firstLine="90"/>
              <w:jc w:val="left"/>
              <w:rPr>
                <w:rFonts w:ascii="宋体" w:hAnsi="宋体" w:cs="宋体" w:eastAsia="宋体" w:hint="default"/>
                <w:sz w:val="18"/>
                <w:szCs w:val="18"/>
              </w:rPr>
            </w:pPr>
            <w:r>
              <w:rPr>
                <w:rFonts w:ascii="宋体" w:hAnsi="宋体" w:cs="宋体" w:eastAsia="宋体" w:hint="default"/>
                <w:sz w:val="18"/>
                <w:szCs w:val="18"/>
              </w:rPr>
              <w:t>工业设计和成 果转化资助款</w:t>
            </w:r>
          </w:p>
        </w:tc>
        <w:tc>
          <w:tcPr>
            <w:tcW w:w="1381"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1,308,544.14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261,455.86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见习补贴</w:t>
            </w:r>
          </w:p>
        </w:tc>
        <w:tc>
          <w:tcPr>
            <w:tcW w:w="1381"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105,363.80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105,363.80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51" w:firstLine="90"/>
              <w:jc w:val="left"/>
              <w:rPr>
                <w:rFonts w:ascii="宋体" w:hAnsi="宋体" w:cs="宋体" w:eastAsia="宋体" w:hint="default"/>
                <w:sz w:val="18"/>
                <w:szCs w:val="18"/>
              </w:rPr>
            </w:pPr>
            <w:r>
              <w:rPr>
                <w:rFonts w:ascii="宋体" w:hAnsi="宋体" w:cs="宋体" w:eastAsia="宋体" w:hint="default"/>
                <w:sz w:val="18"/>
                <w:szCs w:val="18"/>
              </w:rPr>
              <w:t>金融服务机构 奖励款</w:t>
            </w:r>
          </w:p>
        </w:tc>
        <w:tc>
          <w:tcPr>
            <w:tcW w:w="1381"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51" w:firstLine="90"/>
              <w:jc w:val="left"/>
              <w:rPr>
                <w:rFonts w:ascii="宋体" w:hAnsi="宋体" w:cs="宋体" w:eastAsia="宋体" w:hint="default"/>
                <w:sz w:val="18"/>
                <w:szCs w:val="18"/>
              </w:rPr>
            </w:pPr>
            <w:r>
              <w:rPr>
                <w:rFonts w:ascii="宋体" w:hAnsi="宋体" w:cs="宋体" w:eastAsia="宋体" w:hint="default"/>
                <w:sz w:val="18"/>
                <w:szCs w:val="18"/>
              </w:rPr>
              <w:t>科技型中小企 业创新基金</w:t>
            </w:r>
          </w:p>
        </w:tc>
        <w:tc>
          <w:tcPr>
            <w:tcW w:w="1381"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51" w:firstLine="90"/>
              <w:jc w:val="left"/>
              <w:rPr>
                <w:rFonts w:ascii="宋体" w:hAnsi="宋体" w:cs="宋体" w:eastAsia="宋体" w:hint="default"/>
                <w:sz w:val="18"/>
                <w:szCs w:val="18"/>
              </w:rPr>
            </w:pPr>
            <w:r>
              <w:rPr>
                <w:rFonts w:ascii="宋体" w:hAnsi="宋体" w:cs="宋体" w:eastAsia="宋体" w:hint="default"/>
                <w:sz w:val="18"/>
                <w:szCs w:val="18"/>
              </w:rPr>
              <w:t>绿色建筑政府 补贴款</w:t>
            </w:r>
          </w:p>
        </w:tc>
        <w:tc>
          <w:tcPr>
            <w:tcW w:w="1381"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11,194.05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738,805.95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房屋配套补贴</w:t>
            </w:r>
          </w:p>
        </w:tc>
        <w:tc>
          <w:tcPr>
            <w:tcW w:w="1381"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4,405,077.00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165,190.32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4,239,886.68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51" w:firstLine="90"/>
              <w:jc w:val="left"/>
              <w:rPr>
                <w:rFonts w:ascii="宋体" w:hAnsi="宋体" w:cs="宋体" w:eastAsia="宋体" w:hint="default"/>
                <w:sz w:val="18"/>
                <w:szCs w:val="18"/>
              </w:rPr>
            </w:pPr>
            <w:r>
              <w:rPr>
                <w:rFonts w:ascii="宋体" w:hAnsi="宋体" w:cs="宋体" w:eastAsia="宋体" w:hint="default"/>
                <w:sz w:val="18"/>
                <w:szCs w:val="18"/>
              </w:rPr>
              <w:t>企业研究开发 资助</w:t>
            </w:r>
          </w:p>
        </w:tc>
        <w:tc>
          <w:tcPr>
            <w:tcW w:w="1381"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51" w:firstLine="90"/>
              <w:jc w:val="left"/>
              <w:rPr>
                <w:rFonts w:ascii="宋体" w:hAnsi="宋体" w:cs="宋体" w:eastAsia="宋体" w:hint="default"/>
                <w:sz w:val="18"/>
                <w:szCs w:val="18"/>
              </w:rPr>
            </w:pPr>
            <w:r>
              <w:rPr>
                <w:rFonts w:ascii="宋体" w:hAnsi="宋体" w:cs="宋体" w:eastAsia="宋体" w:hint="default"/>
                <w:sz w:val="18"/>
                <w:szCs w:val="18"/>
              </w:rPr>
              <w:t>商务局扶持基 金</w:t>
            </w:r>
          </w:p>
        </w:tc>
        <w:tc>
          <w:tcPr>
            <w:tcW w:w="1381"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151" w:firstLine="90"/>
              <w:jc w:val="left"/>
              <w:rPr>
                <w:rFonts w:ascii="宋体" w:hAnsi="宋体" w:cs="宋体" w:eastAsia="宋体" w:hint="default"/>
                <w:sz w:val="18"/>
                <w:szCs w:val="18"/>
              </w:rPr>
            </w:pPr>
            <w:r>
              <w:rPr>
                <w:rFonts w:ascii="宋体" w:hAnsi="宋体" w:cs="宋体" w:eastAsia="宋体" w:hint="default"/>
                <w:sz w:val="18"/>
                <w:szCs w:val="18"/>
              </w:rPr>
              <w:t>首套产品示范 应用项目资助</w:t>
            </w:r>
          </w:p>
        </w:tc>
        <w:tc>
          <w:tcPr>
            <w:tcW w:w="1381"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381"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95,837.35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95,837.35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移动互联网产业 发展奖励款</w:t>
            </w:r>
          </w:p>
        </w:tc>
        <w:tc>
          <w:tcPr>
            <w:tcW w:w="1381"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中小企业集成化</w:t>
            </w:r>
          </w:p>
        </w:tc>
        <w:tc>
          <w:tcPr>
            <w:tcW w:w="1381"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317,796.97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322,203.03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56"/>
        <w:gridCol w:w="1381"/>
        <w:gridCol w:w="1367"/>
        <w:gridCol w:w="1367"/>
        <w:gridCol w:w="1368"/>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资助款</w:t>
            </w:r>
          </w:p>
        </w:tc>
        <w:tc>
          <w:tcPr>
            <w:tcW w:w="1381"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1381"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196,360.00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196,360.00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51" w:firstLine="90"/>
              <w:jc w:val="left"/>
              <w:rPr>
                <w:rFonts w:ascii="宋体" w:hAnsi="宋体" w:cs="宋体" w:eastAsia="宋体" w:hint="default"/>
                <w:sz w:val="18"/>
                <w:szCs w:val="18"/>
              </w:rPr>
            </w:pPr>
            <w:r>
              <w:rPr>
                <w:rFonts w:ascii="宋体" w:hAnsi="宋体" w:cs="宋体" w:eastAsia="宋体" w:hint="default"/>
                <w:sz w:val="18"/>
                <w:szCs w:val="18"/>
              </w:rPr>
              <w:t>总部经营奖励 款</w:t>
            </w:r>
          </w:p>
        </w:tc>
        <w:tc>
          <w:tcPr>
            <w:tcW w:w="1381"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567,500.00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市场监督管理局 补助</w:t>
            </w:r>
          </w:p>
        </w:tc>
        <w:tc>
          <w:tcPr>
            <w:tcW w:w="1381" w:type="dxa"/>
            <w:tcBorders>
              <w:top w:val="single" w:sz="4" w:space="0" w:color="000000"/>
              <w:left w:val="single" w:sz="13" w:space="0" w:color="CCE8CF"/>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20,464,737.30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24,816,538.15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24,419,855.79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20,861,419.66</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94"/>
        <w:jc w:val="left"/>
      </w:pPr>
      <w:r>
        <w:rPr/>
        <w:t>其他说明：</w:t>
      </w:r>
    </w:p>
    <w:p>
      <w:pPr>
        <w:pStyle w:val="Heading6"/>
        <w:spacing w:line="240" w:lineRule="auto" w:before="90"/>
        <w:ind w:left="1554" w:right="994" w:firstLine="0"/>
        <w:jc w:val="left"/>
      </w:pPr>
      <w:r>
        <w:rPr>
          <w:spacing w:val="5"/>
        </w:rPr>
        <w:t>本期计入当期损益金额中，计入其他收益</w:t>
      </w:r>
      <w:r>
        <w:rPr>
          <w:rFonts w:ascii="Times New Roman" w:hAnsi="Times New Roman" w:cs="Times New Roman" w:eastAsia="Times New Roman" w:hint="default"/>
          <w:spacing w:val="5"/>
        </w:rPr>
        <w:t>21,196,522.45</w:t>
      </w:r>
      <w:r>
        <w:rPr>
          <w:spacing w:val="5"/>
        </w:rPr>
        <w:t>元，计入营业外收入</w:t>
      </w:r>
      <w:r>
        <w:rPr>
          <w:rFonts w:ascii="Times New Roman" w:hAnsi="Times New Roman" w:cs="Times New Roman" w:eastAsia="Times New Roman" w:hint="default"/>
          <w:spacing w:val="5"/>
        </w:rPr>
        <w:t>0.00</w:t>
      </w:r>
      <w:r>
        <w:rPr>
          <w:spacing w:val="5"/>
        </w:rPr>
        <w:t>元，冲减财务费用</w:t>
      </w:r>
    </w:p>
    <w:p>
      <w:pPr>
        <w:pStyle w:val="Heading6"/>
        <w:spacing w:line="240" w:lineRule="auto" w:before="21"/>
        <w:ind w:right="994" w:firstLine="0"/>
        <w:jc w:val="left"/>
      </w:pPr>
      <w:r>
        <w:rPr>
          <w:rFonts w:ascii="Times New Roman" w:hAnsi="Times New Roman" w:cs="Times New Roman" w:eastAsia="Times New Roman" w:hint="default"/>
        </w:rPr>
        <w:t>3,223,333.34</w:t>
      </w:r>
      <w:r>
        <w:rPr/>
        <w:t>元。</w:t>
      </w:r>
    </w:p>
    <w:p>
      <w:pPr>
        <w:pStyle w:val="Heading6"/>
        <w:spacing w:line="256" w:lineRule="auto" w:before="21"/>
        <w:ind w:right="1132"/>
        <w:jc w:val="both"/>
      </w:pPr>
      <w:r>
        <w:rPr>
          <w:spacing w:val="-2"/>
        </w:rPr>
        <w:t>（</w:t>
      </w:r>
      <w:r>
        <w:rPr>
          <w:rFonts w:ascii="Times New Roman" w:hAnsi="Times New Roman" w:cs="Times New Roman" w:eastAsia="Times New Roman" w:hint="default"/>
          <w:spacing w:val="-2"/>
        </w:rPr>
        <w:t>1</w:t>
      </w:r>
      <w:r>
        <w:rPr>
          <w:spacing w:val="-2"/>
        </w:rPr>
        <w:t>）本公司收到指纹与人脸识别安全支付技术专项补贴</w:t>
      </w:r>
      <w:r>
        <w:rPr>
          <w:rFonts w:ascii="Times New Roman" w:hAnsi="Times New Roman" w:cs="Times New Roman" w:eastAsia="Times New Roman" w:hint="default"/>
          <w:spacing w:val="-2"/>
        </w:rPr>
        <w:t>500.00</w:t>
      </w:r>
      <w:r>
        <w:rPr>
          <w:spacing w:val="-2"/>
        </w:rPr>
        <w:t>万元，截止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日该项目剩余</w:t>
      </w:r>
      <w:r>
        <w:rPr/>
        <w:t> 摊销金额</w:t>
      </w:r>
      <w:r>
        <w:rPr>
          <w:rFonts w:ascii="Times New Roman" w:hAnsi="Times New Roman" w:cs="Times New Roman" w:eastAsia="Times New Roman" w:hint="default"/>
        </w:rPr>
        <w:t>4,755,917.52</w:t>
      </w:r>
      <w:r>
        <w:rPr/>
        <w:t>元。</w:t>
      </w:r>
    </w:p>
    <w:p>
      <w:pPr>
        <w:pStyle w:val="Heading6"/>
        <w:spacing w:line="256" w:lineRule="auto"/>
        <w:ind w:right="1130"/>
        <w:jc w:val="both"/>
      </w:pPr>
      <w:r>
        <w:rPr>
          <w:spacing w:val="-1"/>
        </w:rPr>
        <w:t>（</w:t>
      </w:r>
      <w:r>
        <w:rPr>
          <w:rFonts w:ascii="Times New Roman" w:hAnsi="Times New Roman" w:cs="Times New Roman" w:eastAsia="Times New Roman" w:hint="default"/>
          <w:spacing w:val="-1"/>
        </w:rPr>
        <w:t>2</w:t>
      </w:r>
      <w:r>
        <w:rPr>
          <w:spacing w:val="-1"/>
        </w:rPr>
        <w:t>）本公司收到</w:t>
      </w:r>
      <w:r>
        <w:rPr>
          <w:rFonts w:ascii="Times New Roman" w:hAnsi="Times New Roman" w:cs="Times New Roman" w:eastAsia="Times New Roman" w:hint="default"/>
          <w:spacing w:val="-1"/>
        </w:rPr>
        <w:t>“</w:t>
      </w:r>
      <w:r>
        <w:rPr>
          <w:spacing w:val="-1"/>
        </w:rPr>
        <w:t>国密算法安全</w:t>
      </w:r>
      <w:r>
        <w:rPr>
          <w:rFonts w:ascii="Times New Roman" w:hAnsi="Times New Roman" w:cs="Times New Roman" w:eastAsia="Times New Roman" w:hint="default"/>
          <w:spacing w:val="-1"/>
        </w:rPr>
        <w:t>POS</w:t>
      </w:r>
      <w:r>
        <w:rPr>
          <w:spacing w:val="-1"/>
        </w:rPr>
        <w:t>机具研产一体化项目</w:t>
      </w:r>
      <w:r>
        <w:rPr>
          <w:rFonts w:ascii="Times New Roman" w:hAnsi="Times New Roman" w:cs="Times New Roman" w:eastAsia="Times New Roman" w:hint="default"/>
          <w:spacing w:val="-1"/>
        </w:rPr>
        <w:t>”</w:t>
      </w:r>
      <w:r>
        <w:rPr>
          <w:spacing w:val="-1"/>
        </w:rPr>
        <w:t>专项资助款</w:t>
      </w:r>
      <w:r>
        <w:rPr>
          <w:rFonts w:ascii="Times New Roman" w:hAnsi="Times New Roman" w:cs="Times New Roman" w:eastAsia="Times New Roman" w:hint="default"/>
          <w:spacing w:val="-1"/>
        </w:rPr>
        <w:t>675.00</w:t>
      </w:r>
      <w:r>
        <w:rPr>
          <w:spacing w:val="-1"/>
        </w:rPr>
        <w:t>万元，截止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 </w:t>
      </w:r>
      <w:r>
        <w:rPr/>
        <w:t>日该项目剩余摊销金额</w:t>
      </w:r>
      <w:r>
        <w:rPr>
          <w:rFonts w:ascii="Times New Roman" w:hAnsi="Times New Roman" w:cs="Times New Roman" w:eastAsia="Times New Roman" w:hint="default"/>
        </w:rPr>
        <w:t>3,336,791.81</w:t>
      </w:r>
      <w:r>
        <w:rPr/>
        <w:t>元。</w:t>
      </w:r>
    </w:p>
    <w:p>
      <w:pPr>
        <w:pStyle w:val="Heading6"/>
        <w:spacing w:line="256" w:lineRule="auto" w:before="125"/>
        <w:ind w:left="1134" w:right="1132"/>
        <w:jc w:val="both"/>
      </w:pPr>
      <w:r>
        <w:rPr>
          <w:spacing w:val="-1"/>
        </w:rPr>
        <w:t>（</w:t>
      </w:r>
      <w:r>
        <w:rPr>
          <w:rFonts w:ascii="Times New Roman" w:hAnsi="Times New Roman" w:cs="Times New Roman" w:eastAsia="Times New Roman" w:hint="default"/>
          <w:spacing w:val="-1"/>
        </w:rPr>
        <w:t>3</w:t>
      </w:r>
      <w:r>
        <w:rPr>
          <w:spacing w:val="-1"/>
        </w:rPr>
        <w:t>）本公司收到</w:t>
      </w:r>
      <w:r>
        <w:rPr>
          <w:rFonts w:ascii="Times New Roman" w:hAnsi="Times New Roman" w:cs="Times New Roman" w:eastAsia="Times New Roman" w:hint="default"/>
          <w:spacing w:val="-1"/>
        </w:rPr>
        <w:t>PCP4.0</w:t>
      </w:r>
      <w:r>
        <w:rPr>
          <w:spacing w:val="-1"/>
        </w:rPr>
        <w:t>电子支付信息安全关键技术补贴款</w:t>
      </w:r>
      <w:r>
        <w:rPr>
          <w:rFonts w:ascii="Times New Roman" w:hAnsi="Times New Roman" w:cs="Times New Roman" w:eastAsia="Times New Roman" w:hint="default"/>
          <w:spacing w:val="-1"/>
        </w:rPr>
        <w:t>400.00</w:t>
      </w:r>
      <w:r>
        <w:rPr>
          <w:spacing w:val="-1"/>
        </w:rPr>
        <w:t>万元，其中购买设备</w:t>
      </w:r>
      <w:r>
        <w:rPr>
          <w:rFonts w:ascii="Times New Roman" w:hAnsi="Times New Roman" w:cs="Times New Roman" w:eastAsia="Times New Roman" w:hint="default"/>
          <w:spacing w:val="-1"/>
        </w:rPr>
        <w:t>300.00</w:t>
      </w:r>
      <w:r>
        <w:rPr>
          <w:spacing w:val="-1"/>
        </w:rPr>
        <w:t>万元，支</w:t>
      </w:r>
      <w:r>
        <w:rPr/>
        <w:t> 付研发费用</w:t>
      </w:r>
      <w:r>
        <w:rPr>
          <w:rFonts w:ascii="Times New Roman" w:hAnsi="Times New Roman" w:cs="Times New Roman" w:eastAsia="Times New Roman" w:hint="default"/>
        </w:rPr>
        <w:t>100.00</w:t>
      </w:r>
      <w:r>
        <w:rPr/>
        <w:t>万元，截止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日该项目剩余摊销金额</w:t>
      </w:r>
      <w:r>
        <w:rPr>
          <w:rFonts w:ascii="Times New Roman" w:hAnsi="Times New Roman" w:cs="Times New Roman" w:eastAsia="Times New Roman" w:hint="default"/>
        </w:rPr>
        <w:t>2,100,000.00</w:t>
      </w:r>
      <w:r>
        <w:rPr/>
        <w:t>元。</w:t>
      </w:r>
    </w:p>
    <w:p>
      <w:pPr>
        <w:pStyle w:val="Heading6"/>
        <w:spacing w:line="256" w:lineRule="auto" w:before="125"/>
        <w:ind w:left="1134" w:right="1133"/>
        <w:jc w:val="both"/>
      </w:pPr>
      <w:r>
        <w:rPr>
          <w:spacing w:val="-1"/>
        </w:rPr>
        <w:t>（</w:t>
      </w:r>
      <w:r>
        <w:rPr>
          <w:rFonts w:ascii="Times New Roman" w:hAnsi="Times New Roman" w:cs="Times New Roman" w:eastAsia="Times New Roman" w:hint="default"/>
          <w:spacing w:val="-1"/>
        </w:rPr>
        <w:t>4</w:t>
      </w:r>
      <w:r>
        <w:rPr>
          <w:spacing w:val="-1"/>
        </w:rPr>
        <w:t>）本公司收到基于移动互联网的</w:t>
      </w:r>
      <w:r>
        <w:rPr>
          <w:rFonts w:ascii="Times New Roman" w:hAnsi="Times New Roman" w:cs="Times New Roman" w:eastAsia="Times New Roman" w:hint="default"/>
          <w:spacing w:val="-1"/>
        </w:rPr>
        <w:t>G</w:t>
      </w:r>
      <w:r>
        <w:rPr>
          <w:spacing w:val="-1"/>
        </w:rPr>
        <w:t>系列支付终端产业化补贴款</w:t>
      </w:r>
      <w:r>
        <w:rPr>
          <w:rFonts w:ascii="Times New Roman" w:hAnsi="Times New Roman" w:cs="Times New Roman" w:eastAsia="Times New Roman" w:hint="default"/>
          <w:spacing w:val="-1"/>
        </w:rPr>
        <w:t>270.00</w:t>
      </w:r>
      <w:r>
        <w:rPr>
          <w:spacing w:val="-1"/>
        </w:rPr>
        <w:t>万元，截止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日该</w:t>
      </w:r>
      <w:r>
        <w:rPr>
          <w:spacing w:val="-2"/>
        </w:rPr>
        <w:t> </w:t>
      </w:r>
      <w:r>
        <w:rPr/>
        <w:t>项目剩余摊销金额</w:t>
      </w:r>
      <w:r>
        <w:rPr>
          <w:rFonts w:ascii="Times New Roman" w:hAnsi="Times New Roman" w:cs="Times New Roman" w:eastAsia="Times New Roman" w:hint="default"/>
        </w:rPr>
        <w:t>1,294,525.48</w:t>
      </w:r>
      <w:r>
        <w:rPr/>
        <w:t>元。</w:t>
      </w:r>
    </w:p>
    <w:p>
      <w:pPr>
        <w:pStyle w:val="Heading6"/>
        <w:spacing w:line="256" w:lineRule="auto" w:before="125"/>
        <w:ind w:right="1130"/>
        <w:jc w:val="both"/>
      </w:pPr>
      <w:r>
        <w:rPr/>
        <w:t>（</w:t>
      </w:r>
      <w:r>
        <w:rPr>
          <w:rFonts w:ascii="Times New Roman" w:hAnsi="Times New Roman" w:cs="Times New Roman" w:eastAsia="Times New Roman" w:hint="default"/>
        </w:rPr>
        <w:t>5</w:t>
      </w:r>
      <w:r>
        <w:rPr/>
        <w:t>）本公司收到借款贴息补贴款</w:t>
      </w:r>
      <w:r>
        <w:rPr>
          <w:rFonts w:ascii="Times New Roman" w:hAnsi="Times New Roman" w:cs="Times New Roman" w:eastAsia="Times New Roman" w:hint="default"/>
        </w:rPr>
        <w:t>727.00</w:t>
      </w:r>
      <w:r>
        <w:rPr/>
        <w:t>万元，用于</w:t>
      </w:r>
      <w:r>
        <w:rPr>
          <w:rFonts w:ascii="Times New Roman" w:hAnsi="Times New Roman" w:cs="Times New Roman" w:eastAsia="Times New Roman" w:hint="default"/>
        </w:rPr>
        <w:t>3</w:t>
      </w:r>
      <w:r>
        <w:rPr/>
        <w:t>年利息的补贴，截止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日该资金剩余 摊销金额</w:t>
      </w:r>
      <w:r>
        <w:rPr>
          <w:rFonts w:ascii="Times New Roman" w:hAnsi="Times New Roman" w:cs="Times New Roman" w:eastAsia="Times New Roman" w:hint="default"/>
        </w:rPr>
        <w:t>2,786,833.33</w:t>
      </w:r>
      <w:r>
        <w:rPr/>
        <w:t>元。本公司之子公司深圳市易联技术有限公司收到借款贴息补贴款</w:t>
      </w:r>
      <w:r>
        <w:rPr>
          <w:rFonts w:ascii="Times New Roman" w:hAnsi="Times New Roman" w:cs="Times New Roman" w:eastAsia="Times New Roman" w:hint="default"/>
        </w:rPr>
        <w:t>80.00</w:t>
      </w:r>
      <w:r>
        <w:rPr/>
        <w:t>万元，用于</w:t>
      </w:r>
      <w:r>
        <w:rPr>
          <w:spacing w:val="-28"/>
        </w:rPr>
        <w:t> </w:t>
      </w:r>
      <w:r>
        <w:rPr>
          <w:spacing w:val="-28"/>
        </w:rPr>
      </w:r>
      <w:r>
        <w:rPr/>
        <w:t>已归还借款产生利息的补贴。</w:t>
      </w:r>
    </w:p>
    <w:p>
      <w:pPr>
        <w:pStyle w:val="Heading6"/>
        <w:spacing w:line="256" w:lineRule="auto" w:before="142"/>
        <w:ind w:right="1130"/>
        <w:jc w:val="both"/>
      </w:pPr>
      <w:r>
        <w:rPr/>
        <w:t>（</w:t>
      </w:r>
      <w:r>
        <w:rPr>
          <w:rFonts w:ascii="Times New Roman" w:hAnsi="Times New Roman" w:cs="Times New Roman" w:eastAsia="Times New Roman" w:hint="default"/>
        </w:rPr>
        <w:t>6</w:t>
      </w:r>
      <w:r>
        <w:rPr/>
        <w:t>）本公司之子公司苏州新国都电子技术有限公司收到房屋配套补贴</w:t>
      </w:r>
      <w:r>
        <w:rPr>
          <w:rFonts w:ascii="Times New Roman" w:hAnsi="Times New Roman" w:cs="Times New Roman" w:eastAsia="Times New Roman" w:hint="default"/>
        </w:rPr>
        <w:t>4,405,077.00</w:t>
      </w:r>
      <w:r>
        <w:rPr/>
        <w:t>元，截止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t>日该项目剩余摊销金额</w:t>
      </w:r>
      <w:r>
        <w:rPr>
          <w:rFonts w:ascii="Times New Roman" w:hAnsi="Times New Roman" w:cs="Times New Roman" w:eastAsia="Times New Roman" w:hint="default"/>
        </w:rPr>
        <w:t>4,239,886.68</w:t>
      </w:r>
      <w:r>
        <w:rPr/>
        <w:t>元。</w:t>
      </w:r>
    </w:p>
    <w:p>
      <w:pPr>
        <w:spacing w:line="240" w:lineRule="auto" w:before="5"/>
        <w:rPr>
          <w:rFonts w:ascii="宋体" w:hAnsi="宋体" w:cs="宋体" w:eastAsia="宋体" w:hint="default"/>
          <w:sz w:val="23"/>
          <w:szCs w:val="23"/>
        </w:rPr>
      </w:pPr>
    </w:p>
    <w:p>
      <w:pPr>
        <w:pStyle w:val="Heading5"/>
        <w:spacing w:line="240" w:lineRule="auto"/>
        <w:ind w:right="994"/>
        <w:jc w:val="left"/>
        <w:rPr>
          <w:b w:val="0"/>
          <w:bCs w:val="0"/>
        </w:rPr>
      </w:pPr>
      <w:bookmarkStart w:name="52、其他非流动负债" w:id="370"/>
      <w:bookmarkEnd w:id="370"/>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53、股本" w:id="371"/>
      <w:bookmarkEnd w:id="371"/>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235,434,080.00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30,012,300.00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30,012,300.00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265,446,380.00</w:t>
            </w:r>
          </w:p>
        </w:tc>
      </w:tr>
    </w:tbl>
    <w:p>
      <w:pPr>
        <w:pStyle w:val="BodyText"/>
        <w:spacing w:line="240" w:lineRule="auto" w:before="51"/>
        <w:ind w:left="1134" w:right="994"/>
        <w:jc w:val="left"/>
      </w:pPr>
      <w:r>
        <w:rPr/>
        <w:t>其他说明：</w:t>
      </w:r>
    </w:p>
    <w:p>
      <w:pPr>
        <w:spacing w:line="240" w:lineRule="auto" w:before="1"/>
        <w:rPr>
          <w:rFonts w:ascii="宋体" w:hAnsi="宋体" w:cs="宋体" w:eastAsia="宋体" w:hint="default"/>
          <w:sz w:val="13"/>
          <w:szCs w:val="13"/>
        </w:rPr>
      </w:pPr>
    </w:p>
    <w:p>
      <w:pPr>
        <w:pStyle w:val="Heading6"/>
        <w:spacing w:line="256" w:lineRule="auto" w:before="0"/>
        <w:ind w:right="1198" w:firstLine="0"/>
        <w:jc w:val="left"/>
      </w:pPr>
      <w:r>
        <w:rPr>
          <w:rFonts w:ascii="Times New Roman" w:hAnsi="Times New Roman" w:cs="Times New Roman" w:eastAsia="Times New Roman" w:hint="default"/>
        </w:rPr>
        <w:t>1</w:t>
      </w:r>
      <w:r>
        <w:rPr/>
        <w:t>、本期股本增加系①根据中国证券监督管理委员会《关于核准深圳市新国都技术股份有限公司非公开发 行股票的批复》（证监许可</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rFonts w:ascii="Times New Roman" w:hAnsi="Times New Roman" w:cs="Times New Roman" w:eastAsia="Times New Roman" w:hint="default"/>
        </w:rPr>
        <w:t>1146</w:t>
      </w:r>
      <w:r>
        <w:rPr/>
        <w:t>号），本公司通过非公开发行方式，发行</w:t>
      </w:r>
      <w:r>
        <w:rPr>
          <w:rFonts w:ascii="Times New Roman" w:hAnsi="Times New Roman" w:cs="Times New Roman" w:eastAsia="Times New Roman" w:hint="default"/>
        </w:rPr>
        <w:t>2,500.00</w:t>
      </w:r>
      <w:r>
        <w:rPr/>
        <w:t>万股新股，募集</w:t>
      </w:r>
    </w:p>
    <w:p>
      <w:pPr>
        <w:spacing w:after="0" w:line="25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56" w:lineRule="auto" w:before="35"/>
        <w:ind w:right="1268" w:firstLine="0"/>
        <w:jc w:val="left"/>
      </w:pPr>
      <w:r>
        <w:rPr/>
        <w:t>资金总额为</w:t>
      </w:r>
      <w:r>
        <w:rPr>
          <w:rFonts w:ascii="Times New Roman" w:hAnsi="Times New Roman" w:cs="Times New Roman" w:eastAsia="Times New Roman" w:hint="default"/>
        </w:rPr>
        <w:t>455,500,000.00</w:t>
      </w:r>
      <w:r>
        <w:rPr/>
        <w:t>元，扣除承销费、保荐费</w:t>
      </w:r>
      <w:r>
        <w:rPr>
          <w:rFonts w:ascii="Times New Roman" w:hAnsi="Times New Roman" w:cs="Times New Roman" w:eastAsia="Times New Roman" w:hint="default"/>
        </w:rPr>
        <w:t>10,880,000.00</w:t>
      </w:r>
      <w:r>
        <w:rPr/>
        <w:t>元后实际募集资金净额为</w:t>
      </w:r>
      <w:r>
        <w:rPr>
          <w:rFonts w:ascii="Times New Roman" w:hAnsi="Times New Roman" w:cs="Times New Roman" w:eastAsia="Times New Roman" w:hint="default"/>
        </w:rPr>
        <w:t>444,620,000.00 </w:t>
      </w:r>
      <w:r>
        <w:rPr/>
        <w:t>元。上述交易完成后，本公司新增注册资本</w:t>
      </w:r>
      <w:r>
        <w:rPr>
          <w:rFonts w:ascii="Times New Roman" w:hAnsi="Times New Roman" w:cs="Times New Roman" w:eastAsia="Times New Roman" w:hint="default"/>
        </w:rPr>
        <w:t>25,000,000.00</w:t>
      </w:r>
      <w:r>
        <w:rPr/>
        <w:t>元，实际募集资金净额与新增注册资本的差额 </w:t>
      </w:r>
      <w:r>
        <w:rPr>
          <w:rFonts w:ascii="Times New Roman" w:hAnsi="Times New Roman" w:cs="Times New Roman" w:eastAsia="Times New Roman" w:hint="default"/>
        </w:rPr>
        <w:t>420,235,849.04</w:t>
      </w:r>
      <w:r>
        <w:rPr/>
        <w:t>元计入资本公积</w:t>
      </w:r>
      <w:r>
        <w:rPr>
          <w:rFonts w:ascii="Times New Roman" w:hAnsi="Times New Roman" w:cs="Times New Roman" w:eastAsia="Times New Roman" w:hint="default"/>
        </w:rPr>
        <w:t>-</w:t>
      </w:r>
      <w:r>
        <w:rPr/>
        <w:t>股本溢价。②股权激励行权所致。</w:t>
      </w:r>
    </w:p>
    <w:p>
      <w:pPr>
        <w:pStyle w:val="Heading6"/>
        <w:spacing w:line="256" w:lineRule="auto" w:before="125"/>
        <w:ind w:left="1134" w:right="1197" w:firstLine="0"/>
        <w:jc w:val="left"/>
      </w:pP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日中国证券登记结算有限责任公司登记的股本总额为</w:t>
      </w:r>
      <w:r>
        <w:rPr>
          <w:rFonts w:ascii="Times New Roman" w:hAnsi="Times New Roman" w:cs="Times New Roman" w:eastAsia="Times New Roman" w:hint="default"/>
        </w:rPr>
        <w:t>265,486,700</w:t>
      </w:r>
      <w:r>
        <w:rPr/>
        <w:t>股，其中已在中国 证券登记结算有限责任公司登记但公司未收到款项股本</w:t>
      </w:r>
      <w:r>
        <w:rPr>
          <w:rFonts w:ascii="Times New Roman" w:hAnsi="Times New Roman" w:cs="Times New Roman" w:eastAsia="Times New Roman" w:hint="default"/>
        </w:rPr>
        <w:t>40,320</w:t>
      </w:r>
      <w:r>
        <w:rPr/>
        <w:t>股。</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5"/>
        <w:spacing w:line="240" w:lineRule="auto"/>
        <w:ind w:left="1134" w:right="994"/>
        <w:jc w:val="left"/>
        <w:rPr>
          <w:b w:val="0"/>
          <w:bCs w:val="0"/>
        </w:rPr>
      </w:pPr>
      <w:bookmarkStart w:name="54、其他权益工具" w:id="372"/>
      <w:bookmarkEnd w:id="372"/>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1）期末发行在外的优先股、永续债等其他金融工具基本情况" w:id="373"/>
      <w:bookmarkEnd w:id="373"/>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2）期末发行在外的优先股、永续债等金融工具变动情况表" w:id="374"/>
      <w:bookmarkEnd w:id="374"/>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5"/>
        <w:spacing w:line="240" w:lineRule="auto"/>
        <w:ind w:right="994"/>
        <w:jc w:val="left"/>
        <w:rPr>
          <w:b w:val="0"/>
          <w:bCs w:val="0"/>
        </w:rPr>
      </w:pPr>
      <w:bookmarkStart w:name="55、资本公积" w:id="375"/>
      <w:bookmarkEnd w:id="375"/>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622,155,850.32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476,039,955.86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1,098,195,806.18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45,520,312.61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12,343,950.83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23,105,887.88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34,758,375.56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667,676,162.93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488,383,906.69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23,105,887.88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1,132,954,181.74</w:t>
            </w:r>
          </w:p>
        </w:tc>
      </w:tr>
    </w:tbl>
    <w:p>
      <w:pPr>
        <w:pStyle w:val="BodyText"/>
        <w:spacing w:line="240" w:lineRule="auto" w:before="51"/>
        <w:ind w:left="1134" w:right="994"/>
        <w:jc w:val="left"/>
      </w:pPr>
      <w:r>
        <w:rPr/>
        <w:t>其他说明，包括本期增减变动情况、变动原因说明：</w:t>
      </w:r>
    </w:p>
    <w:p>
      <w:pPr>
        <w:pStyle w:val="Heading6"/>
        <w:spacing w:line="273" w:lineRule="auto" w:before="90"/>
        <w:ind w:right="5083" w:firstLine="0"/>
        <w:jc w:val="left"/>
      </w:pPr>
      <w:r>
        <w:rPr/>
        <w:t>股本溢价本期增加主要系由于发行新股及股权激励行权所致。 其他资本公积本期增加系由于股份支付所形成。 其他资本公积本期减少系由于股权激励行权所致。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left="1134" w:right="994"/>
        <w:jc w:val="left"/>
        <w:rPr>
          <w:b w:val="0"/>
          <w:bCs w:val="0"/>
        </w:rPr>
      </w:pPr>
      <w:bookmarkStart w:name="56、库存股" w:id="376"/>
      <w:bookmarkEnd w:id="376"/>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134" w:right="994"/>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5"/>
        <w:spacing w:line="240" w:lineRule="auto"/>
        <w:ind w:left="1134" w:right="994"/>
        <w:jc w:val="left"/>
        <w:rPr>
          <w:b w:val="0"/>
          <w:bCs w:val="0"/>
        </w:rPr>
      </w:pPr>
      <w:bookmarkStart w:name="57、其他综合收益" w:id="377"/>
      <w:bookmarkEnd w:id="377"/>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-119,750.39</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-9,571,243.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-9,571,243.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-9,690,99</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4.36</w:t>
            </w:r>
          </w:p>
        </w:tc>
      </w:tr>
      <w:tr>
        <w:trPr>
          <w:trHeight w:val="1026"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6"/>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282,596.85</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-9,911,171.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-9,911,171.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-9,628,57</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4.80</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-402,347.24</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339,927.68</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339,927.68</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-62,419.5</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-119,750.39</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-9,571,243.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-9,571,243.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-9,690,99</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4.36</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994"/>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58、专项储备" w:id="378"/>
      <w:bookmarkEnd w:id="378"/>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994"/>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5"/>
        <w:spacing w:line="240" w:lineRule="auto"/>
        <w:ind w:left="1134" w:right="994"/>
        <w:jc w:val="left"/>
        <w:rPr>
          <w:b w:val="0"/>
          <w:bCs w:val="0"/>
        </w:rPr>
      </w:pPr>
      <w:bookmarkStart w:name="59、盈余公积" w:id="379"/>
      <w:bookmarkEnd w:id="379"/>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25,650,332.28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23,045,449.71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48,695,781.99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25,650,332.28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23,045,449.71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48,695,781.99</w:t>
            </w:r>
          </w:p>
        </w:tc>
      </w:tr>
    </w:tbl>
    <w:p>
      <w:pPr>
        <w:pStyle w:val="BodyText"/>
        <w:spacing w:line="240" w:lineRule="auto" w:before="51"/>
        <w:ind w:left="1134" w:right="994"/>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5"/>
        <w:spacing w:line="240" w:lineRule="auto"/>
        <w:ind w:left="1134" w:right="994"/>
        <w:jc w:val="left"/>
        <w:rPr>
          <w:b w:val="0"/>
          <w:bCs w:val="0"/>
        </w:rPr>
      </w:pPr>
      <w:bookmarkStart w:name="60、未分配利润" w:id="380"/>
      <w:bookmarkEnd w:id="380"/>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526,534,530.51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400,028,473.46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526,534,530.51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400,028,473.46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71,933,856.89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139,021,692.71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23,045,449.71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964,567.66</w:t>
            </w:r>
          </w:p>
        </w:tc>
      </w:tr>
      <w:tr>
        <w:trPr>
          <w:trHeight w:val="401"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14,128,708.50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11,551,068.00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771" w:right="0"/>
              <w:jc w:val="left"/>
              <w:rPr>
                <w:rFonts w:ascii="Times New Roman" w:hAnsi="Times New Roman" w:cs="Times New Roman" w:eastAsia="Times New Roman" w:hint="default"/>
                <w:sz w:val="18"/>
                <w:szCs w:val="18"/>
              </w:rPr>
            </w:pPr>
            <w:r>
              <w:rPr>
                <w:rFonts w:ascii="Times New Roman"/>
                <w:sz w:val="18"/>
              </w:rPr>
              <w:t>561,294,229.19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60" w:right="0"/>
              <w:jc w:val="left"/>
              <w:rPr>
                <w:rFonts w:ascii="Times New Roman" w:hAnsi="Times New Roman" w:cs="Times New Roman" w:eastAsia="Times New Roman" w:hint="default"/>
                <w:sz w:val="18"/>
                <w:szCs w:val="18"/>
              </w:rPr>
            </w:pPr>
            <w:r>
              <w:rPr>
                <w:rFonts w:ascii="Times New Roman"/>
                <w:sz w:val="18"/>
              </w:rPr>
              <w:t>526,534,530.51</w:t>
            </w:r>
          </w:p>
        </w:tc>
      </w:tr>
    </w:tbl>
    <w:p>
      <w:pPr>
        <w:pStyle w:val="BodyText"/>
        <w:spacing w:line="240" w:lineRule="auto" w:before="51"/>
        <w:ind w:left="1134" w:right="994"/>
        <w:jc w:val="left"/>
      </w:pPr>
      <w:r>
        <w:rPr/>
        <w:t>调整期初未分配利润明细：</w:t>
      </w:r>
    </w:p>
    <w:p>
      <w:pPr>
        <w:pStyle w:val="BodyText"/>
        <w:spacing w:line="240" w:lineRule="auto" w:before="117"/>
        <w:ind w:left="1134" w:right="994"/>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994"/>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94"/>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994"/>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994"/>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5"/>
        <w:spacing w:line="240" w:lineRule="auto"/>
        <w:ind w:left="1134" w:right="994"/>
        <w:jc w:val="left"/>
        <w:rPr>
          <w:b w:val="0"/>
          <w:bCs w:val="0"/>
        </w:rPr>
      </w:pPr>
      <w:bookmarkStart w:name="61、营业收入和营业成本" w:id="381"/>
      <w:bookmarkEnd w:id="381"/>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1,233,360,927.80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756,105,428.85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1,124,991,567.59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635,623,836.14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3,552,611.37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2,263,179.40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1,554,339.78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1,048,016.39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1,236,913,539.17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758,368,608.25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1,126,545,907.37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636,671,852.53</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62、税金及附加" w:id="382"/>
      <w:bookmarkEnd w:id="382"/>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4,951,177.71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5,564,271.59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3,590,144.88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4,330,546.79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3,285,386.57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1,392,561.82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241,848.00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178,831.45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1,665,696.88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1,324,908.24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13,734,254.04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12,791,119.89</w:t>
            </w:r>
          </w:p>
        </w:tc>
      </w:tr>
    </w:tbl>
    <w:p>
      <w:pPr>
        <w:pStyle w:val="BodyText"/>
        <w:spacing w:line="240" w:lineRule="auto" w:before="51"/>
        <w:ind w:left="1134" w:right="994"/>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94"/>
        <w:jc w:val="left"/>
        <w:rPr>
          <w:b w:val="0"/>
          <w:bCs w:val="0"/>
        </w:rPr>
      </w:pPr>
      <w:bookmarkStart w:name="63、销售费用" w:id="383"/>
      <w:bookmarkEnd w:id="383"/>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34,820,616.33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37,508,676.24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2,432,859.97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5,166,885.00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8,469,671.07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7,919,844.21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15,541,726.29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14,098,634.89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宣传推广费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19,822,231.99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21,579,353.34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技术维护费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24,180,556.55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27,747,981.23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5,890,746.57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7,525,134.73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1,701,315.15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2,068,020.94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687,515.53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1,595,565.27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113,547,239.45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125,210,095.85</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64、管理费用" w:id="384"/>
      <w:bookmarkEnd w:id="384"/>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154,873,998.17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148,932,441.36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工资、社保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53,590,704.04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66,139,757.59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8,110,511.74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7,281,918.40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2,331,345.24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1,918,583.27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7,484,451.26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4,947,097.53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10,032,901.22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11,381,135.54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3,787,878.37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2,814,832.76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21,231,105.34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23,279,176.84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261,442,895.38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266,694,943.29</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65、财务费用" w:id="385"/>
      <w:bookmarkEnd w:id="385"/>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33,165,288.73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38,398,505.22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-4,727,202.66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-3,588,854.56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-136,797.76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43,809.20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337,362.45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542,998.25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28,638,650.76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35,396,458.11</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66、资产减值损失" w:id="386"/>
      <w:bookmarkEnd w:id="386"/>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18,305,537.07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1,365,521.50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6,221,422.36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1,340,182.32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34,198,564.91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5,447,765.27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29,974,724.70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36,904,268.73</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67、公允价值变动收益" w:id="387"/>
      <w:bookmarkEnd w:id="387"/>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结构性存款收益</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-121,378.09</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-121,378.09</w:t>
            </w:r>
            <w:r>
              <w:rPr>
                <w:rFonts w:ascii="Times New Roman"/>
                <w:sz w:val="18"/>
              </w:rPr>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68、投资收益" w:id="388"/>
      <w:bookmarkEnd w:id="388"/>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-685,771.41</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15,762,405.16</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477,567.73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29,934,844.20</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802,801.37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575,089.05</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-146,373.42</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448,224.27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46,272,338.41</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69、资产处置收益" w:id="389"/>
      <w:bookmarkEnd w:id="389"/>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9"/>
              <w:jc w:val="righ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right="815"/>
              <w:jc w:val="right"/>
              <w:rPr>
                <w:rFonts w:ascii="宋体" w:hAnsi="宋体" w:cs="宋体" w:eastAsia="宋体" w:hint="default"/>
                <w:sz w:val="18"/>
                <w:szCs w:val="18"/>
              </w:rPr>
            </w:pPr>
            <w:r>
              <w:rPr>
                <w:rFonts w:ascii="宋体" w:hAnsi="宋体" w:cs="宋体" w:eastAsia="宋体" w:hint="default"/>
                <w:sz w:val="18"/>
                <w:szCs w:val="18"/>
              </w:rPr>
              <w:t>长期待摊费用处置利得或损失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777,584.50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70、其他收益" w:id="390"/>
      <w:bookmarkEnd w:id="390"/>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21,196,522.45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41,347,328.81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62,543,851.26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71、营业外收入" w:id="391"/>
      <w:bookmarkEnd w:id="391"/>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13,941,042.94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346,674.93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1,036,406.29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346,674.93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61,982,123.86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346,674.93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76,959,573.09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346,674.93</w:t>
            </w:r>
          </w:p>
        </w:tc>
      </w:tr>
    </w:tbl>
    <w:p>
      <w:pPr>
        <w:pStyle w:val="BodyText"/>
        <w:spacing w:line="240" w:lineRule="auto" w:before="51"/>
        <w:ind w:left="1134" w:right="994"/>
        <w:jc w:val="left"/>
      </w:pPr>
      <w:r>
        <w:rPr/>
        <w:t>计入当期损益的政府补助：</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72、营业外支出" w:id="392"/>
      <w:bookmarkEnd w:id="392"/>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408,850.22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428,177.09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408,850.22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261,360.82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467,359.52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261,360.82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1,198,435.40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31,534.85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1,198,435.40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1,868,646.44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927,071.46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1,868,646.44</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73、所得税费用" w:id="393"/>
      <w:bookmarkEnd w:id="393"/>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94"/>
        <w:jc w:val="left"/>
        <w:rPr>
          <w:b w:val="0"/>
          <w:bCs w:val="0"/>
        </w:rPr>
      </w:pPr>
      <w:bookmarkStart w:name="（1）所得税费用表" w:id="394"/>
      <w:bookmarkEnd w:id="39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12,124,490.07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11,205,001.54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9,398,705.21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-20,452,345.76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21,523,195.28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-9,247,344.22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994"/>
        <w:jc w:val="left"/>
        <w:rPr>
          <w:b w:val="0"/>
          <w:bCs w:val="0"/>
        </w:rPr>
      </w:pPr>
      <w:bookmarkStart w:name="（2）会计利润与所得税费用调整过程" w:id="395"/>
      <w:bookmarkEnd w:id="39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93,454,855.11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14,294,326.50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-2,703,115.16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-46,287.34</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-582,287.88</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2,419,928.92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6,107,036.39</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11,736,395.01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-9,702,801.16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21,523,195.28</w:t>
            </w:r>
          </w:p>
        </w:tc>
      </w:tr>
    </w:tbl>
    <w:p>
      <w:pPr>
        <w:pStyle w:val="BodyText"/>
        <w:spacing w:line="240" w:lineRule="auto" w:before="51"/>
        <w:ind w:left="1134" w:right="994"/>
        <w:jc w:val="left"/>
      </w:pPr>
      <w:r>
        <w:rPr/>
        <w:t>其他说明</w:t>
      </w:r>
    </w:p>
    <w:p>
      <w:pPr>
        <w:spacing w:line="240" w:lineRule="auto" w:before="10"/>
        <w:rPr>
          <w:rFonts w:ascii="宋体" w:hAnsi="宋体" w:cs="宋体" w:eastAsia="宋体" w:hint="default"/>
          <w:sz w:val="26"/>
          <w:szCs w:val="26"/>
        </w:rPr>
      </w:pPr>
    </w:p>
    <w:p>
      <w:pPr>
        <w:spacing w:line="547" w:lineRule="auto" w:before="0"/>
        <w:ind w:left="1133" w:right="8856" w:firstLine="0"/>
        <w:jc w:val="left"/>
        <w:rPr>
          <w:rFonts w:ascii="宋体" w:hAnsi="宋体" w:cs="宋体" w:eastAsia="宋体" w:hint="default"/>
          <w:sz w:val="21"/>
          <w:szCs w:val="21"/>
        </w:rPr>
      </w:pPr>
      <w:bookmarkStart w:name="74、其他综合收益" w:id="396"/>
      <w:bookmarkEnd w:id="396"/>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5、现金流量表项目" w:id="397"/>
      <w:bookmarkEnd w:id="397"/>
      <w:r>
        <w:rPr>
          <w:rFonts w:ascii="宋体" w:hAnsi="宋体" w:cs="宋体" w:eastAsia="宋体" w:hint="default"/>
          <w:sz w:val="18"/>
          <w:szCs w:val="18"/>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5"/>
        <w:spacing w:line="240" w:lineRule="auto" w:before="26"/>
        <w:ind w:right="994"/>
        <w:jc w:val="left"/>
        <w:rPr>
          <w:b w:val="0"/>
          <w:bCs w:val="0"/>
        </w:rPr>
      </w:pPr>
      <w:bookmarkStart w:name="（1）收到的其他与经营活动有关的现金" w:id="398"/>
      <w:bookmarkEnd w:id="39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7,022,241.21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7,232,412.15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3,140,285.33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1,854,492.39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18,861,461.15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8,679,946.91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29,023,987.69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17,766,851.45</w:t>
            </w:r>
          </w:p>
        </w:tc>
      </w:tr>
    </w:tbl>
    <w:p>
      <w:pPr>
        <w:pStyle w:val="BodyText"/>
        <w:spacing w:line="240" w:lineRule="auto" w:before="51"/>
        <w:ind w:left="1134" w:right="994"/>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left="1134" w:right="994"/>
        <w:jc w:val="left"/>
        <w:rPr>
          <w:b w:val="0"/>
          <w:bCs w:val="0"/>
        </w:rPr>
      </w:pPr>
      <w:bookmarkStart w:name="（2）支付的其他与经营活动有关的现金" w:id="399"/>
      <w:bookmarkEnd w:id="39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6,842,237.99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4,710,556.65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141,609,786.24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101,425,297.53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148,452,024.23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106,135,854.18</w:t>
            </w:r>
          </w:p>
        </w:tc>
      </w:tr>
    </w:tbl>
    <w:p>
      <w:pPr>
        <w:pStyle w:val="BodyText"/>
        <w:spacing w:line="240" w:lineRule="auto" w:before="51"/>
        <w:ind w:left="1134" w:right="994"/>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left="1134" w:right="994"/>
        <w:jc w:val="left"/>
        <w:rPr>
          <w:b w:val="0"/>
          <w:bCs w:val="0"/>
        </w:rPr>
      </w:pPr>
      <w:bookmarkStart w:name="（3）收到的其他与投资活动有关的现金" w:id="400"/>
      <w:bookmarkEnd w:id="40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5,155,077.00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106,575,089.05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485,155,077.00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111,875,089.05</w:t>
            </w:r>
          </w:p>
        </w:tc>
      </w:tr>
    </w:tbl>
    <w:p>
      <w:pPr>
        <w:pStyle w:val="BodyText"/>
        <w:spacing w:line="240" w:lineRule="auto" w:before="51"/>
        <w:ind w:left="1134" w:right="994"/>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left="1134" w:right="994"/>
        <w:jc w:val="left"/>
        <w:rPr>
          <w:b w:val="0"/>
          <w:bCs w:val="0"/>
        </w:rPr>
      </w:pPr>
      <w:bookmarkStart w:name="（4）支付的其他与投资活动有关的现金" w:id="401"/>
      <w:bookmarkEnd w:id="40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57,500,000.00</w:t>
            </w:r>
          </w:p>
        </w:tc>
      </w:tr>
    </w:tbl>
    <w:p>
      <w:pPr>
        <w:pStyle w:val="BodyText"/>
        <w:spacing w:line="240" w:lineRule="auto" w:before="51"/>
        <w:ind w:left="1134" w:right="994"/>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left="1134" w:right="994"/>
        <w:jc w:val="left"/>
        <w:rPr>
          <w:b w:val="0"/>
          <w:bCs w:val="0"/>
        </w:rPr>
      </w:pPr>
      <w:bookmarkStart w:name="（5）收到的其他与筹资活动有关的现金" w:id="402"/>
      <w:bookmarkEnd w:id="40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17,334,930.06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33,242,551.73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募集资金存款利息及其他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1,035,517.66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1,366,668.30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贷款贴息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19,170,447.72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41,879,220.03</w:t>
            </w:r>
          </w:p>
        </w:tc>
      </w:tr>
    </w:tbl>
    <w:p>
      <w:pPr>
        <w:pStyle w:val="BodyText"/>
        <w:spacing w:line="240" w:lineRule="auto" w:before="51"/>
        <w:ind w:left="1134" w:right="994"/>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5"/>
        <w:spacing w:line="240" w:lineRule="auto"/>
        <w:ind w:left="1134" w:right="994"/>
        <w:jc w:val="left"/>
        <w:rPr>
          <w:b w:val="0"/>
          <w:bCs w:val="0"/>
        </w:rPr>
      </w:pPr>
      <w:bookmarkStart w:name="（6）支付的其他与筹资活动有关的现金" w:id="403"/>
      <w:bookmarkEnd w:id="40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30,397,349.21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31,478,342.65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债券融资支出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476.469971pt;width:151.25pt;height:40.9pt;mso-position-horizontal-relative:page;mso-position-vertical-relative:page;z-index:-1159000" coordorigin="4467,9529" coordsize="3025,818">
            <v:group style="position:absolute;left:4478;top:9541;width:2;height:393" coordorigin="4478,9541" coordsize="2,393">
              <v:shape style="position:absolute;left:4478;top:9541;width:2;height:393" coordorigin="4478,9541" coordsize="0,393" path="m4478,9541l4478,9933e" filled="false" stroked="true" strokeweight="1.140pt" strokecolor="#ffffff">
                <v:path arrowok="t"/>
              </v:shape>
            </v:group>
            <v:group style="position:absolute;left:4490;top:9541;width:3002;height:393" coordorigin="4490,9541" coordsize="3002,393">
              <v:shape style="position:absolute;left:4490;top:9541;width:3002;height:393" coordorigin="4490,9541" coordsize="3002,393" path="m4490,9933l7491,9933,7491,9541,4490,9541,4490,9933xe" filled="true" fillcolor="#ffffff" stroked="false">
                <v:path arrowok="t"/>
                <v:fill type="solid"/>
              </v:shape>
            </v:group>
            <v:group style="position:absolute;left:4478;top:9943;width:2;height:393" coordorigin="4478,9943" coordsize="2,393">
              <v:shape style="position:absolute;left:4478;top:9943;width:2;height:393" coordorigin="4478,9943" coordsize="0,393" path="m4478,9943l4478,10335e" filled="false" stroked="true" strokeweight="1.140pt" strokecolor="#ffffff">
                <v:path arrowok="t"/>
              </v:shape>
            </v:group>
            <v:group style="position:absolute;left:4490;top:9943;width:3002;height:393" coordorigin="4490,9943" coordsize="3002,393">
              <v:shape style="position:absolute;left:4490;top:9943;width:3002;height:393" coordorigin="4490,9943" coordsize="3002,393" path="m4490,10335l7491,10335,7491,9943,4490,9943,4490,10335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32,797,349.21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37,478,342.65</w:t>
            </w:r>
          </w:p>
        </w:tc>
      </w:tr>
    </w:tbl>
    <w:p>
      <w:pPr>
        <w:pStyle w:val="BodyText"/>
        <w:spacing w:line="240" w:lineRule="auto" w:before="51"/>
        <w:ind w:left="1134" w:right="994"/>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5"/>
        <w:spacing w:line="240" w:lineRule="auto"/>
        <w:ind w:left="1134" w:right="994"/>
        <w:jc w:val="left"/>
        <w:rPr>
          <w:b w:val="0"/>
          <w:bCs w:val="0"/>
        </w:rPr>
      </w:pPr>
      <w:bookmarkStart w:name="76、现金流量表补充资料" w:id="404"/>
      <w:bookmarkEnd w:id="404"/>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94"/>
        <w:jc w:val="left"/>
        <w:rPr>
          <w:b w:val="0"/>
          <w:bCs w:val="0"/>
        </w:rPr>
      </w:pPr>
      <w:bookmarkStart w:name="（1）现金流量表补充资料" w:id="405"/>
      <w:bookmarkEnd w:id="40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1043"/>
        <w:gridCol w:w="2026"/>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71,931,659.83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144,307,975.14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29,974,724.70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36,904,268.73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14,497,154.48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15,417,475.53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16,368,261.28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13,162,614.62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3,643,422.31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2,993,640.95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-777,584.50</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408,850.22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428,177.09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121,378.09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34,538,046.74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37,060,275.16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-448,224.27</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-46,272,338.41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4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11,526,343.95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-18,543,872.76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4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-2,127,638.74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-1,908,473.00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-94,665,216.54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39,588,405.49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-201,750,224.14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129,259,449.67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151,630,355.60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-128,339,546.78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12,343,950.83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32,132,488.47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47,093,881.75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256,311,917.99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1,069,614,862.84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538,633,929.22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538,633,929.22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388,823,193.17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530,980,933.62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149,810,736.05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994"/>
        <w:jc w:val="left"/>
        <w:rPr>
          <w:b w:val="0"/>
          <w:bCs w:val="0"/>
        </w:rPr>
      </w:pPr>
      <w:bookmarkStart w:name="（2）本期支付的取得子公司的现金净额" w:id="406"/>
      <w:bookmarkEnd w:id="40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94"/>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94"/>
        <w:jc w:val="left"/>
        <w:rPr>
          <w:b w:val="0"/>
          <w:bCs w:val="0"/>
        </w:rPr>
      </w:pPr>
      <w:bookmarkStart w:name="（3）本期收到的处置子公司的现金净额" w:id="407"/>
      <w:bookmarkEnd w:id="40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94"/>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94"/>
        <w:jc w:val="left"/>
        <w:rPr>
          <w:b w:val="0"/>
          <w:bCs w:val="0"/>
        </w:rPr>
      </w:pPr>
      <w:bookmarkStart w:name="（4）现金和现金等价物的构成" w:id="408"/>
      <w:bookmarkEnd w:id="40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1,069,614,862.84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538,633,929.22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1,864,507.48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9,702.47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1,067,075,355.36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538,624,226.75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675,000.00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1,069,614,862.84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538,633,929.22</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spacing w:line="547" w:lineRule="auto" w:before="0"/>
        <w:ind w:left="1133" w:right="5373" w:firstLine="0"/>
        <w:jc w:val="left"/>
        <w:rPr>
          <w:rFonts w:ascii="宋体" w:hAnsi="宋体" w:cs="宋体" w:eastAsia="宋体" w:hint="default"/>
          <w:sz w:val="21"/>
          <w:szCs w:val="21"/>
        </w:rPr>
      </w:pPr>
      <w:bookmarkStart w:name="77、所有者权益变动表项目注释" w:id="409"/>
      <w:bookmarkEnd w:id="409"/>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410"/>
      <w:bookmarkEnd w:id="410"/>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50,628,451.95</w:t>
            </w:r>
          </w:p>
        </w:tc>
        <w:tc>
          <w:tcPr>
            <w:tcW w:w="31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受限资金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357,264,627.51</w:t>
            </w:r>
          </w:p>
        </w:tc>
        <w:tc>
          <w:tcPr>
            <w:tcW w:w="31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抵押，详见附注十一</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18,098,026.44</w:t>
            </w:r>
          </w:p>
        </w:tc>
        <w:tc>
          <w:tcPr>
            <w:tcW w:w="31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right="1529"/>
              <w:jc w:val="right"/>
              <w:rPr>
                <w:rFonts w:ascii="宋体" w:hAnsi="宋体" w:cs="宋体" w:eastAsia="宋体" w:hint="default"/>
                <w:sz w:val="18"/>
                <w:szCs w:val="18"/>
              </w:rPr>
            </w:pPr>
            <w:r>
              <w:rPr>
                <w:rFonts w:ascii="宋体" w:hAnsi="宋体" w:cs="宋体" w:eastAsia="宋体" w:hint="default"/>
                <w:sz w:val="18"/>
                <w:szCs w:val="18"/>
              </w:rPr>
              <w:t>抵押，详见附注十一</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425,991,105.90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25"/>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79、外币货币性项目" w:id="411"/>
      <w:bookmarkEnd w:id="411"/>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94"/>
        <w:jc w:val="left"/>
        <w:rPr>
          <w:b w:val="0"/>
          <w:bCs w:val="0"/>
        </w:rPr>
      </w:pPr>
      <w:bookmarkStart w:name="（1）外币货币性项目" w:id="412"/>
      <w:bookmarkEnd w:id="41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3,954,153.21</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278,779.84</w:t>
            </w:r>
          </w:p>
        </w:tc>
        <w:tc>
          <w:tcPr>
            <w:tcW w:w="23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1,821,603.22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97,025.03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14,848.80</w:t>
            </w:r>
          </w:p>
        </w:tc>
        <w:tc>
          <w:tcPr>
            <w:tcW w:w="23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97,025.03</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w:t>
            </w:r>
          </w:p>
        </w:tc>
        <w:tc>
          <w:tcPr>
            <w:tcW w:w="2305"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127,821.29</w:t>
            </w:r>
          </w:p>
        </w:tc>
        <w:tc>
          <w:tcPr>
            <w:tcW w:w="239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835,209.87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127,821.29</w:t>
            </w:r>
          </w:p>
        </w:tc>
        <w:tc>
          <w:tcPr>
            <w:tcW w:w="23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835,209.87</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w:t>
            </w:r>
          </w:p>
        </w:tc>
        <w:tc>
          <w:tcPr>
            <w:tcW w:w="2305"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183,697.33</w:t>
            </w:r>
          </w:p>
        </w:tc>
        <w:tc>
          <w:tcPr>
            <w:tcW w:w="239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1,200,315.09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183,697.33</w:t>
            </w:r>
          </w:p>
        </w:tc>
        <w:tc>
          <w:tcPr>
            <w:tcW w:w="23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1,200,315.09</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59" w:lineRule="auto"/>
        <w:ind w:right="994"/>
        <w:jc w:val="left"/>
        <w:rPr>
          <w:b w:val="0"/>
          <w:bCs w:val="0"/>
        </w:rPr>
      </w:pPr>
      <w:bookmarkStart w:name="（2）境外经营实体说明，包括对于重要的境外经营实体，应披露其境外主要经营地、记账" w:id="413"/>
      <w:bookmarkEnd w:id="41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94"/>
        <w:jc w:val="left"/>
        <w:rPr>
          <w:b w:val="0"/>
          <w:bCs w:val="0"/>
        </w:rPr>
      </w:pPr>
      <w:bookmarkStart w:name="80、套期" w:id="414"/>
      <w:bookmarkEnd w:id="414"/>
      <w:r>
        <w:rPr>
          <w:b w:val="0"/>
          <w:bCs w:val="0"/>
        </w:rPr>
      </w:r>
      <w:r>
        <w:rPr>
          <w:rFonts w:ascii="Times New Roman" w:hAnsi="Times New Roman" w:cs="Times New Roman" w:eastAsia="Times New Roman" w:hint="default"/>
        </w:rPr>
        <w:t>80</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994"/>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133" w:right="8329" w:firstLine="0"/>
        <w:jc w:val="left"/>
        <w:rPr>
          <w:rFonts w:ascii="宋体" w:hAnsi="宋体" w:cs="宋体" w:eastAsia="宋体" w:hint="default"/>
          <w:sz w:val="21"/>
          <w:szCs w:val="21"/>
        </w:rPr>
      </w:pPr>
      <w:bookmarkStart w:name="81、其他" w:id="415"/>
      <w:bookmarkEnd w:id="415"/>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16"/>
      <w:bookmarkEnd w:id="416"/>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17"/>
      <w:bookmarkEnd w:id="41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5"/>
        <w:spacing w:line="240" w:lineRule="auto" w:before="83"/>
        <w:ind w:right="994"/>
        <w:jc w:val="left"/>
        <w:rPr>
          <w:b w:val="0"/>
          <w:bCs w:val="0"/>
        </w:rPr>
      </w:pPr>
      <w:bookmarkStart w:name="（1）本期发生的非同一控制下企业合并" w:id="418"/>
      <w:bookmarkEnd w:id="41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994"/>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94"/>
        <w:jc w:val="left"/>
        <w:rPr>
          <w:b w:val="0"/>
          <w:bCs w:val="0"/>
        </w:rPr>
      </w:pPr>
      <w:bookmarkStart w:name="（2）合并成本及商誉" w:id="419"/>
      <w:bookmarkEnd w:id="41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7"/>
        <w:ind w:left="1134" w:right="6072"/>
        <w:jc w:val="left"/>
      </w:pPr>
      <w:r>
        <w:rPr/>
        <w:t>合并成本公允价值的确定方法、或有对价及其变动的说明： 大额商誉形成的主要原因：</w:t>
      </w:r>
    </w:p>
    <w:p>
      <w:pPr>
        <w:pStyle w:val="BodyText"/>
        <w:spacing w:line="240" w:lineRule="auto" w:before="29"/>
        <w:ind w:left="1134" w:right="994"/>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left="1134" w:right="994"/>
        <w:jc w:val="left"/>
        <w:rPr>
          <w:b w:val="0"/>
          <w:bCs w:val="0"/>
        </w:rPr>
      </w:pPr>
      <w:bookmarkStart w:name="（3）被购买方于购买日可辨认资产、负债" w:id="420"/>
      <w:bookmarkEnd w:id="42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left="1134" w:right="7530"/>
        <w:jc w:val="both"/>
      </w:pPr>
      <w:r>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5"/>
        <w:spacing w:line="240" w:lineRule="auto"/>
        <w:ind w:left="1134" w:right="0"/>
        <w:jc w:val="both"/>
        <w:rPr>
          <w:b w:val="0"/>
          <w:bCs w:val="0"/>
        </w:rPr>
      </w:pPr>
      <w:bookmarkStart w:name="（4）购买日之前持有的股权按照公允价值重新计量产生的利得或损失" w:id="421"/>
      <w:bookmarkEnd w:id="42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0"/>
        <w:jc w:val="both"/>
      </w:pPr>
      <w:r>
        <w:rPr/>
        <w:t>是否存在通过多次交易分步实现企业合并且在报告期内取得控制权的交易</w:t>
      </w:r>
    </w:p>
    <w:p>
      <w:pPr>
        <w:pStyle w:val="BodyText"/>
        <w:spacing w:line="240" w:lineRule="auto" w:before="116"/>
        <w:ind w:left="113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5"/>
        <w:spacing w:line="240" w:lineRule="auto"/>
        <w:ind w:right="0"/>
        <w:jc w:val="both"/>
        <w:rPr>
          <w:b w:val="0"/>
          <w:bCs w:val="0"/>
        </w:rPr>
      </w:pPr>
      <w:bookmarkStart w:name="（5）购买日或合并当期期末无法合理确定合并对价或被购买方可辨认资产、负债公允价值" w:id="422"/>
      <w:bookmarkEnd w:id="42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6）其他说明" w:id="423"/>
      <w:bookmarkEnd w:id="42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2、同一控制下企业合并" w:id="424"/>
      <w:bookmarkEnd w:id="42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本期发生的同一控制下企业合并" w:id="425"/>
      <w:bookmarkEnd w:id="425"/>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2）合并成本" w:id="426"/>
      <w:bookmarkEnd w:id="426"/>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footerReference w:type="default" r:id="rId20"/>
          <w:pgSz w:w="11910" w:h="16840"/>
          <w:pgMar w:footer="979" w:header="747" w:top="1060" w:bottom="1160" w:left="0" w:right="0"/>
        </w:sectPr>
      </w:pPr>
    </w:p>
    <w:p>
      <w:pPr>
        <w:spacing w:line="240" w:lineRule="auto" w:before="2"/>
        <w:rPr>
          <w:rFonts w:ascii="宋体" w:hAnsi="宋体" w:cs="宋体" w:eastAsia="宋体" w:hint="default"/>
          <w:sz w:val="28"/>
          <w:szCs w:val="28"/>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134" w:right="8592"/>
        <w:jc w:val="left"/>
      </w:pPr>
      <w:r>
        <w:rPr/>
        <w:t>或有对价及其变动的说明： 其他说明：</w:t>
      </w:r>
    </w:p>
    <w:p>
      <w:pPr>
        <w:spacing w:line="240" w:lineRule="auto" w:before="12"/>
        <w:rPr>
          <w:rFonts w:ascii="宋体" w:hAnsi="宋体" w:cs="宋体" w:eastAsia="宋体" w:hint="default"/>
          <w:sz w:val="19"/>
          <w:szCs w:val="19"/>
        </w:rPr>
      </w:pPr>
    </w:p>
    <w:p>
      <w:pPr>
        <w:pStyle w:val="Heading5"/>
        <w:spacing w:line="240" w:lineRule="auto"/>
        <w:ind w:right="994"/>
        <w:jc w:val="left"/>
        <w:rPr>
          <w:b w:val="0"/>
          <w:bCs w:val="0"/>
        </w:rPr>
      </w:pPr>
      <w:bookmarkStart w:name="（3）合并日被合并方资产、负债的账面价值" w:id="427"/>
      <w:bookmarkEnd w:id="427"/>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824" w:lineRule="exact"/>
        <w:ind w:left="112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5" coordorigin="5,5" coordsize="2,815">
              <v:shape style="position:absolute;left:5;top:5;width:2;height:815" coordorigin="5,5" coordsize="0,815"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pt" strokecolor="#000000">
                <v:path arrowok="t"/>
              </v:shape>
            </v:group>
            <v:group style="position:absolute;left:3195;top:5;width:2;height:815" coordorigin="3195,5" coordsize="2,815">
              <v:shape style="position:absolute;left:3195;top:5;width:2;height:815" coordorigin="3195,5" coordsize="0,815" path="m3195,5l3195,820e" filled="false" stroked="true" strokeweight=".48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pt" strokecolor="#000000">
                <v:path arrowok="t"/>
              </v:shape>
            </v:group>
            <v:group style="position:absolute;left:9576;top:5;width:2;height:815" coordorigin="9576,5" coordsize="2,815">
              <v:shape style="position:absolute;left:9576;top:5;width:2;height:815" coordorigin="9576,5" coordsize="0,815" path="m9576,5l9576,820e" filled="false" stroked="true" strokeweight=".48pt" strokecolor="#000000">
                <v:path arrowok="t"/>
              </v:shape>
              <v:shape style="position:absolute;left:3183;top:412;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7"/>
        <w:ind w:left="1134" w:right="7512"/>
        <w:jc w:val="left"/>
      </w:pPr>
      <w:r>
        <w:rPr/>
        <w:t>企业合并中承担的被合并方的或有负债： 其他说明：</w:t>
      </w:r>
    </w:p>
    <w:p>
      <w:pPr>
        <w:spacing w:line="240" w:lineRule="auto" w:before="1"/>
        <w:rPr>
          <w:rFonts w:ascii="宋体" w:hAnsi="宋体" w:cs="宋体" w:eastAsia="宋体" w:hint="default"/>
          <w:sz w:val="20"/>
          <w:szCs w:val="20"/>
        </w:rPr>
      </w:pPr>
    </w:p>
    <w:p>
      <w:pPr>
        <w:pStyle w:val="Heading5"/>
        <w:spacing w:line="240" w:lineRule="auto"/>
        <w:ind w:left="1134" w:right="994"/>
        <w:jc w:val="left"/>
        <w:rPr>
          <w:b w:val="0"/>
          <w:bCs w:val="0"/>
        </w:rPr>
      </w:pPr>
      <w:bookmarkStart w:name="3、反向购买" w:id="428"/>
      <w:bookmarkEnd w:id="42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left="1134" w:right="994"/>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5"/>
        <w:spacing w:line="240" w:lineRule="auto"/>
        <w:ind w:left="1134" w:right="994"/>
        <w:jc w:val="left"/>
        <w:rPr>
          <w:b w:val="0"/>
          <w:bCs w:val="0"/>
        </w:rPr>
      </w:pPr>
      <w:bookmarkStart w:name="4、处置子公司" w:id="429"/>
      <w:bookmarkEnd w:id="42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994"/>
        <w:jc w:val="left"/>
      </w:pPr>
      <w:r>
        <w:rPr/>
        <w:t>是否存在单次处置对子公司投资即丧失控制权的情形</w:t>
      </w:r>
    </w:p>
    <w:p>
      <w:pPr>
        <w:pStyle w:val="BodyText"/>
        <w:spacing w:line="338" w:lineRule="auto" w:before="116"/>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3"/>
        <w:ind w:right="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5"/>
        <w:spacing w:line="240" w:lineRule="auto"/>
        <w:ind w:right="994"/>
        <w:jc w:val="left"/>
        <w:rPr>
          <w:b w:val="0"/>
          <w:bCs w:val="0"/>
        </w:rPr>
      </w:pPr>
      <w:bookmarkStart w:name="5、其他原因的合并范围变动" w:id="430"/>
      <w:bookmarkEnd w:id="43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94"/>
        <w:jc w:val="left"/>
      </w:pPr>
      <w:r>
        <w:rPr/>
        <w:t>说明其他原因导致的合并范围变动（如，新设子公司、清算子公司等）及其相关情况：</w:t>
      </w:r>
    </w:p>
    <w:p>
      <w:pPr>
        <w:pStyle w:val="Heading5"/>
        <w:spacing w:line="240" w:lineRule="auto" w:before="89"/>
        <w:ind w:right="994"/>
        <w:jc w:val="left"/>
        <w:rPr>
          <w:b w:val="0"/>
          <w:bCs w:val="0"/>
        </w:rPr>
      </w:pPr>
      <w:r>
        <w:rPr/>
        <w:t>通过设立或投资取得的子公司</w:t>
      </w:r>
      <w:r>
        <w:rPr>
          <w:b w:val="0"/>
          <w:bCs w:val="0"/>
        </w:rPr>
      </w:r>
    </w:p>
    <w:p>
      <w:pPr>
        <w:spacing w:line="240" w:lineRule="auto" w:before="13"/>
        <w:rPr>
          <w:rFonts w:ascii="宋体" w:hAnsi="宋体" w:cs="宋体" w:eastAsia="宋体" w:hint="default"/>
          <w:b/>
          <w:bCs/>
          <w:sz w:val="3"/>
          <w:szCs w:val="3"/>
        </w:rPr>
      </w:pPr>
    </w:p>
    <w:tbl>
      <w:tblPr>
        <w:tblW w:w="0" w:type="auto"/>
        <w:jc w:val="left"/>
        <w:tblInd w:w="1126" w:type="dxa"/>
        <w:tblLayout w:type="fixed"/>
        <w:tblCellMar>
          <w:top w:w="0" w:type="dxa"/>
          <w:left w:w="0" w:type="dxa"/>
          <w:bottom w:w="0" w:type="dxa"/>
          <w:right w:w="0" w:type="dxa"/>
        </w:tblCellMar>
        <w:tblLook w:val="01E0"/>
      </w:tblPr>
      <w:tblGrid>
        <w:gridCol w:w="1545"/>
        <w:gridCol w:w="1231"/>
        <w:gridCol w:w="894"/>
        <w:gridCol w:w="1134"/>
        <w:gridCol w:w="1418"/>
        <w:gridCol w:w="850"/>
        <w:gridCol w:w="992"/>
        <w:gridCol w:w="851"/>
      </w:tblGrid>
      <w:tr>
        <w:trPr>
          <w:trHeight w:val="667" w:hRule="exact"/>
        </w:trPr>
        <w:tc>
          <w:tcPr>
            <w:tcW w:w="154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31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3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56"/>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8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8"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71" w:right="0"/>
              <w:jc w:val="left"/>
              <w:rPr>
                <w:rFonts w:ascii="宋体" w:hAnsi="宋体" w:cs="宋体" w:eastAsia="宋体" w:hint="default"/>
                <w:sz w:val="18"/>
                <w:szCs w:val="18"/>
              </w:rPr>
            </w:pPr>
            <w:r>
              <w:rPr>
                <w:rFonts w:ascii="宋体" w:hAnsi="宋体" w:cs="宋体" w:eastAsia="宋体" w:hint="default"/>
                <w:sz w:val="18"/>
                <w:szCs w:val="18"/>
              </w:rPr>
              <w:t>期末实际投资额</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表决权比例</w:t>
            </w:r>
          </w:p>
        </w:tc>
        <w:tc>
          <w:tcPr>
            <w:tcW w:w="851"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57" w:right="65" w:firstLine="180"/>
              <w:jc w:val="left"/>
              <w:rPr>
                <w:rFonts w:ascii="宋体" w:hAnsi="宋体" w:cs="宋体" w:eastAsia="宋体" w:hint="default"/>
                <w:sz w:val="18"/>
                <w:szCs w:val="18"/>
              </w:rPr>
            </w:pPr>
            <w:r>
              <w:rPr>
                <w:rFonts w:ascii="宋体" w:hAnsi="宋体" w:cs="宋体" w:eastAsia="宋体" w:hint="default"/>
                <w:sz w:val="18"/>
                <w:szCs w:val="18"/>
              </w:rPr>
              <w:t>是否 合并报表</w:t>
            </w:r>
          </w:p>
        </w:tc>
      </w:tr>
      <w:tr>
        <w:trPr>
          <w:trHeight w:val="664" w:hRule="exact"/>
        </w:trPr>
        <w:tc>
          <w:tcPr>
            <w:tcW w:w="154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87"/>
              <w:jc w:val="left"/>
              <w:rPr>
                <w:rFonts w:ascii="宋体" w:hAnsi="宋体" w:cs="宋体" w:eastAsia="宋体" w:hint="default"/>
                <w:sz w:val="18"/>
                <w:szCs w:val="18"/>
              </w:rPr>
            </w:pPr>
            <w:r>
              <w:rPr>
                <w:rFonts w:ascii="宋体" w:hAnsi="宋体" w:cs="宋体" w:eastAsia="宋体" w:hint="default"/>
                <w:sz w:val="18"/>
                <w:szCs w:val="18"/>
              </w:rPr>
              <w:t>深圳市新国都末微 技术服务有限公司</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56"/>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8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宋体" w:hAnsi="宋体" w:cs="宋体" w:eastAsia="宋体" w:hint="default"/>
                <w:sz w:val="18"/>
                <w:szCs w:val="18"/>
              </w:rPr>
              <w:t>万元</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60%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60%</w:t>
            </w:r>
          </w:p>
        </w:tc>
        <w:tc>
          <w:tcPr>
            <w:tcW w:w="8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65" w:hRule="exact"/>
        </w:trPr>
        <w:tc>
          <w:tcPr>
            <w:tcW w:w="154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87"/>
              <w:jc w:val="left"/>
              <w:rPr>
                <w:rFonts w:ascii="宋体" w:hAnsi="宋体" w:cs="宋体" w:eastAsia="宋体" w:hint="default"/>
                <w:sz w:val="18"/>
                <w:szCs w:val="18"/>
              </w:rPr>
            </w:pPr>
            <w:r>
              <w:rPr>
                <w:rFonts w:ascii="宋体" w:hAnsi="宋体" w:cs="宋体" w:eastAsia="宋体" w:hint="default"/>
                <w:sz w:val="18"/>
                <w:szCs w:val="18"/>
              </w:rPr>
              <w:t>长沙法度互联网科 技有限公司</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5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8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长沙市</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万元</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64" w:hRule="exact"/>
        </w:trPr>
        <w:tc>
          <w:tcPr>
            <w:tcW w:w="1545"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87"/>
              <w:jc w:val="left"/>
              <w:rPr>
                <w:rFonts w:ascii="宋体" w:hAnsi="宋体" w:cs="宋体" w:eastAsia="宋体" w:hint="default"/>
                <w:sz w:val="18"/>
                <w:szCs w:val="18"/>
              </w:rPr>
            </w:pPr>
            <w:r>
              <w:rPr>
                <w:rFonts w:ascii="宋体" w:hAnsi="宋体" w:cs="宋体" w:eastAsia="宋体" w:hint="default"/>
                <w:sz w:val="18"/>
                <w:szCs w:val="18"/>
              </w:rPr>
              <w:t>杭州中宗电子有限 公司</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5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8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杭州市</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宋体" w:hAnsi="宋体" w:cs="宋体" w:eastAsia="宋体" w:hint="default"/>
                <w:sz w:val="18"/>
                <w:szCs w:val="18"/>
              </w:rPr>
              <w:t>万元</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3,500,000.00</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64" w:hRule="exact"/>
        </w:trPr>
        <w:tc>
          <w:tcPr>
            <w:tcW w:w="1545"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2" w:right="174"/>
              <w:jc w:val="left"/>
              <w:rPr>
                <w:rFonts w:ascii="宋体" w:hAnsi="宋体" w:cs="宋体" w:eastAsia="宋体" w:hint="default"/>
                <w:sz w:val="18"/>
                <w:szCs w:val="18"/>
              </w:rPr>
            </w:pPr>
            <w:r>
              <w:rPr>
                <w:rFonts w:ascii="宋体" w:hAnsi="宋体" w:cs="宋体" w:eastAsia="宋体" w:hint="default"/>
                <w:sz w:val="18"/>
                <w:szCs w:val="18"/>
              </w:rPr>
              <w:t>巴西</w:t>
            </w:r>
            <w:r>
              <w:rPr>
                <w:rFonts w:ascii="Times New Roman" w:hAnsi="Times New Roman" w:cs="Times New Roman" w:eastAsia="Times New Roman" w:hint="default"/>
                <w:sz w:val="18"/>
                <w:szCs w:val="18"/>
              </w:rPr>
              <w:t>NEXGO</w:t>
            </w:r>
            <w:r>
              <w:rPr>
                <w:rFonts w:ascii="宋体" w:hAnsi="宋体" w:cs="宋体" w:eastAsia="宋体" w:hint="default"/>
                <w:sz w:val="18"/>
                <w:szCs w:val="18"/>
              </w:rPr>
              <w:t>控股</w:t>
            </w:r>
            <w:r>
              <w:rPr>
                <w:rFonts w:ascii="宋体" w:hAnsi="宋体" w:cs="宋体" w:eastAsia="宋体" w:hint="default"/>
                <w:spacing w:val="1"/>
                <w:sz w:val="18"/>
                <w:szCs w:val="18"/>
              </w:rPr>
              <w:t> </w:t>
            </w:r>
            <w:r>
              <w:rPr>
                <w:rFonts w:ascii="宋体" w:hAnsi="宋体" w:cs="宋体" w:eastAsia="宋体" w:hint="default"/>
                <w:sz w:val="18"/>
                <w:szCs w:val="18"/>
              </w:rPr>
              <w:t>有限责任公司</w:t>
            </w:r>
          </w:p>
        </w:tc>
        <w:tc>
          <w:tcPr>
            <w:tcW w:w="12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56"/>
              <w:jc w:val="right"/>
              <w:rPr>
                <w:rFonts w:ascii="宋体" w:hAnsi="宋体" w:cs="宋体" w:eastAsia="宋体" w:hint="default"/>
                <w:sz w:val="18"/>
                <w:szCs w:val="18"/>
              </w:rPr>
            </w:pPr>
            <w:r>
              <w:rPr>
                <w:rFonts w:ascii="宋体" w:hAnsi="宋体" w:cs="宋体" w:eastAsia="宋体" w:hint="default"/>
                <w:sz w:val="18"/>
                <w:szCs w:val="18"/>
              </w:rPr>
              <w:t>全资子公司</w:t>
            </w:r>
          </w:p>
        </w:tc>
        <w:tc>
          <w:tcPr>
            <w:tcW w:w="89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80" w:right="77"/>
              <w:jc w:val="left"/>
              <w:rPr>
                <w:rFonts w:ascii="宋体" w:hAnsi="宋体" w:cs="宋体" w:eastAsia="宋体" w:hint="default"/>
                <w:sz w:val="18"/>
                <w:szCs w:val="18"/>
              </w:rPr>
            </w:pPr>
            <w:r>
              <w:rPr>
                <w:rFonts w:ascii="宋体" w:hAnsi="宋体" w:cs="宋体" w:eastAsia="宋体" w:hint="default"/>
                <w:sz w:val="18"/>
                <w:szCs w:val="18"/>
              </w:rPr>
              <w:t>圣保罗州 圣保罗市</w:t>
            </w:r>
          </w:p>
        </w:tc>
        <w:tc>
          <w:tcPr>
            <w:tcW w:w="11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22.00</w:t>
            </w:r>
            <w:r>
              <w:rPr>
                <w:rFonts w:ascii="宋体" w:hAnsi="宋体" w:cs="宋体" w:eastAsia="宋体" w:hint="default"/>
                <w:sz w:val="18"/>
                <w:szCs w:val="18"/>
              </w:rPr>
              <w:t>万美元</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3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footerReference w:type="default" r:id="rId21"/>
          <w:pgSz w:w="11910" w:h="16840"/>
          <w:pgMar w:footer="979" w:header="747" w:top="1060" w:bottom="1160" w:left="0" w:right="0"/>
          <w:pgNumType w:start="201"/>
        </w:sectPr>
      </w:pPr>
    </w:p>
    <w:p>
      <w:pPr>
        <w:spacing w:line="240" w:lineRule="auto" w:before="10"/>
        <w:rPr>
          <w:rFonts w:ascii="宋体" w:hAnsi="宋体" w:cs="宋体" w:eastAsia="宋体" w:hint="default"/>
          <w:b/>
          <w:bCs/>
          <w:sz w:val="24"/>
          <w:szCs w:val="24"/>
        </w:rPr>
      </w:pPr>
    </w:p>
    <w:p>
      <w:pPr>
        <w:spacing w:line="487" w:lineRule="auto" w:before="35"/>
        <w:ind w:left="1133" w:right="7873" w:firstLine="0"/>
        <w:jc w:val="left"/>
        <w:rPr>
          <w:rFonts w:ascii="宋体" w:hAnsi="宋体" w:cs="宋体" w:eastAsia="宋体" w:hint="default"/>
          <w:sz w:val="21"/>
          <w:szCs w:val="21"/>
        </w:rPr>
      </w:pPr>
      <w:bookmarkStart w:name="6、其他" w:id="431"/>
      <w:bookmarkEnd w:id="43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32"/>
      <w:bookmarkEnd w:id="432"/>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33"/>
      <w:bookmarkEnd w:id="43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5"/>
        <w:spacing w:line="240" w:lineRule="auto" w:before="83"/>
        <w:ind w:right="994"/>
        <w:jc w:val="left"/>
        <w:rPr>
          <w:b w:val="0"/>
          <w:bCs w:val="0"/>
        </w:rPr>
      </w:pPr>
      <w:bookmarkStart w:name="（1）企业集团的构成" w:id="434"/>
      <w:bookmarkEnd w:id="43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深圳市易联技术 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软件技术开发与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苏州新国都电子 技术有限公司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电子产品及计算 机产品的开发、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浙江中正智能科 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网络安全认证、 防伪、加密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962"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深圳市新国都支 付技术有限公司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2"/>
              <w:ind w:left="22" w:right="56"/>
              <w:jc w:val="both"/>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终端、固定 无线电话机、电 子支付设备、计 算机软硬件、电 子产品的技术开 发、生产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深圳市信联征信 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征信业务的开 发、运营、服务 及相关业务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ExaDigm,Inc</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终端、电子 支付设备的销售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深圳市新国都金 服软件有限公司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252"/>
              <w:jc w:val="left"/>
              <w:rPr>
                <w:rFonts w:ascii="宋体" w:hAnsi="宋体" w:cs="宋体" w:eastAsia="宋体" w:hint="default"/>
                <w:sz w:val="18"/>
                <w:szCs w:val="18"/>
              </w:rPr>
            </w:pPr>
            <w:r>
              <w:rPr>
                <w:rFonts w:ascii="宋体" w:hAnsi="宋体" w:cs="宋体" w:eastAsia="宋体" w:hint="default"/>
                <w:sz w:val="18"/>
                <w:szCs w:val="18"/>
              </w:rPr>
              <w:t>软件的技术开 发、销售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长沙公信诚丰信 息技术服务有限 公司</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信息技术咨询服 务、软件开发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962"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深圳市新国都末 微技术服务有限 公司</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计算软硬件技术 服务；智能化设 备技术服务；电 子设备的技术开 发、销售、租赁 及技术服务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长沙法度互联网 科技有限公司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互联网信息技术 咨询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杭州中宗电子有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586" w:hRule="exact"/>
        </w:trPr>
        <w:tc>
          <w:tcPr>
            <w:tcW w:w="137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宋体" w:hAnsi="宋体" w:cs="宋体" w:eastAsia="宋体" w:hint="default"/>
                <w:sz w:val="18"/>
                <w:szCs w:val="18"/>
              </w:rPr>
              <w:t>巴西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NEXGO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控 股有限责任公司</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巴西</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圣保罗州圣保罗 市</w:t>
            </w:r>
          </w:p>
        </w:tc>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56"/>
              <w:jc w:val="both"/>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终端支付产 品在巴西及南美 市场的销售、技 术支持与服务管 理，对巴西及南 美市场的投资管 理及进出口业务 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left="1134" w:right="7692"/>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5"/>
        <w:spacing w:line="240" w:lineRule="auto"/>
        <w:ind w:left="1134" w:right="994"/>
        <w:jc w:val="left"/>
        <w:rPr>
          <w:b w:val="0"/>
          <w:bCs w:val="0"/>
        </w:rPr>
      </w:pPr>
      <w:bookmarkStart w:name="（2）重要的非全资子公司" w:id="435"/>
      <w:bookmarkEnd w:id="43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60" w:lineRule="auto" w:before="51"/>
        <w:ind w:left="113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5"/>
        <w:spacing w:line="240" w:lineRule="auto"/>
        <w:ind w:left="1134" w:right="994"/>
        <w:jc w:val="left"/>
        <w:rPr>
          <w:b w:val="0"/>
          <w:bCs w:val="0"/>
        </w:rPr>
      </w:pPr>
      <w:bookmarkStart w:name="（3）重要非全资子公司的主要财务信息" w:id="436"/>
      <w:bookmarkEnd w:id="43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54"/>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4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57" w:right="6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2"/>
        <w:ind w:left="1134" w:right="994"/>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94"/>
        <w:jc w:val="left"/>
        <w:rPr>
          <w:b w:val="0"/>
          <w:bCs w:val="0"/>
        </w:rPr>
      </w:pPr>
      <w:bookmarkStart w:name="（4）使用企业集团资产和清偿企业集团债务的重大限制" w:id="437"/>
      <w:bookmarkEnd w:id="43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94"/>
        <w:jc w:val="left"/>
        <w:rPr>
          <w:b w:val="0"/>
          <w:bCs w:val="0"/>
        </w:rPr>
      </w:pPr>
      <w:bookmarkStart w:name="（5）向纳入合并财务报表范围的结构化主体提供的财务支持或其他支持" w:id="438"/>
      <w:bookmarkEnd w:id="43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94"/>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94"/>
        <w:jc w:val="left"/>
        <w:rPr>
          <w:b w:val="0"/>
          <w:bCs w:val="0"/>
        </w:rPr>
      </w:pPr>
      <w:bookmarkStart w:name="2、在子公司的所有者权益份额发生变化且仍控制子公司的交易" w:id="439"/>
      <w:bookmarkEnd w:id="43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94"/>
        <w:jc w:val="left"/>
        <w:rPr>
          <w:b w:val="0"/>
          <w:bCs w:val="0"/>
        </w:rPr>
      </w:pPr>
      <w:bookmarkStart w:name="（1）在子公司所有者权益份额发生变化的情况说明" w:id="440"/>
      <w:bookmarkEnd w:id="44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94"/>
        <w:jc w:val="left"/>
        <w:rPr>
          <w:b w:val="0"/>
          <w:bCs w:val="0"/>
        </w:rPr>
      </w:pPr>
      <w:bookmarkStart w:name="（2）交易对于少数股东权益及归属于母公司所有者权益的影响" w:id="441"/>
      <w:bookmarkEnd w:id="44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6"/>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3、在合营安排或联营企业中的权益" w:id="442"/>
      <w:bookmarkEnd w:id="44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1）重要的合营企业或联营企业" w:id="443"/>
      <w:bookmarkEnd w:id="44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left="1134" w:right="994"/>
        <w:jc w:val="left"/>
      </w:pPr>
      <w:r>
        <w:rPr/>
        <w:t>在合营企业或联营企业的持股比例不同于表决权比例的说明：</w:t>
      </w:r>
    </w:p>
    <w:p>
      <w:pPr>
        <w:pStyle w:val="BodyText"/>
        <w:spacing w:line="240" w:lineRule="auto" w:before="116"/>
        <w:ind w:left="1134" w:right="994"/>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10"/>
        <w:rPr>
          <w:rFonts w:ascii="宋体" w:hAnsi="宋体" w:cs="宋体" w:eastAsia="宋体" w:hint="default"/>
          <w:sz w:val="25"/>
          <w:szCs w:val="25"/>
        </w:rPr>
      </w:pPr>
    </w:p>
    <w:p>
      <w:pPr>
        <w:pStyle w:val="Heading5"/>
        <w:spacing w:line="240" w:lineRule="auto"/>
        <w:ind w:left="1134" w:right="994"/>
        <w:jc w:val="left"/>
        <w:rPr>
          <w:b w:val="0"/>
          <w:bCs w:val="0"/>
        </w:rPr>
      </w:pPr>
      <w:bookmarkStart w:name="（2）重要合营企业的主要财务信息" w:id="444"/>
      <w:bookmarkEnd w:id="44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3）重要联营企业的主要财务信息" w:id="445"/>
      <w:bookmarkEnd w:id="44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4）不重要的合营企业和联营企业的汇总财务信息" w:id="446"/>
      <w:bookmarkEnd w:id="44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5）合营企业或联营企业向本公司转移资金的能力存在重大限制的说明" w:id="447"/>
      <w:bookmarkEnd w:id="44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94"/>
        <w:jc w:val="left"/>
        <w:rPr>
          <w:b w:val="0"/>
          <w:bCs w:val="0"/>
        </w:rPr>
      </w:pPr>
      <w:bookmarkStart w:name="（6）合营企业或联营企业发生的超额亏损" w:id="448"/>
      <w:bookmarkEnd w:id="44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7）与合营企业投资相关的未确认承诺" w:id="449"/>
      <w:bookmarkEnd w:id="449"/>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94"/>
        <w:jc w:val="left"/>
        <w:rPr>
          <w:b w:val="0"/>
          <w:bCs w:val="0"/>
        </w:rPr>
      </w:pPr>
      <w:bookmarkStart w:name="（8）与合营企业或联营企业投资相关的或有负债" w:id="450"/>
      <w:bookmarkEnd w:id="45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4、重要的共同经营" w:id="451"/>
      <w:bookmarkEnd w:id="45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3"/>
        <w:jc w:val="left"/>
      </w:pPr>
      <w:r>
        <w:rPr/>
        <w:t>在共同经营中的持股比例或享有的份额不同于表决权比例的说明： 共同经营为单独主体的，分类为共同经营的依据：</w:t>
      </w:r>
    </w:p>
    <w:p>
      <w:pPr>
        <w:pStyle w:val="BodyText"/>
        <w:spacing w:line="240" w:lineRule="auto" w:before="26"/>
        <w:ind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5、在未纳入合并财务报表范围的结构化主体中的权益" w:id="452"/>
      <w:bookmarkEnd w:id="45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94"/>
        <w:jc w:val="left"/>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4"/>
        <w:spacing w:line="477" w:lineRule="auto"/>
        <w:ind w:left="1134" w:right="7873"/>
        <w:jc w:val="left"/>
        <w:rPr>
          <w:b w:val="0"/>
          <w:bCs w:val="0"/>
        </w:rPr>
      </w:pPr>
      <w:bookmarkStart w:name="6、其他" w:id="453"/>
      <w:bookmarkEnd w:id="453"/>
      <w:r>
        <w:rPr>
          <w:b w:val="0"/>
          <w:bCs w:val="0"/>
        </w:rPr>
      </w:r>
      <w:r>
        <w:rPr>
          <w:rFonts w:ascii="Times New Roman" w:hAnsi="Times New Roman" w:cs="Times New Roman" w:eastAsia="Times New Roman" w:hint="default"/>
          <w:sz w:val="21"/>
          <w:szCs w:val="21"/>
        </w:rPr>
        <w:t>6</w:t>
      </w:r>
      <w:r>
        <w:rPr>
          <w:sz w:val="21"/>
          <w:szCs w:val="21"/>
        </w:rPr>
        <w:t>、其他</w:t>
      </w:r>
      <w:r>
        <w:rPr>
          <w:spacing w:val="1"/>
          <w:w w:val="99"/>
          <w:sz w:val="21"/>
          <w:szCs w:val="21"/>
        </w:rPr>
        <w:t> </w:t>
      </w:r>
      <w:bookmarkStart w:name="十、与金融工具相关的风险" w:id="454"/>
      <w:bookmarkEnd w:id="454"/>
      <w:r>
        <w:rPr>
          <w:spacing w:val="1"/>
          <w:w w:val="99"/>
          <w:sz w:val="21"/>
          <w:szCs w:val="21"/>
        </w:rPr>
      </w:r>
      <w:r>
        <w:rPr>
          <w:w w:val="95"/>
        </w:rPr>
        <w:t>十、与金融工具相关的风险</w:t>
      </w:r>
      <w:r>
        <w:rPr>
          <w:spacing w:val="18"/>
          <w:w w:val="95"/>
        </w:rPr>
        <w:t> </w:t>
      </w:r>
      <w:r>
        <w:rPr>
          <w:spacing w:val="18"/>
          <w:w w:val="95"/>
        </w:rPr>
      </w:r>
      <w:bookmarkStart w:name="十一、公允价值的披露" w:id="455"/>
      <w:bookmarkEnd w:id="455"/>
      <w:r>
        <w:rPr/>
        <w:t>十一、公</w:t>
      </w:r>
      <w:r>
        <w:rPr/>
        <w:t>允价值的披露</w:t>
      </w:r>
      <w:r>
        <w:rPr>
          <w:b w:val="0"/>
          <w:bCs w:val="0"/>
        </w:rPr>
      </w:r>
    </w:p>
    <w:p>
      <w:pPr>
        <w:pStyle w:val="Heading5"/>
        <w:spacing w:line="240" w:lineRule="auto" w:before="84"/>
        <w:ind w:right="994"/>
        <w:jc w:val="left"/>
        <w:rPr>
          <w:b w:val="0"/>
          <w:bCs w:val="0"/>
        </w:rPr>
      </w:pPr>
      <w:bookmarkStart w:name="1、以公允价值计量的资产和负债的期末公允价值" w:id="456"/>
      <w:bookmarkEnd w:id="45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5"/>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持续和非持续第一层次公允价值计量项目市价的确定依据" w:id="457"/>
      <w:bookmarkEnd w:id="45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3、持续和非持续第二层次公允价值计量项目，采用的估值技术和重要参数的定性及定量信" w:id="458"/>
      <w:bookmarkEnd w:id="45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4、持续和非持续第三层次公允价值计量项目，采用的估值技术和重要参数的定性及定量信" w:id="459"/>
      <w:bookmarkEnd w:id="45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94"/>
        <w:jc w:val="left"/>
        <w:rPr>
          <w:b w:val="0"/>
          <w:bCs w:val="0"/>
        </w:rPr>
      </w:pPr>
      <w:bookmarkStart w:name="5、持续的第三层次公允价值计量项目，期初与期末账面价值间的调节信息及不可观察参数" w:id="460"/>
      <w:bookmarkEnd w:id="46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6、持续的公允价值计量项目，本期内发生各层级之间转换的，转换的原因及确定转换时点" w:id="461"/>
      <w:bookmarkEnd w:id="46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7、本期内发生的估值技术变更及变更原因" w:id="462"/>
      <w:bookmarkEnd w:id="46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8、不以公允价值计量的金融资产和金融负债的公允价值情况" w:id="463"/>
      <w:bookmarkEnd w:id="46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134" w:right="7873" w:firstLine="0"/>
        <w:jc w:val="left"/>
        <w:rPr>
          <w:rFonts w:ascii="宋体" w:hAnsi="宋体" w:cs="宋体" w:eastAsia="宋体" w:hint="default"/>
          <w:sz w:val="21"/>
          <w:szCs w:val="21"/>
        </w:rPr>
      </w:pPr>
      <w:bookmarkStart w:name="9、其他" w:id="464"/>
      <w:bookmarkEnd w:id="46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65"/>
      <w:bookmarkEnd w:id="46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66"/>
      <w:bookmarkEnd w:id="46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51"/>
        <w:ind w:right="8232"/>
        <w:jc w:val="left"/>
      </w:pPr>
      <w:r>
        <w:rPr/>
        <w:t>本企业的母公司情况的说明 本企业最终控制方是。 其他说明：</w:t>
      </w:r>
    </w:p>
    <w:p>
      <w:pPr>
        <w:spacing w:line="240" w:lineRule="auto" w:before="12"/>
        <w:rPr>
          <w:rFonts w:ascii="宋体" w:hAnsi="宋体" w:cs="宋体" w:eastAsia="宋体" w:hint="default"/>
          <w:sz w:val="19"/>
          <w:szCs w:val="19"/>
        </w:rPr>
      </w:pPr>
    </w:p>
    <w:p>
      <w:pPr>
        <w:pStyle w:val="Heading5"/>
        <w:spacing w:line="240" w:lineRule="auto"/>
        <w:ind w:right="994"/>
        <w:jc w:val="left"/>
        <w:rPr>
          <w:b w:val="0"/>
          <w:bCs w:val="0"/>
        </w:rPr>
      </w:pPr>
      <w:bookmarkStart w:name="2、本企业的子公司情况" w:id="467"/>
      <w:bookmarkEnd w:id="46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94"/>
        <w:jc w:val="left"/>
      </w:pPr>
      <w:r>
        <w:rPr/>
        <w:t>本企业子公司的情况详见附注。</w:t>
      </w:r>
    </w:p>
    <w:p>
      <w:pPr>
        <w:spacing w:line="240" w:lineRule="auto" w:before="10"/>
        <w:rPr>
          <w:rFonts w:ascii="宋体" w:hAnsi="宋体" w:cs="宋体" w:eastAsia="宋体" w:hint="default"/>
          <w:sz w:val="26"/>
          <w:szCs w:val="26"/>
        </w:rPr>
      </w:pPr>
    </w:p>
    <w:p>
      <w:pPr>
        <w:pStyle w:val="Heading5"/>
        <w:spacing w:line="240" w:lineRule="auto"/>
        <w:ind w:left="1134" w:right="994"/>
        <w:jc w:val="left"/>
        <w:rPr>
          <w:b w:val="0"/>
          <w:bCs w:val="0"/>
        </w:rPr>
      </w:pPr>
      <w:bookmarkStart w:name="3、本企业合营和联营企业情况" w:id="468"/>
      <w:bookmarkEnd w:id="46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1134" w:right="2292"/>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left="1134" w:right="994"/>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94"/>
        <w:jc w:val="left"/>
        <w:rPr>
          <w:b w:val="0"/>
          <w:bCs w:val="0"/>
        </w:rPr>
      </w:pPr>
      <w:bookmarkStart w:name="4、其他关联方情况" w:id="469"/>
      <w:bookmarkEnd w:id="46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深圳市泰德信实业有限公司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同一实际控制人</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刘亚</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本公司股东，实际控制人刘祥之兄弟</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高倩</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实际控制人刘祥之配偶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信美人寿相互保险社</w:t>
            </w:r>
          </w:p>
        </w:tc>
        <w:tc>
          <w:tcPr>
            <w:tcW w:w="47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5、关联交易情况" w:id="470"/>
      <w:bookmarkEnd w:id="47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94"/>
        <w:jc w:val="left"/>
        <w:rPr>
          <w:b w:val="0"/>
          <w:bCs w:val="0"/>
        </w:rPr>
      </w:pPr>
      <w:bookmarkStart w:name="（1）购销商品、提供和接受劳务的关联交易" w:id="471"/>
      <w:bookmarkEnd w:id="47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994"/>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695"/>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994"/>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994"/>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5"/>
        <w:spacing w:line="240" w:lineRule="auto"/>
        <w:ind w:left="1134" w:right="994"/>
        <w:jc w:val="left"/>
        <w:rPr>
          <w:b w:val="0"/>
          <w:bCs w:val="0"/>
        </w:rPr>
      </w:pPr>
      <w:bookmarkStart w:name="（2）关联受托管理/承包及委托管理/出包情况" w:id="472"/>
      <w:bookmarkEnd w:id="47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134" w:right="994"/>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pStyle w:val="BodyText"/>
        <w:spacing w:line="338" w:lineRule="auto" w:before="52"/>
        <w:ind w:left="113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3525" w:space="5304"/>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left="1134" w:right="994"/>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5"/>
        <w:spacing w:line="240" w:lineRule="auto"/>
        <w:ind w:left="1134" w:right="994"/>
        <w:jc w:val="left"/>
        <w:rPr>
          <w:b w:val="0"/>
          <w:bCs w:val="0"/>
        </w:rPr>
      </w:pPr>
      <w:bookmarkStart w:name="（3）关联租赁情况" w:id="473"/>
      <w:bookmarkEnd w:id="47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134" w:right="994"/>
        <w:jc w:val="left"/>
      </w:pPr>
      <w:r>
        <w:rPr/>
        <w:t>本公司作为出租方：</w:t>
      </w:r>
    </w:p>
    <w:p>
      <w:pPr>
        <w:pStyle w:val="BodyText"/>
        <w:spacing w:line="240" w:lineRule="auto" w:before="116"/>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after="0" w:line="240" w:lineRule="auto"/>
        <w:jc w:val="left"/>
        <w:rPr>
          <w:rFonts w:ascii="宋体" w:hAnsi="宋体" w:cs="宋体" w:eastAsia="宋体" w:hint="default"/>
          <w:sz w:val="18"/>
          <w:szCs w:val="18"/>
        </w:rPr>
        <w:sectPr>
          <w:type w:val="continuous"/>
          <w:pgSz w:w="11910" w:h="16840"/>
          <w:pgMar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ind w:right="994"/>
        <w:jc w:val="left"/>
      </w:pPr>
      <w:r>
        <w:rPr/>
        <w:t>本公司作为承租方：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397"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7"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深圳市泰德信实业有限公司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14" w:right="0"/>
              <w:jc w:val="left"/>
              <w:rPr>
                <w:rFonts w:ascii="Times New Roman" w:hAnsi="Times New Roman" w:cs="Times New Roman" w:eastAsia="Times New Roman" w:hint="default"/>
                <w:sz w:val="18"/>
                <w:szCs w:val="18"/>
              </w:rPr>
            </w:pPr>
            <w:r>
              <w:rPr>
                <w:rFonts w:ascii="Times New Roman"/>
                <w:sz w:val="18"/>
              </w:rPr>
              <w:t>1,013,257.20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14" w:right="0"/>
              <w:jc w:val="left"/>
              <w:rPr>
                <w:rFonts w:ascii="Times New Roman" w:hAnsi="Times New Roman" w:cs="Times New Roman" w:eastAsia="Times New Roman" w:hint="default"/>
                <w:sz w:val="18"/>
                <w:szCs w:val="18"/>
              </w:rPr>
            </w:pPr>
            <w:r>
              <w:rPr>
                <w:rFonts w:ascii="Times New Roman"/>
                <w:sz w:val="18"/>
              </w:rPr>
              <w:t>1,050,621.00</w:t>
            </w:r>
          </w:p>
        </w:tc>
      </w:tr>
    </w:tbl>
    <w:p>
      <w:pPr>
        <w:pStyle w:val="BodyText"/>
        <w:spacing w:line="240" w:lineRule="auto" w:before="51"/>
        <w:ind w:left="1134" w:right="994"/>
        <w:jc w:val="left"/>
      </w:pPr>
      <w:r>
        <w:rPr/>
        <w:t>关联租赁情况说明</w:t>
      </w:r>
    </w:p>
    <w:p>
      <w:pPr>
        <w:spacing w:line="240" w:lineRule="auto" w:before="11"/>
        <w:rPr>
          <w:rFonts w:ascii="宋体" w:hAnsi="宋体" w:cs="宋体" w:eastAsia="宋体" w:hint="default"/>
          <w:sz w:val="26"/>
          <w:szCs w:val="26"/>
        </w:rPr>
      </w:pPr>
    </w:p>
    <w:p>
      <w:pPr>
        <w:pStyle w:val="Heading5"/>
        <w:spacing w:line="240" w:lineRule="auto"/>
        <w:ind w:left="1134" w:right="994"/>
        <w:jc w:val="left"/>
        <w:rPr>
          <w:b w:val="0"/>
          <w:bCs w:val="0"/>
        </w:rPr>
      </w:pPr>
      <w:bookmarkStart w:name="（4）关联担保情况" w:id="474"/>
      <w:bookmarkEnd w:id="47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134" w:right="994"/>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134" w:right="994"/>
        <w:jc w:val="left"/>
      </w:pPr>
      <w:r>
        <w:rPr/>
        <w:t>本公司作为被担保方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left="1134" w:right="994"/>
        <w:jc w:val="left"/>
      </w:pPr>
      <w:r>
        <w:rPr/>
        <w:t>关联担保情况说明</w:t>
      </w:r>
    </w:p>
    <w:p>
      <w:pPr>
        <w:pStyle w:val="Heading6"/>
        <w:spacing w:line="256" w:lineRule="auto" w:before="89"/>
        <w:ind w:right="1130"/>
        <w:jc w:val="left"/>
      </w:pPr>
      <w:r>
        <w:rPr>
          <w:spacing w:val="-2"/>
        </w:rPr>
        <w:t>本公司与华夏银行股份有限公司深圳大中华支行签署编号为</w:t>
      </w:r>
      <w:r>
        <w:rPr>
          <w:rFonts w:ascii="Times New Roman" w:hAnsi="Times New Roman" w:cs="Times New Roman" w:eastAsia="Times New Roman" w:hint="default"/>
          <w:spacing w:val="-2"/>
        </w:rPr>
        <w:t>SZ03</w:t>
      </w:r>
      <w:r>
        <w:rPr>
          <w:spacing w:val="-2"/>
        </w:rPr>
        <w:t>（融资）</w:t>
      </w:r>
      <w:r>
        <w:rPr>
          <w:rFonts w:ascii="Times New Roman" w:hAnsi="Times New Roman" w:cs="Times New Roman" w:eastAsia="Times New Roman" w:hint="default"/>
          <w:spacing w:val="-2"/>
        </w:rPr>
        <w:t>20170011</w:t>
      </w:r>
      <w:r>
        <w:rPr>
          <w:spacing w:val="-2"/>
        </w:rPr>
        <w:t>号的《最高额融资</w:t>
      </w:r>
      <w:r>
        <w:rPr/>
        <w:t> </w:t>
      </w:r>
      <w:r>
        <w:rPr>
          <w:spacing w:val="-1"/>
        </w:rPr>
        <w:t>合同》，最高融资额度为</w:t>
      </w:r>
      <w:r>
        <w:rPr>
          <w:rFonts w:ascii="Times New Roman" w:hAnsi="Times New Roman" w:cs="Times New Roman" w:eastAsia="Times New Roman" w:hint="default"/>
          <w:spacing w:val="-1"/>
        </w:rPr>
        <w:t>10,000.00</w:t>
      </w:r>
      <w:r>
        <w:rPr>
          <w:spacing w:val="-1"/>
        </w:rPr>
        <w:t>万元，在该最高额融资合同项下由本公司实际控制人刘祥与华夏银行股</w:t>
      </w:r>
      <w:r>
        <w:rPr>
          <w:spacing w:val="-79"/>
        </w:rPr>
        <w:t> </w:t>
      </w:r>
      <w:r>
        <w:rPr>
          <w:spacing w:val="-79"/>
        </w:rPr>
      </w:r>
      <w:r>
        <w:rPr/>
        <w:t>份有限公司深圳大中华支行签署编号为</w:t>
      </w:r>
      <w:r>
        <w:rPr>
          <w:rFonts w:ascii="Times New Roman" w:hAnsi="Times New Roman" w:cs="Times New Roman" w:eastAsia="Times New Roman" w:hint="default"/>
        </w:rPr>
        <w:t>SZ03</w:t>
      </w:r>
      <w:r>
        <w:rPr/>
        <w:t>（高保）</w:t>
      </w:r>
      <w:r>
        <w:rPr>
          <w:rFonts w:ascii="Times New Roman" w:hAnsi="Times New Roman" w:cs="Times New Roman" w:eastAsia="Times New Roman" w:hint="default"/>
        </w:rPr>
        <w:t>20170011-11</w:t>
      </w:r>
      <w:r>
        <w:rPr/>
        <w:t>号的个人最高额保证合同，对前述最高 额融资合同提供担保。</w:t>
      </w:r>
    </w:p>
    <w:p>
      <w:pPr>
        <w:pStyle w:val="Heading6"/>
        <w:spacing w:line="256" w:lineRule="auto" w:before="22"/>
        <w:ind w:right="994"/>
        <w:jc w:val="left"/>
      </w:pP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11</w:t>
      </w:r>
      <w:r>
        <w:rPr>
          <w:spacing w:val="-5"/>
        </w:rPr>
        <w:t>日，本公司与浙商银行股份有限公司深圳分行签署编号为（</w:t>
      </w:r>
      <w:r>
        <w:rPr>
          <w:rFonts w:ascii="Times New Roman" w:hAnsi="Times New Roman" w:cs="Times New Roman" w:eastAsia="Times New Roman" w:hint="default"/>
          <w:spacing w:val="-5"/>
        </w:rPr>
        <w:t>584060</w:t>
      </w:r>
      <w:r>
        <w:rPr>
          <w:spacing w:val="-5"/>
        </w:rPr>
        <w:t>）浙商银综授字（</w:t>
      </w:r>
      <w:r>
        <w:rPr>
          <w:rFonts w:ascii="Times New Roman" w:hAnsi="Times New Roman" w:cs="Times New Roman" w:eastAsia="Times New Roman" w:hint="default"/>
          <w:spacing w:val="-5"/>
        </w:rPr>
        <w:t>2017</w:t>
      </w:r>
      <w:r>
        <w:rPr>
          <w:spacing w:val="-5"/>
        </w:rPr>
        <w:t>）</w:t>
      </w:r>
      <w:r>
        <w:rPr/>
        <w:t> 第</w:t>
      </w:r>
      <w:r>
        <w:rPr>
          <w:rFonts w:ascii="Times New Roman" w:hAnsi="Times New Roman" w:cs="Times New Roman" w:eastAsia="Times New Roman" w:hint="default"/>
        </w:rPr>
        <w:t>00001</w:t>
      </w:r>
      <w:r>
        <w:rPr/>
        <w:t>号的《综合授信协议》，授信额度为</w:t>
      </w:r>
      <w:r>
        <w:rPr>
          <w:rFonts w:ascii="Times New Roman" w:hAnsi="Times New Roman" w:cs="Times New Roman" w:eastAsia="Times New Roman" w:hint="default"/>
        </w:rPr>
        <w:t>20,000.00</w:t>
      </w:r>
      <w:r>
        <w:rPr/>
        <w:t>万元，在该授信合同项下由本公司实际控制人刘祥 与浙商银行股份有限公司深圳分行签署编号（</w:t>
      </w:r>
      <w:r>
        <w:rPr>
          <w:rFonts w:ascii="Times New Roman" w:hAnsi="Times New Roman" w:cs="Times New Roman" w:eastAsia="Times New Roman" w:hint="default"/>
        </w:rPr>
        <w:t>584060</w:t>
      </w:r>
      <w:r>
        <w:rPr/>
        <w:t>）浙商银高保字（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00003</w:t>
      </w:r>
      <w:r>
        <w:rPr/>
        <w:t>号的最高额保证合 同，对前述授信合同提供担保。</w:t>
      </w:r>
    </w:p>
    <w:p>
      <w:pPr>
        <w:pStyle w:val="Heading6"/>
        <w:spacing w:line="256" w:lineRule="auto" w:before="22"/>
        <w:ind w:right="9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日，本公司及其子公司深圳市新国都支付技术有限公司与中信银行股份有限公司深圳分 行签署编号为</w:t>
      </w:r>
      <w:r>
        <w:rPr>
          <w:rFonts w:ascii="Times New Roman" w:hAnsi="Times New Roman" w:cs="Times New Roman" w:eastAsia="Times New Roman" w:hint="default"/>
        </w:rPr>
        <w:t>2017</w:t>
      </w:r>
      <w:r>
        <w:rPr/>
        <w:t>深银前海综字第</w:t>
      </w:r>
      <w:r>
        <w:rPr>
          <w:rFonts w:ascii="Times New Roman" w:hAnsi="Times New Roman" w:cs="Times New Roman" w:eastAsia="Times New Roman" w:hint="default"/>
        </w:rPr>
        <w:t>0007</w:t>
      </w:r>
      <w:r>
        <w:rPr/>
        <w:t>号的《综合授信合同》，授信额度为</w:t>
      </w:r>
      <w:r>
        <w:rPr>
          <w:spacing w:val="-24"/>
        </w:rPr>
        <w:t> </w:t>
      </w:r>
      <w:r>
        <w:rPr>
          <w:rFonts w:ascii="Times New Roman" w:hAnsi="Times New Roman" w:cs="Times New Roman" w:eastAsia="Times New Roman" w:hint="default"/>
        </w:rPr>
        <w:t>20,000.00</w:t>
      </w:r>
      <w:r>
        <w:rPr/>
        <w:t>万元</w:t>
      </w:r>
      <w:r>
        <w:rPr>
          <w:rFonts w:ascii="Times New Roman" w:hAnsi="Times New Roman" w:cs="Times New Roman" w:eastAsia="Times New Roman" w:hint="default"/>
        </w:rPr>
        <w:t>,</w:t>
      </w:r>
      <w:r>
        <w:rPr/>
        <w:t>在该授信合同 项下由本公司实际控制人刘祥与中信银行股份有限公司深圳分行签署编号为</w:t>
      </w:r>
      <w:r>
        <w:rPr>
          <w:rFonts w:ascii="Times New Roman" w:hAnsi="Times New Roman" w:cs="Times New Roman" w:eastAsia="Times New Roman" w:hint="default"/>
        </w:rPr>
        <w:t>2017</w:t>
      </w:r>
      <w:r>
        <w:rPr/>
        <w:t>深银前海额保字第</w:t>
      </w:r>
      <w:r>
        <w:rPr>
          <w:rFonts w:ascii="Times New Roman" w:hAnsi="Times New Roman" w:cs="Times New Roman" w:eastAsia="Times New Roman" w:hint="default"/>
        </w:rPr>
        <w:t>0003 </w:t>
      </w:r>
      <w:r>
        <w:rPr>
          <w:spacing w:val="-1"/>
        </w:rPr>
        <w:t>号的《最高额保证合同》以及本公司与中信银行股份有限公司深圳分行签署编号为</w:t>
      </w:r>
      <w:r>
        <w:rPr>
          <w:rFonts w:ascii="Times New Roman" w:hAnsi="Times New Roman" w:cs="Times New Roman" w:eastAsia="Times New Roman" w:hint="default"/>
          <w:spacing w:val="-1"/>
        </w:rPr>
        <w:t>2017</w:t>
      </w:r>
      <w:r>
        <w:rPr>
          <w:spacing w:val="-1"/>
        </w:rPr>
        <w:t>深银前海最保字第</w:t>
      </w:r>
      <w:r>
        <w:rPr>
          <w:spacing w:val="-79"/>
        </w:rPr>
        <w:t> </w:t>
      </w:r>
      <w:r>
        <w:rPr>
          <w:spacing w:val="-79"/>
        </w:rPr>
      </w:r>
      <w:r>
        <w:rPr>
          <w:rFonts w:ascii="Times New Roman" w:hAnsi="Times New Roman" w:cs="Times New Roman" w:eastAsia="Times New Roman" w:hint="default"/>
        </w:rPr>
        <w:t>0003</w:t>
      </w:r>
      <w:r>
        <w:rPr/>
        <w:t>号最高额保证合同，对前述授信合同提供担保。</w:t>
      </w:r>
    </w:p>
    <w:p>
      <w:pPr>
        <w:pStyle w:val="Heading6"/>
        <w:spacing w:line="256" w:lineRule="auto"/>
        <w:ind w:right="1052"/>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日，本公司与江苏银行股份有限公司深圳分行签署编号</w:t>
      </w:r>
      <w:r>
        <w:rPr>
          <w:rFonts w:ascii="Times New Roman" w:hAnsi="Times New Roman" w:cs="Times New Roman" w:eastAsia="Times New Roman" w:hint="default"/>
        </w:rPr>
        <w:t>SX161417000749</w:t>
      </w:r>
      <w:r>
        <w:rPr/>
        <w:t>号的《最高额综 合授信合同》，授信额度为</w:t>
      </w:r>
      <w:r>
        <w:rPr>
          <w:rFonts w:ascii="Times New Roman" w:hAnsi="Times New Roman" w:cs="Times New Roman" w:eastAsia="Times New Roman" w:hint="default"/>
        </w:rPr>
        <w:t>10,000.00</w:t>
      </w:r>
      <w:r>
        <w:rPr/>
        <w:t>万元，在该授信合同项下由本公司实际控制人刘祥与江苏银行股份有 限公司深圳分行签署编号为</w:t>
      </w:r>
      <w:r>
        <w:rPr>
          <w:rFonts w:ascii="Times New Roman" w:hAnsi="Times New Roman" w:cs="Times New Roman" w:eastAsia="Times New Roman" w:hint="default"/>
        </w:rPr>
        <w:t>BZ161417000049</w:t>
      </w:r>
      <w:r>
        <w:rPr/>
        <w:t>号的最高额个人连带责任保证书，对前述授信合同提供担保。</w:t>
      </w:r>
    </w:p>
    <w:p>
      <w:pPr>
        <w:pStyle w:val="Heading6"/>
        <w:spacing w:line="256" w:lineRule="auto"/>
        <w:ind w:right="1026"/>
        <w:jc w:val="left"/>
      </w:pP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13</w:t>
      </w:r>
      <w:r>
        <w:rPr>
          <w:spacing w:val="-5"/>
        </w:rPr>
        <w:t>日，本公司与北京银行股份有限公司深圳分行签署编号为</w:t>
      </w:r>
      <w:r>
        <w:rPr>
          <w:rFonts w:ascii="Times New Roman" w:hAnsi="Times New Roman" w:cs="Times New Roman" w:eastAsia="Times New Roman" w:hint="default"/>
          <w:spacing w:val="-5"/>
        </w:rPr>
        <w:t>0453551</w:t>
      </w:r>
      <w:r>
        <w:rPr>
          <w:spacing w:val="-5"/>
        </w:rPr>
        <w:t>号的《综合授信合同》，</w:t>
      </w:r>
      <w:r>
        <w:rPr/>
        <w:t> 最高融资额度为</w:t>
      </w:r>
      <w:r>
        <w:rPr>
          <w:rFonts w:ascii="Times New Roman" w:hAnsi="Times New Roman" w:cs="Times New Roman" w:eastAsia="Times New Roman" w:hint="default"/>
        </w:rPr>
        <w:t>15,000.00</w:t>
      </w:r>
      <w:r>
        <w:rPr/>
        <w:t>万元，在该综合授信合同项下由本公司之子公司深圳市新国都支付技术有限公司 与北京银行股份有限公司深圳分行签署编号为</w:t>
      </w:r>
      <w:r>
        <w:rPr>
          <w:rFonts w:ascii="Times New Roman" w:hAnsi="Times New Roman" w:cs="Times New Roman" w:eastAsia="Times New Roman" w:hint="default"/>
        </w:rPr>
        <w:t>0453551-001</w:t>
      </w:r>
      <w:r>
        <w:rPr/>
        <w:t>号的最高额保证合同以及本公司实际控制人刘 祥及其配偶高倩分别与北京银行股份有限公司深圳分行签署编号为</w:t>
      </w:r>
      <w:r>
        <w:rPr>
          <w:rFonts w:ascii="Times New Roman" w:hAnsi="Times New Roman" w:cs="Times New Roman" w:eastAsia="Times New Roman" w:hint="default"/>
        </w:rPr>
        <w:t>0453551-002</w:t>
      </w:r>
      <w:r>
        <w:rPr/>
        <w:t>号和</w:t>
      </w:r>
      <w:r>
        <w:rPr>
          <w:rFonts w:ascii="Times New Roman" w:hAnsi="Times New Roman" w:cs="Times New Roman" w:eastAsia="Times New Roman" w:hint="default"/>
        </w:rPr>
        <w:t>0453551-003</w:t>
      </w:r>
      <w:r>
        <w:rPr/>
        <w:t>号的最高 额保证合同，对前述授信合同提供担保。</w:t>
      </w:r>
    </w:p>
    <w:p>
      <w:pPr>
        <w:pStyle w:val="Heading6"/>
        <w:spacing w:line="240" w:lineRule="auto" w:before="22"/>
        <w:ind w:left="1554" w:right="994" w:firstLine="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日，本公司与中国银行股份有限公司深圳龙岗支行签署编号为</w:t>
      </w:r>
      <w:r>
        <w:rPr>
          <w:rFonts w:ascii="Times New Roman" w:hAnsi="Times New Roman" w:cs="Times New Roman" w:eastAsia="Times New Roman" w:hint="default"/>
        </w:rPr>
        <w:t>2017</w:t>
      </w:r>
      <w:r>
        <w:rPr/>
        <w:t>圳中银岗额协字第</w:t>
      </w:r>
    </w:p>
    <w:p>
      <w:pPr>
        <w:pStyle w:val="Heading6"/>
        <w:spacing w:line="256" w:lineRule="auto" w:before="21"/>
        <w:ind w:left="1134" w:right="994" w:firstLine="0"/>
        <w:jc w:val="left"/>
      </w:pPr>
      <w:r>
        <w:rPr>
          <w:rFonts w:ascii="Times New Roman" w:hAnsi="Times New Roman" w:cs="Times New Roman" w:eastAsia="Times New Roman" w:hint="default"/>
          <w:spacing w:val="-1"/>
        </w:rPr>
        <w:t>0000079</w:t>
      </w:r>
      <w:r>
        <w:rPr>
          <w:spacing w:val="-1"/>
        </w:rPr>
        <w:t>号的《授信额度协议》，授信额度为</w:t>
      </w:r>
      <w:r>
        <w:rPr>
          <w:rFonts w:ascii="Times New Roman" w:hAnsi="Times New Roman" w:cs="Times New Roman" w:eastAsia="Times New Roman" w:hint="default"/>
          <w:spacing w:val="-1"/>
        </w:rPr>
        <w:t>9,000.00</w:t>
      </w:r>
      <w:r>
        <w:rPr>
          <w:spacing w:val="-1"/>
        </w:rPr>
        <w:t>万元，在该授信合同项下由本公司实际控制人刘祥与</w:t>
      </w:r>
      <w:r>
        <w:rPr>
          <w:spacing w:val="-80"/>
        </w:rPr>
        <w:t> </w:t>
      </w:r>
      <w:r>
        <w:rPr>
          <w:spacing w:val="-80"/>
        </w:rPr>
      </w:r>
      <w:r>
        <w:rPr/>
        <w:t>中国银行股份有限公司深圳龙岗支行签署编号为</w:t>
      </w:r>
      <w:r>
        <w:rPr>
          <w:rFonts w:ascii="Times New Roman" w:hAnsi="Times New Roman" w:cs="Times New Roman" w:eastAsia="Times New Roman" w:hint="default"/>
        </w:rPr>
        <w:t>2017</w:t>
      </w:r>
      <w:r>
        <w:rPr/>
        <w:t>圳中银岗额保字第</w:t>
      </w:r>
      <w:r>
        <w:rPr>
          <w:rFonts w:ascii="Times New Roman" w:hAnsi="Times New Roman" w:cs="Times New Roman" w:eastAsia="Times New Roman" w:hint="default"/>
        </w:rPr>
        <w:t>0000079</w:t>
      </w:r>
      <w:r>
        <w:rPr/>
        <w:t>号的最高额保证合同，对 前述授信合同提供担保。</w:t>
      </w:r>
    </w:p>
    <w:p>
      <w:pPr>
        <w:pStyle w:val="Heading6"/>
        <w:spacing w:line="256" w:lineRule="auto" w:before="22"/>
        <w:ind w:right="9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日，本公司之子公司深圳市新国都支付技术有限公司与上海浦东发展银行股份有限公司 </w:t>
      </w:r>
      <w:r>
        <w:rPr>
          <w:spacing w:val="-2"/>
        </w:rPr>
        <w:t>深圳分行签署编号为</w:t>
      </w:r>
      <w:r>
        <w:rPr>
          <w:rFonts w:ascii="Times New Roman" w:hAnsi="Times New Roman" w:cs="Times New Roman" w:eastAsia="Times New Roman" w:hint="default"/>
          <w:spacing w:val="-2"/>
        </w:rPr>
        <w:t>BC2017062800001539</w:t>
      </w:r>
      <w:r>
        <w:rPr>
          <w:spacing w:val="-2"/>
        </w:rPr>
        <w:t>融资额度协议，融资额度金额为人民币</w:t>
      </w:r>
      <w:r>
        <w:rPr>
          <w:rFonts w:ascii="Times New Roman" w:hAnsi="Times New Roman" w:cs="Times New Roman" w:eastAsia="Times New Roman" w:hint="default"/>
          <w:spacing w:val="-2"/>
        </w:rPr>
        <w:t>28,571.00</w:t>
      </w:r>
      <w:r>
        <w:rPr>
          <w:spacing w:val="-2"/>
        </w:rPr>
        <w:t>万元，在该融资</w:t>
      </w:r>
    </w:p>
    <w:p>
      <w:pPr>
        <w:spacing w:after="0" w:line="256"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64" w:lineRule="auto" w:before="35"/>
        <w:ind w:right="994" w:firstLine="0"/>
        <w:jc w:val="left"/>
      </w:pPr>
      <w:r>
        <w:rPr/>
        <w:t>额度协议下由本公司与上海浦东发展银行股份有限公司深圳分行签署编号为</w:t>
      </w:r>
      <w:r>
        <w:rPr>
          <w:rFonts w:ascii="Times New Roman" w:hAnsi="Times New Roman" w:cs="Times New Roman" w:eastAsia="Times New Roman" w:hint="default"/>
        </w:rPr>
        <w:t>ZB7910201700000012</w:t>
      </w:r>
      <w:r>
        <w:rPr/>
        <w:t>的最高 </w:t>
      </w:r>
      <w:r>
        <w:rPr>
          <w:spacing w:val="-1"/>
        </w:rPr>
        <w:t>额保证合同，同时由本公司实际控制人刘祥及其配偶高倩与上海浦东发展银行股份有限公司深圳分行签署</w:t>
      </w:r>
      <w:r>
        <w:rPr>
          <w:spacing w:val="-81"/>
        </w:rPr>
        <w:t> </w:t>
      </w:r>
      <w:r>
        <w:rPr>
          <w:spacing w:val="-81"/>
        </w:rPr>
      </w:r>
      <w:r>
        <w:rPr/>
        <w:t>编号为</w:t>
      </w:r>
      <w:r>
        <w:rPr>
          <w:rFonts w:ascii="Times New Roman" w:hAnsi="Times New Roman" w:cs="Times New Roman" w:eastAsia="Times New Roman" w:hint="default"/>
        </w:rPr>
        <w:t>ZB7910201700000013</w:t>
      </w:r>
      <w:r>
        <w:rPr/>
        <w:t>的最高额保证合同，对前述融资额度协议提供保证。</w:t>
      </w:r>
    </w:p>
    <w:p>
      <w:pPr>
        <w:pStyle w:val="Heading6"/>
        <w:spacing w:line="256" w:lineRule="auto" w:before="0"/>
        <w:ind w:right="1198"/>
        <w:jc w:val="left"/>
      </w:pPr>
      <w:r>
        <w:rPr/>
        <w:t>本公司之子公司深圳市易联技术有限公司向兴业银行股份有限公司深圳后海支行借款人民币</w:t>
      </w:r>
      <w:r>
        <w:rPr>
          <w:rFonts w:ascii="Times New Roman" w:hAnsi="Times New Roman" w:cs="Times New Roman" w:eastAsia="Times New Roman" w:hint="default"/>
        </w:rPr>
        <w:t>1,600.00 </w:t>
      </w:r>
      <w:r>
        <w:rPr/>
        <w:t>万元，公司实际控制人刘祥及深圳市中小企业融资担保有限公司为该笔贷款提供担保。</w:t>
      </w:r>
    </w:p>
    <w:p>
      <w:pPr>
        <w:pStyle w:val="Heading6"/>
        <w:spacing w:line="256" w:lineRule="auto" w:before="22"/>
        <w:ind w:right="1026"/>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日，本公司之子公司深圳市新国都支付技术有限公司与华夏银行股份有限公司深圳大中 </w:t>
      </w:r>
      <w:r>
        <w:rPr>
          <w:spacing w:val="-2"/>
        </w:rPr>
        <w:t>华支行签署编号为</w:t>
      </w:r>
      <w:r>
        <w:rPr>
          <w:rFonts w:ascii="Times New Roman" w:hAnsi="Times New Roman" w:cs="Times New Roman" w:eastAsia="Times New Roman" w:hint="default"/>
          <w:spacing w:val="-2"/>
        </w:rPr>
        <w:t>SZ03</w:t>
      </w:r>
      <w:r>
        <w:rPr>
          <w:spacing w:val="-2"/>
        </w:rPr>
        <w:t>（融资）</w:t>
      </w:r>
      <w:r>
        <w:rPr>
          <w:rFonts w:ascii="Times New Roman" w:hAnsi="Times New Roman" w:cs="Times New Roman" w:eastAsia="Times New Roman" w:hint="default"/>
          <w:spacing w:val="-2"/>
        </w:rPr>
        <w:t>20170013</w:t>
      </w:r>
      <w:r>
        <w:rPr>
          <w:spacing w:val="-2"/>
        </w:rPr>
        <w:t>号的《最高额融资合同》，融资额度金额为人民币</w:t>
      </w:r>
      <w:r>
        <w:rPr>
          <w:rFonts w:ascii="Times New Roman" w:hAnsi="Times New Roman" w:cs="Times New Roman" w:eastAsia="Times New Roman" w:hint="default"/>
          <w:spacing w:val="-2"/>
        </w:rPr>
        <w:t>7,000.00</w:t>
      </w:r>
      <w:r>
        <w:rPr>
          <w:spacing w:val="-2"/>
        </w:rPr>
        <w:t>万元，</w:t>
      </w:r>
      <w:r>
        <w:rPr>
          <w:spacing w:val="-52"/>
        </w:rPr>
        <w:t> </w:t>
      </w:r>
      <w:r>
        <w:rPr/>
        <w:t>在该最高额融资合同下由本公司与华夏银行股份有限公司深圳大中华支行签署编号为</w:t>
      </w:r>
      <w:r>
        <w:rPr>
          <w:rFonts w:ascii="Times New Roman" w:hAnsi="Times New Roman" w:cs="Times New Roman" w:eastAsia="Times New Roman" w:hint="default"/>
        </w:rPr>
        <w:t>SZ03</w:t>
      </w:r>
      <w:r>
        <w:rPr/>
        <w:t>（高保） </w:t>
      </w:r>
      <w:r>
        <w:rPr>
          <w:rFonts w:ascii="Times New Roman" w:hAnsi="Times New Roman" w:cs="Times New Roman" w:eastAsia="Times New Roman" w:hint="default"/>
          <w:spacing w:val="-2"/>
        </w:rPr>
        <w:t>20170013-11</w:t>
      </w:r>
      <w:r>
        <w:rPr>
          <w:spacing w:val="-2"/>
        </w:rPr>
        <w:t>号的最高额保证合同，同时由本公司实际控制人刘祥与华夏银行股份有限公司深圳大中华支行</w:t>
      </w:r>
      <w:r>
        <w:rPr>
          <w:spacing w:val="-96"/>
        </w:rPr>
        <w:t> </w:t>
      </w:r>
      <w:r>
        <w:rPr>
          <w:spacing w:val="-96"/>
        </w:rPr>
      </w:r>
      <w:r>
        <w:rPr/>
        <w:t>签署编号为</w:t>
      </w:r>
      <w:r>
        <w:rPr>
          <w:rFonts w:ascii="Times New Roman" w:hAnsi="Times New Roman" w:cs="Times New Roman" w:eastAsia="Times New Roman" w:hint="default"/>
        </w:rPr>
        <w:t>SZ03</w:t>
      </w:r>
      <w:r>
        <w:rPr/>
        <w:t>（高保）</w:t>
      </w:r>
      <w:r>
        <w:rPr>
          <w:rFonts w:ascii="Times New Roman" w:hAnsi="Times New Roman" w:cs="Times New Roman" w:eastAsia="Times New Roman" w:hint="default"/>
        </w:rPr>
        <w:t>20170013-12</w:t>
      </w:r>
      <w:r>
        <w:rPr/>
        <w:t>号的《个人最高额保证合同》，对前述融资额度协议提供保证。</w:t>
      </w:r>
    </w:p>
    <w:p>
      <w:pPr>
        <w:pStyle w:val="Heading6"/>
        <w:spacing w:line="256" w:lineRule="auto"/>
        <w:ind w:right="994"/>
        <w:jc w:val="left"/>
      </w:pP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月与中国民生银行股份有限公司深圳分行签订借款本金人民币</w:t>
      </w:r>
      <w:r>
        <w:rPr>
          <w:rFonts w:ascii="Times New Roman" w:hAnsi="Times New Roman" w:cs="Times New Roman" w:eastAsia="Times New Roman" w:hint="default"/>
        </w:rPr>
        <w:t>20,000.00</w:t>
      </w:r>
      <w:r>
        <w:rPr/>
        <w:t>万元的</w:t>
      </w:r>
      <w:r>
        <w:rPr>
          <w:rFonts w:ascii="Times New Roman" w:hAnsi="Times New Roman" w:cs="Times New Roman" w:eastAsia="Times New Roman" w:hint="default"/>
        </w:rPr>
        <w:t>3</w:t>
      </w:r>
      <w:r>
        <w:rPr/>
        <w:t>年期 </w:t>
      </w:r>
      <w:r>
        <w:rPr>
          <w:spacing w:val="-1"/>
        </w:rPr>
        <w:t>借款，并约定自放款之日起第一年内归还</w:t>
      </w:r>
      <w:r>
        <w:rPr>
          <w:rFonts w:ascii="Times New Roman" w:hAnsi="Times New Roman" w:cs="Times New Roman" w:eastAsia="Times New Roman" w:hint="default"/>
          <w:spacing w:val="-1"/>
        </w:rPr>
        <w:t>4,000.00</w:t>
      </w:r>
      <w:r>
        <w:rPr>
          <w:spacing w:val="-1"/>
        </w:rPr>
        <w:t>万元本金，第二年内归还</w:t>
      </w:r>
      <w:r>
        <w:rPr>
          <w:rFonts w:ascii="Times New Roman" w:hAnsi="Times New Roman" w:cs="Times New Roman" w:eastAsia="Times New Roman" w:hint="default"/>
          <w:spacing w:val="-1"/>
        </w:rPr>
        <w:t>6,000.00</w:t>
      </w:r>
      <w:r>
        <w:rPr>
          <w:spacing w:val="-1"/>
        </w:rPr>
        <w:t>万元本金，第三年内归</w:t>
      </w:r>
      <w:r>
        <w:rPr>
          <w:spacing w:val="-78"/>
        </w:rPr>
        <w:t> </w:t>
      </w:r>
      <w:r>
        <w:rPr>
          <w:spacing w:val="-78"/>
        </w:rPr>
      </w:r>
      <w:r>
        <w:rPr>
          <w:spacing w:val="-1"/>
        </w:rPr>
        <w:t>还</w:t>
      </w:r>
      <w:r>
        <w:rPr>
          <w:rFonts w:ascii="Times New Roman" w:hAnsi="Times New Roman" w:cs="Times New Roman" w:eastAsia="Times New Roman" w:hint="default"/>
          <w:spacing w:val="-1"/>
        </w:rPr>
        <w:t>10,000.00</w:t>
      </w:r>
      <w:r>
        <w:rPr>
          <w:spacing w:val="-1"/>
        </w:rPr>
        <w:t>万元本金，</w:t>
      </w:r>
      <w:r>
        <w:rPr>
          <w:rFonts w:ascii="Times New Roman" w:hAnsi="Times New Roman" w:cs="Times New Roman" w:eastAsia="Times New Roman" w:hint="default"/>
          <w:spacing w:val="-1"/>
        </w:rPr>
        <w:t>2017</w:t>
      </w:r>
      <w:r>
        <w:rPr>
          <w:spacing w:val="-1"/>
        </w:rPr>
        <w:t>年度尚未归还本金。公司实际控制人刘祥与中国民生银行股份有限公司深圳分</w:t>
      </w:r>
      <w:r>
        <w:rPr>
          <w:spacing w:val="-76"/>
        </w:rPr>
        <w:t> </w:t>
      </w:r>
      <w:r>
        <w:rPr>
          <w:spacing w:val="-76"/>
        </w:rPr>
      </w:r>
      <w:r>
        <w:rPr/>
        <w:t>行签署编号为公保字第机构四</w:t>
      </w:r>
      <w:r>
        <w:rPr>
          <w:rFonts w:ascii="Times New Roman" w:hAnsi="Times New Roman" w:cs="Times New Roman" w:eastAsia="Times New Roman" w:hint="default"/>
        </w:rPr>
        <w:t>1700102</w:t>
      </w:r>
      <w:r>
        <w:rPr/>
        <w:t>号的保证合同，为该笔贷款提供保证担保。</w:t>
      </w:r>
    </w:p>
    <w:p>
      <w:pPr>
        <w:spacing w:line="240" w:lineRule="auto" w:before="5"/>
        <w:rPr>
          <w:rFonts w:ascii="宋体" w:hAnsi="宋体" w:cs="宋体" w:eastAsia="宋体" w:hint="default"/>
          <w:sz w:val="23"/>
          <w:szCs w:val="23"/>
        </w:rPr>
      </w:pPr>
    </w:p>
    <w:p>
      <w:pPr>
        <w:pStyle w:val="Heading5"/>
        <w:spacing w:line="240" w:lineRule="auto"/>
        <w:ind w:left="1134" w:right="994"/>
        <w:jc w:val="left"/>
        <w:rPr>
          <w:b w:val="0"/>
          <w:bCs w:val="0"/>
        </w:rPr>
      </w:pPr>
      <w:bookmarkStart w:name="（5）关联方资金拆借" w:id="475"/>
      <w:bookmarkEnd w:id="47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6）关联方资产转让、债务重组情况" w:id="476"/>
      <w:bookmarkEnd w:id="47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7）关键管理人员报酬" w:id="477"/>
      <w:bookmarkEnd w:id="47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8）其他关联交易" w:id="478"/>
      <w:bookmarkEnd w:id="47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6、关联方应收应付款项" w:id="479"/>
      <w:bookmarkEnd w:id="47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1）应收项目" w:id="480"/>
      <w:bookmarkEnd w:id="48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12" w:space="0" w:color="CCE8CF"/>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信美人寿相互保险</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7,500,000.00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2" w:right="0"/>
              <w:jc w:val="left"/>
              <w:rPr>
                <w:rFonts w:ascii="Times New Roman" w:hAnsi="Times New Roman" w:cs="Times New Roman" w:eastAsia="Times New Roman" w:hint="default"/>
                <w:sz w:val="18"/>
                <w:szCs w:val="18"/>
              </w:rPr>
            </w:pPr>
            <w:r>
              <w:rPr>
                <w:rFonts w:ascii="Times New Roman"/>
                <w:sz w:val="18"/>
              </w:rPr>
              <w:t>375,000.00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362"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应付项目" w:id="481"/>
      <w:bookmarkEnd w:id="48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line="240" w:lineRule="auto" w:before="3"/>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7、关联方承诺" w:id="482"/>
      <w:bookmarkEnd w:id="48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133" w:right="8751" w:firstLine="0"/>
        <w:jc w:val="left"/>
        <w:rPr>
          <w:rFonts w:ascii="宋体" w:hAnsi="宋体" w:cs="宋体" w:eastAsia="宋体" w:hint="default"/>
          <w:sz w:val="21"/>
          <w:szCs w:val="21"/>
        </w:rPr>
      </w:pPr>
      <w:bookmarkStart w:name="8、其他" w:id="483"/>
      <w:bookmarkEnd w:id="48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84"/>
      <w:bookmarkEnd w:id="484"/>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85"/>
      <w:bookmarkEnd w:id="48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2,756,630.24</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23,105,887.88</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1650"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第一轮 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7.476 </w:t>
            </w:r>
            <w:r>
              <w:rPr>
                <w:rFonts w:ascii="宋体" w:hAnsi="宋体" w:cs="宋体" w:eastAsia="宋体" w:hint="default"/>
                <w:spacing w:val="-10"/>
                <w:sz w:val="18"/>
                <w:szCs w:val="18"/>
              </w:rPr>
              <w:t>元，期间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pacing w:val="-9"/>
                <w:sz w:val="18"/>
                <w:szCs w:val="18"/>
              </w:rPr>
              <w:t>日。第二轮</w:t>
            </w:r>
            <w:r>
              <w:rPr>
                <w:rFonts w:ascii="宋体" w:hAnsi="宋体" w:cs="宋体" w:eastAsia="宋体" w:hint="default"/>
                <w:spacing w:val="1"/>
                <w:sz w:val="18"/>
                <w:szCs w:val="18"/>
              </w:rPr>
              <w:t> </w:t>
            </w:r>
            <w:r>
              <w:rPr>
                <w:rFonts w:ascii="宋体" w:hAnsi="宋体" w:cs="宋体" w:eastAsia="宋体" w:hint="default"/>
                <w:sz w:val="18"/>
                <w:szCs w:val="18"/>
              </w:rPr>
              <w:t>行权价格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31.671</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元，期间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日。第三轮 行权</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24.691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元，期间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2、以权益结算的股份支付情况" w:id="486"/>
      <w:bookmarkEnd w:id="48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按实际授予股票期权人数进行估计</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107,617,939.31</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12,343,950.83</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3、以现金结算的股份支付情况" w:id="487"/>
      <w:bookmarkEnd w:id="48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both"/>
        <w:rPr>
          <w:b w:val="0"/>
          <w:bCs w:val="0"/>
        </w:rPr>
      </w:pPr>
      <w:bookmarkStart w:name="4、股份支付的修改、终止情况" w:id="488"/>
      <w:bookmarkEnd w:id="488"/>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第一轮股权激励</w:t>
      </w:r>
      <w:r>
        <w:rPr>
          <w:b w:val="0"/>
          <w:bCs w:val="0"/>
        </w:rPr>
      </w:r>
    </w:p>
    <w:p>
      <w:pPr>
        <w:pStyle w:val="Heading6"/>
        <w:spacing w:line="240" w:lineRule="auto" w:before="21"/>
        <w:ind w:left="1638" w:right="994" w:firstLine="0"/>
        <w:jc w:val="left"/>
      </w:pPr>
      <w:r>
        <w:rPr/>
        <w:t>本公司于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20</w:t>
      </w:r>
      <w:r>
        <w:rPr/>
        <w:t>日召开第二届董事会第十八次会议及第二届监事会第十六次会议审议通过了</w:t>
      </w:r>
    </w:p>
    <w:p>
      <w:pPr>
        <w:pStyle w:val="Heading6"/>
        <w:spacing w:line="256" w:lineRule="auto" w:before="21"/>
        <w:ind w:left="1545" w:right="994" w:hanging="412"/>
        <w:jc w:val="left"/>
      </w:pPr>
      <w:r>
        <w:rPr/>
        <w:t>《关于</w:t>
      </w:r>
      <w:r>
        <w:rPr>
          <w:rFonts w:ascii="Times New Roman" w:hAnsi="Times New Roman" w:cs="Times New Roman" w:eastAsia="Times New Roman" w:hint="default"/>
        </w:rPr>
        <w:t>&lt;</w:t>
      </w:r>
      <w:r>
        <w:rPr/>
        <w:t>深圳市新国都技术股份有限公司</w:t>
      </w:r>
      <w:r>
        <w:rPr>
          <w:rFonts w:ascii="Times New Roman" w:hAnsi="Times New Roman" w:cs="Times New Roman" w:eastAsia="Times New Roman" w:hint="default"/>
        </w:rPr>
        <w:t>2014</w:t>
      </w:r>
      <w:r>
        <w:rPr/>
        <w:t>年股票期权激励计划（草案）及摘要</w:t>
      </w:r>
      <w:r>
        <w:rPr>
          <w:rFonts w:ascii="Times New Roman" w:hAnsi="Times New Roman" w:cs="Times New Roman" w:eastAsia="Times New Roman" w:hint="default"/>
        </w:rPr>
        <w:t>&gt;</w:t>
      </w:r>
      <w:r>
        <w:rPr/>
        <w:t>的议案》。 </w:t>
      </w:r>
      <w:r>
        <w:rPr>
          <w:spacing w:val="-1"/>
        </w:rPr>
        <w:t>根据中国证监会的反馈意见，公司对股票期权激励计划（草案）及摘要进行了相应修订，并于</w:t>
      </w:r>
      <w:r>
        <w:rPr>
          <w:rFonts w:ascii="Times New Roman" w:hAnsi="Times New Roman" w:cs="Times New Roman" w:eastAsia="Times New Roman" w:hint="default"/>
          <w:spacing w:val="-1"/>
        </w:rPr>
        <w:t>2014</w:t>
      </w:r>
      <w:r>
        <w:rPr>
          <w:spacing w:val="-1"/>
        </w:rPr>
        <w:t>年</w:t>
      </w:r>
    </w:p>
    <w:p>
      <w:pPr>
        <w:pStyle w:val="Heading6"/>
        <w:spacing w:line="256" w:lineRule="auto"/>
        <w:ind w:right="1200" w:firstLine="0"/>
        <w:jc w:val="both"/>
      </w:pP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日召开公司第二届董事会第十九次会议及第二届监事会第十七次会议审议通过了《关于</w:t>
      </w:r>
      <w:r>
        <w:rPr>
          <w:rFonts w:ascii="Times New Roman" w:hAnsi="Times New Roman" w:cs="Times New Roman" w:eastAsia="Times New Roman" w:hint="default"/>
        </w:rPr>
        <w:t>&lt;</w:t>
      </w:r>
      <w:r>
        <w:rPr/>
        <w:t>深圳市新国 都技术股份有限公司</w:t>
      </w:r>
      <w:r>
        <w:rPr>
          <w:rFonts w:ascii="Times New Roman" w:hAnsi="Times New Roman" w:cs="Times New Roman" w:eastAsia="Times New Roman" w:hint="default"/>
        </w:rPr>
        <w:t>2014</w:t>
      </w:r>
      <w:r>
        <w:rPr/>
        <w:t>年股票期权激励计划（草案修订稿）及摘要</w:t>
      </w:r>
      <w:r>
        <w:rPr>
          <w:rFonts w:ascii="Times New Roman" w:hAnsi="Times New Roman" w:cs="Times New Roman" w:eastAsia="Times New Roman" w:hint="default"/>
        </w:rPr>
        <w:t>&gt;</w:t>
      </w:r>
      <w:r>
        <w:rPr/>
        <w:t>的议案》，该激励计划经中国证监 会备案无异议。</w:t>
      </w:r>
    </w:p>
    <w:p>
      <w:pPr>
        <w:pStyle w:val="Heading6"/>
        <w:spacing w:line="264" w:lineRule="auto" w:before="22"/>
        <w:ind w:right="994" w:firstLine="411"/>
        <w:jc w:val="left"/>
      </w:pPr>
      <w:r>
        <w:rPr>
          <w:spacing w:val="-1"/>
        </w:rPr>
        <w:t>本公司于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29</w:t>
      </w:r>
      <w:r>
        <w:rPr>
          <w:spacing w:val="-1"/>
        </w:rPr>
        <w:t>日召开</w:t>
      </w:r>
      <w:r>
        <w:rPr>
          <w:rFonts w:ascii="Times New Roman" w:hAnsi="Times New Roman" w:cs="Times New Roman" w:eastAsia="Times New Roman" w:hint="default"/>
          <w:spacing w:val="-1"/>
        </w:rPr>
        <w:t>2014</w:t>
      </w:r>
      <w:r>
        <w:rPr>
          <w:spacing w:val="-1"/>
        </w:rPr>
        <w:t>年第二次临时股东大会审议通过了《关于</w:t>
      </w:r>
      <w:r>
        <w:rPr>
          <w:rFonts w:ascii="Times New Roman" w:hAnsi="Times New Roman" w:cs="Times New Roman" w:eastAsia="Times New Roman" w:hint="default"/>
          <w:spacing w:val="-1"/>
        </w:rPr>
        <w:t>&lt;</w:t>
      </w:r>
      <w:r>
        <w:rPr>
          <w:spacing w:val="-1"/>
        </w:rPr>
        <w:t>深圳市新国都技术股份有</w:t>
      </w:r>
      <w:r>
        <w:rPr/>
        <w:t> </w:t>
      </w:r>
      <w:r>
        <w:rPr>
          <w:spacing w:val="-2"/>
        </w:rPr>
        <w:t>限公司</w:t>
      </w:r>
      <w:r>
        <w:rPr>
          <w:rFonts w:ascii="Times New Roman" w:hAnsi="Times New Roman" w:cs="Times New Roman" w:eastAsia="Times New Roman" w:hint="default"/>
          <w:spacing w:val="-2"/>
        </w:rPr>
        <w:t>2014</w:t>
      </w:r>
      <w:r>
        <w:rPr>
          <w:spacing w:val="-2"/>
        </w:rPr>
        <w:t>年股票期权激励计划（草案修订稿）及摘要</w:t>
      </w:r>
      <w:r>
        <w:rPr>
          <w:rFonts w:ascii="Times New Roman" w:hAnsi="Times New Roman" w:cs="Times New Roman" w:eastAsia="Times New Roman" w:hint="default"/>
          <w:spacing w:val="-2"/>
        </w:rPr>
        <w:t>&gt;</w:t>
      </w:r>
      <w:r>
        <w:rPr>
          <w:spacing w:val="-2"/>
        </w:rPr>
        <w:t>的议案》、《关于</w:t>
      </w:r>
      <w:r>
        <w:rPr>
          <w:rFonts w:ascii="Times New Roman" w:hAnsi="Times New Roman" w:cs="Times New Roman" w:eastAsia="Times New Roman" w:hint="default"/>
          <w:spacing w:val="-2"/>
        </w:rPr>
        <w:t>&lt;</w:t>
      </w:r>
      <w:r>
        <w:rPr>
          <w:spacing w:val="-2"/>
        </w:rPr>
        <w:t>深圳市新国都技术股份有限公</w:t>
      </w:r>
      <w:r>
        <w:rPr>
          <w:spacing w:val="-57"/>
        </w:rPr>
        <w:t> </w:t>
      </w:r>
      <w:r>
        <w:rPr/>
        <w:t>司股票期权激励计划实施考核办法的议案》、《关于</w:t>
      </w:r>
      <w:r>
        <w:rPr>
          <w:rFonts w:ascii="Times New Roman" w:hAnsi="Times New Roman" w:cs="Times New Roman" w:eastAsia="Times New Roman" w:hint="default"/>
        </w:rPr>
        <w:t>&lt;</w:t>
      </w:r>
      <w:r>
        <w:rPr/>
        <w:t>深圳市新国都技术股份有限公司股票期权激励计划 </w:t>
      </w:r>
      <w:r>
        <w:rPr>
          <w:spacing w:val="-1"/>
        </w:rPr>
        <w:t>管理办法的议案》以及《关于提请股东大会授权董事会办理公司股票期权激励计划相关事宜的议案》，董</w:t>
      </w:r>
      <w:r>
        <w:rPr>
          <w:spacing w:val="-85"/>
        </w:rPr>
        <w:t> </w:t>
      </w:r>
      <w:r>
        <w:rPr>
          <w:spacing w:val="-85"/>
        </w:rPr>
      </w:r>
      <w:r>
        <w:rPr>
          <w:spacing w:val="-1"/>
        </w:rPr>
        <w:t>事会被授权确认激励对象参与股权激励计划的资格和条件，确定激励对象名单及其授予数量，确定标的股</w:t>
      </w:r>
      <w:r>
        <w:rPr>
          <w:spacing w:val="-81"/>
        </w:rPr>
        <w:t> </w:t>
      </w:r>
      <w:r>
        <w:rPr>
          <w:spacing w:val="-81"/>
        </w:rPr>
      </w:r>
      <w:r>
        <w:rPr/>
        <w:t>权的授予价格；在激励对象符合条件时向激励对象授予股票并办理授予股票和解锁股票所必需的全部事 宜。</w:t>
      </w:r>
    </w:p>
    <w:p>
      <w:pPr>
        <w:pStyle w:val="Heading6"/>
        <w:spacing w:line="264" w:lineRule="auto" w:before="16"/>
        <w:ind w:left="1134" w:right="1132" w:firstLine="411"/>
        <w:jc w:val="both"/>
      </w:pPr>
      <w:r>
        <w:rPr>
          <w:spacing w:val="-1"/>
        </w:rPr>
        <w:t>本公司于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9</w:t>
      </w:r>
      <w:r>
        <w:rPr>
          <w:spacing w:val="-1"/>
        </w:rPr>
        <w:t>日召开第三届董事会第二次会议审议通过了《关于调整股票期权激励计划激励对</w:t>
      </w:r>
      <w:r>
        <w:rPr/>
        <w:t> </w:t>
      </w:r>
      <w:r>
        <w:rPr>
          <w:spacing w:val="-1"/>
        </w:rPr>
        <w:t>象名单及授予数量的议案》和《关于向激励对象授予股票期权的议案》，并于当日召开第三届监事会第二</w:t>
      </w:r>
      <w:r>
        <w:rPr>
          <w:spacing w:val="-85"/>
        </w:rPr>
        <w:t> </w:t>
      </w:r>
      <w:r>
        <w:rPr>
          <w:spacing w:val="-85"/>
        </w:rPr>
      </w:r>
      <w:r>
        <w:rPr/>
        <w:t>次会议，审议通过了《关于核实公司股票期权激励计划激励对象名单的议案》。</w:t>
      </w:r>
    </w:p>
    <w:p>
      <w:pPr>
        <w:pStyle w:val="Heading6"/>
        <w:spacing w:line="240" w:lineRule="auto" w:before="16"/>
        <w:ind w:left="1545" w:right="994" w:firstLine="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日，本公司公告了《关于股票期权激励计划首次授予完成登记的公告》。本公司于</w:t>
      </w:r>
      <w:r>
        <w:rPr>
          <w:rFonts w:ascii="Times New Roman" w:hAnsi="Times New Roman" w:cs="Times New Roman" w:eastAsia="Times New Roman" w:hint="default"/>
        </w:rPr>
        <w:t>2015</w:t>
      </w:r>
      <w:r>
        <w:rPr/>
        <w:t>年</w:t>
      </w:r>
    </w:p>
    <w:p>
      <w:pPr>
        <w:pStyle w:val="Heading6"/>
        <w:spacing w:line="256" w:lineRule="auto" w:before="21"/>
        <w:ind w:left="1134" w:right="1215" w:firstLine="0"/>
        <w:jc w:val="both"/>
      </w:pP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日召开第三届董事会第七次会议及第三届监事会第七次会议审议通过了《关于注销部分已获授但尚 未行权的股票期权的议案》。</w:t>
      </w:r>
    </w:p>
    <w:p>
      <w:pPr>
        <w:pStyle w:val="Heading6"/>
        <w:spacing w:line="264" w:lineRule="auto" w:before="23"/>
        <w:ind w:left="1134" w:right="1131" w:firstLine="411"/>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w:t>
      </w:r>
      <w:r>
        <w:rPr>
          <w:spacing w:val="-1"/>
        </w:rPr>
        <w:t>日，经中国证券登记结算有限责任公司深圳分公司审核确认，第三届董事会第七次会议审</w:t>
      </w:r>
      <w:r>
        <w:rPr/>
        <w:t> </w:t>
      </w:r>
      <w:r>
        <w:rPr>
          <w:spacing w:val="-1"/>
        </w:rPr>
        <w:t>议通过的《关于注销部分已获授但尚未行权的股票期权的议案》中五名离职人员的股票期权注销事宜已办</w:t>
      </w:r>
      <w:r>
        <w:rPr>
          <w:spacing w:val="-81"/>
        </w:rPr>
        <w:t> </w:t>
      </w:r>
      <w:r>
        <w:rPr>
          <w:spacing w:val="-81"/>
        </w:rPr>
      </w:r>
      <w:r>
        <w:rPr/>
        <w:t>理完毕。</w:t>
      </w:r>
    </w:p>
    <w:p>
      <w:pPr>
        <w:pStyle w:val="Heading6"/>
        <w:spacing w:line="264" w:lineRule="auto" w:before="16"/>
        <w:ind w:left="1134" w:right="994" w:firstLine="411"/>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日，本公司召开第三届董事会第十三次会议审议通过《关于注销部分已获准行权但尚未 </w:t>
      </w:r>
      <w:r>
        <w:rPr>
          <w:spacing w:val="-1"/>
        </w:rPr>
        <w:t>行权的股票期权的议案》：公司原激励对象马春海因个人原因辞职，已不符合激励条件，公司对马春海已</w:t>
      </w:r>
      <w:r>
        <w:rPr>
          <w:spacing w:val="-85"/>
        </w:rPr>
        <w:t> </w:t>
      </w:r>
      <w:r>
        <w:rPr>
          <w:spacing w:val="-85"/>
        </w:rPr>
      </w:r>
      <w:r>
        <w:rPr/>
        <w:t>获准行权但尚未行权的股票期权</w:t>
      </w:r>
      <w:r>
        <w:rPr>
          <w:rFonts w:ascii="Times New Roman" w:hAnsi="Times New Roman" w:cs="Times New Roman" w:eastAsia="Times New Roman" w:hint="default"/>
        </w:rPr>
        <w:t>24,000</w:t>
      </w:r>
      <w:r>
        <w:rPr/>
        <w:t>股进行注销。</w:t>
      </w:r>
    </w:p>
    <w:p>
      <w:pPr>
        <w:pStyle w:val="Heading6"/>
        <w:spacing w:line="261" w:lineRule="auto" w:before="0"/>
        <w:ind w:left="1134" w:right="1131" w:firstLine="411"/>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30</w:t>
      </w:r>
      <w:r>
        <w:rPr>
          <w:spacing w:val="-1"/>
        </w:rPr>
        <w:t>日，本公司召开第三届董事会第二十一次会审议，审核通过《关于注销部分已获授股票</w:t>
      </w:r>
      <w:r>
        <w:rPr/>
        <w:t> </w:t>
      </w:r>
      <w:r>
        <w:rPr>
          <w:spacing w:val="-1"/>
        </w:rPr>
        <w:t>期权的议案》：本公司《</w:t>
      </w:r>
      <w:r>
        <w:rPr>
          <w:rFonts w:ascii="Times New Roman" w:hAnsi="Times New Roman" w:cs="Times New Roman" w:eastAsia="Times New Roman" w:hint="default"/>
          <w:spacing w:val="-1"/>
        </w:rPr>
        <w:t>2014</w:t>
      </w:r>
      <w:r>
        <w:rPr>
          <w:spacing w:val="-1"/>
        </w:rPr>
        <w:t>年股票期权激励计划（草案修订稿）》原激励对象刘宁、斯淇、王景业、袁</w:t>
      </w:r>
      <w:r>
        <w:rPr>
          <w:spacing w:val="-85"/>
        </w:rPr>
        <w:t> </w:t>
      </w:r>
      <w:r>
        <w:rPr>
          <w:spacing w:val="-85"/>
        </w:rPr>
      </w:r>
      <w:r>
        <w:rPr>
          <w:spacing w:val="-1"/>
        </w:rPr>
        <w:t>启明因个人原因辞职，已不符合激励条件，对其已获授予的股票期权应由公司注销。本次调整后公司的股</w:t>
      </w:r>
      <w:r>
        <w:rPr>
          <w:spacing w:val="-83"/>
        </w:rPr>
        <w:t> </w:t>
      </w:r>
      <w:r>
        <w:rPr>
          <w:spacing w:val="-83"/>
        </w:rPr>
      </w:r>
      <w:r>
        <w:rPr/>
        <w:t>票期权数量为</w:t>
      </w:r>
      <w:r>
        <w:rPr>
          <w:rFonts w:ascii="Times New Roman" w:hAnsi="Times New Roman" w:cs="Times New Roman" w:eastAsia="Times New Roman" w:hint="default"/>
        </w:rPr>
        <w:t>9,618,240</w:t>
      </w:r>
      <w:r>
        <w:rPr/>
        <w:t>股。</w:t>
      </w:r>
    </w:p>
    <w:p>
      <w:pPr>
        <w:pStyle w:val="Heading6"/>
        <w:spacing w:line="256" w:lineRule="auto" w:before="0"/>
        <w:ind w:right="994"/>
        <w:jc w:val="left"/>
      </w:pP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30</w:t>
      </w:r>
      <w:r>
        <w:rPr>
          <w:spacing w:val="-3"/>
        </w:rPr>
        <w:t>日，公司召开第三届董事会第三十次会议及第三届监事会第二十九次会议审议通过了《关</w:t>
      </w:r>
      <w:r>
        <w:rPr/>
        <w:t> 于对</w:t>
      </w:r>
      <w:r>
        <w:rPr>
          <w:rFonts w:ascii="Times New Roman" w:hAnsi="Times New Roman" w:cs="Times New Roman" w:eastAsia="Times New Roman" w:hint="default"/>
        </w:rPr>
        <w:t>2014</w:t>
      </w:r>
      <w:r>
        <w:rPr/>
        <w:t>年股票期权激励计划已获授尚未行权股票期权行权价格进行调整的议案》，公司</w:t>
      </w:r>
      <w:r>
        <w:rPr>
          <w:rFonts w:ascii="Times New Roman" w:hAnsi="Times New Roman" w:cs="Times New Roman" w:eastAsia="Times New Roman" w:hint="default"/>
        </w:rPr>
        <w:t>2015</w:t>
      </w:r>
      <w:r>
        <w:rPr/>
        <w:t>年度利润分 </w:t>
      </w:r>
      <w:r>
        <w:rPr>
          <w:spacing w:val="-1"/>
        </w:rPr>
        <w:t>配已于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20</w:t>
      </w:r>
      <w:r>
        <w:rPr>
          <w:spacing w:val="-1"/>
        </w:rPr>
        <w:t>日实施完毕。根据公司股东大会的授权及《</w:t>
      </w:r>
      <w:r>
        <w:rPr>
          <w:rFonts w:ascii="Times New Roman" w:hAnsi="Times New Roman" w:cs="Times New Roman" w:eastAsia="Times New Roman" w:hint="default"/>
          <w:spacing w:val="-1"/>
        </w:rPr>
        <w:t>2014</w:t>
      </w:r>
      <w:r>
        <w:rPr>
          <w:spacing w:val="-1"/>
        </w:rPr>
        <w:t>年股票期权激励计划（草案修订稿）》</w:t>
      </w:r>
      <w:r>
        <w:rPr>
          <w:spacing w:val="-83"/>
        </w:rPr>
        <w:t> </w:t>
      </w:r>
      <w:r>
        <w:rPr>
          <w:spacing w:val="-83"/>
        </w:rPr>
      </w:r>
      <w:r>
        <w:rPr/>
        <w:t>的相关规定，公司将</w:t>
      </w:r>
      <w:r>
        <w:rPr>
          <w:rFonts w:ascii="Times New Roman" w:hAnsi="Times New Roman" w:cs="Times New Roman" w:eastAsia="Times New Roman" w:hint="default"/>
        </w:rPr>
        <w:t>2014</w:t>
      </w:r>
      <w:r>
        <w:rPr/>
        <w:t>年股票期权激励计划已获授尚未行权的股票期权行权价格由</w:t>
      </w:r>
      <w:r>
        <w:rPr>
          <w:rFonts w:ascii="Times New Roman" w:hAnsi="Times New Roman" w:cs="Times New Roman" w:eastAsia="Times New Roman" w:hint="default"/>
        </w:rPr>
        <w:t>7.585</w:t>
      </w:r>
      <w:r>
        <w:rPr/>
        <w:t>元调整为</w:t>
      </w:r>
      <w:r>
        <w:rPr>
          <w:rFonts w:ascii="Times New Roman" w:hAnsi="Times New Roman" w:cs="Times New Roman" w:eastAsia="Times New Roman" w:hint="default"/>
        </w:rPr>
        <w:t>7.535 </w:t>
      </w:r>
      <w:r>
        <w:rPr/>
        <w:t>元。</w:t>
      </w:r>
    </w:p>
    <w:p>
      <w:pPr>
        <w:pStyle w:val="Heading6"/>
        <w:spacing w:line="261" w:lineRule="auto" w:before="22"/>
        <w:ind w:left="1134" w:right="994"/>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日，本公司召开第三届董事会第三十六次会议审议通过《关于注销部分已获授股票期权 </w:t>
      </w:r>
      <w:r>
        <w:rPr>
          <w:spacing w:val="-3"/>
        </w:rPr>
        <w:t>的议案》：本公司《</w:t>
      </w:r>
      <w:r>
        <w:rPr>
          <w:rFonts w:ascii="Times New Roman" w:hAnsi="Times New Roman" w:cs="Times New Roman" w:eastAsia="Times New Roman" w:hint="default"/>
          <w:spacing w:val="-3"/>
        </w:rPr>
        <w:t>2014</w:t>
      </w:r>
      <w:r>
        <w:rPr>
          <w:spacing w:val="-3"/>
        </w:rPr>
        <w:t>年股票期权激励计划（草案修订稿）》原激励对象李小泉、孙翀、雷平、付佳德、</w:t>
      </w:r>
      <w:r>
        <w:rPr>
          <w:spacing w:val="-93"/>
        </w:rPr>
        <w:t> </w:t>
      </w:r>
      <w:r>
        <w:rPr>
          <w:spacing w:val="-93"/>
        </w:rPr>
      </w:r>
      <w:r>
        <w:rPr/>
        <w:t>黄栩因个人原因辞职，已不符合激励条件，对其已获授予的股票期权应由公司注销。本次调整后公司的股</w:t>
      </w:r>
      <w:r>
        <w:rPr/>
        <w:t> 票期权数量为</w:t>
      </w:r>
      <w:r>
        <w:rPr>
          <w:rFonts w:ascii="Times New Roman" w:hAnsi="Times New Roman" w:cs="Times New Roman" w:eastAsia="Times New Roman" w:hint="default"/>
        </w:rPr>
        <w:t>4,677,920</w:t>
      </w:r>
      <w:r>
        <w:rPr/>
        <w:t>股。</w:t>
      </w:r>
    </w:p>
    <w:p>
      <w:pPr>
        <w:pStyle w:val="Heading6"/>
        <w:spacing w:line="256" w:lineRule="auto" w:before="0"/>
        <w:ind w:right="113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6</w:t>
      </w:r>
      <w:r>
        <w:rPr>
          <w:spacing w:val="-1"/>
        </w:rPr>
        <w:t>日，公司召开第四届董事会第二次会议审议通过了《关于对</w:t>
      </w:r>
      <w:r>
        <w:rPr>
          <w:rFonts w:ascii="Times New Roman" w:hAnsi="Times New Roman" w:cs="Times New Roman" w:eastAsia="Times New Roman" w:hint="default"/>
          <w:spacing w:val="-1"/>
        </w:rPr>
        <w:t>2014</w:t>
      </w:r>
      <w:r>
        <w:rPr>
          <w:spacing w:val="-1"/>
        </w:rPr>
        <w:t>年股票期权激励计划已获</w:t>
      </w:r>
      <w:r>
        <w:rPr/>
        <w:t> </w:t>
      </w:r>
      <w:r>
        <w:rPr>
          <w:spacing w:val="-1"/>
        </w:rPr>
        <w:t>授尚未行权股票期权行权价格进行调整的议案》，公司</w:t>
      </w:r>
      <w:r>
        <w:rPr>
          <w:rFonts w:ascii="Times New Roman" w:hAnsi="Times New Roman" w:cs="Times New Roman" w:eastAsia="Times New Roman" w:hint="default"/>
          <w:spacing w:val="-1"/>
        </w:rPr>
        <w:t>2016</w:t>
      </w:r>
      <w:r>
        <w:rPr>
          <w:spacing w:val="-1"/>
        </w:rPr>
        <w:t>年度利润分配已于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w:t>
      </w:r>
      <w:r>
        <w:rPr>
          <w:spacing w:val="-1"/>
        </w:rPr>
        <w:t>日实施完毕。根</w:t>
      </w:r>
      <w:r>
        <w:rPr>
          <w:spacing w:val="-82"/>
        </w:rPr>
        <w:t> </w:t>
      </w:r>
      <w:r>
        <w:rPr>
          <w:spacing w:val="-82"/>
        </w:rPr>
      </w:r>
      <w:r>
        <w:rPr>
          <w:spacing w:val="-1"/>
        </w:rPr>
        <w:t>据公司股东大会的授权及《</w:t>
      </w:r>
      <w:r>
        <w:rPr>
          <w:rFonts w:ascii="Times New Roman" w:hAnsi="Times New Roman" w:cs="Times New Roman" w:eastAsia="Times New Roman" w:hint="default"/>
          <w:spacing w:val="-1"/>
        </w:rPr>
        <w:t>2014</w:t>
      </w:r>
      <w:r>
        <w:rPr>
          <w:spacing w:val="-1"/>
        </w:rPr>
        <w:t>年股票期权激励计划（草案修订稿）》的相关规定，将公司</w:t>
      </w:r>
      <w:r>
        <w:rPr>
          <w:rFonts w:ascii="Times New Roman" w:hAnsi="Times New Roman" w:cs="Times New Roman" w:eastAsia="Times New Roman" w:hint="default"/>
          <w:spacing w:val="-1"/>
        </w:rPr>
        <w:t>2014</w:t>
      </w:r>
      <w:r>
        <w:rPr>
          <w:spacing w:val="-1"/>
        </w:rPr>
        <w:t>年股票期</w:t>
      </w:r>
    </w:p>
    <w:p>
      <w:pPr>
        <w:spacing w:after="0" w:line="256"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994" w:firstLine="0"/>
        <w:jc w:val="left"/>
      </w:pPr>
      <w:r>
        <w:rPr/>
        <w:t>权激励计划已获授尚未行权的股票期权行权价格由</w:t>
      </w:r>
      <w:r>
        <w:rPr>
          <w:rFonts w:ascii="Times New Roman" w:hAnsi="Times New Roman" w:cs="Times New Roman" w:eastAsia="Times New Roman" w:hint="default"/>
        </w:rPr>
        <w:t>7.535</w:t>
      </w:r>
      <w:r>
        <w:rPr/>
        <w:t>元调整为</w:t>
      </w:r>
      <w:r>
        <w:rPr>
          <w:rFonts w:ascii="Times New Roman" w:hAnsi="Times New Roman" w:cs="Times New Roman" w:eastAsia="Times New Roman" w:hint="default"/>
        </w:rPr>
        <w:t>7.476</w:t>
      </w:r>
      <w:r>
        <w:rPr/>
        <w:t>元。</w:t>
      </w:r>
    </w:p>
    <w:p>
      <w:pPr>
        <w:pStyle w:val="Heading5"/>
        <w:spacing w:line="240" w:lineRule="auto" w:before="141"/>
        <w:ind w:right="994"/>
        <w:jc w:val="left"/>
        <w:rPr>
          <w:b w:val="0"/>
          <w:bCs w:val="0"/>
        </w:rPr>
      </w:pPr>
      <w:r>
        <w:rPr>
          <w:rFonts w:ascii="Times New Roman" w:hAnsi="Times New Roman" w:cs="Times New Roman" w:eastAsia="Times New Roman" w:hint="default"/>
        </w:rPr>
        <w:t>2.</w:t>
      </w:r>
      <w:r>
        <w:rPr/>
        <w:t>第二轮股权激励</w:t>
      </w:r>
      <w:r>
        <w:rPr>
          <w:b w:val="0"/>
          <w:bCs w:val="0"/>
        </w:rPr>
      </w:r>
    </w:p>
    <w:p>
      <w:pPr>
        <w:pStyle w:val="Heading6"/>
        <w:spacing w:line="256" w:lineRule="auto" w:before="21"/>
        <w:ind w:right="1132"/>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日，公司召开第三届董事会第二十次会议及第三届监事会第十九次会议审议通过了《审 议</w:t>
      </w:r>
      <w:r>
        <w:rPr>
          <w:rFonts w:ascii="Times New Roman" w:hAnsi="Times New Roman" w:cs="Times New Roman" w:eastAsia="Times New Roman" w:hint="default"/>
        </w:rPr>
        <w:t>&lt;</w:t>
      </w:r>
      <w:r>
        <w:rPr/>
        <w:t>关于深圳市新国都技术股份有限公司</w:t>
      </w:r>
      <w:r>
        <w:rPr>
          <w:rFonts w:ascii="Times New Roman" w:hAnsi="Times New Roman" w:cs="Times New Roman" w:eastAsia="Times New Roman" w:hint="default"/>
        </w:rPr>
        <w:t>2015</w:t>
      </w:r>
      <w:r>
        <w:rPr/>
        <w:t>年股票期权激励计划（草案）及摘要</w:t>
      </w:r>
      <w:r>
        <w:rPr>
          <w:rFonts w:ascii="Times New Roman" w:hAnsi="Times New Roman" w:cs="Times New Roman" w:eastAsia="Times New Roman" w:hint="default"/>
        </w:rPr>
        <w:t>&gt;</w:t>
      </w:r>
      <w:r>
        <w:rPr/>
        <w:t>的议案》、《审议</w:t>
      </w:r>
      <w:r>
        <w:rPr>
          <w:rFonts w:ascii="Times New Roman" w:hAnsi="Times New Roman" w:cs="Times New Roman" w:eastAsia="Times New Roman" w:hint="default"/>
        </w:rPr>
        <w:t>&lt;</w:t>
      </w:r>
      <w:r>
        <w:rPr/>
        <w:t>关 </w:t>
      </w:r>
      <w:r>
        <w:rPr>
          <w:spacing w:val="-2"/>
        </w:rPr>
        <w:t>于深圳市新国都技术股份有限公司</w:t>
      </w:r>
      <w:r>
        <w:rPr>
          <w:rFonts w:ascii="Times New Roman" w:hAnsi="Times New Roman" w:cs="Times New Roman" w:eastAsia="Times New Roman" w:hint="default"/>
          <w:spacing w:val="-2"/>
        </w:rPr>
        <w:t>2015</w:t>
      </w:r>
      <w:r>
        <w:rPr>
          <w:spacing w:val="-2"/>
        </w:rPr>
        <w:t>年股票期权激励计划管理办法</w:t>
      </w:r>
      <w:r>
        <w:rPr>
          <w:rFonts w:ascii="Times New Roman" w:hAnsi="Times New Roman" w:cs="Times New Roman" w:eastAsia="Times New Roman" w:hint="default"/>
          <w:spacing w:val="-2"/>
        </w:rPr>
        <w:t>&gt;</w:t>
      </w:r>
      <w:r>
        <w:rPr>
          <w:spacing w:val="-2"/>
        </w:rPr>
        <w:t>的议案》、《审议</w:t>
      </w:r>
      <w:r>
        <w:rPr>
          <w:rFonts w:ascii="Times New Roman" w:hAnsi="Times New Roman" w:cs="Times New Roman" w:eastAsia="Times New Roman" w:hint="default"/>
          <w:spacing w:val="-2"/>
        </w:rPr>
        <w:t>&lt;</w:t>
      </w:r>
      <w:r>
        <w:rPr>
          <w:spacing w:val="-2"/>
        </w:rPr>
        <w:t>关于深圳市新国</w:t>
      </w:r>
      <w:r>
        <w:rPr>
          <w:spacing w:val="-59"/>
        </w:rPr>
        <w:t> </w:t>
      </w:r>
      <w:r>
        <w:rPr/>
        <w:t>都技术股份有限公司</w:t>
      </w:r>
      <w:r>
        <w:rPr>
          <w:rFonts w:ascii="Times New Roman" w:hAnsi="Times New Roman" w:cs="Times New Roman" w:eastAsia="Times New Roman" w:hint="default"/>
        </w:rPr>
        <w:t>2015</w:t>
      </w:r>
      <w:r>
        <w:rPr/>
        <w:t>年股票期权激励计划实施考核办法</w:t>
      </w:r>
      <w:r>
        <w:rPr>
          <w:rFonts w:ascii="Times New Roman" w:hAnsi="Times New Roman" w:cs="Times New Roman" w:eastAsia="Times New Roman" w:hint="default"/>
        </w:rPr>
        <w:t>&gt;</w:t>
      </w:r>
      <w:r>
        <w:rPr/>
        <w:t>的议案》、《关于提请股东大会授权董事会 办理公司</w:t>
      </w:r>
      <w:r>
        <w:rPr>
          <w:rFonts w:ascii="Times New Roman" w:hAnsi="Times New Roman" w:cs="Times New Roman" w:eastAsia="Times New Roman" w:hint="default"/>
        </w:rPr>
        <w:t>2015</w:t>
      </w:r>
      <w:r>
        <w:rPr/>
        <w:t>年股票期权激励计划相关事宜的议案》。</w:t>
      </w:r>
    </w:p>
    <w:p>
      <w:pPr>
        <w:pStyle w:val="Heading6"/>
        <w:spacing w:line="261" w:lineRule="auto"/>
        <w:ind w:right="1129"/>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日，公司召开</w:t>
      </w:r>
      <w:r>
        <w:rPr>
          <w:rFonts w:ascii="Times New Roman" w:hAnsi="Times New Roman" w:cs="Times New Roman" w:eastAsia="Times New Roman" w:hint="default"/>
        </w:rPr>
        <w:t>2015</w:t>
      </w:r>
      <w:r>
        <w:rPr/>
        <w:t>年第六次临时股东大会，审议通过了《审议</w:t>
      </w:r>
      <w:r>
        <w:rPr>
          <w:rFonts w:ascii="Times New Roman" w:hAnsi="Times New Roman" w:cs="Times New Roman" w:eastAsia="Times New Roman" w:hint="default"/>
        </w:rPr>
        <w:t>&lt;</w:t>
      </w:r>
      <w:r>
        <w:rPr/>
        <w:t>关于深圳市新国都技术 </w:t>
      </w:r>
      <w:r>
        <w:rPr>
          <w:spacing w:val="-2"/>
        </w:rPr>
        <w:t>股份有限公司</w:t>
      </w:r>
      <w:r>
        <w:rPr>
          <w:rFonts w:ascii="Times New Roman" w:hAnsi="Times New Roman" w:cs="Times New Roman" w:eastAsia="Times New Roman" w:hint="default"/>
          <w:spacing w:val="-2"/>
        </w:rPr>
        <w:t>2015</w:t>
      </w:r>
      <w:r>
        <w:rPr>
          <w:spacing w:val="-2"/>
        </w:rPr>
        <w:t>年股票期权激励计划（草案）及摘要</w:t>
      </w:r>
      <w:r>
        <w:rPr>
          <w:rFonts w:ascii="Times New Roman" w:hAnsi="Times New Roman" w:cs="Times New Roman" w:eastAsia="Times New Roman" w:hint="default"/>
          <w:spacing w:val="-2"/>
        </w:rPr>
        <w:t>&gt;</w:t>
      </w:r>
      <w:r>
        <w:rPr>
          <w:spacing w:val="-2"/>
        </w:rPr>
        <w:t>的议案》、《审议</w:t>
      </w:r>
      <w:r>
        <w:rPr>
          <w:rFonts w:ascii="Times New Roman" w:hAnsi="Times New Roman" w:cs="Times New Roman" w:eastAsia="Times New Roman" w:hint="default"/>
          <w:spacing w:val="-2"/>
        </w:rPr>
        <w:t>&lt;</w:t>
      </w:r>
      <w:r>
        <w:rPr>
          <w:spacing w:val="-2"/>
        </w:rPr>
        <w:t>关于深圳市新国都技术股份有</w:t>
      </w:r>
      <w:r>
        <w:rPr>
          <w:spacing w:val="-58"/>
        </w:rPr>
        <w:t> </w:t>
      </w:r>
      <w:r>
        <w:rPr>
          <w:spacing w:val="-1"/>
        </w:rPr>
        <w:t>限公司</w:t>
      </w:r>
      <w:r>
        <w:rPr>
          <w:rFonts w:ascii="Times New Roman" w:hAnsi="Times New Roman" w:cs="Times New Roman" w:eastAsia="Times New Roman" w:hint="default"/>
          <w:spacing w:val="-1"/>
        </w:rPr>
        <w:t>2015</w:t>
      </w:r>
      <w:r>
        <w:rPr>
          <w:spacing w:val="-1"/>
        </w:rPr>
        <w:t>年股票期权激励计划管理办法</w:t>
      </w:r>
      <w:r>
        <w:rPr>
          <w:rFonts w:ascii="Times New Roman" w:hAnsi="Times New Roman" w:cs="Times New Roman" w:eastAsia="Times New Roman" w:hint="default"/>
          <w:spacing w:val="-1"/>
        </w:rPr>
        <w:t>&gt;</w:t>
      </w:r>
      <w:r>
        <w:rPr>
          <w:spacing w:val="-1"/>
        </w:rPr>
        <w:t>的议案》、《审议</w:t>
      </w:r>
      <w:r>
        <w:rPr>
          <w:rFonts w:ascii="Times New Roman" w:hAnsi="Times New Roman" w:cs="Times New Roman" w:eastAsia="Times New Roman" w:hint="default"/>
          <w:spacing w:val="-1"/>
        </w:rPr>
        <w:t>&lt;</w:t>
      </w:r>
      <w:r>
        <w:rPr>
          <w:spacing w:val="-1"/>
        </w:rPr>
        <w:t>关于深圳市新国都技术股份有限公司</w:t>
      </w:r>
      <w:r>
        <w:rPr>
          <w:rFonts w:ascii="Times New Roman" w:hAnsi="Times New Roman" w:cs="Times New Roman" w:eastAsia="Times New Roman" w:hint="default"/>
          <w:spacing w:val="-1"/>
        </w:rPr>
        <w:t>2015</w:t>
      </w:r>
      <w:r>
        <w:rPr>
          <w:spacing w:val="-1"/>
        </w:rPr>
        <w:t>年</w:t>
      </w:r>
      <w:r>
        <w:rPr>
          <w:spacing w:val="-103"/>
        </w:rPr>
        <w:t> </w:t>
      </w:r>
      <w:r>
        <w:rPr/>
        <w:t>股票期权激励计划实施考核办法</w:t>
      </w:r>
      <w:r>
        <w:rPr>
          <w:rFonts w:ascii="Times New Roman" w:hAnsi="Times New Roman" w:cs="Times New Roman" w:eastAsia="Times New Roman" w:hint="default"/>
        </w:rPr>
        <w:t>&gt;</w:t>
      </w:r>
      <w:r>
        <w:rPr/>
        <w:t>的议案》、《关于提请股东大会授权董事会办理公司</w:t>
      </w:r>
      <w:r>
        <w:rPr>
          <w:rFonts w:ascii="Times New Roman" w:hAnsi="Times New Roman" w:cs="Times New Roman" w:eastAsia="Times New Roman" w:hint="default"/>
        </w:rPr>
        <w:t>2015</w:t>
      </w:r>
      <w:r>
        <w:rPr/>
        <w:t>年股票期权激 </w:t>
      </w:r>
      <w:r>
        <w:rPr>
          <w:spacing w:val="-1"/>
        </w:rPr>
        <w:t>励计划相关事宜的议案》，董事会被授权确认激励对象参与股权激励计划的资格和条件，确定激励对象名</w:t>
      </w:r>
      <w:r>
        <w:rPr>
          <w:spacing w:val="-83"/>
        </w:rPr>
        <w:t> </w:t>
      </w:r>
      <w:r>
        <w:rPr>
          <w:spacing w:val="-83"/>
        </w:rPr>
      </w:r>
      <w:r>
        <w:rPr>
          <w:spacing w:val="-1"/>
        </w:rPr>
        <w:t>单及其授予数量，确定标的股权的授予价格；在激励对象符合条件时向激励对象授予股票并办理授予股票</w:t>
      </w:r>
      <w:r>
        <w:rPr>
          <w:spacing w:val="-81"/>
        </w:rPr>
        <w:t> </w:t>
      </w:r>
      <w:r>
        <w:rPr>
          <w:spacing w:val="-81"/>
        </w:rPr>
      </w:r>
      <w:r>
        <w:rPr/>
        <w:t>和解锁股票所必需的全部事宜。</w:t>
      </w:r>
    </w:p>
    <w:p>
      <w:pPr>
        <w:pStyle w:val="Heading6"/>
        <w:spacing w:line="240" w:lineRule="auto" w:before="18"/>
        <w:ind w:left="1554" w:right="994" w:firstLine="0"/>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日，公司召开第三届董事会第二十九次会议及第三届监事会第二十八次会议审议通过了</w:t>
      </w:r>
    </w:p>
    <w:p>
      <w:pPr>
        <w:pStyle w:val="Heading6"/>
        <w:spacing w:line="256" w:lineRule="auto" w:before="21"/>
        <w:ind w:right="994" w:firstLine="0"/>
        <w:jc w:val="left"/>
      </w:pPr>
      <w:r>
        <w:rPr>
          <w:spacing w:val="-1"/>
        </w:rPr>
        <w:t>《关于对</w:t>
      </w:r>
      <w:r>
        <w:rPr>
          <w:rFonts w:ascii="Times New Roman" w:hAnsi="Times New Roman" w:cs="Times New Roman" w:eastAsia="Times New Roman" w:hint="default"/>
          <w:spacing w:val="-1"/>
        </w:rPr>
        <w:t>2015</w:t>
      </w:r>
      <w:r>
        <w:rPr>
          <w:spacing w:val="-1"/>
        </w:rPr>
        <w:t>年股票期权激励计划首次授予股票期权行权价格进行调整的议案》，公司</w:t>
      </w:r>
      <w:r>
        <w:rPr>
          <w:rFonts w:ascii="Times New Roman" w:hAnsi="Times New Roman" w:cs="Times New Roman" w:eastAsia="Times New Roman" w:hint="default"/>
          <w:spacing w:val="-1"/>
        </w:rPr>
        <w:t>2015</w:t>
      </w:r>
      <w:r>
        <w:rPr>
          <w:spacing w:val="-1"/>
        </w:rPr>
        <w:t>年度利润分配</w:t>
      </w:r>
      <w:r>
        <w:rPr>
          <w:spacing w:val="-80"/>
        </w:rPr>
        <w:t> </w:t>
      </w:r>
      <w:r>
        <w:rPr>
          <w:spacing w:val="-80"/>
        </w:rPr>
      </w:r>
      <w:r>
        <w:rPr/>
        <w:t>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日实施完毕。根据公司股东大会的授权及《</w:t>
      </w:r>
      <w:r>
        <w:rPr>
          <w:rFonts w:ascii="Times New Roman" w:hAnsi="Times New Roman" w:cs="Times New Roman" w:eastAsia="Times New Roman" w:hint="default"/>
        </w:rPr>
        <w:t>2015</w:t>
      </w:r>
      <w:r>
        <w:rPr/>
        <w:t>年股票期权激励计划（草案）》的相关 规定，公司将</w:t>
      </w:r>
      <w:r>
        <w:rPr>
          <w:rFonts w:ascii="Times New Roman" w:hAnsi="Times New Roman" w:cs="Times New Roman" w:eastAsia="Times New Roman" w:hint="default"/>
        </w:rPr>
        <w:t>2015</w:t>
      </w:r>
      <w:r>
        <w:rPr/>
        <w:t>年股票期权激励计划首次授予的股票期权行权价格由</w:t>
      </w:r>
      <w:r>
        <w:rPr>
          <w:rFonts w:ascii="Times New Roman" w:hAnsi="Times New Roman" w:cs="Times New Roman" w:eastAsia="Times New Roman" w:hint="default"/>
        </w:rPr>
        <w:t>31.78</w:t>
      </w:r>
      <w:r>
        <w:rPr/>
        <w:t>元调整为</w:t>
      </w:r>
      <w:r>
        <w:rPr>
          <w:rFonts w:ascii="Times New Roman" w:hAnsi="Times New Roman" w:cs="Times New Roman" w:eastAsia="Times New Roman" w:hint="default"/>
        </w:rPr>
        <w:t>31.73</w:t>
      </w:r>
      <w:r>
        <w:rPr/>
        <w:t>元。</w:t>
      </w:r>
    </w:p>
    <w:p>
      <w:pPr>
        <w:pStyle w:val="Heading6"/>
        <w:spacing w:line="256" w:lineRule="auto"/>
        <w:ind w:left="1134" w:right="1131"/>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28</w:t>
      </w:r>
      <w:r>
        <w:rPr>
          <w:spacing w:val="-1"/>
        </w:rPr>
        <w:t>日，本公司召开第三届董事会第三十六次会议审议通过《关于注销部分已获授股票期权</w:t>
      </w:r>
      <w:r>
        <w:rPr/>
        <w:t> </w:t>
      </w:r>
      <w:r>
        <w:rPr>
          <w:spacing w:val="-1"/>
        </w:rPr>
        <w:t>的议案》：公司《</w:t>
      </w:r>
      <w:r>
        <w:rPr>
          <w:rFonts w:ascii="Times New Roman" w:hAnsi="Times New Roman" w:cs="Times New Roman" w:eastAsia="Times New Roman" w:hint="default"/>
          <w:spacing w:val="-1"/>
        </w:rPr>
        <w:t>2015</w:t>
      </w:r>
      <w:r>
        <w:rPr>
          <w:spacing w:val="-1"/>
        </w:rPr>
        <w:t>年股票期权激励计划（草案）》原激励对象雷平、黄栩因个人原因辞职，已不符合</w:t>
      </w:r>
      <w:r>
        <w:rPr>
          <w:spacing w:val="-84"/>
        </w:rPr>
        <w:t> </w:t>
      </w:r>
      <w:r>
        <w:rPr>
          <w:spacing w:val="-84"/>
        </w:rPr>
      </w:r>
      <w:r>
        <w:rPr/>
        <w:t>激励条件，对其已获授予的股票期权应由公司注销。本次调整后公司的股票期权数量为</w:t>
      </w:r>
      <w:r>
        <w:rPr>
          <w:rFonts w:ascii="Times New Roman" w:hAnsi="Times New Roman" w:cs="Times New Roman" w:eastAsia="Times New Roman" w:hint="default"/>
        </w:rPr>
        <w:t>6,180,000</w:t>
      </w:r>
      <w:r>
        <w:rPr/>
        <w:t>股。</w:t>
      </w:r>
    </w:p>
    <w:p>
      <w:pPr>
        <w:pStyle w:val="Heading6"/>
        <w:spacing w:line="261" w:lineRule="auto"/>
        <w:ind w:right="1131"/>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7</w:t>
      </w:r>
      <w:r>
        <w:rPr>
          <w:spacing w:val="-1"/>
        </w:rPr>
        <w:t>日，本公司召开第三届董事会第四十次（临时）会议审议通过《关于注销</w:t>
      </w:r>
      <w:r>
        <w:rPr>
          <w:rFonts w:ascii="Times New Roman" w:hAnsi="Times New Roman" w:cs="Times New Roman" w:eastAsia="Times New Roman" w:hint="default"/>
          <w:spacing w:val="-1"/>
        </w:rPr>
        <w:t>2015</w:t>
      </w:r>
      <w:r>
        <w:rPr>
          <w:spacing w:val="-1"/>
        </w:rPr>
        <w:t>年股票期权</w:t>
      </w:r>
      <w:r>
        <w:rPr/>
        <w:t> </w:t>
      </w:r>
      <w:r>
        <w:rPr>
          <w:spacing w:val="-1"/>
        </w:rPr>
        <w:t>激励计划部分已获授股票期权的议案》：公司《</w:t>
      </w:r>
      <w:r>
        <w:rPr>
          <w:rFonts w:ascii="Times New Roman" w:hAnsi="Times New Roman" w:cs="Times New Roman" w:eastAsia="Times New Roman" w:hint="default"/>
          <w:spacing w:val="-1"/>
        </w:rPr>
        <w:t>2015</w:t>
      </w:r>
      <w:r>
        <w:rPr>
          <w:spacing w:val="-1"/>
        </w:rPr>
        <w:t>年股票期权激励计划（草案）》原激励对象许晖等</w:t>
      </w:r>
      <w:r>
        <w:rPr>
          <w:rFonts w:ascii="Times New Roman" w:hAnsi="Times New Roman" w:cs="Times New Roman" w:eastAsia="Times New Roman" w:hint="default"/>
          <w:spacing w:val="-1"/>
        </w:rPr>
        <w:t>28</w:t>
      </w:r>
      <w:r>
        <w:rPr>
          <w:rFonts w:ascii="Times New Roman" w:hAnsi="Times New Roman" w:cs="Times New Roman" w:eastAsia="Times New Roman" w:hint="default"/>
          <w:spacing w:val="-31"/>
        </w:rPr>
        <w:t> </w:t>
      </w:r>
      <w:r>
        <w:rPr>
          <w:spacing w:val="-1"/>
        </w:rPr>
        <w:t>人因个人原因辞职，已不符合激励条件，对其已获授予的股票期权应由公司注销。本次调整后公司的股票</w:t>
      </w:r>
      <w:r>
        <w:rPr>
          <w:spacing w:val="-83"/>
        </w:rPr>
        <w:t> </w:t>
      </w:r>
      <w:r>
        <w:rPr>
          <w:spacing w:val="-83"/>
        </w:rPr>
      </w:r>
      <w:r>
        <w:rPr/>
        <w:t>期权数量为</w:t>
      </w:r>
      <w:r>
        <w:rPr>
          <w:rFonts w:ascii="Times New Roman" w:hAnsi="Times New Roman" w:cs="Times New Roman" w:eastAsia="Times New Roman" w:hint="default"/>
        </w:rPr>
        <w:t>4,220,000</w:t>
      </w:r>
      <w:r>
        <w:rPr/>
        <w:t>股。</w:t>
      </w:r>
    </w:p>
    <w:p>
      <w:pPr>
        <w:pStyle w:val="Heading6"/>
        <w:spacing w:line="256" w:lineRule="auto" w:before="0"/>
        <w:ind w:left="1134" w:right="9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日，公司召开第三届董事会第四十一次会议审议通过《关于</w:t>
      </w:r>
      <w:r>
        <w:rPr>
          <w:rFonts w:ascii="Times New Roman" w:hAnsi="Times New Roman" w:cs="Times New Roman" w:eastAsia="Times New Roman" w:hint="default"/>
        </w:rPr>
        <w:t>2015</w:t>
      </w:r>
      <w:r>
        <w:rPr/>
        <w:t>年股票期权激励计划第 </w:t>
      </w:r>
      <w:r>
        <w:rPr>
          <w:spacing w:val="-1"/>
        </w:rPr>
        <w:t>一个行权期未达到行权条件予以注销的议案》，并公告了《关于</w:t>
      </w:r>
      <w:r>
        <w:rPr>
          <w:rFonts w:ascii="Times New Roman" w:hAnsi="Times New Roman" w:cs="Times New Roman" w:eastAsia="Times New Roman" w:hint="default"/>
          <w:spacing w:val="-1"/>
        </w:rPr>
        <w:t>2015</w:t>
      </w:r>
      <w:r>
        <w:rPr>
          <w:spacing w:val="-1"/>
        </w:rPr>
        <w:t>年股票期权激励计划第一个行权期未</w:t>
      </w:r>
      <w:r>
        <w:rPr>
          <w:spacing w:val="-81"/>
        </w:rPr>
        <w:t> </w:t>
      </w:r>
      <w:r>
        <w:rPr>
          <w:spacing w:val="-2"/>
        </w:rPr>
        <w:t>达到行权条件并予以注销的公告》。公司对本次股票期权激励计划第一个行权期已获授的期权</w:t>
      </w:r>
      <w:r>
        <w:rPr>
          <w:rFonts w:ascii="Times New Roman" w:hAnsi="Times New Roman" w:cs="Times New Roman" w:eastAsia="Times New Roman" w:hint="default"/>
          <w:spacing w:val="-2"/>
        </w:rPr>
        <w:t>422,000</w:t>
      </w:r>
      <w:r>
        <w:rPr>
          <w:spacing w:val="-2"/>
        </w:rPr>
        <w:t>份进</w:t>
      </w:r>
      <w:r>
        <w:rPr>
          <w:spacing w:val="-80"/>
        </w:rPr>
        <w:t> </w:t>
      </w:r>
      <w:r>
        <w:rPr/>
        <w:t>行注销。本次注销后公司已获授股票期权数量为</w:t>
      </w:r>
      <w:r>
        <w:rPr>
          <w:rFonts w:ascii="Times New Roman" w:hAnsi="Times New Roman" w:cs="Times New Roman" w:eastAsia="Times New Roman" w:hint="default"/>
        </w:rPr>
        <w:t>3,798,000</w:t>
      </w:r>
      <w:r>
        <w:rPr/>
        <w:t>份。</w:t>
      </w:r>
    </w:p>
    <w:p>
      <w:pPr>
        <w:pStyle w:val="Heading6"/>
        <w:spacing w:line="256" w:lineRule="auto"/>
        <w:ind w:right="1161"/>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日，公司公告了《</w:t>
      </w:r>
      <w:r>
        <w:rPr>
          <w:rFonts w:ascii="Times New Roman" w:hAnsi="Times New Roman" w:cs="Times New Roman" w:eastAsia="Times New Roman" w:hint="default"/>
        </w:rPr>
        <w:t>2015</w:t>
      </w:r>
      <w:r>
        <w:rPr/>
        <w:t>年股票期权激励计划第一个行权期未达到行权条件期权注销完成 的公告》，经中国证券登记结算有限责任公司深圳分公司审核确认，上述</w:t>
      </w:r>
      <w:r>
        <w:rPr>
          <w:rFonts w:ascii="Times New Roman" w:hAnsi="Times New Roman" w:cs="Times New Roman" w:eastAsia="Times New Roman" w:hint="default"/>
        </w:rPr>
        <w:t>422,000</w:t>
      </w:r>
      <w:r>
        <w:rPr/>
        <w:t>份股票期权已于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24</w:t>
      </w:r>
      <w:r>
        <w:rPr/>
        <w:t>日办理完成注销手续。</w:t>
      </w:r>
    </w:p>
    <w:p>
      <w:pPr>
        <w:pStyle w:val="Heading6"/>
        <w:spacing w:line="256" w:lineRule="auto"/>
        <w:ind w:right="1109"/>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6</w:t>
      </w:r>
      <w:r>
        <w:rPr>
          <w:spacing w:val="-1"/>
        </w:rPr>
        <w:t>日，公司召开第四届董事会第二次会议审议通过了《关于对</w:t>
      </w:r>
      <w:r>
        <w:rPr>
          <w:rFonts w:ascii="Times New Roman" w:hAnsi="Times New Roman" w:cs="Times New Roman" w:eastAsia="Times New Roman" w:hint="default"/>
          <w:spacing w:val="-1"/>
        </w:rPr>
        <w:t>2015</w:t>
      </w:r>
      <w:r>
        <w:rPr>
          <w:spacing w:val="-1"/>
        </w:rPr>
        <w:t>年股票期权激励计划已获</w:t>
      </w:r>
      <w:r>
        <w:rPr/>
        <w:t> </w:t>
      </w:r>
      <w:r>
        <w:rPr>
          <w:spacing w:val="-1"/>
        </w:rPr>
        <w:t>授的股票期权行权价格进行调整的议案》，并公告了《关于对</w:t>
      </w:r>
      <w:r>
        <w:rPr>
          <w:rFonts w:ascii="Times New Roman" w:hAnsi="Times New Roman" w:cs="Times New Roman" w:eastAsia="Times New Roman" w:hint="default"/>
          <w:spacing w:val="-1"/>
        </w:rPr>
        <w:t>2015</w:t>
      </w:r>
      <w:r>
        <w:rPr>
          <w:spacing w:val="-1"/>
        </w:rPr>
        <w:t>年股票期权激励计划已获授的股票期权</w:t>
      </w:r>
      <w:r>
        <w:rPr>
          <w:spacing w:val="-82"/>
        </w:rPr>
        <w:t> </w:t>
      </w:r>
      <w:r>
        <w:rPr>
          <w:spacing w:val="-82"/>
        </w:rPr>
      </w:r>
      <w:r>
        <w:rPr>
          <w:spacing w:val="-1"/>
        </w:rPr>
        <w:t>行权价格进行调整的公告》，公司</w:t>
      </w:r>
      <w:r>
        <w:rPr>
          <w:rFonts w:ascii="Times New Roman" w:hAnsi="Times New Roman" w:cs="Times New Roman" w:eastAsia="Times New Roman" w:hint="default"/>
          <w:spacing w:val="-1"/>
        </w:rPr>
        <w:t>2016</w:t>
      </w:r>
      <w:r>
        <w:rPr>
          <w:spacing w:val="-1"/>
        </w:rPr>
        <w:t>年度利润分配已于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w:t>
      </w:r>
      <w:r>
        <w:rPr>
          <w:spacing w:val="-1"/>
        </w:rPr>
        <w:t>日实施完毕。根据公司股东大会的授</w:t>
      </w:r>
      <w:r>
        <w:rPr>
          <w:spacing w:val="-83"/>
        </w:rPr>
        <w:t> </w:t>
      </w:r>
      <w:r>
        <w:rPr>
          <w:spacing w:val="-83"/>
        </w:rPr>
      </w:r>
      <w:r>
        <w:rPr/>
        <w:t>权及《</w:t>
      </w:r>
      <w:r>
        <w:rPr>
          <w:rFonts w:ascii="Times New Roman" w:hAnsi="Times New Roman" w:cs="Times New Roman" w:eastAsia="Times New Roman" w:hint="default"/>
        </w:rPr>
        <w:t>2015</w:t>
      </w:r>
      <w:r>
        <w:rPr/>
        <w:t>年股票期权激励计划（草案修订稿）》的相关规定，将公司</w:t>
      </w:r>
      <w:r>
        <w:rPr>
          <w:rFonts w:ascii="Times New Roman" w:hAnsi="Times New Roman" w:cs="Times New Roman" w:eastAsia="Times New Roman" w:hint="default"/>
        </w:rPr>
        <w:t>2015</w:t>
      </w:r>
      <w:r>
        <w:rPr/>
        <w:t>年股票期权激励计划（草案） 已获授的股票期权行权价格由</w:t>
      </w:r>
      <w:r>
        <w:rPr>
          <w:rFonts w:ascii="Times New Roman" w:hAnsi="Times New Roman" w:cs="Times New Roman" w:eastAsia="Times New Roman" w:hint="default"/>
        </w:rPr>
        <w:t>31.73</w:t>
      </w:r>
      <w:r>
        <w:rPr/>
        <w:t>元调整为</w:t>
      </w:r>
      <w:r>
        <w:rPr>
          <w:rFonts w:ascii="Times New Roman" w:hAnsi="Times New Roman" w:cs="Times New Roman" w:eastAsia="Times New Roman" w:hint="default"/>
        </w:rPr>
        <w:t>31.671</w:t>
      </w:r>
      <w:r>
        <w:rPr/>
        <w:t>元。</w:t>
      </w:r>
    </w:p>
    <w:p>
      <w:pPr>
        <w:pStyle w:val="Heading6"/>
        <w:spacing w:line="256" w:lineRule="auto"/>
        <w:ind w:right="994"/>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日，公司召开第四届董事会第十一次会议审议通过了《关于注销</w:t>
      </w:r>
      <w:r>
        <w:rPr>
          <w:rFonts w:ascii="Times New Roman" w:hAnsi="Times New Roman" w:cs="Times New Roman" w:eastAsia="Times New Roman" w:hint="default"/>
        </w:rPr>
        <w:t>2015</w:t>
      </w:r>
      <w:r>
        <w:rPr/>
        <w:t>年股票期权激励计 </w:t>
      </w:r>
      <w:r>
        <w:rPr>
          <w:spacing w:val="-1"/>
        </w:rPr>
        <w:t>划部分已获授股票期权的议案》，原激励对象黄学佳等</w:t>
      </w:r>
      <w:r>
        <w:rPr>
          <w:rFonts w:ascii="Times New Roman" w:hAnsi="Times New Roman" w:cs="Times New Roman" w:eastAsia="Times New Roman" w:hint="default"/>
          <w:spacing w:val="-1"/>
        </w:rPr>
        <w:t>17</w:t>
      </w:r>
      <w:r>
        <w:rPr>
          <w:spacing w:val="-1"/>
        </w:rPr>
        <w:t>人因个人原因辞职，已不符合激励条件，根据公</w:t>
      </w:r>
      <w:r>
        <w:rPr>
          <w:spacing w:val="-85"/>
        </w:rPr>
        <w:t> </w:t>
      </w:r>
      <w:r>
        <w:rPr>
          <w:spacing w:val="-85"/>
        </w:rPr>
      </w:r>
      <w:r>
        <w:rPr>
          <w:spacing w:val="-5"/>
        </w:rPr>
        <w:t>司《</w:t>
      </w:r>
      <w:r>
        <w:rPr>
          <w:rFonts w:ascii="Times New Roman" w:hAnsi="Times New Roman" w:cs="Times New Roman" w:eastAsia="Times New Roman" w:hint="default"/>
          <w:spacing w:val="-5"/>
        </w:rPr>
        <w:t>2015</w:t>
      </w:r>
      <w:r>
        <w:rPr>
          <w:spacing w:val="-5"/>
        </w:rPr>
        <w:t>年股票期权激励计划（草案）》、公司《</w:t>
      </w:r>
      <w:r>
        <w:rPr>
          <w:rFonts w:ascii="Times New Roman" w:hAnsi="Times New Roman" w:cs="Times New Roman" w:eastAsia="Times New Roman" w:hint="default"/>
          <w:spacing w:val="-5"/>
        </w:rPr>
        <w:t>2015</w:t>
      </w:r>
      <w:r>
        <w:rPr>
          <w:spacing w:val="-5"/>
        </w:rPr>
        <w:t>年股票期权激励计划管理办法》相关规定及公司</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28"/>
        </w:rPr>
        <w:t> </w:t>
      </w:r>
      <w:r>
        <w:rPr/>
        <w:t>年第六次临时股东大会的授权，公司拟对以上激励对象已获授予的股票期权合计</w:t>
      </w:r>
      <w:r>
        <w:rPr>
          <w:rFonts w:ascii="Times New Roman" w:hAnsi="Times New Roman" w:cs="Times New Roman" w:eastAsia="Times New Roman" w:hint="default"/>
        </w:rPr>
        <w:t>540,000</w:t>
      </w:r>
      <w:r>
        <w:rPr/>
        <w:t>份进行注销。</w:t>
      </w:r>
      <w:r>
        <w:rPr>
          <w:spacing w:val="-22"/>
        </w:rPr>
        <w:t> </w:t>
      </w:r>
      <w:r>
        <w:rPr/>
        <w:t>本</w:t>
      </w:r>
      <w:r>
        <w:rPr/>
        <w:t> 次注销后公司</w:t>
      </w:r>
      <w:r>
        <w:rPr>
          <w:rFonts w:ascii="Times New Roman" w:hAnsi="Times New Roman" w:cs="Times New Roman" w:eastAsia="Times New Roman" w:hint="default"/>
        </w:rPr>
        <w:t>2015</w:t>
      </w:r>
      <w:r>
        <w:rPr/>
        <w:t>年股票期权激励计划已获授股票期权数量为</w:t>
      </w:r>
      <w:r>
        <w:rPr>
          <w:rFonts w:ascii="Times New Roman" w:hAnsi="Times New Roman" w:cs="Times New Roman" w:eastAsia="Times New Roman" w:hint="default"/>
        </w:rPr>
        <w:t>3,258,000</w:t>
      </w:r>
      <w:r>
        <w:rPr/>
        <w:t>份。</w:t>
      </w:r>
    </w:p>
    <w:p>
      <w:pPr>
        <w:pStyle w:val="Heading5"/>
        <w:spacing w:line="240" w:lineRule="auto" w:before="125"/>
        <w:ind w:right="994"/>
        <w:jc w:val="left"/>
        <w:rPr>
          <w:b w:val="0"/>
          <w:bCs w:val="0"/>
        </w:rPr>
      </w:pPr>
      <w:r>
        <w:rPr>
          <w:rFonts w:ascii="Times New Roman" w:hAnsi="Times New Roman" w:cs="Times New Roman" w:eastAsia="Times New Roman" w:hint="default"/>
        </w:rPr>
        <w:t>3.</w:t>
      </w:r>
      <w:r>
        <w:rPr/>
        <w:t>第三轮股权激励</w:t>
      </w:r>
      <w:r>
        <w:rPr>
          <w:b w:val="0"/>
          <w:bCs w:val="0"/>
        </w:rPr>
      </w:r>
    </w:p>
    <w:p>
      <w:pPr>
        <w:pStyle w:val="Heading6"/>
        <w:spacing w:line="240" w:lineRule="auto" w:before="21"/>
        <w:ind w:left="1553" w:right="994" w:firstLine="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日，公司召开第三届董事会第四十二次（临时）会议及第三届监事会第四十一次会议审</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6"/>
        <w:spacing w:line="240" w:lineRule="auto" w:before="35"/>
        <w:ind w:right="994" w:firstLine="0"/>
        <w:jc w:val="left"/>
      </w:pPr>
      <w:r>
        <w:rPr/>
        <w:t>议通过了《关于</w:t>
      </w:r>
      <w:r>
        <w:rPr>
          <w:rFonts w:ascii="Times New Roman" w:hAnsi="Times New Roman" w:cs="Times New Roman" w:eastAsia="Times New Roman" w:hint="default"/>
        </w:rPr>
        <w:t>&lt;</w:t>
      </w:r>
      <w:r>
        <w:rPr/>
        <w:t>深圳市新国都技术股份有限公司</w:t>
      </w:r>
      <w:r>
        <w:rPr>
          <w:rFonts w:ascii="Times New Roman" w:hAnsi="Times New Roman" w:cs="Times New Roman" w:eastAsia="Times New Roman" w:hint="default"/>
        </w:rPr>
        <w:t>2017</w:t>
      </w:r>
      <w:r>
        <w:rPr/>
        <w:t>年股票期权激励计划草案及摘要</w:t>
      </w:r>
      <w:r>
        <w:rPr>
          <w:rFonts w:ascii="Times New Roman" w:hAnsi="Times New Roman" w:cs="Times New Roman" w:eastAsia="Times New Roman" w:hint="default"/>
        </w:rPr>
        <w:t>&gt;</w:t>
      </w:r>
      <w:r>
        <w:rPr/>
        <w:t>的议案》、《关于</w:t>
      </w:r>
    </w:p>
    <w:p>
      <w:pPr>
        <w:pStyle w:val="Heading6"/>
        <w:spacing w:line="256" w:lineRule="auto" w:before="21"/>
        <w:ind w:right="994" w:firstLine="0"/>
        <w:jc w:val="left"/>
      </w:pPr>
      <w:r>
        <w:rPr>
          <w:rFonts w:ascii="Times New Roman" w:hAnsi="Times New Roman" w:cs="Times New Roman" w:eastAsia="Times New Roman" w:hint="default"/>
          <w:spacing w:val="-2"/>
        </w:rPr>
        <w:t>&lt;</w:t>
      </w:r>
      <w:r>
        <w:rPr>
          <w:spacing w:val="-2"/>
        </w:rPr>
        <w:t>深圳市新国都技术股份有限公司</w:t>
      </w:r>
      <w:r>
        <w:rPr>
          <w:rFonts w:ascii="Times New Roman" w:hAnsi="Times New Roman" w:cs="Times New Roman" w:eastAsia="Times New Roman" w:hint="default"/>
          <w:spacing w:val="-2"/>
        </w:rPr>
        <w:t>2017</w:t>
      </w:r>
      <w:r>
        <w:rPr>
          <w:spacing w:val="-2"/>
        </w:rPr>
        <w:t>年股票期权激励计划实施考核办法</w:t>
      </w:r>
      <w:r>
        <w:rPr>
          <w:rFonts w:ascii="Times New Roman" w:hAnsi="Times New Roman" w:cs="Times New Roman" w:eastAsia="Times New Roman" w:hint="default"/>
          <w:spacing w:val="-2"/>
        </w:rPr>
        <w:t>&gt;</w:t>
      </w:r>
      <w:r>
        <w:rPr>
          <w:spacing w:val="-2"/>
        </w:rPr>
        <w:t>的议案》、《关于提请股东大会</w:t>
      </w:r>
      <w:r>
        <w:rPr>
          <w:spacing w:val="-59"/>
        </w:rPr>
        <w:t> </w:t>
      </w:r>
      <w:r>
        <w:rPr>
          <w:spacing w:val="-59"/>
        </w:rPr>
      </w:r>
      <w:r>
        <w:rPr/>
        <w:t>授权董事会办理公司</w:t>
      </w:r>
      <w:r>
        <w:rPr>
          <w:rFonts w:ascii="Times New Roman" w:hAnsi="Times New Roman" w:cs="Times New Roman" w:eastAsia="Times New Roman" w:hint="default"/>
        </w:rPr>
        <w:t>2017</w:t>
      </w:r>
      <w:r>
        <w:rPr/>
        <w:t>年股票期权激励计划相关事宜的议案》。</w:t>
      </w:r>
    </w:p>
    <w:p>
      <w:pPr>
        <w:pStyle w:val="Heading6"/>
        <w:spacing w:line="264" w:lineRule="auto"/>
        <w:ind w:right="1129"/>
        <w:jc w:val="both"/>
      </w:pP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9</w:t>
      </w:r>
      <w:r>
        <w:rPr>
          <w:spacing w:val="-5"/>
        </w:rPr>
        <w:t>日，公司召开</w:t>
      </w:r>
      <w:r>
        <w:rPr>
          <w:rFonts w:ascii="Times New Roman" w:hAnsi="Times New Roman" w:cs="Times New Roman" w:eastAsia="Times New Roman" w:hint="default"/>
          <w:spacing w:val="-5"/>
        </w:rPr>
        <w:t>2016</w:t>
      </w:r>
      <w:r>
        <w:rPr>
          <w:spacing w:val="-5"/>
        </w:rPr>
        <w:t>年年度股东大会审议通过了《关于《深圳市新国都技术股份有限公司</w:t>
      </w:r>
      <w:r>
        <w:rPr>
          <w:rFonts w:ascii="Times New Roman" w:hAnsi="Times New Roman" w:cs="Times New Roman" w:eastAsia="Times New Roman" w:hint="default"/>
          <w:spacing w:val="-5"/>
        </w:rPr>
        <w:t>2017</w:t>
      </w:r>
      <w:r>
        <w:rPr>
          <w:rFonts w:ascii="Times New Roman" w:hAnsi="Times New Roman" w:cs="Times New Roman" w:eastAsia="Times New Roman" w:hint="default"/>
        </w:rPr>
        <w:t> </w:t>
      </w:r>
      <w:r>
        <w:rPr>
          <w:spacing w:val="-1"/>
        </w:rPr>
        <w:t>年股票期权激励计划草案及摘要》的议案》、《关于《深圳市新国都技术股份有限公司</w:t>
      </w:r>
      <w:r>
        <w:rPr>
          <w:rFonts w:ascii="Times New Roman" w:hAnsi="Times New Roman" w:cs="Times New Roman" w:eastAsia="Times New Roman" w:hint="default"/>
          <w:spacing w:val="-1"/>
        </w:rPr>
        <w:t>2017</w:t>
      </w:r>
      <w:r>
        <w:rPr>
          <w:spacing w:val="-1"/>
        </w:rPr>
        <w:t>年股票期权激</w:t>
      </w:r>
      <w:r>
        <w:rPr>
          <w:spacing w:val="-80"/>
        </w:rPr>
        <w:t> </w:t>
      </w:r>
      <w:r>
        <w:rPr>
          <w:spacing w:val="-1"/>
        </w:rPr>
        <w:t>励计划实施考核办法》的议案》以及《关于提请股东大会授权董事会办理公司</w:t>
      </w:r>
      <w:r>
        <w:rPr>
          <w:rFonts w:ascii="Times New Roman" w:hAnsi="Times New Roman" w:cs="Times New Roman" w:eastAsia="Times New Roman" w:hint="default"/>
          <w:spacing w:val="-1"/>
        </w:rPr>
        <w:t>2017</w:t>
      </w:r>
      <w:r>
        <w:rPr>
          <w:spacing w:val="-1"/>
        </w:rPr>
        <w:t>年股票期权激励计划相</w:t>
      </w:r>
      <w:r>
        <w:rPr>
          <w:spacing w:val="-82"/>
        </w:rPr>
        <w:t> </w:t>
      </w:r>
      <w:r>
        <w:rPr>
          <w:spacing w:val="-82"/>
        </w:rPr>
      </w:r>
      <w:r>
        <w:rPr>
          <w:spacing w:val="-1"/>
        </w:rPr>
        <w:t>关事宜的议案》，董事会被授权确认激励对象参与股权激励计划的资格和条件，确定激励对象名单及其授</w:t>
      </w:r>
      <w:r>
        <w:rPr>
          <w:spacing w:val="-83"/>
        </w:rPr>
        <w:t> </w:t>
      </w:r>
      <w:r>
        <w:rPr>
          <w:spacing w:val="-83"/>
        </w:rPr>
      </w:r>
      <w:r>
        <w:rPr>
          <w:spacing w:val="-1"/>
        </w:rPr>
        <w:t>予数量，确定标的股权的授予价格；在激励对象符合条件时向激励对象授予股票并办理授予股票和解锁股</w:t>
      </w:r>
      <w:r>
        <w:rPr>
          <w:spacing w:val="-81"/>
        </w:rPr>
        <w:t> </w:t>
      </w:r>
      <w:r>
        <w:rPr>
          <w:spacing w:val="-81"/>
        </w:rPr>
      </w:r>
      <w:r>
        <w:rPr/>
        <w:t>票所必需的全部事宜。</w:t>
      </w:r>
    </w:p>
    <w:p>
      <w:pPr>
        <w:pStyle w:val="Heading6"/>
        <w:spacing w:line="261" w:lineRule="auto" w:before="16"/>
        <w:ind w:left="1134" w:right="9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日，公司召开第四届董事会第一次会议审议通过了《关于向激励对象授予股票期权的议 </w:t>
      </w:r>
      <w:r>
        <w:rPr>
          <w:spacing w:val="-1"/>
        </w:rPr>
        <w:t>案》，并召开第四届监事会第一次会议，审议通过了《关于核实公司</w:t>
      </w:r>
      <w:r>
        <w:rPr>
          <w:rFonts w:ascii="Times New Roman" w:hAnsi="Times New Roman" w:cs="Times New Roman" w:eastAsia="Times New Roman" w:hint="default"/>
          <w:spacing w:val="-1"/>
        </w:rPr>
        <w:t>2017</w:t>
      </w:r>
      <w:r>
        <w:rPr>
          <w:spacing w:val="-1"/>
        </w:rPr>
        <w:t>年股票期权激励计划激励对象名</w:t>
      </w:r>
      <w:r>
        <w:rPr>
          <w:spacing w:val="-84"/>
        </w:rPr>
        <w:t> </w:t>
      </w:r>
      <w:r>
        <w:rPr>
          <w:spacing w:val="-84"/>
        </w:rPr>
      </w:r>
      <w:r>
        <w:rPr>
          <w:spacing w:val="-1"/>
        </w:rPr>
        <w:t>单的议案》。公司独立董事对此发表了独立意见，监事会认为激励对象主体资格确认办法合法有效，确定</w:t>
      </w:r>
      <w:r>
        <w:rPr>
          <w:spacing w:val="-86"/>
        </w:rPr>
        <w:t> </w:t>
      </w:r>
      <w:r>
        <w:rPr>
          <w:spacing w:val="-86"/>
        </w:rPr>
      </w:r>
      <w:r>
        <w:rPr/>
        <w:t>的授权日符合相关规定。</w:t>
      </w:r>
    </w:p>
    <w:p>
      <w:pPr>
        <w:pStyle w:val="Heading6"/>
        <w:spacing w:line="256" w:lineRule="auto" w:before="18"/>
        <w:ind w:right="1198"/>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日，公司公告了《关于</w:t>
      </w:r>
      <w:r>
        <w:rPr>
          <w:rFonts w:ascii="Times New Roman" w:hAnsi="Times New Roman" w:cs="Times New Roman" w:eastAsia="Times New Roman" w:hint="default"/>
        </w:rPr>
        <w:t>2017</w:t>
      </w:r>
      <w:r>
        <w:rPr/>
        <w:t>年股票期权激励计划授予完成登记的公告》，完成了《深圳 市新国都技术股份有限公司</w:t>
      </w:r>
      <w:r>
        <w:rPr>
          <w:rFonts w:ascii="Times New Roman" w:hAnsi="Times New Roman" w:cs="Times New Roman" w:eastAsia="Times New Roman" w:hint="default"/>
        </w:rPr>
        <w:t>2017</w:t>
      </w:r>
      <w:r>
        <w:rPr/>
        <w:t>年股票期权激励计划（草案）》股票期权的授予登记工作。</w:t>
      </w:r>
    </w:p>
    <w:p>
      <w:pPr>
        <w:pStyle w:val="Heading6"/>
        <w:spacing w:line="256" w:lineRule="auto"/>
        <w:ind w:right="994"/>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25</w:t>
      </w:r>
      <w:r>
        <w:rPr/>
        <w:t>日，公司召开第四届董事会第四次会议审议通过了《关于对</w:t>
      </w:r>
      <w:r>
        <w:rPr>
          <w:rFonts w:ascii="Times New Roman" w:hAnsi="Times New Roman" w:cs="Times New Roman" w:eastAsia="Times New Roman" w:hint="default"/>
        </w:rPr>
        <w:t>2017</w:t>
      </w:r>
      <w:r>
        <w:rPr/>
        <w:t>年股票期权激励计划已 </w:t>
      </w:r>
      <w:r>
        <w:rPr>
          <w:spacing w:val="-5"/>
        </w:rPr>
        <w:t>获授的股票期权行权价格进行调整的议案》，公司</w:t>
      </w:r>
      <w:r>
        <w:rPr>
          <w:rFonts w:ascii="Times New Roman" w:hAnsi="Times New Roman" w:cs="Times New Roman" w:eastAsia="Times New Roman" w:hint="default"/>
          <w:spacing w:val="-5"/>
        </w:rPr>
        <w:t>2016</w:t>
      </w:r>
      <w:r>
        <w:rPr>
          <w:spacing w:val="-5"/>
        </w:rPr>
        <w:t>年年度利润分派方案于</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1</w:t>
      </w:r>
      <w:r>
        <w:rPr>
          <w:spacing w:val="-5"/>
        </w:rPr>
        <w:t>日完成，根据</w:t>
      </w:r>
      <w:r>
        <w:rPr>
          <w:rFonts w:ascii="Times New Roman" w:hAnsi="Times New Roman" w:cs="Times New Roman" w:eastAsia="Times New Roman" w:hint="default"/>
          <w:spacing w:val="-5"/>
        </w:rPr>
        <w:t>2016</w:t>
      </w:r>
      <w:r>
        <w:rPr>
          <w:rFonts w:ascii="Times New Roman" w:hAnsi="Times New Roman" w:cs="Times New Roman" w:eastAsia="Times New Roman" w:hint="default"/>
          <w:spacing w:val="-19"/>
        </w:rPr>
        <w:t> </w:t>
      </w:r>
      <w:r>
        <w:rPr>
          <w:spacing w:val="-1"/>
        </w:rPr>
        <w:t>年年度股东大会的授权及《</w:t>
      </w:r>
      <w:r>
        <w:rPr>
          <w:rFonts w:ascii="Times New Roman" w:hAnsi="Times New Roman" w:cs="Times New Roman" w:eastAsia="Times New Roman" w:hint="default"/>
          <w:spacing w:val="-1"/>
        </w:rPr>
        <w:t>2017</w:t>
      </w:r>
      <w:r>
        <w:rPr>
          <w:spacing w:val="-1"/>
        </w:rPr>
        <w:t>年股票期权激励计划（草案）》的相关规定，公司</w:t>
      </w:r>
      <w:r>
        <w:rPr>
          <w:rFonts w:ascii="Times New Roman" w:hAnsi="Times New Roman" w:cs="Times New Roman" w:eastAsia="Times New Roman" w:hint="default"/>
          <w:spacing w:val="-1"/>
        </w:rPr>
        <w:t>2017</w:t>
      </w:r>
      <w:r>
        <w:rPr>
          <w:spacing w:val="-1"/>
        </w:rPr>
        <w:t>年股票期权激励计</w:t>
      </w:r>
      <w:r>
        <w:rPr>
          <w:spacing w:val="-80"/>
        </w:rPr>
        <w:t> </w:t>
      </w:r>
      <w:r>
        <w:rPr>
          <w:spacing w:val="-80"/>
        </w:rPr>
      </w:r>
      <w:r>
        <w:rPr/>
        <w:t>划已获授的股票期权行权价格由</w:t>
      </w:r>
      <w:r>
        <w:rPr>
          <w:rFonts w:ascii="Times New Roman" w:hAnsi="Times New Roman" w:cs="Times New Roman" w:eastAsia="Times New Roman" w:hint="default"/>
        </w:rPr>
        <w:t>24.75</w:t>
      </w:r>
      <w:r>
        <w:rPr/>
        <w:t>元调整为</w:t>
      </w:r>
      <w:r>
        <w:rPr>
          <w:rFonts w:ascii="Times New Roman" w:hAnsi="Times New Roman" w:cs="Times New Roman" w:eastAsia="Times New Roman" w:hint="default"/>
        </w:rPr>
        <w:t>24.691</w:t>
      </w:r>
      <w:r>
        <w:rPr/>
        <w:t>元。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日，公司召开第四届董事会第十一次会议审议通过了《关于注销</w:t>
      </w:r>
      <w:r>
        <w:rPr>
          <w:rFonts w:ascii="Times New Roman" w:hAnsi="Times New Roman" w:cs="Times New Roman" w:eastAsia="Times New Roman" w:hint="default"/>
        </w:rPr>
        <w:t>2017</w:t>
      </w:r>
      <w:r>
        <w:rPr/>
        <w:t>年股票期权激励计划部 </w:t>
      </w:r>
      <w:r>
        <w:rPr>
          <w:spacing w:val="-1"/>
        </w:rPr>
        <w:t>分已获授股票期权的议案》，公司原激励对象肖勇等</w:t>
      </w:r>
      <w:r>
        <w:rPr>
          <w:rFonts w:ascii="Times New Roman" w:hAnsi="Times New Roman" w:cs="Times New Roman" w:eastAsia="Times New Roman" w:hint="default"/>
          <w:spacing w:val="-1"/>
        </w:rPr>
        <w:t>17</w:t>
      </w:r>
      <w:r>
        <w:rPr>
          <w:spacing w:val="-1"/>
        </w:rPr>
        <w:t>人因个人原因辞职，已不符合激励条件，根据公司</w:t>
      </w:r>
    </w:p>
    <w:p>
      <w:pPr>
        <w:pStyle w:val="Heading6"/>
        <w:spacing w:line="256" w:lineRule="auto"/>
        <w:ind w:right="1132" w:firstLine="0"/>
        <w:jc w:val="both"/>
      </w:pPr>
      <w:r>
        <w:rPr>
          <w:spacing w:val="-1"/>
        </w:rPr>
        <w:t>《</w:t>
      </w:r>
      <w:r>
        <w:rPr>
          <w:rFonts w:ascii="Times New Roman" w:hAnsi="Times New Roman" w:cs="Times New Roman" w:eastAsia="Times New Roman" w:hint="default"/>
          <w:spacing w:val="-1"/>
        </w:rPr>
        <w:t>2017</w:t>
      </w:r>
      <w:r>
        <w:rPr>
          <w:spacing w:val="-1"/>
        </w:rPr>
        <w:t>年股票期权激励计划（草案）》相关规定及公司</w:t>
      </w:r>
      <w:r>
        <w:rPr>
          <w:rFonts w:ascii="Times New Roman" w:hAnsi="Times New Roman" w:cs="Times New Roman" w:eastAsia="Times New Roman" w:hint="default"/>
          <w:spacing w:val="-1"/>
        </w:rPr>
        <w:t>2016</w:t>
      </w:r>
      <w:r>
        <w:rPr>
          <w:spacing w:val="-1"/>
        </w:rPr>
        <w:t>年年度股东大会的授权，公司拟对以上激励对</w:t>
      </w:r>
      <w:r>
        <w:rPr>
          <w:spacing w:val="-84"/>
        </w:rPr>
        <w:t> </w:t>
      </w:r>
      <w:r>
        <w:rPr>
          <w:spacing w:val="-84"/>
        </w:rPr>
      </w:r>
      <w:r>
        <w:rPr/>
        <w:t>象已获授予的股票期权合计</w:t>
      </w:r>
      <w:r>
        <w:rPr>
          <w:rFonts w:ascii="Times New Roman" w:hAnsi="Times New Roman" w:cs="Times New Roman" w:eastAsia="Times New Roman" w:hint="default"/>
        </w:rPr>
        <w:t>444,600</w:t>
      </w:r>
      <w:r>
        <w:rPr/>
        <w:t>份进行注销。</w:t>
      </w:r>
      <w:r>
        <w:rPr>
          <w:spacing w:val="-22"/>
        </w:rPr>
        <w:t> </w:t>
      </w:r>
      <w:r>
        <w:rPr/>
        <w:t>本次注销后公司</w:t>
      </w:r>
      <w:r>
        <w:rPr>
          <w:rFonts w:ascii="Times New Roman" w:hAnsi="Times New Roman" w:cs="Times New Roman" w:eastAsia="Times New Roman" w:hint="default"/>
        </w:rPr>
        <w:t>2017</w:t>
      </w:r>
      <w:r>
        <w:rPr/>
        <w:t>年股票期权激励计划已获授股票期 权数量为</w:t>
      </w:r>
      <w:r>
        <w:rPr>
          <w:rFonts w:ascii="Times New Roman" w:hAnsi="Times New Roman" w:cs="Times New Roman" w:eastAsia="Times New Roman" w:hint="default"/>
        </w:rPr>
        <w:t>9,555,400</w:t>
      </w:r>
      <w:r>
        <w:rPr/>
        <w:t>份。</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spacing w:line="487" w:lineRule="auto" w:before="0"/>
        <w:ind w:left="1133" w:right="8344" w:firstLine="0"/>
        <w:jc w:val="left"/>
        <w:rPr>
          <w:rFonts w:ascii="宋体" w:hAnsi="宋体" w:cs="宋体" w:eastAsia="宋体" w:hint="default"/>
          <w:sz w:val="21"/>
          <w:szCs w:val="21"/>
        </w:rPr>
      </w:pPr>
      <w:bookmarkStart w:name="5、其他" w:id="489"/>
      <w:bookmarkEnd w:id="48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90"/>
      <w:bookmarkEnd w:id="490"/>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91"/>
      <w:bookmarkEnd w:id="49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left="1134" w:right="994"/>
        <w:jc w:val="left"/>
      </w:pPr>
      <w:r>
        <w:rPr/>
        <w:t>资产负债表日存在的重要承诺</w:t>
      </w:r>
    </w:p>
    <w:p>
      <w:pPr>
        <w:pStyle w:val="Heading6"/>
        <w:spacing w:line="259" w:lineRule="auto" w:before="90"/>
        <w:ind w:right="1117"/>
        <w:jc w:val="left"/>
      </w:pPr>
      <w:r>
        <w:rPr/>
        <w:t>本公司根据实际发展需要，向合格投资者公开发行人民币</w:t>
      </w:r>
      <w:r>
        <w:rPr>
          <w:rFonts w:ascii="Times New Roman" w:hAnsi="Times New Roman" w:cs="Times New Roman" w:eastAsia="Times New Roman" w:hint="default"/>
        </w:rPr>
        <w:t>4</w:t>
      </w:r>
      <w:r>
        <w:rPr/>
        <w:t>亿元公司债券，募集资金用于偿还借款及 补充流动资金。本次债券由深圳市中小企业信用融资担保集团有限公司（以下简称</w:t>
      </w:r>
      <w:r>
        <w:rPr>
          <w:rFonts w:ascii="Times New Roman" w:hAnsi="Times New Roman" w:cs="Times New Roman" w:eastAsia="Times New Roman" w:hint="default"/>
        </w:rPr>
        <w:t>“</w:t>
      </w:r>
      <w:r>
        <w:rPr/>
        <w:t>担保机构</w:t>
      </w:r>
      <w:r>
        <w:rPr>
          <w:rFonts w:ascii="Times New Roman" w:hAnsi="Times New Roman" w:cs="Times New Roman" w:eastAsia="Times New Roman" w:hint="default"/>
        </w:rPr>
        <w:t>”</w:t>
      </w:r>
      <w:r>
        <w:rPr/>
        <w:t>）出具《关 于为深圳市新国都技术股份有限公司</w:t>
      </w:r>
      <w:r>
        <w:rPr>
          <w:rFonts w:ascii="Times New Roman" w:hAnsi="Times New Roman" w:cs="Times New Roman" w:eastAsia="Times New Roman" w:hint="default"/>
        </w:rPr>
        <w:t>2015</w:t>
      </w:r>
      <w:r>
        <w:rPr/>
        <w:t>年公开发行公司债券</w:t>
      </w:r>
      <w:r>
        <w:rPr>
          <w:rFonts w:ascii="Times New Roman" w:hAnsi="Times New Roman" w:cs="Times New Roman" w:eastAsia="Times New Roman" w:hint="default"/>
        </w:rPr>
        <w:t>(</w:t>
      </w:r>
      <w:r>
        <w:rPr/>
        <w:t>面向合格投资者</w:t>
      </w:r>
      <w:r>
        <w:rPr>
          <w:rFonts w:ascii="Times New Roman" w:hAnsi="Times New Roman" w:cs="Times New Roman" w:eastAsia="Times New Roman" w:hint="default"/>
        </w:rPr>
        <w:t>)</w:t>
      </w:r>
      <w:r>
        <w:rPr/>
        <w:t>提供保证的担保函》，对 </w:t>
      </w:r>
      <w:r>
        <w:rPr>
          <w:spacing w:val="-1"/>
        </w:rPr>
        <w:t>债券存续年度内应支付的债券本金及利息、违约金、损害赔偿金和实现债权的费用提供无条件不可撤销的</w:t>
      </w:r>
      <w:r>
        <w:rPr>
          <w:spacing w:val="-81"/>
        </w:rPr>
        <w:t> </w:t>
      </w:r>
      <w:r>
        <w:rPr>
          <w:spacing w:val="-81"/>
        </w:rPr>
      </w:r>
      <w:r>
        <w:rPr/>
        <w:t>连带责任保证担保。同时本公司及本公司控股子公司苏州新国都电子技术有限公司（以下简称</w:t>
      </w:r>
      <w:r>
        <w:rPr>
          <w:rFonts w:ascii="Times New Roman" w:hAnsi="Times New Roman" w:cs="Times New Roman" w:eastAsia="Times New Roman" w:hint="default"/>
        </w:rPr>
        <w:t>“</w:t>
      </w:r>
      <w:r>
        <w:rPr/>
        <w:t>苏州新国 都</w:t>
      </w:r>
      <w:r>
        <w:rPr>
          <w:rFonts w:ascii="Times New Roman" w:hAnsi="Times New Roman" w:cs="Times New Roman" w:eastAsia="Times New Roman" w:hint="default"/>
        </w:rPr>
        <w:t>”</w:t>
      </w:r>
      <w:r>
        <w:rPr/>
        <w:t>）向担保机构出具《承诺函》，以苏州新国都拥有合法处分权的土地以及其上建筑物为公司向担保机 构提供抵押反担保。</w:t>
      </w:r>
    </w:p>
    <w:p>
      <w:pPr>
        <w:spacing w:after="0" w:line="259" w:lineRule="auto"/>
        <w:jc w:val="left"/>
        <w:sectPr>
          <w:pgSz w:w="11910" w:h="16840"/>
          <w:pgMar w:header="747" w:footer="979" w:top="1060" w:bottom="1160" w:left="0" w:right="0"/>
        </w:sectPr>
      </w:pPr>
    </w:p>
    <w:p>
      <w:pPr>
        <w:spacing w:line="240" w:lineRule="auto" w:before="10"/>
        <w:rPr>
          <w:rFonts w:ascii="宋体" w:hAnsi="宋体" w:cs="宋体" w:eastAsia="宋体" w:hint="default"/>
          <w:sz w:val="24"/>
          <w:szCs w:val="24"/>
        </w:rPr>
      </w:pPr>
      <w:r>
        <w:rPr/>
        <w:pict>
          <v:shape style="position:absolute;margin-left:236.240005pt;margin-top:584.619995pt;width:179.15pt;height:178.4pt;mso-position-horizontal-relative:page;mso-position-vertical-relative:page;z-index:-11587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0"/>
                    <w:ind w:left="0" w:right="0" w:firstLine="720"/>
                    <w:jc w:val="left"/>
                  </w:pPr>
                  <w:r>
                    <w:rPr/>
                    <w:t>同时，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7"/>
                      <w:szCs w:val="17"/>
                    </w:rPr>
                  </w:pPr>
                </w:p>
                <w:p>
                  <w:pPr>
                    <w:pStyle w:val="BodyText"/>
                    <w:spacing w:line="240" w:lineRule="auto" w:before="0"/>
                    <w:ind w:left="0" w:right="0"/>
                    <w:jc w:val="left"/>
                  </w:pPr>
                  <w:r>
                    <w:rPr/>
                    <w:t>在完成转增后，</w:t>
                  </w:r>
                </w:p>
              </w:txbxContent>
            </v:textbox>
            <w10:wrap type="none"/>
          </v:shape>
        </w:pict>
      </w:r>
    </w:p>
    <w:p>
      <w:pPr>
        <w:pStyle w:val="Heading5"/>
        <w:spacing w:line="240" w:lineRule="auto" w:before="35"/>
        <w:ind w:right="994"/>
        <w:jc w:val="left"/>
        <w:rPr>
          <w:b w:val="0"/>
          <w:bCs w:val="0"/>
        </w:rPr>
      </w:pPr>
      <w:bookmarkStart w:name="2、或有事项" w:id="492"/>
      <w:bookmarkEnd w:id="49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spacing w:line="506" w:lineRule="auto" w:before="0"/>
        <w:ind w:left="1553" w:right="4873" w:hanging="420"/>
        <w:jc w:val="left"/>
        <w:rPr>
          <w:rFonts w:ascii="宋体" w:hAnsi="宋体" w:cs="宋体" w:eastAsia="宋体" w:hint="default"/>
          <w:sz w:val="21"/>
          <w:szCs w:val="21"/>
        </w:rPr>
      </w:pPr>
      <w:bookmarkStart w:name="（1）资产负债表日存在的重要或有事项" w:id="493"/>
      <w:bookmarkEnd w:id="4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截止</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日，本公司无需要披露的重要或有事项。</w:t>
      </w:r>
    </w:p>
    <w:p>
      <w:pPr>
        <w:spacing w:line="240" w:lineRule="auto" w:before="10"/>
        <w:rPr>
          <w:rFonts w:ascii="宋体" w:hAnsi="宋体" w:cs="宋体" w:eastAsia="宋体" w:hint="default"/>
          <w:sz w:val="28"/>
          <w:szCs w:val="28"/>
        </w:rPr>
      </w:pPr>
    </w:p>
    <w:p>
      <w:pPr>
        <w:pStyle w:val="Heading5"/>
        <w:spacing w:line="240" w:lineRule="auto"/>
        <w:ind w:right="994"/>
        <w:jc w:val="left"/>
        <w:rPr>
          <w:b w:val="0"/>
          <w:bCs w:val="0"/>
        </w:rPr>
      </w:pPr>
      <w:bookmarkStart w:name="（2）公司没有需要披露的重要或有事项，也应予以说明" w:id="494"/>
      <w:bookmarkEnd w:id="49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94"/>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133" w:right="7873" w:firstLine="0"/>
        <w:jc w:val="left"/>
        <w:rPr>
          <w:rFonts w:ascii="宋体" w:hAnsi="宋体" w:cs="宋体" w:eastAsia="宋体" w:hint="default"/>
          <w:sz w:val="21"/>
          <w:szCs w:val="21"/>
        </w:rPr>
      </w:pPr>
      <w:bookmarkStart w:name="3、其他" w:id="495"/>
      <w:bookmarkEnd w:id="49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96"/>
      <w:bookmarkEnd w:id="49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97"/>
      <w:bookmarkEnd w:id="49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09"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367" w:hRule="exact"/>
        </w:trPr>
        <w:tc>
          <w:tcPr>
            <w:tcW w:w="2494" w:type="dxa"/>
            <w:tcBorders>
              <w:top w:val="single" w:sz="4" w:space="0" w:color="000000"/>
              <w:left w:val="single" w:sz="4" w:space="0" w:color="000000"/>
              <w:bottom w:val="nil" w:sz="6" w:space="0" w:color="auto"/>
              <w:right w:val="single" w:sz="4" w:space="0" w:color="000000"/>
            </w:tcBorders>
            <w:shd w:val="clear" w:color="auto" w:fill="CCE8CF"/>
          </w:tcPr>
          <w:p>
            <w:pPr/>
          </w:p>
        </w:tc>
        <w:tc>
          <w:tcPr>
            <w:tcW w:w="2295"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日公司召开第</w:t>
            </w:r>
          </w:p>
        </w:tc>
        <w:tc>
          <w:tcPr>
            <w:tcW w:w="23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3"/>
                <w:szCs w:val="23"/>
              </w:rPr>
            </w:pPr>
          </w:p>
          <w:p>
            <w:pPr>
              <w:pStyle w:val="TableParagraph"/>
              <w:spacing w:line="3568" w:lineRule="exact"/>
              <w:ind w:right="-49"/>
              <w:jc w:val="left"/>
              <w:rPr>
                <w:rFonts w:ascii="宋体" w:hAnsi="宋体" w:cs="宋体" w:eastAsia="宋体" w:hint="default"/>
                <w:sz w:val="20"/>
                <w:szCs w:val="20"/>
              </w:rPr>
            </w:pPr>
            <w:r>
              <w:rPr>
                <w:rFonts w:ascii="宋体" w:hAnsi="宋体" w:cs="宋体" w:eastAsia="宋体" w:hint="default"/>
                <w:position w:val="-70"/>
                <w:sz w:val="20"/>
                <w:szCs w:val="20"/>
              </w:rPr>
              <w:pict>
                <v:group style="width:119pt;height:178.4pt;mso-position-horizontal-relative:char;mso-position-vertical-relative:line" coordorigin="0,0" coordsize="2380,3568">
                  <v:group style="position:absolute;left:0;top:0;width:2380;height:3568" coordorigin="0,0" coordsize="2380,3568">
                    <v:shape style="position:absolute;left:0;top:0;width:2380;height:3568" coordorigin="0,0" coordsize="2380,3568" path="m0,3568l2380,3568,2380,0,0,0,0,3568xe" filled="true" fillcolor="#ffffff" stroked="false">
                      <v:path arrowok="t"/>
                      <v:fill type="solid"/>
                    </v:shape>
                  </v:group>
                </v:group>
              </w:pict>
            </w:r>
            <w:r>
              <w:rPr>
                <w:rFonts w:ascii="宋体" w:hAnsi="宋体" w:cs="宋体" w:eastAsia="宋体" w:hint="default"/>
                <w:position w:val="-70"/>
                <w:sz w:val="20"/>
                <w:szCs w:val="20"/>
              </w:rPr>
            </w:r>
          </w:p>
        </w:tc>
        <w:tc>
          <w:tcPr>
            <w:tcW w:w="2389" w:type="dxa"/>
            <w:vMerge w:val="restart"/>
            <w:tcBorders>
              <w:top w:val="single" w:sz="4" w:space="0" w:color="000000"/>
              <w:left w:val="single" w:sz="4" w:space="0" w:color="000000"/>
              <w:right w:val="single" w:sz="4" w:space="0" w:color="000000"/>
            </w:tcBorders>
            <w:shd w:val="clear" w:color="auto" w:fill="CCE8CF"/>
          </w:tcPr>
          <w:p>
            <w:pPr/>
          </w:p>
        </w:tc>
      </w:tr>
      <w:tr>
        <w:trPr>
          <w:trHeight w:val="307" w:hRule="exact"/>
        </w:trPr>
        <w:tc>
          <w:tcPr>
            <w:tcW w:w="2494" w:type="dxa"/>
            <w:tcBorders>
              <w:top w:val="nil" w:sz="6" w:space="0" w:color="auto"/>
              <w:left w:val="single" w:sz="4" w:space="0" w:color="000000"/>
              <w:bottom w:val="nil" w:sz="6" w:space="0" w:color="auto"/>
              <w:right w:val="single" w:sz="4" w:space="0" w:color="000000"/>
            </w:tcBorders>
            <w:shd w:val="clear" w:color="auto" w:fill="CCE8CF"/>
          </w:tcPr>
          <w:p>
            <w:pPr/>
          </w:p>
        </w:tc>
        <w:tc>
          <w:tcPr>
            <w:tcW w:w="22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三届董事会第四十一次会</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shd w:val="clear" w:color="auto" w:fill="CCE8CF"/>
          </w:tcPr>
          <w:p>
            <w:pPr/>
          </w:p>
        </w:tc>
      </w:tr>
      <w:tr>
        <w:trPr>
          <w:trHeight w:val="317" w:hRule="exact"/>
        </w:trPr>
        <w:tc>
          <w:tcPr>
            <w:tcW w:w="2494" w:type="dxa"/>
            <w:tcBorders>
              <w:top w:val="nil" w:sz="6" w:space="0" w:color="auto"/>
              <w:left w:val="single" w:sz="4" w:space="0" w:color="000000"/>
              <w:bottom w:val="nil" w:sz="6" w:space="0" w:color="auto"/>
              <w:right w:val="single" w:sz="4" w:space="0" w:color="000000"/>
            </w:tcBorders>
            <w:shd w:val="clear" w:color="auto" w:fill="CCE8CF"/>
          </w:tcPr>
          <w:p>
            <w:pPr/>
          </w:p>
        </w:tc>
        <w:tc>
          <w:tcPr>
            <w:tcW w:w="22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议，审议通过了《关于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shd w:val="clear" w:color="auto" w:fill="CCE8CF"/>
          </w:tcPr>
          <w:p>
            <w:pPr/>
          </w:p>
        </w:tc>
      </w:tr>
      <w:tr>
        <w:trPr>
          <w:trHeight w:val="307" w:hRule="exact"/>
        </w:trPr>
        <w:tc>
          <w:tcPr>
            <w:tcW w:w="2494" w:type="dxa"/>
            <w:tcBorders>
              <w:top w:val="nil" w:sz="6" w:space="0" w:color="auto"/>
              <w:left w:val="single" w:sz="4" w:space="0" w:color="000000"/>
              <w:bottom w:val="nil" w:sz="6" w:space="0" w:color="auto"/>
              <w:right w:val="single" w:sz="4" w:space="0" w:color="000000"/>
            </w:tcBorders>
            <w:shd w:val="clear" w:color="auto" w:fill="CCE8CF"/>
          </w:tcPr>
          <w:p>
            <w:pPr/>
          </w:p>
        </w:tc>
        <w:tc>
          <w:tcPr>
            <w:tcW w:w="22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年度利润分配的议案</w:t>
            </w:r>
            <w:r>
              <w:rPr>
                <w:rFonts w:ascii="宋体" w:hAnsi="宋体" w:cs="宋体" w:eastAsia="宋体" w:hint="default"/>
                <w:spacing w:val="-90"/>
                <w:sz w:val="18"/>
                <w:szCs w:val="18"/>
              </w:rPr>
              <w:t>》</w:t>
            </w:r>
            <w:r>
              <w:rPr>
                <w:rFonts w:ascii="宋体" w:hAnsi="宋体" w:cs="宋体" w:eastAsia="宋体" w:hint="default"/>
                <w:sz w:val="18"/>
                <w:szCs w:val="18"/>
              </w:rPr>
              <w:t>：以</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shd w:val="clear" w:color="auto" w:fill="CCE8CF"/>
          </w:tcPr>
          <w:p>
            <w:pPr/>
          </w:p>
        </w:tc>
      </w:tr>
      <w:tr>
        <w:trPr>
          <w:trHeight w:val="317" w:hRule="exact"/>
        </w:trPr>
        <w:tc>
          <w:tcPr>
            <w:tcW w:w="2494" w:type="dxa"/>
            <w:tcBorders>
              <w:top w:val="nil" w:sz="6" w:space="0" w:color="auto"/>
              <w:left w:val="single" w:sz="4" w:space="0" w:color="000000"/>
              <w:bottom w:val="nil" w:sz="6" w:space="0" w:color="auto"/>
              <w:right w:val="single" w:sz="4" w:space="0" w:color="000000"/>
            </w:tcBorders>
            <w:shd w:val="clear" w:color="auto" w:fill="CCE8CF"/>
          </w:tcPr>
          <w:p>
            <w:pPr/>
          </w:p>
        </w:tc>
        <w:tc>
          <w:tcPr>
            <w:tcW w:w="22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日经中国证</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shd w:val="clear" w:color="auto" w:fill="CCE8CF"/>
          </w:tcPr>
          <w:p>
            <w:pPr/>
          </w:p>
        </w:tc>
      </w:tr>
      <w:tr>
        <w:trPr>
          <w:trHeight w:val="307" w:hRule="exact"/>
        </w:trPr>
        <w:tc>
          <w:tcPr>
            <w:tcW w:w="2494" w:type="dxa"/>
            <w:tcBorders>
              <w:top w:val="nil" w:sz="6" w:space="0" w:color="auto"/>
              <w:left w:val="single" w:sz="4" w:space="0" w:color="000000"/>
              <w:bottom w:val="nil" w:sz="6" w:space="0" w:color="auto"/>
              <w:right w:val="single" w:sz="4" w:space="0" w:color="000000"/>
            </w:tcBorders>
            <w:shd w:val="clear" w:color="auto" w:fill="CCE8CF"/>
          </w:tcPr>
          <w:p>
            <w:pPr/>
          </w:p>
        </w:tc>
        <w:tc>
          <w:tcPr>
            <w:tcW w:w="22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券登记结算有限责任公司登</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shd w:val="clear" w:color="auto" w:fill="CCE8CF"/>
          </w:tcPr>
          <w:p>
            <w:pPr/>
          </w:p>
        </w:tc>
      </w:tr>
      <w:tr>
        <w:trPr>
          <w:trHeight w:val="317" w:hRule="exact"/>
        </w:trPr>
        <w:tc>
          <w:tcPr>
            <w:tcW w:w="2494" w:type="dxa"/>
            <w:tcBorders>
              <w:top w:val="nil" w:sz="6" w:space="0" w:color="auto"/>
              <w:left w:val="single" w:sz="4" w:space="0" w:color="000000"/>
              <w:bottom w:val="nil" w:sz="6" w:space="0" w:color="auto"/>
              <w:right w:val="single" w:sz="4" w:space="0" w:color="000000"/>
            </w:tcBorders>
            <w:shd w:val="clear" w:color="auto" w:fill="CCE8CF"/>
          </w:tcPr>
          <w:p>
            <w:pPr/>
          </w:p>
        </w:tc>
        <w:tc>
          <w:tcPr>
            <w:tcW w:w="22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记的总股本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265,486,700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股为</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shd w:val="clear" w:color="auto" w:fill="CCE8CF"/>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shd w:val="clear" w:color="auto" w:fill="CCE8CF"/>
          </w:tcPr>
          <w:p>
            <w:pPr/>
          </w:p>
        </w:tc>
        <w:tc>
          <w:tcPr>
            <w:tcW w:w="22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基数，向全体股东每</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股派</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shd w:val="clear" w:color="auto" w:fill="CCE8CF"/>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shd w:val="clear" w:color="auto" w:fill="CCE8CF"/>
          </w:tcPr>
          <w:p>
            <w:pPr/>
          </w:p>
        </w:tc>
        <w:tc>
          <w:tcPr>
            <w:tcW w:w="22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发现金股利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元人民币（含</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shd w:val="clear" w:color="auto" w:fill="CCE8CF"/>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shd w:val="clear" w:color="auto" w:fill="CCE8CF"/>
          </w:tcPr>
          <w:p>
            <w:pPr/>
          </w:p>
        </w:tc>
        <w:tc>
          <w:tcPr>
            <w:tcW w:w="22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z w:val="18"/>
                <w:szCs w:val="18"/>
              </w:rPr>
              <w:t>，共分配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39,823,005 </w:t>
            </w:r>
            <w:r>
              <w:rPr>
                <w:rFonts w:ascii="宋体" w:hAnsi="宋体" w:cs="宋体" w:eastAsia="宋体" w:hint="default"/>
                <w:sz w:val="18"/>
                <w:szCs w:val="18"/>
              </w:rPr>
              <w:t>元。</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shd w:val="clear" w:color="auto" w:fill="CCE8CF"/>
          </w:tcPr>
          <w:p>
            <w:pPr/>
          </w:p>
        </w:tc>
      </w:tr>
      <w:tr>
        <w:trPr>
          <w:trHeight w:val="307" w:hRule="exact"/>
        </w:trPr>
        <w:tc>
          <w:tcPr>
            <w:tcW w:w="2494" w:type="dxa"/>
            <w:tcBorders>
              <w:top w:val="nil" w:sz="6" w:space="0" w:color="auto"/>
              <w:left w:val="single" w:sz="4" w:space="0" w:color="000000"/>
              <w:bottom w:val="nil" w:sz="6" w:space="0" w:color="auto"/>
              <w:right w:val="single" w:sz="4" w:space="0" w:color="000000"/>
            </w:tcBorders>
            <w:shd w:val="clear" w:color="auto" w:fill="CCE8CF"/>
          </w:tcPr>
          <w:p>
            <w:pPr/>
          </w:p>
        </w:tc>
        <w:tc>
          <w:tcPr>
            <w:tcW w:w="22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分配方案公布后至实施前，</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shd w:val="clear" w:color="auto" w:fill="CCE8CF"/>
          </w:tcPr>
          <w:p>
            <w:pPr/>
          </w:p>
        </w:tc>
      </w:tr>
      <w:tr>
        <w:trPr>
          <w:trHeight w:val="624" w:hRule="exact"/>
        </w:trPr>
        <w:tc>
          <w:tcPr>
            <w:tcW w:w="2494"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利润分配</w:t>
            </w:r>
          </w:p>
        </w:tc>
        <w:tc>
          <w:tcPr>
            <w:tcW w:w="22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2" w:right="100"/>
              <w:jc w:val="left"/>
              <w:rPr>
                <w:rFonts w:ascii="宋体" w:hAnsi="宋体" w:cs="宋体" w:eastAsia="宋体" w:hint="default"/>
                <w:sz w:val="18"/>
                <w:szCs w:val="18"/>
              </w:rPr>
            </w:pPr>
            <w:r>
              <w:rPr>
                <w:rFonts w:ascii="宋体" w:hAnsi="宋体" w:cs="宋体" w:eastAsia="宋体" w:hint="default"/>
                <w:sz w:val="18"/>
                <w:szCs w:val="18"/>
              </w:rPr>
              <w:t>公司总股本由于可转债转 股、股份回购、股权激励行</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shd w:val="clear" w:color="auto" w:fill="CCE8CF"/>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shd w:val="clear" w:color="auto" w:fill="CCE8CF"/>
          </w:tcPr>
          <w:p>
            <w:pPr/>
          </w:p>
        </w:tc>
        <w:tc>
          <w:tcPr>
            <w:tcW w:w="22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权、再融资新增股份上市等</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shd w:val="clear" w:color="auto" w:fill="CCE8CF"/>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shd w:val="clear" w:color="auto" w:fill="CCE8CF"/>
          </w:tcPr>
          <w:p>
            <w:pPr/>
          </w:p>
        </w:tc>
        <w:tc>
          <w:tcPr>
            <w:tcW w:w="22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原因而发生变化的，分配比</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shd w:val="clear" w:color="auto" w:fill="CCE8CF"/>
          </w:tcPr>
          <w:p>
            <w:pPr/>
          </w:p>
        </w:tc>
      </w:tr>
      <w:tr>
        <w:trPr>
          <w:trHeight w:val="317" w:hRule="exact"/>
        </w:trPr>
        <w:tc>
          <w:tcPr>
            <w:tcW w:w="2494" w:type="dxa"/>
            <w:tcBorders>
              <w:top w:val="nil" w:sz="6" w:space="0" w:color="auto"/>
              <w:left w:val="single" w:sz="4" w:space="0" w:color="000000"/>
              <w:bottom w:val="nil" w:sz="6" w:space="0" w:color="auto"/>
              <w:right w:val="single" w:sz="4" w:space="0" w:color="000000"/>
            </w:tcBorders>
            <w:shd w:val="clear" w:color="auto" w:fill="CCE8CF"/>
          </w:tcPr>
          <w:p>
            <w:pPr/>
          </w:p>
        </w:tc>
        <w:tc>
          <w:tcPr>
            <w:tcW w:w="22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例应当按照</w:t>
            </w:r>
            <w:r>
              <w:rPr>
                <w:rFonts w:ascii="Times New Roman" w:hAnsi="Times New Roman" w:cs="Times New Roman" w:eastAsia="Times New Roman" w:hint="default"/>
                <w:sz w:val="18"/>
                <w:szCs w:val="18"/>
              </w:rPr>
              <w:t>“</w:t>
            </w:r>
            <w:r>
              <w:rPr>
                <w:rFonts w:ascii="宋体" w:hAnsi="宋体" w:cs="宋体" w:eastAsia="宋体" w:hint="default"/>
                <w:sz w:val="18"/>
                <w:szCs w:val="18"/>
              </w:rPr>
              <w:t>分派总额不变</w:t>
            </w:r>
            <w:r>
              <w:rPr>
                <w:rFonts w:ascii="Times New Roman" w:hAnsi="Times New Roman" w:cs="Times New Roman" w:eastAsia="Times New Roman" w:hint="default"/>
                <w:sz w:val="18"/>
                <w:szCs w:val="18"/>
              </w:rPr>
              <w:t>”</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shd w:val="clear" w:color="auto" w:fill="CCE8CF"/>
          </w:tcPr>
          <w:p>
            <w:pPr/>
          </w:p>
        </w:tc>
      </w:tr>
      <w:tr>
        <w:trPr>
          <w:trHeight w:val="307" w:hRule="exact"/>
        </w:trPr>
        <w:tc>
          <w:tcPr>
            <w:tcW w:w="2494" w:type="dxa"/>
            <w:tcBorders>
              <w:top w:val="nil" w:sz="6" w:space="0" w:color="auto"/>
              <w:left w:val="single" w:sz="4" w:space="0" w:color="000000"/>
              <w:bottom w:val="nil" w:sz="6" w:space="0" w:color="auto"/>
              <w:right w:val="single" w:sz="4" w:space="0" w:color="000000"/>
            </w:tcBorders>
            <w:shd w:val="clear" w:color="auto" w:fill="CCE8CF"/>
          </w:tcPr>
          <w:p>
            <w:pPr/>
          </w:p>
        </w:tc>
        <w:tc>
          <w:tcPr>
            <w:tcW w:w="22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的原则进行相应调整。</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shd w:val="clear" w:color="auto" w:fill="CCE8CF"/>
          </w:tcPr>
          <w:p>
            <w:pPr/>
          </w:p>
        </w:tc>
      </w:tr>
      <w:tr>
        <w:trPr>
          <w:trHeight w:val="317" w:hRule="exact"/>
        </w:trPr>
        <w:tc>
          <w:tcPr>
            <w:tcW w:w="2494" w:type="dxa"/>
            <w:tcBorders>
              <w:top w:val="nil" w:sz="6" w:space="0" w:color="auto"/>
              <w:left w:val="single" w:sz="4" w:space="0" w:color="000000"/>
              <w:bottom w:val="nil" w:sz="6" w:space="0" w:color="auto"/>
              <w:right w:val="single" w:sz="4" w:space="0" w:color="000000"/>
            </w:tcBorders>
            <w:shd w:val="clear" w:color="auto" w:fill="CCE8CF"/>
          </w:tcPr>
          <w:p>
            <w:pPr/>
          </w:p>
        </w:tc>
        <w:tc>
          <w:tcPr>
            <w:tcW w:w="22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拟以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shd w:val="clear" w:color="auto" w:fill="CCE8CF"/>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shd w:val="clear" w:color="auto" w:fill="CCE8CF"/>
          </w:tcPr>
          <w:p>
            <w:pPr/>
          </w:p>
        </w:tc>
        <w:tc>
          <w:tcPr>
            <w:tcW w:w="22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265,486,700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为基数，</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shd w:val="clear" w:color="auto" w:fill="CCE8CF"/>
          </w:tcPr>
          <w:p>
            <w:pPr/>
          </w:p>
        </w:tc>
      </w:tr>
      <w:tr>
        <w:trPr>
          <w:trHeight w:val="307" w:hRule="exact"/>
        </w:trPr>
        <w:tc>
          <w:tcPr>
            <w:tcW w:w="2494" w:type="dxa"/>
            <w:tcBorders>
              <w:top w:val="nil" w:sz="6" w:space="0" w:color="auto"/>
              <w:left w:val="single" w:sz="4" w:space="0" w:color="000000"/>
              <w:bottom w:val="nil" w:sz="6" w:space="0" w:color="auto"/>
              <w:right w:val="single" w:sz="4" w:space="0" w:color="000000"/>
            </w:tcBorders>
            <w:shd w:val="clear" w:color="auto" w:fill="CCE8CF"/>
          </w:tcPr>
          <w:p>
            <w:pPr/>
          </w:p>
        </w:tc>
        <w:tc>
          <w:tcPr>
            <w:tcW w:w="22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由资本公积金向全体股东每</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shd w:val="clear" w:color="auto" w:fill="CCE8CF"/>
          </w:tcPr>
          <w:p>
            <w:pPr/>
          </w:p>
        </w:tc>
      </w:tr>
      <w:tr>
        <w:trPr>
          <w:trHeight w:val="317" w:hRule="exact"/>
        </w:trPr>
        <w:tc>
          <w:tcPr>
            <w:tcW w:w="2494" w:type="dxa"/>
            <w:tcBorders>
              <w:top w:val="nil" w:sz="6" w:space="0" w:color="auto"/>
              <w:left w:val="single" w:sz="4" w:space="0" w:color="000000"/>
              <w:bottom w:val="nil" w:sz="6" w:space="0" w:color="auto"/>
              <w:right w:val="single" w:sz="4" w:space="0" w:color="000000"/>
            </w:tcBorders>
            <w:shd w:val="clear" w:color="auto" w:fill="CCE8CF"/>
          </w:tcPr>
          <w:p>
            <w:pPr/>
          </w:p>
        </w:tc>
        <w:tc>
          <w:tcPr>
            <w:tcW w:w="22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股，合计转增股</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shd w:val="clear" w:color="auto" w:fill="CCE8CF"/>
          </w:tcPr>
          <w:p>
            <w:pPr/>
          </w:p>
        </w:tc>
      </w:tr>
      <w:tr>
        <w:trPr>
          <w:trHeight w:val="312" w:hRule="exact"/>
        </w:trPr>
        <w:tc>
          <w:tcPr>
            <w:tcW w:w="2494" w:type="dxa"/>
            <w:tcBorders>
              <w:top w:val="nil" w:sz="6" w:space="0" w:color="auto"/>
              <w:left w:val="single" w:sz="4" w:space="0" w:color="000000"/>
              <w:bottom w:val="nil" w:sz="6" w:space="0" w:color="auto"/>
              <w:right w:val="single" w:sz="4" w:space="0" w:color="000000"/>
            </w:tcBorders>
            <w:shd w:val="clear" w:color="auto" w:fill="CCE8CF"/>
          </w:tcPr>
          <w:p>
            <w:pPr/>
          </w:p>
        </w:tc>
        <w:tc>
          <w:tcPr>
            <w:tcW w:w="22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212,389,360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股。公司将根</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shd w:val="clear" w:color="auto" w:fill="CCE8CF"/>
          </w:tcPr>
          <w:p>
            <w:pPr/>
          </w:p>
        </w:tc>
      </w:tr>
      <w:tr>
        <w:trPr>
          <w:trHeight w:val="307" w:hRule="exact"/>
        </w:trPr>
        <w:tc>
          <w:tcPr>
            <w:tcW w:w="2494" w:type="dxa"/>
            <w:tcBorders>
              <w:top w:val="nil" w:sz="6" w:space="0" w:color="auto"/>
              <w:left w:val="single" w:sz="4" w:space="0" w:color="000000"/>
              <w:bottom w:val="nil" w:sz="6" w:space="0" w:color="auto"/>
              <w:right w:val="single" w:sz="4" w:space="0" w:color="000000"/>
            </w:tcBorders>
            <w:shd w:val="clear" w:color="auto" w:fill="CCE8CF"/>
          </w:tcPr>
          <w:p>
            <w:pPr/>
          </w:p>
        </w:tc>
        <w:tc>
          <w:tcPr>
            <w:tcW w:w="2295"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据相关决议，</w:t>
            </w:r>
          </w:p>
        </w:tc>
        <w:tc>
          <w:tcPr>
            <w:tcW w:w="2391" w:type="dxa"/>
            <w:vMerge/>
            <w:tcBorders>
              <w:left w:val="single" w:sz="4" w:space="0" w:color="000000"/>
              <w:right w:val="single" w:sz="4" w:space="0" w:color="000000"/>
            </w:tcBorders>
          </w:tcPr>
          <w:p>
            <w:pPr/>
          </w:p>
        </w:tc>
        <w:tc>
          <w:tcPr>
            <w:tcW w:w="2389" w:type="dxa"/>
            <w:vMerge/>
            <w:tcBorders>
              <w:left w:val="single" w:sz="4" w:space="0" w:color="000000"/>
              <w:right w:val="single" w:sz="4" w:space="0" w:color="000000"/>
            </w:tcBorders>
            <w:shd w:val="clear" w:color="auto" w:fill="CCE8CF"/>
          </w:tcPr>
          <w:p>
            <w:pPr/>
          </w:p>
        </w:tc>
      </w:tr>
      <w:tr>
        <w:trPr>
          <w:trHeight w:val="318" w:hRule="exact"/>
        </w:trPr>
        <w:tc>
          <w:tcPr>
            <w:tcW w:w="2494" w:type="dxa"/>
            <w:tcBorders>
              <w:top w:val="nil" w:sz="6" w:space="0" w:color="auto"/>
              <w:left w:val="single" w:sz="4" w:space="0" w:color="000000"/>
              <w:bottom w:val="single" w:sz="4" w:space="0" w:color="000000"/>
              <w:right w:val="single" w:sz="4" w:space="0" w:color="000000"/>
            </w:tcBorders>
            <w:shd w:val="clear" w:color="auto" w:fill="CCE8CF"/>
          </w:tcPr>
          <w:p>
            <w:pPr/>
          </w:p>
        </w:tc>
        <w:tc>
          <w:tcPr>
            <w:tcW w:w="2295"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依法向工商行政管理部门申</w:t>
            </w:r>
          </w:p>
        </w:tc>
        <w:tc>
          <w:tcPr>
            <w:tcW w:w="2391" w:type="dxa"/>
            <w:vMerge/>
            <w:tcBorders>
              <w:left w:val="single" w:sz="4" w:space="0" w:color="000000"/>
              <w:bottom w:val="single" w:sz="4" w:space="0" w:color="000000"/>
              <w:right w:val="single" w:sz="4" w:space="0" w:color="000000"/>
            </w:tcBorders>
          </w:tcPr>
          <w:p>
            <w:pPr/>
          </w:p>
        </w:tc>
        <w:tc>
          <w:tcPr>
            <w:tcW w:w="2389" w:type="dxa"/>
            <w:vMerge/>
            <w:tcBorders>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362" w:hRule="exact"/>
        </w:trPr>
        <w:tc>
          <w:tcPr>
            <w:tcW w:w="249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请办理工商变更登记。</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利润分配情况" w:id="498"/>
      <w:bookmarkEnd w:id="49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39,823,005.00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39,823,005.00</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3、销售退回" w:id="499"/>
      <w:bookmarkEnd w:id="499"/>
      <w:r>
        <w:rPr>
          <w:b w:val="0"/>
          <w:bCs w:val="0"/>
        </w:rPr>
      </w:r>
      <w:r>
        <w:rPr>
          <w:rFonts w:ascii="Times New Roman" w:hAnsi="Times New Roman" w:cs="Times New Roman" w:eastAsia="Times New Roman" w:hint="default"/>
        </w:rPr>
        <w:t>3</w:t>
      </w:r>
      <w:r>
        <w:rPr/>
        <w:t>、销售退回</w:t>
      </w:r>
      <w:r>
        <w:rPr>
          <w:b w:val="0"/>
          <w:bCs w:val="0"/>
        </w:rPr>
      </w:r>
    </w:p>
    <w:p>
      <w:pPr>
        <w:spacing w:line="610" w:lineRule="atLeast" w:before="3"/>
        <w:ind w:left="1554" w:right="1302" w:hanging="420"/>
        <w:jc w:val="left"/>
        <w:rPr>
          <w:rFonts w:ascii="宋体" w:hAnsi="宋体" w:cs="宋体" w:eastAsia="宋体" w:hint="default"/>
          <w:sz w:val="21"/>
          <w:szCs w:val="21"/>
        </w:rPr>
      </w:pPr>
      <w:bookmarkStart w:name="4、其他资产负债表日后事项说明" w:id="500"/>
      <w:bookmarkEnd w:id="50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公司全资子公司深圳市新国都支付技术有限公司因业务需要于</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日出资设立子公司深圳市</w:t>
      </w:r>
    </w:p>
    <w:p>
      <w:pPr>
        <w:pStyle w:val="Heading6"/>
        <w:spacing w:line="264" w:lineRule="auto" w:before="21"/>
        <w:ind w:right="994" w:firstLine="0"/>
        <w:jc w:val="left"/>
      </w:pPr>
      <w:r>
        <w:rPr/>
        <w:t>新国都软件有限公司，注册资本人民币</w:t>
      </w:r>
      <w:r>
        <w:rPr>
          <w:rFonts w:ascii="Times New Roman" w:hAnsi="Times New Roman" w:cs="Times New Roman" w:eastAsia="Times New Roman" w:hint="default"/>
        </w:rPr>
        <w:t>5,000.00</w:t>
      </w:r>
      <w:r>
        <w:rPr/>
        <w:t>万元，经营范围：互软件的技术开发、销售、技术咨询； </w:t>
      </w:r>
      <w:r>
        <w:rPr>
          <w:spacing w:val="-1"/>
        </w:rPr>
        <w:t>计算机系统集成。（以上各项涉及法律、行政法规、国务院决定禁止的项目除外，限制的项目须取得许可</w:t>
      </w:r>
      <w:r>
        <w:rPr>
          <w:spacing w:val="-83"/>
        </w:rPr>
        <w:t> </w:t>
      </w:r>
      <w:r>
        <w:rPr>
          <w:spacing w:val="-83"/>
        </w:rPr>
      </w:r>
      <w:r>
        <w:rPr/>
        <w:t>后方可经营）</w:t>
      </w:r>
    </w:p>
    <w:p>
      <w:pPr>
        <w:pStyle w:val="Heading6"/>
        <w:spacing w:line="256" w:lineRule="auto" w:before="16"/>
        <w:ind w:right="1162"/>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日，本公司与深圳市德海威实业有限公司签订《关于深圳市易联技术有限公司的股权转 让协议》，本公司以人民币</w:t>
      </w:r>
      <w:r>
        <w:rPr>
          <w:rFonts w:ascii="Times New Roman" w:hAnsi="Times New Roman" w:cs="Times New Roman" w:eastAsia="Times New Roman" w:hint="default"/>
        </w:rPr>
        <w:t>14,300</w:t>
      </w:r>
      <w:r>
        <w:rPr/>
        <w:t>万元的交易对价向深圳市德海威实业有限公司转让全资子公司深圳市易 联技术有限公</w:t>
      </w:r>
      <w:r>
        <w:rPr>
          <w:rFonts w:ascii="Times New Roman" w:hAnsi="Times New Roman" w:cs="Times New Roman" w:eastAsia="Times New Roman" w:hint="default"/>
        </w:rPr>
        <w:t>100%</w:t>
      </w:r>
      <w:r>
        <w:rPr/>
        <w:t>的股权。截止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日，本公司已收到全部股权转让款人民币</w:t>
      </w:r>
      <w:r>
        <w:rPr>
          <w:rFonts w:ascii="Times New Roman" w:hAnsi="Times New Roman" w:cs="Times New Roman" w:eastAsia="Times New Roman" w:hint="default"/>
        </w:rPr>
        <w:t>14,300</w:t>
      </w:r>
      <w:r>
        <w:rPr/>
        <w:t>万元，并完 成本次股权转让的工商变更。</w:t>
      </w:r>
    </w:p>
    <w:p>
      <w:pPr>
        <w:pStyle w:val="Heading6"/>
        <w:spacing w:line="256" w:lineRule="auto" w:before="22"/>
        <w:ind w:left="1134" w:right="1015"/>
        <w:jc w:val="left"/>
      </w:pPr>
      <w:r>
        <w:rPr/>
        <w:t>本公司全资子公司深圳市新国都支付技术有限公司因业务需要于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日出资设立子公司新国 都迪拜股份责任有限公司（英文名称：</w:t>
      </w:r>
      <w:r>
        <w:rPr>
          <w:rFonts w:ascii="Times New Roman" w:hAnsi="Times New Roman" w:cs="Times New Roman" w:eastAsia="Times New Roman" w:hint="default"/>
        </w:rPr>
        <w:t>Nexgo Technology</w:t>
      </w:r>
      <w:r>
        <w:rPr>
          <w:rFonts w:ascii="Times New Roman" w:hAnsi="Times New Roman" w:cs="Times New Roman" w:eastAsia="Times New Roman" w:hint="default"/>
          <w:spacing w:val="-27"/>
        </w:rPr>
        <w:t> </w:t>
      </w:r>
      <w:r>
        <w:rPr>
          <w:rFonts w:ascii="Times New Roman" w:hAnsi="Times New Roman" w:cs="Times New Roman" w:eastAsia="Times New Roman" w:hint="default"/>
        </w:rPr>
        <w:t>DWC-LLC</w:t>
      </w:r>
      <w:r>
        <w:rPr/>
        <w:t>），注册资本</w:t>
      </w:r>
      <w:r>
        <w:rPr>
          <w:rFonts w:ascii="Times New Roman" w:hAnsi="Times New Roman" w:cs="Times New Roman" w:eastAsia="Times New Roman" w:hint="default"/>
        </w:rPr>
        <w:t>30</w:t>
      </w:r>
      <w:r>
        <w:rPr/>
        <w:t>万迪拉姆，经营范围： 一般贸易。</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pStyle w:val="Heading4"/>
        <w:spacing w:line="240" w:lineRule="auto"/>
        <w:ind w:left="1134" w:right="994"/>
        <w:jc w:val="left"/>
        <w:rPr>
          <w:b w:val="0"/>
          <w:bCs w:val="0"/>
        </w:rPr>
      </w:pPr>
      <w:bookmarkStart w:name="十六、其他重要事项" w:id="501"/>
      <w:bookmarkEnd w:id="501"/>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1、前期会计差错更正" w:id="502"/>
      <w:bookmarkEnd w:id="502"/>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1）追溯重述法" w:id="503"/>
      <w:bookmarkEnd w:id="50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未来适用法" w:id="504"/>
      <w:bookmarkEnd w:id="50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5"/>
        <w:spacing w:line="240" w:lineRule="auto" w:before="35"/>
        <w:ind w:right="994"/>
        <w:jc w:val="left"/>
        <w:rPr>
          <w:b w:val="0"/>
          <w:bCs w:val="0"/>
        </w:rPr>
      </w:pPr>
      <w:bookmarkStart w:name="2、债务重组" w:id="505"/>
      <w:bookmarkEnd w:id="50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3、资产置换" w:id="506"/>
      <w:bookmarkEnd w:id="50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94"/>
        <w:jc w:val="left"/>
        <w:rPr>
          <w:b w:val="0"/>
          <w:bCs w:val="0"/>
        </w:rPr>
      </w:pPr>
      <w:bookmarkStart w:name="（1）非货币性资产交换" w:id="507"/>
      <w:bookmarkEnd w:id="50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2）其他资产置换" w:id="508"/>
      <w:bookmarkEnd w:id="50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4、年金计划" w:id="509"/>
      <w:bookmarkEnd w:id="50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5、终止经营" w:id="510"/>
      <w:bookmarkEnd w:id="51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6、分部信息" w:id="511"/>
      <w:bookmarkEnd w:id="51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94"/>
        <w:jc w:val="left"/>
        <w:rPr>
          <w:b w:val="0"/>
          <w:bCs w:val="0"/>
        </w:rPr>
      </w:pPr>
      <w:bookmarkStart w:name="（1）报告分部的确定依据与会计政策" w:id="512"/>
      <w:bookmarkEnd w:id="51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4" w:right="994"/>
        <w:jc w:val="left"/>
        <w:rPr>
          <w:b w:val="0"/>
          <w:bCs w:val="0"/>
        </w:rPr>
      </w:pPr>
      <w:bookmarkStart w:name="（2）报告分部的财务信息" w:id="513"/>
      <w:bookmarkEnd w:id="51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left="1134" w:right="0"/>
        <w:jc w:val="both"/>
        <w:rPr>
          <w:b w:val="0"/>
          <w:bCs w:val="0"/>
        </w:rPr>
      </w:pPr>
      <w:bookmarkStart w:name="（3）公司无报告分部的，或者不能披露各报告分部的资产总额和负债总额的，应说明原因" w:id="514"/>
      <w:bookmarkEnd w:id="51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0"/>
        <w:jc w:val="both"/>
        <w:rPr>
          <w:b w:val="0"/>
          <w:bCs w:val="0"/>
        </w:rPr>
      </w:pPr>
      <w:bookmarkStart w:name="（4）其他说明" w:id="515"/>
      <w:bookmarkEnd w:id="51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9"/>
          <w:szCs w:val="29"/>
        </w:rPr>
      </w:pPr>
    </w:p>
    <w:p>
      <w:pPr>
        <w:pStyle w:val="Heading5"/>
        <w:spacing w:line="240" w:lineRule="auto"/>
        <w:ind w:left="1134" w:right="0"/>
        <w:jc w:val="both"/>
        <w:rPr>
          <w:b w:val="0"/>
          <w:bCs w:val="0"/>
        </w:rPr>
      </w:pPr>
      <w:bookmarkStart w:name="7、其他对投资者决策有影响的重要交易和事项" w:id="516"/>
      <w:bookmarkEnd w:id="51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pStyle w:val="Heading6"/>
        <w:spacing w:line="256" w:lineRule="auto" w:before="0"/>
        <w:ind w:right="1109" w:firstLine="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20</w:t>
      </w:r>
      <w:r>
        <w:rPr>
          <w:spacing w:val="-1"/>
        </w:rPr>
        <w:t>日，本公司与嘉联支付有限公司的股东山南市敏思达技术有限公司签署了《关于嘉联支付有</w:t>
      </w:r>
      <w:r>
        <w:rPr>
          <w:spacing w:val="-82"/>
        </w:rPr>
        <w:t> </w:t>
      </w:r>
      <w:r>
        <w:rPr>
          <w:spacing w:val="-82"/>
        </w:rPr>
      </w:r>
      <w:r>
        <w:rPr>
          <w:spacing w:val="-2"/>
        </w:rPr>
        <w:t>限公司之股权转让协议》，本公司以人民币</w:t>
      </w:r>
      <w:r>
        <w:rPr>
          <w:rFonts w:ascii="Times New Roman" w:hAnsi="Times New Roman" w:cs="Times New Roman" w:eastAsia="Times New Roman" w:hint="default"/>
          <w:spacing w:val="-2"/>
        </w:rPr>
        <w:t>71,000.00</w:t>
      </w:r>
      <w:r>
        <w:rPr>
          <w:spacing w:val="-2"/>
        </w:rPr>
        <w:t>万元收购嘉联支付有限公司</w:t>
      </w:r>
      <w:r>
        <w:rPr>
          <w:rFonts w:ascii="Times New Roman" w:hAnsi="Times New Roman" w:cs="Times New Roman" w:eastAsia="Times New Roman" w:hint="default"/>
          <w:spacing w:val="-2"/>
        </w:rPr>
        <w:t>100%</w:t>
      </w:r>
      <w:r>
        <w:rPr>
          <w:spacing w:val="-2"/>
        </w:rPr>
        <w:t>股权。本次交易经公</w:t>
      </w:r>
      <w:r>
        <w:rPr>
          <w:spacing w:val="-95"/>
        </w:rPr>
        <w:t> </w:t>
      </w:r>
      <w:r>
        <w:rPr>
          <w:spacing w:val="-95"/>
        </w:rPr>
      </w:r>
      <w:r>
        <w:rPr>
          <w:spacing w:val="-1"/>
        </w:rPr>
        <w:t>司第四届董事会第八次会议、第四届监事会第八次会议及</w:t>
      </w:r>
      <w:r>
        <w:rPr>
          <w:rFonts w:ascii="Times New Roman" w:hAnsi="Times New Roman" w:cs="Times New Roman" w:eastAsia="Times New Roman" w:hint="default"/>
          <w:spacing w:val="-1"/>
        </w:rPr>
        <w:t>2017</w:t>
      </w:r>
      <w:r>
        <w:rPr>
          <w:spacing w:val="-1"/>
        </w:rPr>
        <w:t>年第三次临时股东大会审议通过，但本次交</w:t>
      </w:r>
      <w:r>
        <w:rPr>
          <w:spacing w:val="-81"/>
        </w:rPr>
        <w:t> </w:t>
      </w:r>
      <w:r>
        <w:rPr>
          <w:spacing w:val="-81"/>
        </w:rPr>
      </w:r>
      <w:r>
        <w:rPr/>
        <w:t>易涉及的嘉联支付有限公司主要出资人变更事项尚需经中国人民银行审核批准。截至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 本公司已支付股权收购款</w:t>
      </w:r>
      <w:r>
        <w:rPr>
          <w:rFonts w:ascii="Times New Roman" w:hAnsi="Times New Roman" w:cs="Times New Roman" w:eastAsia="Times New Roman" w:hint="default"/>
        </w:rPr>
        <w:t>350,000,000.00</w:t>
      </w:r>
      <w:r>
        <w:rPr/>
        <w:t>元。</w:t>
      </w:r>
    </w:p>
    <w:p>
      <w:pPr>
        <w:spacing w:after="0" w:line="256"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spacing w:line="487" w:lineRule="auto" w:before="35"/>
        <w:ind w:left="1133" w:right="6473" w:firstLine="0"/>
        <w:jc w:val="left"/>
        <w:rPr>
          <w:rFonts w:ascii="宋体" w:hAnsi="宋体" w:cs="宋体" w:eastAsia="宋体" w:hint="default"/>
          <w:sz w:val="21"/>
          <w:szCs w:val="21"/>
        </w:rPr>
      </w:pPr>
      <w:bookmarkStart w:name="8、其他" w:id="517"/>
      <w:bookmarkEnd w:id="51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18"/>
      <w:bookmarkEnd w:id="51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19"/>
      <w:bookmarkEnd w:id="519"/>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5"/>
        <w:spacing w:line="240" w:lineRule="auto" w:before="83"/>
        <w:ind w:right="994"/>
        <w:jc w:val="left"/>
        <w:rPr>
          <w:b w:val="0"/>
          <w:bCs w:val="0"/>
        </w:rPr>
      </w:pPr>
      <w:bookmarkStart w:name="（1）应收账款分类披露" w:id="520"/>
      <w:bookmarkEnd w:id="52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52,684,9</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53.02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3,225,51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49,459,43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5.51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113,366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,412.95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2,963,731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110,402,68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1.80</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52,684,9</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53.02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3,225,51</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6.12%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49,459,43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5.51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113,366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,412.95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2,963,731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2.61%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110,402,68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1.80</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12,762,705.22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638,135.26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12,936,911.23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2,587,382.25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25,699,616.45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3,225,517.51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12.55%</w:t>
            </w: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5"/>
        <w:spacing w:line="240" w:lineRule="auto"/>
        <w:ind w:right="994"/>
        <w:jc w:val="left"/>
        <w:rPr>
          <w:b w:val="0"/>
          <w:bCs w:val="0"/>
        </w:rPr>
      </w:pPr>
      <w:bookmarkStart w:name="（2）本期计提、收回或转回的坏账准备情况" w:id="521"/>
      <w:bookmarkEnd w:id="52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38" w:lineRule="auto"/>
        <w:ind w:right="-15"/>
        <w:jc w:val="left"/>
      </w:pPr>
      <w:r>
        <w:rPr/>
        <w:t>本期计提坏账准备金额</w:t>
      </w:r>
      <w:r>
        <w:rPr>
          <w:spacing w:val="-46"/>
        </w:rPr>
        <w:t> </w:t>
      </w:r>
      <w:r>
        <w:rPr>
          <w:rFonts w:ascii="Times New Roman" w:hAnsi="Times New Roman" w:cs="Times New Roman" w:eastAsia="Times New Roman" w:hint="default"/>
        </w:rPr>
        <w:t>261,786.36</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7300" w:space="1530"/>
            <w:col w:w="3080"/>
          </w:cols>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3）本期实际核销的应收账款情况" w:id="522"/>
      <w:bookmarkEnd w:id="52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994"/>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994"/>
        <w:jc w:val="left"/>
      </w:pPr>
      <w:r>
        <w:rPr/>
        <w:t>应收账款核销说明：</w:t>
      </w:r>
    </w:p>
    <w:p>
      <w:pPr>
        <w:spacing w:line="240" w:lineRule="auto" w:before="11"/>
        <w:rPr>
          <w:rFonts w:ascii="宋体" w:hAnsi="宋体" w:cs="宋体" w:eastAsia="宋体" w:hint="default"/>
          <w:sz w:val="26"/>
          <w:szCs w:val="26"/>
        </w:rPr>
      </w:pPr>
    </w:p>
    <w:p>
      <w:pPr>
        <w:pStyle w:val="Heading5"/>
        <w:spacing w:line="240" w:lineRule="auto"/>
        <w:ind w:left="1134" w:right="994"/>
        <w:jc w:val="left"/>
        <w:rPr>
          <w:b w:val="0"/>
          <w:bCs w:val="0"/>
        </w:rPr>
      </w:pPr>
      <w:bookmarkStart w:name="（4）按欠款方归集的期末余额前五名的应收账款情况" w:id="523"/>
      <w:bookmarkEnd w:id="52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6" w:type="dxa"/>
        <w:tblLayout w:type="fixed"/>
        <w:tblCellMar>
          <w:top w:w="0" w:type="dxa"/>
          <w:left w:w="0" w:type="dxa"/>
          <w:bottom w:w="0" w:type="dxa"/>
          <w:right w:w="0" w:type="dxa"/>
        </w:tblCellMar>
        <w:tblLook w:val="01E0"/>
      </w:tblPr>
      <w:tblGrid>
        <w:gridCol w:w="2944"/>
        <w:gridCol w:w="1985"/>
        <w:gridCol w:w="1559"/>
        <w:gridCol w:w="1985"/>
      </w:tblGrid>
      <w:tr>
        <w:trPr>
          <w:trHeight w:val="667" w:hRule="exact"/>
        </w:trPr>
        <w:tc>
          <w:tcPr>
            <w:tcW w:w="29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6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316" w:lineRule="auto" w:before="21"/>
              <w:ind w:left="275" w:right="50" w:hanging="22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w:t>
            </w:r>
          </w:p>
        </w:tc>
        <w:tc>
          <w:tcPr>
            <w:tcW w:w="198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355" w:right="0"/>
              <w:jc w:val="left"/>
              <w:rPr>
                <w:rFonts w:ascii="宋体" w:hAnsi="宋体" w:cs="宋体" w:eastAsia="宋体" w:hint="default"/>
                <w:sz w:val="18"/>
                <w:szCs w:val="18"/>
              </w:rPr>
            </w:pPr>
            <w:r>
              <w:rPr>
                <w:rFonts w:ascii="宋体" w:hAnsi="宋体" w:cs="宋体" w:eastAsia="宋体" w:hint="default"/>
                <w:sz w:val="18"/>
                <w:szCs w:val="18"/>
              </w:rPr>
              <w:t>已计提坏账准备</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深圳市新国都支付技术有限公司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18,212,807.61</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34.57</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2" w:right="0"/>
              <w:jc w:val="left"/>
              <w:rPr>
                <w:rFonts w:ascii="Times New Roman" w:hAnsi="Times New Roman" w:cs="Times New Roman" w:eastAsia="Times New Roman" w:hint="default"/>
                <w:sz w:val="18"/>
                <w:szCs w:val="18"/>
              </w:rPr>
            </w:pPr>
            <w:r>
              <w:rPr>
                <w:rFonts w:ascii="Times New Roman"/>
                <w:sz w:val="18"/>
              </w:rPr>
              <w:t>ExaDigm,Inc</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8,772,528.96</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16.65</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7,661,220.00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14.54</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1,530,969.00</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7,204,563.70</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13.67</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794,321.51</w:t>
            </w:r>
          </w:p>
        </w:tc>
      </w:tr>
      <w:tr>
        <w:trPr>
          <w:trHeight w:val="353"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5,672,676.07</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10.77</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298,874.85</w:t>
            </w:r>
          </w:p>
        </w:tc>
      </w:tr>
      <w:tr>
        <w:trPr>
          <w:trHeight w:val="352" w:hRule="exact"/>
        </w:trPr>
        <w:tc>
          <w:tcPr>
            <w:tcW w:w="29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47,523,796.34</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90.20</w:t>
            </w:r>
          </w:p>
        </w:tc>
        <w:tc>
          <w:tcPr>
            <w:tcW w:w="198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2,624,165.36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5"/>
        <w:spacing w:line="240" w:lineRule="auto" w:before="35"/>
        <w:ind w:left="1134" w:right="994"/>
        <w:jc w:val="left"/>
        <w:rPr>
          <w:b w:val="0"/>
          <w:bCs w:val="0"/>
        </w:rPr>
      </w:pPr>
      <w:bookmarkStart w:name="（5）因金融资产转移而终止确认的应收账款" w:id="524"/>
      <w:bookmarkEnd w:id="52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134" w:right="994"/>
        <w:jc w:val="left"/>
        <w:rPr>
          <w:b w:val="0"/>
          <w:bCs w:val="0"/>
        </w:rPr>
      </w:pPr>
      <w:bookmarkStart w:name="（6）转移应收账款且继续涉入形成的资产、负债金额" w:id="525"/>
      <w:bookmarkEnd w:id="52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134" w:right="994"/>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left="1134" w:right="994"/>
        <w:jc w:val="left"/>
        <w:rPr>
          <w:b w:val="0"/>
          <w:bCs w:val="0"/>
        </w:rPr>
      </w:pPr>
      <w:bookmarkStart w:name="2、其他应收款" w:id="526"/>
      <w:bookmarkEnd w:id="52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34" w:right="994"/>
        <w:jc w:val="left"/>
        <w:rPr>
          <w:b w:val="0"/>
          <w:bCs w:val="0"/>
        </w:rPr>
      </w:pPr>
      <w:bookmarkStart w:name="（1）其他应收款分类披露" w:id="527"/>
      <w:bookmarkEnd w:id="52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46"/>
        <w:gridCol w:w="752"/>
        <w:gridCol w:w="762"/>
        <w:gridCol w:w="762"/>
        <w:gridCol w:w="751"/>
        <w:gridCol w:w="800"/>
        <w:gridCol w:w="655"/>
        <w:gridCol w:w="762"/>
        <w:gridCol w:w="813"/>
        <w:gridCol w:w="932"/>
        <w:gridCol w:w="932"/>
      </w:tblGrid>
      <w:tr>
        <w:trPr>
          <w:trHeight w:val="397"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71"/>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52,107,9</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72.99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4,987,85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3.47</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9.57%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47,120,11</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9.52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47,046,</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294.42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4,384,384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42,661,909.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52,107,9</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72.99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4,987,85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3.47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9.57%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47,120,11</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9.52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47,046,</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294.42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4,384,384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9.32%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42,661,909.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5455" w:space="337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1,571,794.14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78,589.71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9,213,966.86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1,842,793.37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1,866,387.03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933,193.52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2,133,276.87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2,133,276.87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14,785,424.90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4,987,853.47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33.73%</w:t>
            </w: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94"/>
        <w:jc w:val="left"/>
        <w:rPr>
          <w:b w:val="0"/>
          <w:bCs w:val="0"/>
        </w:rPr>
      </w:pPr>
      <w:bookmarkStart w:name="（2）本期计提、收回或转回的坏账准备情况" w:id="528"/>
      <w:bookmarkEnd w:id="52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0" w:right="0"/>
        </w:sectPr>
      </w:pPr>
    </w:p>
    <w:p>
      <w:pPr>
        <w:pStyle w:val="BodyText"/>
        <w:spacing w:line="338" w:lineRule="auto"/>
        <w:ind w:right="-15"/>
        <w:jc w:val="left"/>
      </w:pPr>
      <w:r>
        <w:rPr/>
        <w:t>本期计提坏账准备金额</w:t>
      </w:r>
      <w:r>
        <w:rPr>
          <w:spacing w:val="-46"/>
        </w:rPr>
        <w:t> </w:t>
      </w:r>
      <w:r>
        <w:rPr>
          <w:rFonts w:ascii="Times New Roman" w:hAnsi="Times New Roman" w:cs="Times New Roman" w:eastAsia="Times New Roman" w:hint="default"/>
        </w:rPr>
        <w:t>603,468.54</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113" w:right="1112"/>
        <w:jc w:val="center"/>
      </w:pPr>
      <w:r>
        <w:rPr/>
        <w:t>单位： 元</w:t>
      </w:r>
    </w:p>
    <w:p>
      <w:pPr>
        <w:spacing w:after="0" w:line="240" w:lineRule="auto"/>
        <w:jc w:val="center"/>
        <w:sectPr>
          <w:type w:val="continuous"/>
          <w:pgSz w:w="11910" w:h="16840"/>
          <w:pgMar w:top="1060" w:bottom="1160" w:left="0" w:right="0"/>
          <w:cols w:num="2" w:equalWidth="0">
            <w:col w:w="7300" w:space="1530"/>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3）本期实际核销的其他应收款情况" w:id="529"/>
      <w:bookmarkEnd w:id="52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994"/>
        <w:jc w:val="left"/>
      </w:pPr>
      <w:r>
        <w:rPr/>
        <w:t>其中重要的其他应收款核销情况：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994"/>
        <w:jc w:val="left"/>
      </w:pPr>
      <w:r>
        <w:rPr/>
        <w:t>其他应收款核销说明：</w:t>
      </w:r>
    </w:p>
    <w:p>
      <w:pPr>
        <w:spacing w:after="0" w:line="240" w:lineRule="auto"/>
        <w:jc w:val="left"/>
        <w:sectPr>
          <w:type w:val="continuous"/>
          <w:pgSz w:w="11910" w:h="16840"/>
          <w:pgMar w:top="1060" w:bottom="1160" w:left="0" w:right="0"/>
        </w:sectPr>
      </w:pPr>
    </w:p>
    <w:p>
      <w:pPr>
        <w:spacing w:line="240" w:lineRule="auto" w:before="9"/>
        <w:rPr>
          <w:rFonts w:ascii="宋体" w:hAnsi="宋体" w:cs="宋体" w:eastAsia="宋体" w:hint="default"/>
          <w:sz w:val="24"/>
          <w:szCs w:val="24"/>
        </w:rPr>
      </w:pPr>
    </w:p>
    <w:p>
      <w:pPr>
        <w:pStyle w:val="Heading5"/>
        <w:spacing w:line="240" w:lineRule="auto" w:before="35"/>
        <w:ind w:right="994"/>
        <w:jc w:val="left"/>
        <w:rPr>
          <w:b w:val="0"/>
          <w:bCs w:val="0"/>
        </w:rPr>
      </w:pPr>
      <w:bookmarkStart w:name="（4）其他应收款按款项性质分类情况" w:id="530"/>
      <w:bookmarkEnd w:id="53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8"/>
        <w:gridCol w:w="3101"/>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职员借款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517,669.36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739,443.17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往来款、保证金及押金</w:t>
            </w:r>
          </w:p>
        </w:tc>
        <w:tc>
          <w:tcPr>
            <w:tcW w:w="3101"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12,127,583.19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代垫社保款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190,837.71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177,681.27</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8,600,000.00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28,600,000.00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37,322,548.09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5,401,586.79</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5,476,917.83</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52,107,972.99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47,046,294.42</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5）按欠款方归集的期末余额前五名的其他应收款情况" w:id="531"/>
      <w:bookmarkEnd w:id="53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2"/>
        <w:gridCol w:w="1615"/>
        <w:gridCol w:w="1615"/>
      </w:tblGrid>
      <w:tr>
        <w:trPr>
          <w:trHeight w:val="709"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9"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6"/>
              <w:ind w:left="22" w:right="29"/>
              <w:jc w:val="left"/>
              <w:rPr>
                <w:rFonts w:ascii="宋体" w:hAnsi="宋体" w:cs="宋体" w:eastAsia="宋体" w:hint="default"/>
                <w:sz w:val="18"/>
                <w:szCs w:val="18"/>
              </w:rPr>
            </w:pPr>
            <w:r>
              <w:rPr>
                <w:rFonts w:ascii="宋体" w:hAnsi="宋体" w:cs="宋体" w:eastAsia="宋体" w:hint="default"/>
                <w:sz w:val="18"/>
                <w:szCs w:val="18"/>
              </w:rPr>
              <w:t>深圳市信联征信有限 公司</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31,261,607.00</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59.99%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深圳市柏士泰科技有 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8,600,000.00</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16.50%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1,720,000.00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浙江中正智能科技有 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麦启光</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1,159,920.00</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1,159,920.00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麦启光</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472,560.00</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23,628.00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北京市海淀区人民法 院</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1,464,000.00</w:t>
            </w:r>
          </w:p>
        </w:tc>
        <w:tc>
          <w:tcPr>
            <w:tcW w:w="15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732,000.00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47,958,087.00</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3,635,548.00</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6）涉及政府补助的应收款项" w:id="532"/>
      <w:bookmarkEnd w:id="53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5"/>
        <w:spacing w:line="240" w:lineRule="auto" w:before="35"/>
        <w:ind w:right="994"/>
        <w:jc w:val="left"/>
        <w:rPr>
          <w:b w:val="0"/>
          <w:bCs w:val="0"/>
        </w:rPr>
      </w:pPr>
      <w:bookmarkStart w:name="（7）因金融资产转移而终止确认的其他应收款" w:id="533"/>
      <w:bookmarkEnd w:id="53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8）转移其他应收款且继续涉入形成的资产、负债金额" w:id="534"/>
      <w:bookmarkEnd w:id="53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94"/>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994"/>
        <w:jc w:val="left"/>
        <w:rPr>
          <w:b w:val="0"/>
          <w:bCs w:val="0"/>
        </w:rPr>
      </w:pPr>
      <w:bookmarkStart w:name="3、长期股权投资" w:id="535"/>
      <w:bookmarkEnd w:id="53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1,898,511,904.43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22,238,365.25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1,876,273,539.18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1,839,815,306.06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1,839,815,306.06</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560,130,401.00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34,198,564.91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525,931,836.09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1,898,511,904.43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22,238,365.25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1,876,273,539.18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2,399,945,707.06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34,198,564.91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2,365,747,142.15</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1）对子公司投资" w:id="536"/>
      <w:bookmarkEnd w:id="53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6"/>
        <w:gridCol w:w="1348"/>
        <w:gridCol w:w="1336"/>
        <w:gridCol w:w="1334"/>
        <w:gridCol w:w="1336"/>
        <w:gridCol w:w="1389"/>
        <w:gridCol w:w="1390"/>
      </w:tblGrid>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深圳市易联技术 有限公司</w:t>
            </w:r>
          </w:p>
        </w:tc>
        <w:tc>
          <w:tcPr>
            <w:tcW w:w="1348"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118,124,954.41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559,580.22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118,684,534.63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苏州新国都电子 技术有限公司</w:t>
            </w:r>
          </w:p>
        </w:tc>
        <w:tc>
          <w:tcPr>
            <w:tcW w:w="1348"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393,703,645.45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446,072.62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394,149,718.07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浙江中正智能科 技有限公司</w:t>
            </w:r>
          </w:p>
        </w:tc>
        <w:tc>
          <w:tcPr>
            <w:tcW w:w="1348"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252,969,850.48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615,092.04</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253,584,942.52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深圳市新国都支 付技术有限公司</w:t>
            </w:r>
          </w:p>
        </w:tc>
        <w:tc>
          <w:tcPr>
            <w:tcW w:w="1348"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480,772,524.71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56,765,235.16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537,537,759.87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41"/>
              <w:jc w:val="left"/>
              <w:rPr>
                <w:rFonts w:ascii="宋体" w:hAnsi="宋体" w:cs="宋体" w:eastAsia="宋体" w:hint="default"/>
                <w:sz w:val="18"/>
                <w:szCs w:val="18"/>
              </w:rPr>
            </w:pPr>
            <w:r>
              <w:rPr>
                <w:rFonts w:ascii="宋体" w:hAnsi="宋体" w:cs="宋体" w:eastAsia="宋体" w:hint="default"/>
                <w:sz w:val="18"/>
                <w:szCs w:val="18"/>
              </w:rPr>
              <w:t>深圳市信联征信 有限公司</w:t>
            </w:r>
          </w:p>
        </w:tc>
        <w:tc>
          <w:tcPr>
            <w:tcW w:w="1348"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60,732,465.76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268,766.43</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61,001,232.19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ExaDigm,Inc</w:t>
            </w:r>
          </w:p>
        </w:tc>
        <w:tc>
          <w:tcPr>
            <w:tcW w:w="1348"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33,511,865.25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33,511,865.25</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22,238,365.25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22,238,365.25</w:t>
            </w: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2"/>
              <w:ind w:left="22" w:right="141"/>
              <w:jc w:val="both"/>
              <w:rPr>
                <w:rFonts w:ascii="宋体" w:hAnsi="宋体" w:cs="宋体" w:eastAsia="宋体" w:hint="default"/>
                <w:sz w:val="18"/>
                <w:szCs w:val="18"/>
              </w:rPr>
            </w:pPr>
            <w:r>
              <w:rPr>
                <w:rFonts w:ascii="宋体" w:hAnsi="宋体" w:cs="宋体" w:eastAsia="宋体" w:hint="default"/>
                <w:sz w:val="18"/>
                <w:szCs w:val="18"/>
              </w:rPr>
              <w:t>长沙公信诚丰信 息技术服务有限 公司</w:t>
            </w:r>
          </w:p>
        </w:tc>
        <w:tc>
          <w:tcPr>
            <w:tcW w:w="1348"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41,851.90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500,041,851.90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1,839,815,306.06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58,696,598.37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1,898,511,904.43</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22,238,365.25</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22,238,365.25</w:t>
            </w:r>
          </w:p>
        </w:tc>
      </w:tr>
    </w:tbl>
    <w:p>
      <w:pPr>
        <w:spacing w:line="240" w:lineRule="auto" w:before="3"/>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2）对联营、合营企业投资" w:id="537"/>
      <w:bookmarkEnd w:id="53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深圳市大 拿科技有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42,083,28</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-3,622,43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2.27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-4,262,28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-34,198,5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64.91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深圳嘉石 大岩资本 管理股份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518,047,1</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13.90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3,576,518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-9,911,17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-489,269,</w:t>
            </w:r>
          </w:p>
          <w:p>
            <w:pPr>
              <w:pStyle w:val="TableParagraph"/>
              <w:spacing w:line="240" w:lineRule="auto" w:before="106"/>
              <w:ind w:left="246" w:right="0"/>
              <w:jc w:val="center"/>
              <w:rPr>
                <w:rFonts w:ascii="Times New Roman" w:hAnsi="Times New Roman" w:cs="Times New Roman" w:eastAsia="Times New Roman" w:hint="default"/>
                <w:sz w:val="18"/>
                <w:szCs w:val="18"/>
              </w:rPr>
            </w:pPr>
            <w:r>
              <w:rPr>
                <w:rFonts w:ascii="Times New Roman"/>
                <w:sz w:val="18"/>
              </w:rPr>
              <w:t>960.76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22,442,50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560,130,4</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560,130,4</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3）其他说明" w:id="538"/>
      <w:bookmarkEnd w:id="53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134" w:right="994"/>
        <w:jc w:val="left"/>
        <w:rPr>
          <w:b w:val="0"/>
          <w:bCs w:val="0"/>
        </w:rPr>
      </w:pPr>
      <w:bookmarkStart w:name="4、营业收入和营业成本" w:id="539"/>
      <w:bookmarkEnd w:id="53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136,505,842.94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102,665,152.41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407,372,289.38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296,434,912.61</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3,493,094.39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2,263,179.40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1,541,827.29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1,048,016.38</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139,998,937.33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104,928,331.81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408,914,116.67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297,482,928.99</w:t>
            </w:r>
          </w:p>
        </w:tc>
      </w:tr>
    </w:tbl>
    <w:p>
      <w:pPr>
        <w:pStyle w:val="BodyText"/>
        <w:spacing w:line="240" w:lineRule="auto" w:before="51"/>
        <w:ind w:left="1134" w:right="994"/>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994"/>
        <w:jc w:val="left"/>
        <w:rPr>
          <w:b w:val="0"/>
          <w:bCs w:val="0"/>
        </w:rPr>
      </w:pPr>
      <w:bookmarkStart w:name="5、投资收益" w:id="540"/>
      <w:bookmarkEnd w:id="54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287,700,000.00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-685,771.41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15,762,405.16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477,567.73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37,319,597.51</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556,500.00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34,904.11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1" w:right="0"/>
              <w:jc w:val="left"/>
              <w:rPr>
                <w:rFonts w:ascii="Times New Roman" w:hAnsi="Times New Roman" w:cs="Times New Roman" w:eastAsia="Times New Roman" w:hint="default"/>
                <w:sz w:val="18"/>
                <w:szCs w:val="18"/>
              </w:rPr>
            </w:pPr>
            <w:r>
              <w:rPr>
                <w:rFonts w:ascii="Times New Roman"/>
                <w:sz w:val="18"/>
              </w:rPr>
              <w:t>288,048,296.32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53,116,906.78</w:t>
            </w:r>
          </w:p>
        </w:tc>
      </w:tr>
    </w:tbl>
    <w:p>
      <w:pPr>
        <w:spacing w:line="240" w:lineRule="auto" w:before="2"/>
        <w:rPr>
          <w:rFonts w:ascii="宋体" w:hAnsi="宋体" w:cs="宋体" w:eastAsia="宋体" w:hint="default"/>
          <w:sz w:val="19"/>
          <w:szCs w:val="19"/>
        </w:rPr>
      </w:pPr>
    </w:p>
    <w:p>
      <w:pPr>
        <w:pStyle w:val="Heading5"/>
        <w:spacing w:line="240" w:lineRule="auto" w:before="35"/>
        <w:ind w:left="1134" w:right="994"/>
        <w:jc w:val="left"/>
        <w:rPr>
          <w:b w:val="0"/>
          <w:bCs w:val="0"/>
        </w:rPr>
      </w:pPr>
      <w:bookmarkStart w:name="6、其他" w:id="541"/>
      <w:bookmarkEnd w:id="541"/>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ind w:left="1134" w:right="994"/>
        <w:jc w:val="left"/>
        <w:rPr>
          <w:b w:val="0"/>
          <w:bCs w:val="0"/>
        </w:rPr>
      </w:pPr>
      <w:bookmarkStart w:name="十八、补充资料" w:id="542"/>
      <w:bookmarkEnd w:id="542"/>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1、当期非经常性损益明细表" w:id="543"/>
      <w:bookmarkEnd w:id="54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846,302.01</w:t>
            </w:r>
          </w:p>
        </w:tc>
        <w:tc>
          <w:tcPr>
            <w:tcW w:w="31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收回高尔夫球会退回的会员费</w:t>
            </w: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24,419,855.79</w:t>
            </w:r>
          </w:p>
        </w:tc>
        <w:tc>
          <w:tcPr>
            <w:tcW w:w="31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收到相关政府补助</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802,801.37</w:t>
            </w:r>
          </w:p>
        </w:tc>
        <w:tc>
          <w:tcPr>
            <w:tcW w:w="31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-146,373.42</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-1,113,121.29</w:t>
            </w:r>
          </w:p>
        </w:tc>
        <w:tc>
          <w:tcPr>
            <w:tcW w:w="31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2,108,143.71</w:t>
            </w:r>
          </w:p>
        </w:tc>
        <w:tc>
          <w:tcPr>
            <w:tcW w:w="318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6,097.64</w:t>
            </w:r>
          </w:p>
        </w:tc>
        <w:tc>
          <w:tcPr>
            <w:tcW w:w="3186"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22,695,223.11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994"/>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994"/>
        <w:jc w:val="left"/>
        <w:rPr>
          <w:b w:val="0"/>
          <w:bCs w:val="0"/>
        </w:rPr>
      </w:pPr>
      <w:bookmarkStart w:name="2、净资产收益率及每股收益" w:id="544"/>
      <w:bookmarkEnd w:id="54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0.29</w:t>
            </w:r>
          </w:p>
        </w:tc>
      </w:tr>
      <w:tr>
        <w:trPr>
          <w:trHeight w:val="716"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5"/>
        <w:spacing w:line="240" w:lineRule="auto" w:before="35"/>
        <w:ind w:right="994"/>
        <w:jc w:val="left"/>
        <w:rPr>
          <w:b w:val="0"/>
          <w:bCs w:val="0"/>
        </w:rPr>
      </w:pPr>
      <w:bookmarkStart w:name="3、境内外会计准则下会计数据差异" w:id="545"/>
      <w:bookmarkEnd w:id="54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1）同时按照国际会计准则与按中国会计准则披露的财务报告中净利润和净资产差异情况" w:id="546"/>
      <w:bookmarkEnd w:id="54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994"/>
        <w:jc w:val="left"/>
        <w:rPr>
          <w:b w:val="0"/>
          <w:bCs w:val="0"/>
        </w:rPr>
      </w:pPr>
      <w:bookmarkStart w:name="（2）同时按照境外会计准则与按中国会计准则披露的财务报告中净利润和净资产差异情况" w:id="547"/>
      <w:bookmarkEnd w:id="54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134" w:right="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59" w:lineRule="auto"/>
        <w:ind w:right="994"/>
        <w:jc w:val="left"/>
        <w:rPr>
          <w:b w:val="0"/>
          <w:bCs w:val="0"/>
        </w:rPr>
      </w:pPr>
      <w:bookmarkStart w:name="（3）境内外会计准则下会计数据差异原因说明，对已经境外审计机构审计的数据进行差异" w:id="548"/>
      <w:bookmarkEnd w:id="54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994"/>
        <w:jc w:val="left"/>
        <w:rPr>
          <w:b w:val="0"/>
          <w:bCs w:val="0"/>
        </w:rPr>
      </w:pPr>
      <w:bookmarkStart w:name="4、其他" w:id="549"/>
      <w:bookmarkEnd w:id="549"/>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right="1476"/>
        <w:jc w:val="center"/>
        <w:rPr>
          <w:b w:val="0"/>
          <w:bCs w:val="0"/>
        </w:rPr>
      </w:pPr>
      <w:bookmarkStart w:name="第十二节 备查文件目录" w:id="550"/>
      <w:bookmarkEnd w:id="550"/>
      <w:r>
        <w:rPr>
          <w:b w:val="0"/>
          <w:bCs w:val="0"/>
        </w:rPr>
      </w:r>
      <w:bookmarkStart w:name="_bookmark10" w:id="551"/>
      <w:bookmarkEnd w:id="551"/>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9" w:lineRule="auto" w:before="0"/>
        <w:ind w:right="1213"/>
        <w:jc w:val="left"/>
      </w:pPr>
      <w:r>
        <w:rPr/>
        <w:t>一、载有公司法定代表人、主管会计工作的公司负责人、公司会计机构负责人（会计主管人员）签名并盖章的财务报表。 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2017</w:t>
      </w:r>
      <w:r>
        <w:rPr/>
        <w:t>年度报告文本原件</w:t>
      </w:r>
      <w:r>
        <w:rPr>
          <w:spacing w:val="-17"/>
        </w:rPr>
        <w:t> </w:t>
      </w:r>
      <w:r>
        <w:rPr/>
        <w:t>。</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59600" type="#_x0000_t75" stroked="false">
          <v:imagedata r:id="rId1" o:title=""/>
        </v:shape>
      </w:pict>
    </w:r>
    <w:r>
      <w:rPr/>
      <w:pict>
        <v:shape style="position:absolute;margin-left:533.179993pt;margin-top:795.517944pt;width:6.5pt;height:11pt;mso-position-horizontal-relative:page;mso-position-vertical-relative:page;z-index:-115957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59552" type="#_x0000_t75" stroked="false">
          <v:imagedata r:id="rId1" o:title=""/>
        </v:shape>
      </w:pict>
    </w:r>
    <w:r>
      <w:rPr/>
      <w:pict>
        <v:shape style="position:absolute;margin-left:527.679993pt;margin-top:781.957947pt;width:13pt;height:11pt;mso-position-horizontal-relative:page;mso-position-vertical-relative:page;z-index:-115952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59504" type="#_x0000_t75" stroked="false">
          <v:imagedata r:id="rId1" o:title=""/>
        </v:shape>
      </w:pict>
    </w:r>
    <w:r>
      <w:rPr/>
      <w:pict>
        <v:shape style="position:absolute;margin-left:524.179993pt;margin-top:781.957947pt;width:15.5pt;height:11pt;mso-position-horizontal-relative:page;mso-position-vertical-relative:page;z-index:-115948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59456" type="#_x0000_t75" stroked="false">
          <v:imagedata r:id="rId1" o:title=""/>
        </v:shape>
      </w:pict>
    </w:r>
    <w:r>
      <w:rPr/>
      <w:pict>
        <v:shape style="position:absolute;margin-left:523.179993pt;margin-top:781.957947pt;width:17.5pt;height:11pt;mso-position-horizontal-relative:page;mso-position-vertical-relative:page;z-index:-115943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59408" type="#_x0000_t75" stroked="false">
          <v:imagedata r:id="rId1" o:title=""/>
        </v:shape>
      </w:pict>
    </w:r>
    <w:r>
      <w:rPr/>
      <w:pict>
        <v:shape style="position:absolute;margin-left:524.179993pt;margin-top:781.957947pt;width:15.5pt;height:11pt;mso-position-horizontal-relative:page;mso-position-vertical-relative:page;z-index:-115938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159360" type="#_x0000_t75" stroked="false">
          <v:imagedata r:id="rId1" o:title=""/>
        </v:shape>
      </w:pict>
    </w:r>
    <w:r>
      <w:rPr/>
      <w:pict>
        <v:shape style="position:absolute;margin-left:523.179993pt;margin-top:781.957947pt;width:17.5pt;height:11pt;mso-position-horizontal-relative:page;mso-position-vertical-relative:page;z-index:-115933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159624" type="#_x0000_t202" filled="false" stroked="false">
          <v:textbox inset="0,0,0,0">
            <w:txbxContent>
              <w:p>
                <w:pPr>
                  <w:pStyle w:val="BodyText"/>
                  <w:spacing w:line="214" w:lineRule="exact" w:before="0"/>
                  <w:ind w:left="20" w:right="0"/>
                  <w:jc w:val="left"/>
                </w:pPr>
                <w:r>
                  <w:rPr/>
                  <w:t>深圳市新国都技术股份有限公司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spacing w:before="44"/>
      <w:ind w:left="1133"/>
    </w:pPr>
    <w:rPr>
      <w:rFonts w:ascii="宋体" w:hAnsi="宋体" w:eastAsia="宋体"/>
      <w:sz w:val="18"/>
      <w:szCs w:val="18"/>
    </w:rPr>
  </w:style>
  <w:style w:styleId="Heading1" w:type="paragraph">
    <w:name w:val="Heading 1"/>
    <w:basedOn w:val="Normal"/>
    <w:uiPriority w:val="1"/>
    <w:qFormat/>
    <w:pPr>
      <w:spacing w:before="1"/>
      <w:ind w:left="1475"/>
      <w:outlineLvl w:val="1"/>
    </w:pPr>
    <w:rPr>
      <w:rFonts w:ascii="宋体" w:hAnsi="宋体" w:eastAsia="宋体"/>
      <w:b/>
      <w:bCs/>
      <w:sz w:val="32"/>
      <w:szCs w:val="32"/>
    </w:rPr>
  </w:style>
  <w:style w:styleId="Heading2" w:type="paragraph">
    <w:name w:val="Heading 2"/>
    <w:basedOn w:val="Normal"/>
    <w:uiPriority w:val="1"/>
    <w:qFormat/>
    <w:pPr>
      <w:spacing w:before="13"/>
      <w:ind w:left="1133"/>
      <w:outlineLvl w:val="2"/>
    </w:pPr>
    <w:rPr>
      <w:rFonts w:ascii="宋体" w:hAnsi="宋体" w:eastAsia="宋体"/>
      <w:b/>
      <w:bCs/>
      <w:sz w:val="28"/>
      <w:szCs w:val="28"/>
    </w:rPr>
  </w:style>
  <w:style w:styleId="Heading3" w:type="paragraph">
    <w:name w:val="Heading 3"/>
    <w:basedOn w:val="Normal"/>
    <w:uiPriority w:val="1"/>
    <w:qFormat/>
    <w:pPr>
      <w:spacing w:before="86"/>
      <w:ind w:left="1493" w:firstLine="560"/>
      <w:outlineLvl w:val="3"/>
    </w:pPr>
    <w:rPr>
      <w:rFonts w:ascii="宋体" w:hAnsi="宋体" w:eastAsia="宋体"/>
      <w:sz w:val="28"/>
      <w:szCs w:val="28"/>
    </w:rPr>
  </w:style>
  <w:style w:styleId="Heading4" w:type="paragraph">
    <w:name w:val="Heading 4"/>
    <w:basedOn w:val="Normal"/>
    <w:uiPriority w:val="1"/>
    <w:qFormat/>
    <w:pPr>
      <w:ind w:left="1133"/>
      <w:outlineLvl w:val="4"/>
    </w:pPr>
    <w:rPr>
      <w:rFonts w:ascii="宋体" w:hAnsi="宋体" w:eastAsia="宋体"/>
      <w:b/>
      <w:bCs/>
      <w:sz w:val="24"/>
      <w:szCs w:val="24"/>
    </w:rPr>
  </w:style>
  <w:style w:styleId="Heading5" w:type="paragraph">
    <w:name w:val="Heading 5"/>
    <w:basedOn w:val="Normal"/>
    <w:uiPriority w:val="1"/>
    <w:qFormat/>
    <w:pPr>
      <w:ind w:left="1133"/>
      <w:outlineLvl w:val="5"/>
    </w:pPr>
    <w:rPr>
      <w:rFonts w:ascii="宋体" w:hAnsi="宋体" w:eastAsia="宋体"/>
      <w:b/>
      <w:bCs/>
      <w:sz w:val="21"/>
      <w:szCs w:val="21"/>
    </w:rPr>
  </w:style>
  <w:style w:styleId="Heading6" w:type="paragraph">
    <w:name w:val="Heading 6"/>
    <w:basedOn w:val="Normal"/>
    <w:uiPriority w:val="1"/>
    <w:qFormat/>
    <w:pPr>
      <w:spacing w:before="5"/>
      <w:ind w:left="1133" w:firstLine="420"/>
      <w:outlineLvl w:val="6"/>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nexgo.com.cn/" TargetMode="External"/><Relationship Id="rId10" Type="http://schemas.openxmlformats.org/officeDocument/2006/relationships/hyperlink" Target="mailto:xgd-zqb@nexgo.com.cn" TargetMode="External"/><Relationship Id="rId11" Type="http://schemas.openxmlformats.org/officeDocument/2006/relationships/hyperlink" Target="mailto:songjing@nexgo.com.cn" TargetMode="External"/><Relationship Id="rId12" Type="http://schemas.openxmlformats.org/officeDocument/2006/relationships/hyperlink" Target="mailto:fangyuan@nexgo.com.cn" TargetMode="External"/><Relationship Id="rId13" Type="http://schemas.openxmlformats.org/officeDocument/2006/relationships/hyperlink" Target="http://www.cninfo.com.cn/" TargetMode="External"/><Relationship Id="rId14" Type="http://schemas.openxmlformats.org/officeDocument/2006/relationships/hyperlink" Target="http://www/" TargetMode="External"/><Relationship Id="rId15" Type="http://schemas.openxmlformats.org/officeDocument/2006/relationships/image" Target="media/image3.png"/><Relationship Id="rId16" Type="http://schemas.openxmlformats.org/officeDocument/2006/relationships/hyperlink" Target="http://www.szse.cn/" TargetMode="External"/><Relationship Id="rId17" Type="http://schemas.openxmlformats.org/officeDocument/2006/relationships/hyperlink" Target="http://www.pyrating.cn/" TargetMode="External"/><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深圳市新国都技术股份有限公司</dc:creator>
  <dc:title>深圳市新国都技术股份有限公司2017年年度报告全文</dc:title>
  <dcterms:created xsi:type="dcterms:W3CDTF">2020-05-02T23:58:17Z</dcterms:created>
  <dcterms:modified xsi:type="dcterms:W3CDTF">2020-05-02T23:58:17Z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2018-03-21T00:00:00Z</vt:filetime>
  </property>
  <property fmtid="{D5CDD505-2E9C-101B-9397-08002B2CF9AE}" pid="3" name="Creator">
    <vt:lpwstr>Microsoft® Office Word 2007</vt:lpwstr>
  </property>
  <property fmtid="{D5CDD505-2E9C-101B-9397-08002B2CF9AE}" pid="4" name="LastSaved">
    <vt:filetime>2020-05-02T00:00:00Z</vt:filetime>
  </property>
</Properties>
</file>