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png" ContentType="image/png"/>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58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1409700" cy="3714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371475"/>
                    </a:xfrm>
                    <a:prstGeom prst="rect">
                      <a:avLst/>
                    </a:prstGeom>
                  </pic:spPr>
                </pic:pic>
              </a:graphicData>
            </a:graphic>
          </wp:inline>
        </w:drawing>
      </w:r>
      <w:r>
        <w:rPr>
          <w:rFonts w:ascii="Times New Roman" w:hAnsi="Times New Roman" w:cs="Times New Roman" w:eastAsia="Times New Roman" w:hint="default"/>
          <w:position w:val="-11"/>
          <w:sz w:val="20"/>
          <w:szCs w:val="20"/>
        </w:rPr>
      </w:r>
    </w:p>
    <w:p>
      <w:pPr>
        <w:spacing w:line="240" w:lineRule="auto" w:before="6"/>
        <w:rPr>
          <w:rFonts w:ascii="Times New Roman" w:hAnsi="Times New Roman" w:cs="Times New Roman" w:eastAsia="Times New Roman" w:hint="default"/>
          <w:sz w:val="13"/>
          <w:szCs w:val="13"/>
        </w:rPr>
      </w:pPr>
    </w:p>
    <w:p>
      <w:pPr>
        <w:spacing w:line="501" w:lineRule="exact" w:before="0"/>
        <w:ind w:left="2793" w:right="377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深圳市新国都股份有限公司</w:t>
      </w:r>
      <w:r>
        <w:rPr>
          <w:rFonts w:ascii="Microsoft JhengHei" w:hAnsi="Microsoft JhengHei" w:cs="Microsoft JhengHei" w:eastAsia="Microsoft JhengHei" w:hint="default"/>
          <w:sz w:val="36"/>
          <w:szCs w:val="36"/>
        </w:rPr>
      </w:r>
    </w:p>
    <w:p>
      <w:pPr>
        <w:spacing w:before="258"/>
        <w:ind w:left="2793" w:right="3773"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23"/>
          <w:szCs w:val="23"/>
        </w:rPr>
      </w:pPr>
    </w:p>
    <w:p>
      <w:pPr>
        <w:spacing w:before="0"/>
        <w:ind w:left="2793" w:right="3770" w:firstLine="0"/>
        <w:jc w:val="center"/>
        <w:rPr>
          <w:rFonts w:ascii="Times New Roman" w:hAnsi="Times New Roman" w:cs="Times New Roman" w:eastAsia="Times New Roman" w:hint="default"/>
          <w:sz w:val="22"/>
          <w:szCs w:val="22"/>
        </w:rPr>
      </w:pPr>
      <w:r>
        <w:rPr>
          <w:rFonts w:ascii="Times New Roman"/>
          <w:b/>
          <w:sz w:val="22"/>
        </w:rPr>
        <w:t>2020-060</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4"/>
        <w:rPr>
          <w:rFonts w:ascii="Times New Roman" w:hAnsi="Times New Roman" w:cs="Times New Roman" w:eastAsia="Times New Roman" w:hint="default"/>
          <w:b/>
          <w:bCs/>
          <w:sz w:val="24"/>
          <w:szCs w:val="24"/>
        </w:rPr>
      </w:pPr>
    </w:p>
    <w:p>
      <w:pPr>
        <w:spacing w:before="0"/>
        <w:ind w:left="2793" w:right="3771"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2020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03" w:right="1033"/>
        <w:jc w:val="left"/>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3"/>
        <w:rPr>
          <w:rFonts w:ascii="Microsoft JhengHei" w:hAnsi="Microsoft JhengHei" w:cs="Microsoft JhengHei" w:eastAsia="Microsoft JhengHei" w:hint="default"/>
          <w:b/>
          <w:bCs/>
          <w:sz w:val="29"/>
          <w:szCs w:val="29"/>
        </w:rPr>
      </w:pPr>
    </w:p>
    <w:p>
      <w:pPr>
        <w:pStyle w:val="Heading2"/>
        <w:spacing w:line="307" w:lineRule="auto"/>
        <w:ind w:right="1136" w:firstLine="561"/>
        <w:jc w:val="both"/>
        <w:rPr>
          <w:b w:val="0"/>
          <w:bCs w:val="0"/>
        </w:rPr>
      </w:pPr>
      <w:r>
        <w:rPr>
          <w:spacing w:val="2"/>
        </w:rPr>
        <w:t>公司董事会、监事会及董事、监事、高级管理人员保证年度报告内容的真</w:t>
      </w:r>
      <w:r>
        <w:rPr>
          <w:w w:val="100"/>
        </w:rPr>
        <w:t> </w:t>
      </w:r>
      <w:r>
        <w:rPr>
          <w:spacing w:val="2"/>
        </w:rPr>
        <w:t>实、准确、完整，不存在虚假记载、误导性陈述或重大遗漏，并承担个别和连</w:t>
      </w:r>
      <w:r>
        <w:rPr>
          <w:spacing w:val="-36"/>
        </w:rPr>
        <w:t> </w:t>
      </w:r>
      <w:r>
        <w:rPr>
          <w:spacing w:val="-36"/>
        </w:rPr>
      </w:r>
      <w:r>
        <w:rPr/>
        <w:t>带的法律责任。</w:t>
      </w:r>
      <w:r>
        <w:rPr>
          <w:b w:val="0"/>
          <w:bCs w:val="0"/>
        </w:rPr>
      </w:r>
    </w:p>
    <w:p>
      <w:pPr>
        <w:pStyle w:val="Heading2"/>
        <w:spacing w:line="307" w:lineRule="auto" w:before="133"/>
        <w:ind w:right="1131" w:firstLine="561"/>
        <w:jc w:val="both"/>
        <w:rPr>
          <w:b w:val="0"/>
          <w:bCs w:val="0"/>
        </w:rPr>
      </w:pPr>
      <w:r>
        <w:rPr/>
        <w:t>公司负责人刘祥、主管会计工作负责人宋菁及会计机构负责人</w:t>
      </w:r>
      <w:r>
        <w:rPr>
          <w:rFonts w:ascii="Times New Roman" w:hAnsi="Times New Roman" w:cs="Times New Roman" w:eastAsia="Times New Roman" w:hint="default"/>
        </w:rPr>
        <w:t>(</w:t>
      </w:r>
      <w:r>
        <w:rPr/>
        <w:t>会计主管人</w:t>
      </w:r>
      <w:r>
        <w:rPr>
          <w:w w:val="100"/>
        </w:rPr>
        <w:t> </w:t>
      </w:r>
      <w:r>
        <w:rPr/>
        <w:t>员</w:t>
      </w:r>
      <w:r>
        <w:rPr>
          <w:rFonts w:ascii="Times New Roman" w:hAnsi="Times New Roman" w:cs="Times New Roman" w:eastAsia="Times New Roman" w:hint="default"/>
        </w:rPr>
        <w:t>)</w:t>
      </w:r>
      <w:r>
        <w:rPr/>
        <w:t>钱瑜声明：保证年度报告中财务报告的真实、准确、完整。</w:t>
      </w:r>
      <w:r>
        <w:rPr>
          <w:b w:val="0"/>
          <w:bCs w:val="0"/>
        </w:rPr>
      </w:r>
    </w:p>
    <w:p>
      <w:pPr>
        <w:pStyle w:val="Heading2"/>
        <w:spacing w:line="355" w:lineRule="auto" w:before="133"/>
        <w:ind w:left="714" w:right="1033"/>
        <w:jc w:val="left"/>
        <w:rPr>
          <w:b w:val="0"/>
          <w:bCs w:val="0"/>
        </w:rPr>
      </w:pPr>
      <w:r>
        <w:rPr/>
        <w:t>所有董事均已出席了审议本报告的董事会会议。</w:t>
      </w:r>
      <w:r>
        <w:rPr>
          <w:spacing w:val="-48"/>
        </w:rPr>
        <w:t> </w:t>
      </w:r>
      <w:r>
        <w:rPr>
          <w:spacing w:val="-48"/>
        </w:rPr>
      </w:r>
      <w:r>
        <w:rPr>
          <w:spacing w:val="2"/>
        </w:rPr>
        <w:t>年报中涉及的未来经营计划是公司基于目前的行业、市场环境制定的公司</w:t>
      </w:r>
      <w:r>
        <w:rPr>
          <w:b w:val="0"/>
          <w:bCs w:val="0"/>
          <w:spacing w:val="2"/>
        </w:rPr>
      </w:r>
    </w:p>
    <w:p>
      <w:pPr>
        <w:pStyle w:val="Heading2"/>
        <w:spacing w:line="446" w:lineRule="exact"/>
        <w:ind w:right="1033"/>
        <w:jc w:val="left"/>
        <w:rPr>
          <w:b w:val="0"/>
          <w:bCs w:val="0"/>
        </w:rPr>
      </w:pPr>
      <w:r>
        <w:rPr>
          <w:spacing w:val="2"/>
        </w:rPr>
        <w:t>战略发展规划及业绩预测，并不构成业绩承诺，敬请投资者保持足够的风险意</w:t>
      </w:r>
      <w:r>
        <w:rPr>
          <w:b w:val="0"/>
          <w:bCs w:val="0"/>
          <w:spacing w:val="2"/>
        </w:rPr>
      </w:r>
    </w:p>
    <w:p>
      <w:pPr>
        <w:pStyle w:val="Heading2"/>
        <w:spacing w:line="240" w:lineRule="auto" w:before="136"/>
        <w:ind w:right="1033"/>
        <w:jc w:val="left"/>
        <w:rPr>
          <w:b w:val="0"/>
          <w:bCs w:val="0"/>
        </w:rPr>
      </w:pPr>
      <w:r>
        <w:rPr/>
        <w:t>识，并且应当理解计划、预测与承诺之间的差异。</w:t>
      </w:r>
      <w:r>
        <w:rPr>
          <w:b w:val="0"/>
          <w:bCs w:val="0"/>
        </w:rPr>
      </w:r>
    </w:p>
    <w:p>
      <w:pPr>
        <w:spacing w:after="0" w:line="240" w:lineRule="auto"/>
        <w:jc w:val="left"/>
        <w:sectPr>
          <w:footerReference w:type="default" r:id="rId8"/>
          <w:pgSz w:w="11910" w:h="16840"/>
          <w:pgMar w:footer="979" w:header="745" w:top="1060" w:bottom="1160" w:left="980" w:right="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6"/>
        <w:rPr>
          <w:rFonts w:ascii="Microsoft JhengHei" w:hAnsi="Microsoft JhengHei" w:cs="Microsoft JhengHei" w:eastAsia="Microsoft JhengHei" w:hint="default"/>
          <w:b/>
          <w:bCs/>
          <w:sz w:val="14"/>
          <w:szCs w:val="14"/>
        </w:rPr>
      </w:pPr>
    </w:p>
    <w:p>
      <w:pPr>
        <w:pStyle w:val="Heading4"/>
        <w:spacing w:line="367" w:lineRule="exact"/>
        <w:ind w:left="513" w:right="1033"/>
        <w:jc w:val="left"/>
        <w:rPr>
          <w:b w:val="0"/>
          <w:bCs w:val="0"/>
        </w:rPr>
      </w:pPr>
      <w:r>
        <w:rPr/>
        <w:t>本公司请投资者认真阅读本年度报告全文，并特别注意下列风险因素：</w:t>
      </w:r>
      <w:r>
        <w:rPr>
          <w:b w:val="0"/>
          <w:bCs w:val="0"/>
        </w:rPr>
      </w:r>
    </w:p>
    <w:p>
      <w:pPr>
        <w:pStyle w:val="BodyText"/>
        <w:spacing w:line="357" w:lineRule="auto" w:before="62"/>
        <w:ind w:left="513" w:right="1033"/>
        <w:jc w:val="left"/>
      </w:pPr>
      <w:r>
        <w:rPr>
          <w:rFonts w:ascii="Arial" w:hAnsi="Arial" w:cs="Arial" w:eastAsia="Arial" w:hint="default"/>
          <w:b/>
          <w:bCs/>
        </w:rPr>
        <w:t>1</w:t>
      </w:r>
      <w:r>
        <w:rPr>
          <w:rFonts w:ascii="Microsoft JhengHei" w:hAnsi="Microsoft JhengHei" w:cs="Microsoft JhengHei" w:eastAsia="Microsoft JhengHei" w:hint="default"/>
          <w:b/>
          <w:bCs/>
        </w:rPr>
        <w:t>、政策法规及行业风险 </w:t>
      </w:r>
      <w:r>
        <w:rPr/>
        <w:t>随着信息技术在支付领域得到广泛的应用，支付基础设施建设取得了重大发展，非现金支付工具日益普及且创新不断，</w:t>
      </w:r>
    </w:p>
    <w:p>
      <w:pPr>
        <w:pStyle w:val="BodyText"/>
        <w:spacing w:line="224" w:lineRule="exact"/>
        <w:ind w:right="0"/>
        <w:jc w:val="both"/>
      </w:pPr>
      <w:r>
        <w:rPr/>
        <w:t>支付服务环境大幅改善，有效支持了实体经济的发展和满足了人民对美好生活的愿望。由于电子支付业务的类金融属性，其</w:t>
      </w:r>
    </w:p>
    <w:p>
      <w:pPr>
        <w:pStyle w:val="BodyText"/>
        <w:spacing w:line="316" w:lineRule="auto" w:before="76"/>
        <w:ind w:right="1130"/>
        <w:jc w:val="both"/>
      </w:pPr>
      <w:r>
        <w:rPr>
          <w:spacing w:val="-2"/>
        </w:rPr>
        <w:t>合法合规开展，对我国金融体系的安全有着重要影响。因此，电子支付服务业务主体、业务全流程一直以来都是行业监管机</w:t>
      </w:r>
      <w:r>
        <w:rPr>
          <w:spacing w:val="-64"/>
        </w:rPr>
        <w:t> </w:t>
      </w:r>
      <w:r>
        <w:rPr>
          <w:spacing w:val="-64"/>
        </w:rPr>
      </w:r>
      <w:r>
        <w:rPr>
          <w:spacing w:val="-2"/>
        </w:rPr>
        <w:t>构重点监控的范围。近几年严监管成为支付市场的主旋律，对电子支付行业从参与主体、业务流程、交易权限等方面进行了</w:t>
      </w:r>
      <w:r>
        <w:rPr>
          <w:spacing w:val="-65"/>
        </w:rPr>
        <w:t> </w:t>
      </w:r>
      <w:r>
        <w:rPr>
          <w:spacing w:val="-65"/>
        </w:rPr>
      </w:r>
      <w:r>
        <w:rPr/>
        <w:t>全方位的规定，对行业产生了深远影响。</w:t>
      </w:r>
    </w:p>
    <w:p>
      <w:pPr>
        <w:pStyle w:val="BodyText"/>
        <w:spacing w:line="316" w:lineRule="auto" w:before="119"/>
        <w:ind w:right="1134" w:firstLine="360"/>
        <w:jc w:val="both"/>
      </w:pPr>
      <w:r>
        <w:rPr>
          <w:spacing w:val="-2"/>
        </w:rPr>
        <w:t>针对该风险，公司将积极学习跟进行业监管政策，研究行业发展趋势，坚持电子支付安全、金融体系安全，加强公司相</w:t>
      </w:r>
      <w:r>
        <w:rPr/>
        <w:t> 关业务的流程控制的合规管理，积极应对行业监管给行业发展带来的新变化、新机遇和新挑战。</w:t>
      </w:r>
    </w:p>
    <w:p>
      <w:pPr>
        <w:spacing w:line="357" w:lineRule="auto" w:before="63"/>
        <w:ind w:left="513" w:right="1033" w:firstLine="0"/>
        <w:jc w:val="left"/>
        <w:rPr>
          <w:rFonts w:ascii="宋体" w:hAnsi="宋体" w:cs="宋体" w:eastAsia="宋体" w:hint="default"/>
          <w:sz w:val="18"/>
          <w:szCs w:val="18"/>
        </w:rPr>
      </w:pPr>
      <w:r>
        <w:rPr>
          <w:rFonts w:ascii="Arial" w:hAnsi="Arial" w:cs="Arial" w:eastAsia="Arial" w:hint="default"/>
          <w:b/>
          <w:bCs/>
          <w:sz w:val="18"/>
          <w:szCs w:val="18"/>
        </w:rPr>
        <w:t>2</w:t>
      </w:r>
      <w:r>
        <w:rPr>
          <w:rFonts w:ascii="Microsoft JhengHei" w:hAnsi="Microsoft JhengHei" w:cs="Microsoft JhengHei" w:eastAsia="Microsoft JhengHei" w:hint="default"/>
          <w:b/>
          <w:bCs/>
          <w:sz w:val="18"/>
          <w:szCs w:val="18"/>
        </w:rPr>
        <w:t>、兼并收购带来的财务风险、商誉减值风险以及其它风险</w:t>
      </w:r>
      <w:r>
        <w:rPr>
          <w:rFonts w:ascii="Microsoft JhengHei" w:hAnsi="Microsoft JhengHei" w:cs="Microsoft JhengHei" w:eastAsia="Microsoft JhengHei" w:hint="default"/>
          <w:b/>
          <w:bCs/>
          <w:spacing w:val="-39"/>
          <w:sz w:val="18"/>
          <w:szCs w:val="18"/>
        </w:rPr>
        <w:t> </w:t>
      </w:r>
      <w:r>
        <w:rPr>
          <w:rFonts w:ascii="Microsoft JhengHei" w:hAnsi="Microsoft JhengHei" w:cs="Microsoft JhengHei" w:eastAsia="Microsoft JhengHei" w:hint="default"/>
          <w:b/>
          <w:bCs/>
          <w:spacing w:val="-39"/>
          <w:sz w:val="18"/>
          <w:szCs w:val="18"/>
        </w:rPr>
      </w:r>
      <w:r>
        <w:rPr>
          <w:rFonts w:ascii="宋体" w:hAnsi="宋体" w:cs="宋体" w:eastAsia="宋体" w:hint="default"/>
          <w:spacing w:val="-2"/>
          <w:sz w:val="18"/>
          <w:szCs w:val="18"/>
        </w:rPr>
        <w:t>基于战略发展需要，公司近几年来通过兼并收购等方式获得技术、资源和新市场，同时也增大了财务压力和增加了财务</w:t>
      </w:r>
    </w:p>
    <w:p>
      <w:pPr>
        <w:pStyle w:val="BodyText"/>
        <w:spacing w:line="224" w:lineRule="exact"/>
        <w:ind w:right="0"/>
        <w:jc w:val="both"/>
      </w:pPr>
      <w:r>
        <w:rPr/>
        <w:t>风险，这对公司财务管理、投后管理和风险控制提出了更高的要求。兼并收购带来的财务风险主要包括不限于对被并购企业</w:t>
      </w:r>
    </w:p>
    <w:p>
      <w:pPr>
        <w:pStyle w:val="BodyText"/>
        <w:spacing w:line="316" w:lineRule="auto" w:before="76"/>
        <w:ind w:right="1132"/>
        <w:jc w:val="both"/>
      </w:pPr>
      <w:r>
        <w:rPr>
          <w:spacing w:val="-2"/>
        </w:rPr>
        <w:t>价值评估不当的定价风险、为支付并购资金的融资风险以及交易完成后对被并购企业的业务整合等其它风险。同时，在整体</w:t>
      </w:r>
      <w:r>
        <w:rPr>
          <w:spacing w:val="-66"/>
        </w:rPr>
        <w:t> </w:t>
      </w:r>
      <w:r>
        <w:rPr>
          <w:spacing w:val="-66"/>
        </w:rPr>
      </w:r>
      <w:r>
        <w:rPr>
          <w:spacing w:val="-2"/>
        </w:rPr>
        <w:t>经济增长压力较大的环境下，被并购企业经营及盈利状况不达预期风险也相应增大，兼并收购中产生的商誉也将面临计提减</w:t>
      </w:r>
      <w:r>
        <w:rPr>
          <w:spacing w:val="-64"/>
        </w:rPr>
        <w:t> </w:t>
      </w:r>
      <w:r>
        <w:rPr>
          <w:spacing w:val="-64"/>
        </w:rPr>
      </w:r>
      <w:r>
        <w:rPr/>
        <w:t>值的压力，从而造成影响上市公司当期盈利业绩之风险。</w:t>
      </w:r>
    </w:p>
    <w:p>
      <w:pPr>
        <w:pStyle w:val="BodyText"/>
        <w:spacing w:line="319" w:lineRule="auto" w:before="119"/>
        <w:ind w:right="1130" w:firstLine="360"/>
        <w:jc w:val="both"/>
      </w:pPr>
      <w:r>
        <w:rPr>
          <w:spacing w:val="-2"/>
        </w:rPr>
        <w:t>针对这些风险，公司将增强财务管理团队，建立更加严格的风险控制体系；审慎选择并购标的，加强对其尽职调查降低</w:t>
      </w:r>
      <w:r>
        <w:rPr/>
        <w:t> </w:t>
      </w:r>
      <w:r>
        <w:rPr>
          <w:spacing w:val="-2"/>
        </w:rPr>
        <w:t>定价风险；及时采取多种方式融资以获得所需资金，避免过度负债以及期限错配等问题，根据实际情况选择自有资本、权益</w:t>
      </w:r>
      <w:r>
        <w:rPr>
          <w:spacing w:val="-65"/>
        </w:rPr>
        <w:t> </w:t>
      </w:r>
      <w:r>
        <w:rPr>
          <w:spacing w:val="-65"/>
        </w:rPr>
      </w:r>
      <w:r>
        <w:rPr>
          <w:spacing w:val="-2"/>
        </w:rPr>
        <w:t>资本和债务资本，降低融资风险，合理选择支付方式、时间及数量降低偿债风险；对于被并购企业实现战略整合、人力资源</w:t>
      </w:r>
      <w:r>
        <w:rPr>
          <w:spacing w:val="-67"/>
        </w:rPr>
        <w:t> </w:t>
      </w:r>
      <w:r>
        <w:rPr>
          <w:spacing w:val="-67"/>
        </w:rPr>
      </w:r>
      <w:r>
        <w:rPr/>
        <w:t>整合、文化整合和财务管理体系的整合，达到整合后企业价值最大化的目标。</w:t>
      </w:r>
    </w:p>
    <w:p>
      <w:pPr>
        <w:spacing w:line="357" w:lineRule="auto" w:before="60"/>
        <w:ind w:left="513" w:right="1033" w:firstLine="0"/>
        <w:jc w:val="left"/>
        <w:rPr>
          <w:rFonts w:ascii="宋体" w:hAnsi="宋体" w:cs="宋体" w:eastAsia="宋体" w:hint="default"/>
          <w:sz w:val="18"/>
          <w:szCs w:val="18"/>
        </w:rPr>
      </w:pPr>
      <w:r>
        <w:rPr>
          <w:rFonts w:ascii="Arial" w:hAnsi="Arial" w:cs="Arial" w:eastAsia="Arial" w:hint="default"/>
          <w:b/>
          <w:bCs/>
          <w:sz w:val="18"/>
          <w:szCs w:val="18"/>
        </w:rPr>
        <w:t>3</w:t>
      </w:r>
      <w:r>
        <w:rPr>
          <w:rFonts w:ascii="Microsoft JhengHei" w:hAnsi="Microsoft JhengHei" w:cs="Microsoft JhengHei" w:eastAsia="Microsoft JhengHei" w:hint="default"/>
          <w:b/>
          <w:bCs/>
          <w:sz w:val="18"/>
          <w:szCs w:val="18"/>
        </w:rPr>
        <w:t>、产品、技术和服务等不能满足市场需求的风险</w:t>
      </w:r>
      <w:r>
        <w:rPr>
          <w:rFonts w:ascii="Microsoft JhengHei" w:hAnsi="Microsoft JhengHei" w:cs="Microsoft JhengHei" w:eastAsia="Microsoft JhengHei" w:hint="default"/>
          <w:b/>
          <w:bCs/>
          <w:spacing w:val="-43"/>
          <w:sz w:val="18"/>
          <w:szCs w:val="18"/>
        </w:rPr>
        <w:t> </w:t>
      </w:r>
      <w:r>
        <w:rPr>
          <w:rFonts w:ascii="Microsoft JhengHei" w:hAnsi="Microsoft JhengHei" w:cs="Microsoft JhengHei" w:eastAsia="Microsoft JhengHei" w:hint="default"/>
          <w:b/>
          <w:bCs/>
          <w:spacing w:val="-43"/>
          <w:sz w:val="18"/>
          <w:szCs w:val="18"/>
        </w:rPr>
      </w:r>
      <w:r>
        <w:rPr>
          <w:rFonts w:ascii="宋体" w:hAnsi="宋体" w:cs="宋体" w:eastAsia="宋体" w:hint="default"/>
          <w:spacing w:val="-2"/>
          <w:sz w:val="18"/>
          <w:szCs w:val="18"/>
        </w:rPr>
        <w:t>公司已经积极开展基于移动互联网的产品、技术和服务的创新探索，但由于电子支付行业、数据服务以及生物识别产品</w:t>
      </w:r>
    </w:p>
    <w:p>
      <w:pPr>
        <w:pStyle w:val="BodyText"/>
        <w:spacing w:line="224" w:lineRule="exact"/>
        <w:ind w:right="0"/>
        <w:jc w:val="both"/>
      </w:pPr>
      <w:r>
        <w:rPr/>
        <w:t>应用等业务本身具备的复杂程度，以及行业高速发展带来的行业迭代加速，业务需求及发展的试错成本越来越高。加之这些</w:t>
      </w:r>
    </w:p>
    <w:p>
      <w:pPr>
        <w:pStyle w:val="BodyText"/>
        <w:spacing w:line="316" w:lineRule="auto" w:before="76"/>
        <w:ind w:right="1131"/>
        <w:jc w:val="both"/>
      </w:pPr>
      <w:r>
        <w:rPr/>
        <w:t>业务目前都面临着商业模式上的创新，在数字经济和</w:t>
      </w:r>
      <w:r>
        <w:rPr>
          <w:spacing w:val="-42"/>
        </w:rPr>
        <w:t> </w:t>
      </w:r>
      <w:r>
        <w:rPr>
          <w:rFonts w:ascii="宋体" w:hAnsi="宋体" w:cs="宋体" w:eastAsia="宋体" w:hint="default"/>
        </w:rPr>
        <w:t>5G</w:t>
      </w:r>
      <w:r>
        <w:rPr>
          <w:rFonts w:ascii="宋体" w:hAnsi="宋体" w:cs="宋体" w:eastAsia="宋体" w:hint="default"/>
          <w:spacing w:val="-41"/>
        </w:rPr>
        <w:t> </w:t>
      </w:r>
      <w:r>
        <w:rPr/>
        <w:t>通信新时代下，公司需要进行不断的探索和研究，这导致公司现有 产品、技术和服务的创新速度可能跟不上市场的变化，无法满足市场需求，导致公司的盈利能力低于预期。</w:t>
      </w:r>
    </w:p>
    <w:p>
      <w:pPr>
        <w:pStyle w:val="BodyText"/>
        <w:spacing w:line="316" w:lineRule="auto" w:before="119"/>
        <w:ind w:right="1130" w:firstLine="360"/>
        <w:jc w:val="both"/>
      </w:pPr>
      <w:r>
        <w:rPr>
          <w:spacing w:val="-2"/>
        </w:rPr>
        <w:t>针对该风险，公司将采取积极引进高端人才的策略，尤其是引进有过行业经验和成功案例的优秀人才，加大在新兴技术</w:t>
      </w:r>
      <w:r>
        <w:rPr/>
        <w:t> </w:t>
      </w:r>
      <w:r>
        <w:rPr>
          <w:spacing w:val="-2"/>
        </w:rPr>
        <w:t>领域的研发投入，充分洞察行业发展趋势和调研市场需求，以及积极寻找在公司战略布局领域拥有较高市场份额和商业模式</w:t>
      </w:r>
      <w:r>
        <w:rPr>
          <w:spacing w:val="-64"/>
        </w:rPr>
        <w:t> </w:t>
      </w:r>
      <w:r>
        <w:rPr>
          <w:spacing w:val="-64"/>
        </w:rPr>
      </w:r>
      <w:r>
        <w:rPr/>
        <w:t>已获得市场验证的可并购标的，以提高公司对未来市场机会的把握能力。</w:t>
      </w:r>
    </w:p>
    <w:p>
      <w:pPr>
        <w:spacing w:line="357" w:lineRule="auto" w:before="63"/>
        <w:ind w:left="513" w:right="1033" w:firstLine="0"/>
        <w:jc w:val="left"/>
        <w:rPr>
          <w:rFonts w:ascii="宋体" w:hAnsi="宋体" w:cs="宋体" w:eastAsia="宋体" w:hint="default"/>
          <w:sz w:val="18"/>
          <w:szCs w:val="18"/>
        </w:rPr>
      </w:pPr>
      <w:r>
        <w:rPr>
          <w:rFonts w:ascii="Arial" w:hAnsi="Arial" w:cs="Arial" w:eastAsia="Arial" w:hint="default"/>
          <w:b/>
          <w:bCs/>
          <w:sz w:val="18"/>
          <w:szCs w:val="18"/>
        </w:rPr>
        <w:t>4</w:t>
      </w:r>
      <w:r>
        <w:rPr>
          <w:rFonts w:ascii="Microsoft JhengHei" w:hAnsi="Microsoft JhengHei" w:cs="Microsoft JhengHei" w:eastAsia="Microsoft JhengHei" w:hint="default"/>
          <w:b/>
          <w:bCs/>
          <w:sz w:val="18"/>
          <w:szCs w:val="18"/>
        </w:rPr>
        <w:t>、战略转型进度低于预期甚至失败的风险 </w:t>
      </w:r>
      <w:r>
        <w:rPr>
          <w:rFonts w:ascii="宋体" w:hAnsi="宋体" w:cs="宋体" w:eastAsia="宋体" w:hint="default"/>
          <w:spacing w:val="-2"/>
          <w:sz w:val="18"/>
          <w:szCs w:val="18"/>
        </w:rPr>
        <w:t>公司原有业务是以电子支付终端研发、生产和销售业务为主，通过近几年的内生孵化和外延并购进行了产业链上下游拓</w:t>
      </w:r>
    </w:p>
    <w:p>
      <w:pPr>
        <w:pStyle w:val="BodyText"/>
        <w:spacing w:line="224" w:lineRule="exact"/>
        <w:ind w:right="0"/>
        <w:jc w:val="both"/>
      </w:pPr>
      <w:r>
        <w:rPr/>
        <w:t>展和新兴技术储备。在各种因素影响下，公司存在战略落地速度、效率和质量可能低于预期，甚至战略转型失败的风险。对</w:t>
      </w:r>
    </w:p>
    <w:p>
      <w:pPr>
        <w:pStyle w:val="BodyText"/>
        <w:spacing w:line="316" w:lineRule="auto" w:before="76"/>
        <w:ind w:right="1033"/>
        <w:jc w:val="left"/>
      </w:pPr>
      <w:r>
        <w:rPr>
          <w:spacing w:val="-2"/>
        </w:rPr>
        <w:t>于传统企业而言，开拓创新盈利模式是一条切实可行但并不好走的转型路径，不仅需要管理层对行业发展和商业机会有较敏</w:t>
      </w:r>
      <w:r>
        <w:rPr>
          <w:spacing w:val="-64"/>
        </w:rPr>
        <w:t> </w:t>
      </w:r>
      <w:r>
        <w:rPr>
          <w:spacing w:val="-64"/>
        </w:rPr>
      </w:r>
      <w:r>
        <w:rPr>
          <w:spacing w:val="-2"/>
        </w:rPr>
        <w:t>锐的洞察力和积极的行动力，还需要做好多年持续为新兴业务发展提供资金及资源投入的准备，然而这些资金和资源投入不</w:t>
      </w:r>
      <w:r>
        <w:rPr>
          <w:spacing w:val="-64"/>
        </w:rPr>
        <w:t> </w:t>
      </w:r>
      <w:r>
        <w:rPr>
          <w:spacing w:val="-64"/>
        </w:rPr>
      </w:r>
      <w:r>
        <w:rPr>
          <w:spacing w:val="-2"/>
        </w:rPr>
        <w:t>仅会影响当期利润而且最终公司可能也将面临新兴业务孵化不成功的结果。开创新盈利模式需要充分利用公司已积累的行业</w:t>
      </w:r>
      <w:r>
        <w:rPr>
          <w:spacing w:val="-64"/>
        </w:rPr>
        <w:t> </w:t>
      </w:r>
      <w:r>
        <w:rPr>
          <w:spacing w:val="-64"/>
        </w:rPr>
      </w:r>
      <w:r>
        <w:rPr/>
        <w:t>经验和资源，围绕产业链相关环节与领域延伸布局。在产业发展革新的大环境中，只有通过积极研发且有效应用新兴技术， 公司才能抓住行业变革所带来的机会，提升商业模式，增加公司盈利能力。</w:t>
      </w:r>
    </w:p>
    <w:p>
      <w:pPr>
        <w:pStyle w:val="BodyText"/>
        <w:spacing w:line="319" w:lineRule="auto" w:before="119"/>
        <w:ind w:right="1130" w:firstLine="360"/>
        <w:jc w:val="both"/>
      </w:pPr>
      <w:r>
        <w:rPr>
          <w:spacing w:val="-2"/>
        </w:rPr>
        <w:t>针对此风险，公司管理层深知战略转型并不能一蹴而就，做好了长期的准备，根据业务重心和商业模式调整着手管理架</w:t>
      </w:r>
      <w:r>
        <w:rPr/>
        <w:t> </w:t>
      </w:r>
      <w:r>
        <w:rPr>
          <w:spacing w:val="-2"/>
        </w:rPr>
        <w:t>构的变革和重塑，新经济新模式下相关人力资源的储备，保持适合自身情况的稳步战略布局节奏，以及进行相应资金、资源</w:t>
      </w:r>
      <w:r>
        <w:rPr>
          <w:spacing w:val="-64"/>
        </w:rPr>
        <w:t> </w:t>
      </w:r>
      <w:r>
        <w:rPr>
          <w:spacing w:val="-64"/>
        </w:rPr>
      </w:r>
      <w:r>
        <w:rPr/>
        <w:t>的储备。</w:t>
      </w:r>
    </w:p>
    <w:p>
      <w:pPr>
        <w:spacing w:line="357" w:lineRule="auto" w:before="60"/>
        <w:ind w:left="513" w:right="1033" w:firstLine="0"/>
        <w:jc w:val="left"/>
        <w:rPr>
          <w:rFonts w:ascii="宋体" w:hAnsi="宋体" w:cs="宋体" w:eastAsia="宋体" w:hint="default"/>
          <w:sz w:val="18"/>
          <w:szCs w:val="18"/>
        </w:rPr>
      </w:pPr>
      <w:r>
        <w:rPr>
          <w:rFonts w:ascii="Arial" w:hAnsi="Arial" w:cs="Arial" w:eastAsia="Arial" w:hint="default"/>
          <w:b/>
          <w:bCs/>
          <w:sz w:val="18"/>
          <w:szCs w:val="18"/>
        </w:rPr>
        <w:t>5</w:t>
      </w:r>
      <w:r>
        <w:rPr>
          <w:rFonts w:ascii="Microsoft JhengHei" w:hAnsi="Microsoft JhengHei" w:cs="Microsoft JhengHei" w:eastAsia="Microsoft JhengHei" w:hint="default"/>
          <w:b/>
          <w:bCs/>
          <w:sz w:val="18"/>
          <w:szCs w:val="18"/>
        </w:rPr>
        <w:t>、管理团队不能适应公司发展需求的风险 </w:t>
      </w:r>
      <w:r>
        <w:rPr>
          <w:rFonts w:ascii="宋体" w:hAnsi="宋体" w:cs="宋体" w:eastAsia="宋体" w:hint="default"/>
          <w:spacing w:val="-2"/>
          <w:sz w:val="18"/>
          <w:szCs w:val="18"/>
        </w:rPr>
        <w:t>公司未来的战略规划和业务发展将主要围绕新业务、新服务和新技术及海外市场开展，但公司现有中高层管理人员、员</w:t>
      </w:r>
    </w:p>
    <w:p>
      <w:pPr>
        <w:spacing w:after="0" w:line="357"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1"/>
        <w:jc w:val="both"/>
      </w:pPr>
      <w:r>
        <w:rPr>
          <w:spacing w:val="-2"/>
        </w:rPr>
        <w:t>工团队在这方面的储备和经验尚有不足，特别是在海外市场拓展中管理层将面临更多的风险和挑战，其中包括但不限于当地</w:t>
      </w:r>
      <w:r>
        <w:rPr>
          <w:spacing w:val="-64"/>
        </w:rPr>
        <w:t> </w:t>
      </w:r>
      <w:r>
        <w:rPr>
          <w:spacing w:val="-64"/>
        </w:rPr>
      </w:r>
      <w:r>
        <w:rPr>
          <w:spacing w:val="-2"/>
        </w:rPr>
        <w:t>政治经济局势稳定性、当地法律税务等监管政策要求、当地商业文化差异和客户信用及外汇波动等因素带来对业务及公司利</w:t>
      </w:r>
      <w:r>
        <w:rPr>
          <w:spacing w:val="-64"/>
        </w:rPr>
        <w:t> </w:t>
      </w:r>
      <w:r>
        <w:rPr>
          <w:spacing w:val="-64"/>
        </w:rPr>
      </w:r>
      <w:r>
        <w:rPr>
          <w:spacing w:val="-2"/>
        </w:rPr>
        <w:t>润的影响。人才是公司未来战略实施的核心要素，因此，公司如果不能迅速培养或成功引入更多优秀的管理人才，则有可能</w:t>
      </w:r>
      <w:r>
        <w:rPr>
          <w:spacing w:val="-64"/>
        </w:rPr>
        <w:t> </w:t>
      </w:r>
      <w:r>
        <w:rPr>
          <w:spacing w:val="-64"/>
        </w:rPr>
      </w:r>
      <w:r>
        <w:rPr/>
        <w:t>导致公司业务发展无法突破现有瓶颈和无法很好识别及防范风险发生。</w:t>
      </w:r>
    </w:p>
    <w:p>
      <w:pPr>
        <w:pStyle w:val="BodyText"/>
        <w:spacing w:line="316" w:lineRule="auto" w:before="119"/>
        <w:ind w:right="1051" w:firstLine="360"/>
        <w:jc w:val="both"/>
      </w:pPr>
      <w:r>
        <w:rPr/>
        <w:t>针对该风险，公司已经开始根据业务需求，有意识的进行人才结构优化工作，调整岗位，裁汰冗员，并通过主动收购， 吸收优秀的业务团队加入，逐步为公司的管理团队引入更为适当的人才队伍。</w:t>
      </w:r>
    </w:p>
    <w:p>
      <w:pPr>
        <w:pStyle w:val="Heading7"/>
        <w:spacing w:line="240" w:lineRule="auto" w:before="60"/>
        <w:ind w:left="513" w:right="1033"/>
        <w:jc w:val="left"/>
        <w:rPr>
          <w:b w:val="0"/>
          <w:bCs w:val="0"/>
        </w:rPr>
      </w:pPr>
      <w:r>
        <w:rPr>
          <w:rFonts w:ascii="Arial" w:hAnsi="Arial" w:cs="Arial" w:eastAsia="Arial" w:hint="default"/>
        </w:rPr>
        <w:t>6</w:t>
      </w:r>
      <w:r>
        <w:rPr/>
        <w:t>、关于发起设立保险公司的运营风险</w:t>
      </w:r>
      <w:r>
        <w:rPr>
          <w:b w:val="0"/>
          <w:bCs w:val="0"/>
        </w:rPr>
      </w:r>
    </w:p>
    <w:p>
      <w:pPr>
        <w:pStyle w:val="BodyText"/>
        <w:spacing w:line="240" w:lineRule="auto" w:before="156"/>
        <w:ind w:left="513" w:right="1033"/>
        <w:jc w:val="left"/>
      </w:pPr>
      <w:r>
        <w:rPr>
          <w:rFonts w:ascii="宋体" w:hAnsi="宋体" w:cs="宋体" w:eastAsia="宋体" w:hint="default"/>
        </w:rPr>
        <w:t>2015</w:t>
      </w:r>
      <w:r>
        <w:rPr>
          <w:rFonts w:ascii="宋体" w:hAnsi="宋体" w:cs="宋体" w:eastAsia="宋体" w:hint="default"/>
          <w:spacing w:val="-53"/>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4"/>
        </w:rPr>
        <w:t> </w:t>
      </w:r>
      <w:r>
        <w:rPr/>
        <w:t>日，公司召开第三届董事会第十二次（临时）会议及第三届监事会第十二次会议审议通过《审议参与发</w:t>
      </w:r>
    </w:p>
    <w:p>
      <w:pPr>
        <w:pStyle w:val="BodyText"/>
        <w:spacing w:line="319" w:lineRule="auto" w:before="76"/>
        <w:ind w:right="1038"/>
        <w:jc w:val="left"/>
      </w:pPr>
      <w:r>
        <w:rPr>
          <w:spacing w:val="-4"/>
        </w:rPr>
        <w:t>起设立相互人寿保险公司（或组织）的议案》，公司出借自有资金</w:t>
      </w:r>
      <w:r>
        <w:rPr>
          <w:spacing w:val="-32"/>
        </w:rPr>
        <w:t> </w:t>
      </w:r>
      <w:r>
        <w:rPr>
          <w:rFonts w:ascii="宋体" w:hAnsi="宋体" w:cs="宋体" w:eastAsia="宋体" w:hint="default"/>
          <w:spacing w:val="-1"/>
        </w:rPr>
        <w:t>5,000</w:t>
      </w:r>
      <w:r>
        <w:rPr>
          <w:rFonts w:ascii="宋体" w:hAnsi="宋体" w:cs="宋体" w:eastAsia="宋体" w:hint="default"/>
          <w:spacing w:val="-30"/>
        </w:rPr>
        <w:t> </w:t>
      </w:r>
      <w:r>
        <w:rPr>
          <w:spacing w:val="-4"/>
        </w:rPr>
        <w:t>万元，参与发起设立相互人寿保险公司（或组织），</w:t>
      </w:r>
      <w:r>
        <w:rPr>
          <w:spacing w:val="-87"/>
        </w:rPr>
        <w:t> </w:t>
      </w:r>
      <w:r>
        <w:rPr>
          <w:spacing w:val="-87"/>
        </w:rPr>
      </w:r>
      <w:r>
        <w:rPr/>
        <w:t>出借资金后公司拟占相互人寿保险公司（或组织）初始运营资金的</w:t>
      </w:r>
      <w:r>
        <w:rPr>
          <w:spacing w:val="-52"/>
        </w:rPr>
        <w:t> </w:t>
      </w:r>
      <w:r>
        <w:rPr>
          <w:rFonts w:ascii="宋体" w:hAnsi="宋体" w:cs="宋体" w:eastAsia="宋体" w:hint="default"/>
          <w:spacing w:val="-4"/>
        </w:rPr>
        <w:t>5%</w:t>
      </w:r>
      <w:r>
        <w:rPr>
          <w:spacing w:val="-4"/>
        </w:rPr>
        <w:t>。</w:t>
      </w:r>
      <w:r>
        <w:rPr>
          <w:rFonts w:ascii="宋体" w:hAnsi="宋体" w:cs="宋体" w:eastAsia="宋体" w:hint="default"/>
          <w:spacing w:val="-4"/>
        </w:rPr>
        <w:t>2016</w:t>
      </w:r>
      <w:r>
        <w:rPr>
          <w:rFonts w:ascii="宋体" w:hAnsi="宋体" w:cs="宋体" w:eastAsia="宋体" w:hint="default"/>
          <w:spacing w:val="-51"/>
        </w:rPr>
        <w:t> </w:t>
      </w:r>
      <w:r>
        <w:rPr/>
        <w:t>年</w:t>
      </w:r>
      <w:r>
        <w:rPr>
          <w:spacing w:val="-55"/>
        </w:rPr>
        <w:t> </w:t>
      </w:r>
      <w:r>
        <w:rPr>
          <w:rFonts w:ascii="宋体" w:hAnsi="宋体" w:cs="宋体" w:eastAsia="宋体" w:hint="default"/>
        </w:rPr>
        <w:t>6</w:t>
      </w:r>
      <w:r>
        <w:rPr>
          <w:rFonts w:ascii="宋体" w:hAnsi="宋体" w:cs="宋体" w:eastAsia="宋体" w:hint="default"/>
          <w:spacing w:val="-52"/>
        </w:rPr>
        <w:t> </w:t>
      </w:r>
      <w:r>
        <w:rPr/>
        <w:t>月</w:t>
      </w:r>
      <w:r>
        <w:rPr>
          <w:spacing w:val="-55"/>
        </w:rPr>
        <w:t> </w:t>
      </w:r>
      <w:r>
        <w:rPr>
          <w:rFonts w:ascii="宋体" w:hAnsi="宋体" w:cs="宋体" w:eastAsia="宋体" w:hint="default"/>
        </w:rPr>
        <w:t>22</w:t>
      </w:r>
      <w:r>
        <w:rPr>
          <w:rFonts w:ascii="宋体" w:hAnsi="宋体" w:cs="宋体" w:eastAsia="宋体" w:hint="default"/>
          <w:spacing w:val="-51"/>
        </w:rPr>
        <w:t> </w:t>
      </w:r>
      <w:r>
        <w:rPr/>
        <w:t>日收到中国保险监督管理委员会《关 </w:t>
      </w:r>
      <w:r>
        <w:rPr>
          <w:spacing w:val="-4"/>
        </w:rPr>
        <w:t>于筹建信美人寿相互保险社的批复》（保监许可</w:t>
      </w:r>
      <w:r>
        <w:rPr>
          <w:rFonts w:ascii="宋体" w:hAnsi="宋体" w:cs="宋体" w:eastAsia="宋体" w:hint="default"/>
          <w:spacing w:val="-4"/>
        </w:rPr>
        <w:t>[2016]551</w:t>
      </w:r>
      <w:r>
        <w:rPr>
          <w:rFonts w:ascii="宋体" w:hAnsi="宋体" w:cs="宋体" w:eastAsia="宋体" w:hint="default"/>
          <w:spacing w:val="-27"/>
        </w:rPr>
        <w:t> </w:t>
      </w:r>
      <w:r>
        <w:rPr>
          <w:spacing w:val="-11"/>
        </w:rPr>
        <w:t>号），该保险公司于</w:t>
      </w:r>
      <w:r>
        <w:rPr>
          <w:spacing w:val="-29"/>
        </w:rPr>
        <w:t> </w:t>
      </w:r>
      <w:r>
        <w:rPr>
          <w:rFonts w:ascii="宋体" w:hAnsi="宋体" w:cs="宋体" w:eastAsia="宋体" w:hint="default"/>
        </w:rPr>
        <w:t>2017</w:t>
      </w:r>
      <w:r>
        <w:rPr>
          <w:rFonts w:ascii="宋体" w:hAnsi="宋体" w:cs="宋体" w:eastAsia="宋体" w:hint="default"/>
          <w:spacing w:val="-28"/>
        </w:rPr>
        <w:t> </w:t>
      </w:r>
      <w:r>
        <w:rPr/>
        <w:t>年</w:t>
      </w:r>
      <w:r>
        <w:rPr>
          <w:spacing w:val="-29"/>
        </w:rPr>
        <w:t> </w:t>
      </w:r>
      <w:r>
        <w:rPr>
          <w:rFonts w:ascii="宋体" w:hAnsi="宋体" w:cs="宋体" w:eastAsia="宋体" w:hint="default"/>
        </w:rPr>
        <w:t>5</w:t>
      </w:r>
      <w:r>
        <w:rPr>
          <w:rFonts w:ascii="宋体" w:hAnsi="宋体" w:cs="宋体" w:eastAsia="宋体" w:hint="default"/>
          <w:spacing w:val="-28"/>
        </w:rPr>
        <w:t> </w:t>
      </w:r>
      <w:r>
        <w:rPr>
          <w:spacing w:val="-1"/>
        </w:rPr>
        <w:t>月完成工商注册登记手续并取得营</w:t>
      </w:r>
      <w:r>
        <w:rPr>
          <w:spacing w:val="-78"/>
        </w:rPr>
        <w:t> </w:t>
      </w:r>
      <w:r>
        <w:rPr>
          <w:spacing w:val="-78"/>
        </w:rPr>
      </w:r>
      <w:r>
        <w:rPr>
          <w:spacing w:val="-2"/>
        </w:rPr>
        <w:t>业执照。由于在金融强监管背景下相关法律或监管规定发生变化，可能影响保险公司的正常运营，且相互保险模式在国内还</w:t>
      </w:r>
      <w:r>
        <w:rPr>
          <w:spacing w:val="-63"/>
        </w:rPr>
        <w:t> </w:t>
      </w:r>
      <w:r>
        <w:rPr>
          <w:spacing w:val="-63"/>
        </w:rPr>
      </w:r>
      <w:r>
        <w:rPr/>
        <w:t>处于前期发展阶段其盈利模式还未经市场充分验证，其投资收益有不达预期的风险。</w:t>
      </w:r>
    </w:p>
    <w:p>
      <w:pPr>
        <w:spacing w:line="357" w:lineRule="auto" w:before="60"/>
        <w:ind w:left="513" w:right="1033" w:firstLine="0"/>
        <w:jc w:val="left"/>
        <w:rPr>
          <w:rFonts w:ascii="宋体" w:hAnsi="宋体" w:cs="宋体" w:eastAsia="宋体" w:hint="default"/>
          <w:sz w:val="18"/>
          <w:szCs w:val="18"/>
        </w:rPr>
      </w:pPr>
      <w:r>
        <w:rPr>
          <w:rFonts w:ascii="Arial" w:hAnsi="Arial" w:cs="Arial" w:eastAsia="Arial" w:hint="default"/>
          <w:b/>
          <w:bCs/>
          <w:sz w:val="18"/>
          <w:szCs w:val="18"/>
        </w:rPr>
        <w:t>7</w:t>
      </w:r>
      <w:r>
        <w:rPr>
          <w:rFonts w:ascii="Microsoft JhengHei" w:hAnsi="Microsoft JhengHei" w:cs="Microsoft JhengHei" w:eastAsia="Microsoft JhengHei" w:hint="default"/>
          <w:b/>
          <w:bCs/>
          <w:sz w:val="18"/>
          <w:szCs w:val="18"/>
        </w:rPr>
        <w:t>、收购公信诚丰 </w:t>
      </w:r>
      <w:r>
        <w:rPr>
          <w:rFonts w:ascii="Arial" w:hAnsi="Arial" w:cs="Arial" w:eastAsia="Arial" w:hint="default"/>
          <w:b/>
          <w:bCs/>
          <w:sz w:val="18"/>
          <w:szCs w:val="18"/>
        </w:rPr>
        <w:t>100%</w:t>
      </w:r>
      <w:r>
        <w:rPr>
          <w:rFonts w:ascii="Microsoft JhengHei" w:hAnsi="Microsoft JhengHei" w:cs="Microsoft JhengHei" w:eastAsia="Microsoft JhengHei" w:hint="default"/>
          <w:b/>
          <w:bCs/>
          <w:sz w:val="18"/>
          <w:szCs w:val="18"/>
        </w:rPr>
        <w:t>股权的风险 </w:t>
      </w:r>
      <w:r>
        <w:rPr>
          <w:rFonts w:ascii="宋体" w:hAnsi="宋体" w:cs="宋体" w:eastAsia="宋体" w:hint="default"/>
          <w:spacing w:val="-2"/>
          <w:sz w:val="18"/>
          <w:szCs w:val="18"/>
        </w:rPr>
        <w:t>公信诚丰专注于提供基于大数据技术的数据审核服务，行业政策的变化、新客户的拓展均存在风险。公信诚丰存在客户</w:t>
      </w:r>
    </w:p>
    <w:p>
      <w:pPr>
        <w:pStyle w:val="BodyText"/>
        <w:spacing w:line="224" w:lineRule="exact"/>
        <w:ind w:right="0"/>
        <w:jc w:val="left"/>
      </w:pPr>
      <w:r>
        <w:rPr/>
        <w:t>集中度高、核心技术人员依赖性高、交易标的增值率较高的风险，虽然在近年的业绩对赌期里，公信诚丰业绩均成功完成了</w:t>
      </w:r>
    </w:p>
    <w:p>
      <w:pPr>
        <w:pStyle w:val="BodyText"/>
        <w:spacing w:line="240" w:lineRule="auto" w:before="76"/>
        <w:ind w:right="0"/>
        <w:jc w:val="left"/>
      </w:pPr>
      <w:r>
        <w:rPr/>
        <w:t>相应业绩对赌</w:t>
      </w:r>
      <w:r>
        <w:rPr>
          <w:spacing w:val="-87"/>
        </w:rPr>
        <w:t>，</w:t>
      </w:r>
      <w:r>
        <w:rPr/>
        <w:t>但不排除未来由于经营不善</w:t>
      </w:r>
      <w:r>
        <w:rPr>
          <w:spacing w:val="-87"/>
        </w:rPr>
        <w:t>、</w:t>
      </w:r>
      <w:r>
        <w:rPr/>
        <w:t>核心管理层离职或失去大客户订单等从而造成业绩下滑而带来的商誉减值风险。</w:t>
      </w:r>
    </w:p>
    <w:p>
      <w:pPr>
        <w:spacing w:line="240" w:lineRule="auto" w:before="7"/>
        <w:rPr>
          <w:rFonts w:ascii="宋体" w:hAnsi="宋体" w:cs="宋体" w:eastAsia="宋体" w:hint="default"/>
          <w:sz w:val="13"/>
          <w:szCs w:val="13"/>
        </w:rPr>
      </w:pPr>
    </w:p>
    <w:p>
      <w:pPr>
        <w:pStyle w:val="BodyText"/>
        <w:spacing w:line="319" w:lineRule="auto"/>
        <w:ind w:right="1128" w:firstLine="360"/>
        <w:jc w:val="both"/>
      </w:pPr>
      <w:r>
        <w:rPr>
          <w:spacing w:val="-2"/>
        </w:rPr>
        <w:t>针对此风险，公司通过向公信诚丰派驻董事、管理人员及财务人员，账户共管，针对核心技术人员签订保密协议及竞业</w:t>
      </w:r>
      <w:r>
        <w:rPr/>
        <w:t> 禁止协议等，以及通过重新设计激励方案和鼓励其开拓其它行业大客户等方式来降低风险。</w:t>
      </w:r>
    </w:p>
    <w:p>
      <w:pPr>
        <w:pStyle w:val="Heading7"/>
        <w:spacing w:line="240" w:lineRule="auto" w:before="60"/>
        <w:ind w:left="513" w:right="1033"/>
        <w:jc w:val="left"/>
        <w:rPr>
          <w:b w:val="0"/>
          <w:bCs w:val="0"/>
        </w:rPr>
      </w:pPr>
      <w:r>
        <w:rPr>
          <w:rFonts w:ascii="Arial" w:hAnsi="Arial" w:cs="Arial" w:eastAsia="Arial" w:hint="default"/>
          <w:w w:val="95"/>
        </w:rPr>
        <w:t>8</w:t>
      </w:r>
      <w:r>
        <w:rPr>
          <w:w w:val="95"/>
        </w:rPr>
        <w:t>、收购嘉联支付</w:t>
      </w:r>
      <w:r>
        <w:rPr>
          <w:spacing w:val="39"/>
          <w:w w:val="95"/>
        </w:rPr>
        <w:t> </w:t>
      </w:r>
      <w:r>
        <w:rPr>
          <w:rFonts w:ascii="Arial" w:hAnsi="Arial" w:cs="Arial" w:eastAsia="Arial" w:hint="default"/>
          <w:w w:val="95"/>
        </w:rPr>
        <w:t>100%</w:t>
      </w:r>
      <w:r>
        <w:rPr>
          <w:w w:val="95"/>
        </w:rPr>
        <w:t>股权的风险</w:t>
      </w:r>
      <w:r>
        <w:rPr>
          <w:b w:val="0"/>
          <w:bCs w:val="0"/>
          <w:w w:val="95"/>
        </w:rPr>
      </w:r>
    </w:p>
    <w:p>
      <w:pPr>
        <w:pStyle w:val="BodyText"/>
        <w:spacing w:line="316" w:lineRule="auto" w:before="154"/>
        <w:ind w:right="1135" w:firstLine="360"/>
        <w:jc w:val="both"/>
      </w:pPr>
      <w:r>
        <w:rPr/>
        <w:t>收购嘉联支付</w:t>
      </w:r>
      <w:r>
        <w:rPr>
          <w:spacing w:val="2"/>
        </w:rPr>
        <w:t> </w:t>
      </w:r>
      <w:r>
        <w:rPr>
          <w:rFonts w:ascii="宋体" w:hAnsi="宋体" w:cs="宋体" w:eastAsia="宋体" w:hint="default"/>
        </w:rPr>
        <w:t>100%</w:t>
      </w:r>
      <w:r>
        <w:rPr/>
        <w:t>股权存在市场竞争风险、业务风险、商誉减值风险、后期整合未达预期效果风险、人才流失风险、 政策监管风险和对现有支付终端业务产生负面影响等风险。</w:t>
      </w:r>
    </w:p>
    <w:p>
      <w:pPr>
        <w:pStyle w:val="BodyText"/>
        <w:spacing w:line="316" w:lineRule="auto" w:before="119"/>
        <w:ind w:right="1130" w:firstLine="360"/>
        <w:jc w:val="both"/>
      </w:pPr>
      <w:r>
        <w:rPr>
          <w:spacing w:val="-2"/>
        </w:rPr>
        <w:t>对于并购嘉联支付的相关风险，公司会加强投后整合管理工作，完善和有效实施公司内控制度，及时认真学习和积极落</w:t>
      </w:r>
      <w:r>
        <w:rPr/>
        <w:t> </w:t>
      </w:r>
      <w:r>
        <w:rPr>
          <w:spacing w:val="-2"/>
        </w:rPr>
        <w:t>实监管政策，并且把合规运营放在首位；为嘉联支付管理层及核心骨干提供有效激励方案，以及在业务上加强双方主体在产</w:t>
      </w:r>
      <w:r>
        <w:rPr>
          <w:spacing w:val="-63"/>
        </w:rPr>
        <w:t> </w:t>
      </w:r>
      <w:r>
        <w:rPr>
          <w:spacing w:val="-63"/>
        </w:rPr>
      </w:r>
      <w:r>
        <w:rPr/>
        <w:t>业链上协同效应从而真正突显出产业链整合的红利，增强公司的盈利能力和抗风险能力。</w:t>
      </w:r>
    </w:p>
    <w:p>
      <w:pPr>
        <w:spacing w:line="357" w:lineRule="auto" w:before="62"/>
        <w:ind w:left="513" w:right="1033" w:firstLine="0"/>
        <w:jc w:val="left"/>
        <w:rPr>
          <w:rFonts w:ascii="宋体" w:hAnsi="宋体" w:cs="宋体" w:eastAsia="宋体" w:hint="default"/>
          <w:sz w:val="18"/>
          <w:szCs w:val="18"/>
        </w:rPr>
      </w:pPr>
      <w:r>
        <w:rPr>
          <w:rFonts w:ascii="Arial" w:hAnsi="Arial" w:cs="Arial" w:eastAsia="Arial" w:hint="default"/>
          <w:b/>
          <w:bCs/>
          <w:sz w:val="18"/>
          <w:szCs w:val="18"/>
        </w:rPr>
        <w:t>9</w:t>
      </w:r>
      <w:r>
        <w:rPr>
          <w:rFonts w:ascii="Microsoft JhengHei" w:hAnsi="Microsoft JhengHei" w:cs="Microsoft JhengHei" w:eastAsia="Microsoft JhengHei" w:hint="default"/>
          <w:b/>
          <w:bCs/>
          <w:sz w:val="18"/>
          <w:szCs w:val="18"/>
        </w:rPr>
        <w:t>、新冠肺炎疫情对国内外经济冲击所带来的风险</w:t>
      </w:r>
      <w:r>
        <w:rPr>
          <w:rFonts w:ascii="Microsoft JhengHei" w:hAnsi="Microsoft JhengHei" w:cs="Microsoft JhengHei" w:eastAsia="Microsoft JhengHei" w:hint="default"/>
          <w:b/>
          <w:bCs/>
          <w:spacing w:val="-43"/>
          <w:sz w:val="18"/>
          <w:szCs w:val="18"/>
        </w:rPr>
        <w:t> </w:t>
      </w:r>
      <w:r>
        <w:rPr>
          <w:rFonts w:ascii="Microsoft JhengHei" w:hAnsi="Microsoft JhengHei" w:cs="Microsoft JhengHei" w:eastAsia="Microsoft JhengHei" w:hint="default"/>
          <w:b/>
          <w:bCs/>
          <w:spacing w:val="-43"/>
          <w:sz w:val="18"/>
          <w:szCs w:val="18"/>
        </w:rPr>
      </w:r>
      <w:r>
        <w:rPr>
          <w:rFonts w:ascii="宋体" w:hAnsi="宋体" w:cs="宋体" w:eastAsia="宋体" w:hint="default"/>
          <w:spacing w:val="-2"/>
          <w:sz w:val="18"/>
          <w:szCs w:val="18"/>
        </w:rPr>
        <w:t>在全球经济一体化背景下，公司积极布局海外市场，通过把国内领先的支付服务与产品输出到海外，从而获得国际贸易</w:t>
      </w:r>
    </w:p>
    <w:p>
      <w:pPr>
        <w:pStyle w:val="BodyText"/>
        <w:spacing w:line="224" w:lineRule="exact"/>
        <w:ind w:right="0"/>
        <w:jc w:val="left"/>
      </w:pPr>
      <w:r>
        <w:rPr/>
        <w:t>及海外市场给公司业务发展所带来的红利。随着国内收单业务以及海外市场业务对公司整体收入及利润贡献占比越来越高，</w:t>
      </w:r>
    </w:p>
    <w:p>
      <w:pPr>
        <w:pStyle w:val="BodyText"/>
        <w:spacing w:line="316" w:lineRule="auto" w:before="76"/>
        <w:ind w:right="1033"/>
        <w:jc w:val="left"/>
      </w:pPr>
      <w:r>
        <w:rPr/>
        <w:t>并且考虑到国内收单业务与线下消费繁荣程度紧密相关，</w:t>
      </w:r>
      <w:r>
        <w:rPr>
          <w:rFonts w:ascii="宋体" w:hAnsi="宋体" w:cs="宋体" w:eastAsia="宋体" w:hint="default"/>
        </w:rPr>
        <w:t>2020 </w:t>
      </w:r>
      <w:r>
        <w:rPr/>
        <w:t>年一季度国内线下消费锐减，这将对公司的收单业务产生一</w:t>
      </w:r>
      <w:r>
        <w:rPr>
          <w:spacing w:val="-84"/>
        </w:rPr>
        <w:t> </w:t>
      </w:r>
      <w:r>
        <w:rPr>
          <w:spacing w:val="-84"/>
        </w:rPr>
      </w:r>
      <w:r>
        <w:rPr>
          <w:spacing w:val="-4"/>
        </w:rPr>
        <w:t>定短期影响；同时即使在国内取得抗疫有效成果前提下公司积极复工复产，但是后续由于海外疫情逐渐爆发，海外业务推广、</w:t>
      </w:r>
      <w:r>
        <w:rPr>
          <w:spacing w:val="-43"/>
        </w:rPr>
        <w:t> </w:t>
      </w:r>
      <w:r>
        <w:rPr>
          <w:spacing w:val="-43"/>
        </w:rPr>
      </w:r>
      <w:r>
        <w:rPr/>
        <w:t>商业沟通以及前期订单交付可能会出现延期或者取消的情形，公司海外市场业务发展将面临一定短期阻碍和风险。</w:t>
      </w:r>
    </w:p>
    <w:p>
      <w:pPr>
        <w:pStyle w:val="BodyText"/>
        <w:spacing w:line="316" w:lineRule="auto" w:before="119"/>
        <w:ind w:right="1129" w:firstLine="360"/>
        <w:jc w:val="both"/>
      </w:pPr>
      <w:r>
        <w:rPr>
          <w:spacing w:val="-2"/>
        </w:rPr>
        <w:t>针对该风险，公司在严格遵守政府监管部门对疫情防控的指导政策的前提下，积极合理安排复工复产，做好与客户的沟</w:t>
      </w:r>
      <w:r>
        <w:rPr/>
        <w:t> </w:t>
      </w:r>
      <w:r>
        <w:rPr>
          <w:spacing w:val="-2"/>
        </w:rPr>
        <w:t>通协调工作；同时公司将主动控制债务规模，积极做好资金流动性安排，通过拟定向增发股票引进战略投资者募集充足资金</w:t>
      </w:r>
      <w:r>
        <w:rPr>
          <w:spacing w:val="-62"/>
        </w:rPr>
        <w:t> </w:t>
      </w:r>
      <w:r>
        <w:rPr>
          <w:spacing w:val="-62"/>
        </w:rPr>
      </w:r>
      <w:r>
        <w:rPr/>
        <w:t>以应对未来疫情所带来的不确定之风险。</w:t>
      </w:r>
    </w:p>
    <w:p>
      <w:pPr>
        <w:pStyle w:val="Heading2"/>
        <w:spacing w:line="307" w:lineRule="auto" w:before="108"/>
        <w:ind w:right="1122" w:firstLine="561"/>
        <w:jc w:val="left"/>
        <w:rPr>
          <w:b w:val="0"/>
          <w:bCs w:val="0"/>
        </w:rPr>
      </w:pPr>
      <w:r>
        <w:rPr>
          <w:spacing w:val="2"/>
        </w:rPr>
        <w:t>公司经本次董事会审议通过的利润分配预案为：以实施利润分配方案时股</w:t>
      </w:r>
      <w:r>
        <w:rPr>
          <w:w w:val="100"/>
        </w:rPr>
        <w:t> </w:t>
      </w:r>
      <w:r>
        <w:rPr/>
        <w:t>权登记日的总股本为基数，扣除公司回购股份专户中的 </w:t>
      </w:r>
      <w:r>
        <w:rPr>
          <w:rFonts w:ascii="Times New Roman" w:hAnsi="Times New Roman" w:cs="Times New Roman" w:eastAsia="Times New Roman" w:hint="default"/>
        </w:rPr>
        <w:t>3,526,268</w:t>
      </w:r>
      <w:r>
        <w:rPr>
          <w:rFonts w:ascii="Times New Roman" w:hAnsi="Times New Roman" w:cs="Times New Roman" w:eastAsia="Times New Roman" w:hint="default"/>
          <w:spacing w:val="1"/>
        </w:rPr>
        <w:t> </w:t>
      </w:r>
      <w:r>
        <w:rPr>
          <w:spacing w:val="-5"/>
        </w:rPr>
        <w:t>股，向全体股</w:t>
      </w:r>
      <w:r>
        <w:rPr>
          <w:b w:val="0"/>
          <w:bCs w:val="0"/>
          <w:spacing w:val="-5"/>
        </w:rPr>
      </w:r>
    </w:p>
    <w:p>
      <w:pPr>
        <w:pStyle w:val="Heading2"/>
        <w:spacing w:line="240" w:lineRule="auto" w:before="32"/>
        <w:ind w:right="1033"/>
        <w:jc w:val="left"/>
        <w:rPr>
          <w:b w:val="0"/>
          <w:bCs w:val="0"/>
        </w:rPr>
      </w:pPr>
      <w:r>
        <w:rPr>
          <w:w w:val="100"/>
        </w:rPr>
        <w:t>东每</w:t>
      </w:r>
      <w:r>
        <w:rPr>
          <w:spacing w:val="4"/>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rPr>
        <w:t> </w:t>
      </w:r>
      <w:r>
        <w:rPr>
          <w:w w:val="100"/>
        </w:rPr>
        <w:t>股派发现金红利</w:t>
      </w:r>
      <w:r>
        <w:rPr>
          <w:spacing w:val="5"/>
        </w:rPr>
        <w:t> </w:t>
      </w:r>
      <w:r>
        <w:rPr>
          <w:rFonts w:ascii="Times New Roman" w:hAnsi="Times New Roman" w:cs="Times New Roman" w:eastAsia="Times New Roman" w:hint="default"/>
          <w:w w:val="100"/>
        </w:rPr>
        <w:t>2.5</w:t>
      </w:r>
      <w:r>
        <w:rPr>
          <w:rFonts w:ascii="Times New Roman" w:hAnsi="Times New Roman" w:cs="Times New Roman" w:eastAsia="Times New Roman" w:hint="default"/>
        </w:rPr>
        <w:t> </w:t>
      </w:r>
      <w:r>
        <w:rPr>
          <w:w w:val="100"/>
        </w:rPr>
        <w:t>元（含</w:t>
      </w:r>
      <w:r>
        <w:rPr>
          <w:spacing w:val="2"/>
          <w:w w:val="100"/>
        </w:rPr>
        <w:t>税</w:t>
      </w:r>
      <w:r>
        <w:rPr>
          <w:spacing w:val="-142"/>
          <w:w w:val="100"/>
        </w:rPr>
        <w:t>）</w:t>
      </w:r>
      <w:r>
        <w:rPr>
          <w:w w:val="100"/>
        </w:rPr>
        <w:t>，送</w:t>
      </w:r>
      <w:r>
        <w:rPr>
          <w:spacing w:val="2"/>
          <w:w w:val="100"/>
        </w:rPr>
        <w:t>红</w:t>
      </w:r>
      <w:r>
        <w:rPr>
          <w:w w:val="100"/>
        </w:rPr>
        <w:t>股</w:t>
      </w:r>
      <w:r>
        <w:rPr>
          <w:spacing w:val="2"/>
        </w:rPr>
        <w:t> </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2"/>
          <w:w w:val="100"/>
        </w:rPr>
        <w:t>股</w:t>
      </w:r>
      <w:r>
        <w:rPr>
          <w:w w:val="100"/>
        </w:rPr>
        <w:t>（含</w:t>
      </w:r>
      <w:r>
        <w:rPr>
          <w:spacing w:val="2"/>
          <w:w w:val="100"/>
        </w:rPr>
        <w:t>税</w:t>
      </w:r>
      <w:r>
        <w:rPr>
          <w:spacing w:val="-142"/>
          <w:w w:val="100"/>
        </w:rPr>
        <w:t>）</w:t>
      </w:r>
      <w:r>
        <w:rPr>
          <w:w w:val="100"/>
        </w:rPr>
        <w:t>，以资本公</w:t>
      </w:r>
      <w:r>
        <w:rPr>
          <w:spacing w:val="2"/>
          <w:w w:val="100"/>
        </w:rPr>
        <w:t>积</w:t>
      </w:r>
      <w:r>
        <w:rPr>
          <w:w w:val="100"/>
        </w:rPr>
        <w:t>金向</w:t>
      </w:r>
      <w:r>
        <w:rPr>
          <w:b w:val="0"/>
          <w:bCs w:val="0"/>
          <w:w w:val="100"/>
        </w:rPr>
      </w:r>
    </w:p>
    <w:p>
      <w:pPr>
        <w:spacing w:after="0" w:line="240" w:lineRule="auto"/>
        <w:jc w:val="left"/>
        <w:sectPr>
          <w:pgSz w:w="11910" w:h="16840"/>
          <w:pgMar w:header="745" w:footer="979" w:top="1060" w:bottom="1160" w:left="980" w:right="0"/>
        </w:sectPr>
      </w:pPr>
    </w:p>
    <w:p>
      <w:pPr>
        <w:spacing w:line="240" w:lineRule="auto" w:before="10"/>
        <w:rPr>
          <w:rFonts w:ascii="Microsoft JhengHei" w:hAnsi="Microsoft JhengHei" w:cs="Microsoft JhengHei" w:eastAsia="Microsoft JhengHei" w:hint="default"/>
          <w:b/>
          <w:bCs/>
          <w:sz w:val="25"/>
          <w:szCs w:val="25"/>
        </w:rPr>
      </w:pPr>
    </w:p>
    <w:p>
      <w:pPr>
        <w:pStyle w:val="Heading2"/>
        <w:spacing w:line="413" w:lineRule="exact"/>
        <w:ind w:right="1033"/>
        <w:jc w:val="left"/>
        <w:rPr>
          <w:b w:val="0"/>
          <w:bCs w:val="0"/>
        </w:rPr>
      </w:pPr>
      <w:r>
        <w:rPr/>
        <w:t>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0</w:t>
      </w:r>
      <w:r>
        <w:rPr>
          <w:rFonts w:ascii="Times New Roman" w:hAnsi="Times New Roman" w:cs="Times New Roman" w:eastAsia="Times New Roman" w:hint="default"/>
          <w:spacing w:val="9"/>
        </w:rPr>
        <w:t> </w:t>
      </w:r>
      <w:r>
        <w:rPr/>
        <w:t>股。</w:t>
      </w:r>
      <w:r>
        <w:rPr>
          <w:b w:val="0"/>
          <w:bCs w:val="0"/>
        </w:rPr>
      </w:r>
    </w:p>
    <w:p>
      <w:pPr>
        <w:spacing w:after="0" w:line="413" w:lineRule="exact"/>
        <w:jc w:val="left"/>
        <w:sectPr>
          <w:pgSz w:w="11910" w:h="16840"/>
          <w:pgMar w:header="745"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8"/>
          <w:szCs w:val="18"/>
        </w:rPr>
      </w:pPr>
    </w:p>
    <w:p>
      <w:pPr>
        <w:spacing w:line="501" w:lineRule="exact" w:before="0"/>
        <w:ind w:left="2793" w:right="3770"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9"/>
        <w:rPr>
          <w:rFonts w:ascii="Microsoft JhengHei" w:hAnsi="Microsoft JhengHei" w:cs="Microsoft JhengHei" w:eastAsia="Microsoft JhengHei" w:hint="default"/>
          <w:b/>
          <w:bCs/>
          <w:sz w:val="49"/>
          <w:szCs w:val="49"/>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50"/>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50"/>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before="141"/>
            <w:ind w:right="0"/>
            <w:jc w:val="left"/>
            <w:rPr>
              <w:rFonts w:ascii="Times New Roman" w:hAnsi="Times New Roman" w:cs="Times New Roman" w:eastAsia="Times New Roman" w:hint="default"/>
              <w:b w:val="0"/>
              <w:bCs w:val="0"/>
            </w:rPr>
          </w:pPr>
          <w:hyperlink w:history="true" w:anchor="_bookmark2">
            <w:r>
              <w:rPr/>
              <w:t>第三节</w:t>
            </w:r>
            <w:r>
              <w:rPr>
                <w:spacing w:val="50"/>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50"/>
              </w:rPr>
              <w:t> </w:t>
            </w:r>
            <w:r>
              <w:rPr/>
              <w:t>经营情况讨论与分析</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50"/>
              </w:rPr>
              <w:t> </w:t>
            </w:r>
            <w:r>
              <w:rPr/>
              <w:t>重要事项</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3" w:val="right" w:leader="dot"/>
            </w:tabs>
            <w:spacing w:line="240" w:lineRule="auto" w:before="141"/>
            <w:ind w:right="0"/>
            <w:jc w:val="left"/>
            <w:rPr>
              <w:rFonts w:ascii="Times New Roman" w:hAnsi="Times New Roman" w:cs="Times New Roman" w:eastAsia="Times New Roman" w:hint="default"/>
              <w:b w:val="0"/>
              <w:bCs w:val="0"/>
            </w:rPr>
          </w:pPr>
          <w:hyperlink w:history="true" w:anchor="_bookmark5">
            <w:r>
              <w:rPr/>
              <w:t>第六节</w:t>
            </w:r>
            <w:r>
              <w:rPr>
                <w:spacing w:val="50"/>
              </w:rPr>
              <w:t> </w:t>
            </w:r>
            <w:r>
              <w:rPr/>
              <w:t>股份变动及股东情况</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50"/>
              </w:rPr>
              <w:t> </w:t>
            </w:r>
            <w:r>
              <w:rPr/>
              <w:t>优先股相关情况</w:t>
            </w:r>
            <w:r>
              <w:rPr>
                <w:rFonts w:ascii="Times New Roman" w:hAnsi="Times New Roman" w:cs="Times New Roman" w:eastAsia="Times New Roman" w:hint="default"/>
              </w:rPr>
              <w:tab/>
              <w:t>95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50"/>
              </w:rPr>
              <w:t> </w:t>
            </w:r>
            <w:r>
              <w:rPr/>
              <w:t>可转换公司债券相关情况</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9783" w:val="right" w:leader="dot"/>
            </w:tabs>
            <w:spacing w:line="240" w:lineRule="auto" w:before="141"/>
            <w:ind w:right="0"/>
            <w:jc w:val="left"/>
            <w:rPr>
              <w:rFonts w:ascii="Times New Roman" w:hAnsi="Times New Roman" w:cs="Times New Roman" w:eastAsia="Times New Roman" w:hint="default"/>
              <w:b w:val="0"/>
              <w:bCs w:val="0"/>
            </w:rPr>
          </w:pPr>
          <w:hyperlink w:history="true" w:anchor="_bookmark8">
            <w:r>
              <w:rPr/>
              <w:t>第九节</w:t>
            </w:r>
            <w:r>
              <w:rPr>
                <w:spacing w:val="50"/>
              </w:rPr>
              <w:t> </w:t>
            </w:r>
            <w:r>
              <w:rPr/>
              <w:t>董事、监事、高级管理人员和员工情况</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50"/>
              </w:rPr>
              <w:t> </w:t>
            </w:r>
            <w:r>
              <w:rPr/>
              <w:t>公司治理</w:t>
            </w:r>
            <w:r>
              <w:rPr>
                <w:rFonts w:ascii="Times New Roman" w:hAnsi="Times New Roman" w:cs="Times New Roman" w:eastAsia="Times New Roman" w:hint="default"/>
              </w:rPr>
              <w:tab/>
              <w:t>104</w:t>
            </w:r>
            <w:r>
              <w:rPr>
                <w:rFonts w:ascii="Times New Roman" w:hAnsi="Times New Roman" w:cs="Times New Roman" w:eastAsia="Times New Roman" w:hint="default"/>
                <w:b w:val="0"/>
                <w:bCs w:val="0"/>
              </w:rPr>
            </w:r>
          </w:hyperlink>
        </w:p>
        <w:p>
          <w:pPr>
            <w:pStyle w:val="TOC1"/>
            <w:tabs>
              <w:tab w:pos="977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50"/>
              </w:rPr>
              <w:t> </w:t>
            </w:r>
            <w:r>
              <w:rPr/>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12"/>
              </w:rPr>
              <w:t>111</w:t>
            </w:r>
            <w:r>
              <w:rPr>
                <w:rFonts w:ascii="Times New Roman" w:hAnsi="Times New Roman" w:cs="Times New Roman" w:eastAsia="Times New Roman" w:hint="default"/>
                <w:b w:val="0"/>
                <w:bCs w:val="0"/>
              </w:rPr>
            </w:r>
          </w:hyperlink>
        </w:p>
        <w:p>
          <w:pPr>
            <w:pStyle w:val="TOC1"/>
            <w:tabs>
              <w:tab w:pos="9786" w:val="right" w:leader="dot"/>
            </w:tabs>
            <w:spacing w:line="240" w:lineRule="auto" w:before="141"/>
            <w:ind w:right="0"/>
            <w:jc w:val="left"/>
            <w:rPr>
              <w:rFonts w:ascii="Times New Roman" w:hAnsi="Times New Roman" w:cs="Times New Roman" w:eastAsia="Times New Roman" w:hint="default"/>
              <w:b w:val="0"/>
              <w:bCs w:val="0"/>
            </w:rPr>
          </w:pPr>
          <w:hyperlink w:history="true" w:anchor="_bookmark11">
            <w:r>
              <w:rPr/>
              <w:t>第十二节</w:t>
            </w:r>
            <w:r>
              <w:rPr>
                <w:spacing w:val="50"/>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118</w:t>
            </w:r>
            <w:r>
              <w:rPr>
                <w:rFonts w:ascii="Times New Roman" w:hAnsi="Times New Roman" w:cs="Times New Roman" w:eastAsia="Times New Roman" w:hint="default"/>
                <w:b w:val="0"/>
                <w:bCs w:val="0"/>
                <w:spacing w:val="-5"/>
              </w:rPr>
            </w:r>
          </w:hyperlink>
        </w:p>
        <w:p>
          <w:pPr>
            <w:pStyle w:val="TOC1"/>
            <w:tabs>
              <w:tab w:pos="9786" w:val="right" w:leader="dot"/>
            </w:tabs>
            <w:spacing w:line="240" w:lineRule="auto" w:before="144"/>
            <w:ind w:right="0"/>
            <w:jc w:val="left"/>
            <w:rPr>
              <w:rFonts w:ascii="Times New Roman" w:hAnsi="Times New Roman" w:cs="Times New Roman" w:eastAsia="Times New Roman" w:hint="default"/>
              <w:b w:val="0"/>
              <w:bCs w:val="0"/>
            </w:rPr>
          </w:pPr>
          <w:hyperlink w:history="true" w:anchor="_bookmark12">
            <w:r>
              <w:rPr/>
              <w:t>第十三节</w:t>
            </w:r>
            <w:r>
              <w:rPr>
                <w:spacing w:val="50"/>
              </w:rPr>
              <w:t> </w:t>
            </w:r>
            <w:r>
              <w:rPr/>
              <w:t>备查文件目录</w:t>
            </w:r>
            <w:r>
              <w:rPr>
                <w:rFonts w:ascii="Times New Roman" w:hAnsi="Times New Roman" w:cs="Times New Roman" w:eastAsia="Times New Roman" w:hint="default"/>
              </w:rPr>
              <w:tab/>
              <w:t>275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0"/>
        </w:sectPr>
      </w:pPr>
    </w:p>
    <w:p>
      <w:pPr>
        <w:spacing w:before="843"/>
        <w:ind w:left="2793" w:right="3770"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本公司、公司、母公司、新国都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深圳市新国都股份有限公司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公司总部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深圳市南山区深圳湾科技生态园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嘉联支付</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嘉联支付有限公司，公司子公司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新国都支付</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深圳市新国都支付技术有限公司，公司子公司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公信诚丰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长沙公信诚丰信息技术服务有限公司，公司子公司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中正智能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浙江中正智能科技有限公司，公司子公司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新国都国际</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Nexgo Global</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，位于香港</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Nexgo,Inc.</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公司子公司，位于美国</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新国都腾云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深圳市新国都腾云软件有限公司，公司子公司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新国都通信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深圳市新国都通信技术有限公司，公司子公司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嘉联云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深圳市嘉联云科技有限公司，公司子公司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XGD Macau Limited  </w:t>
            </w:r>
            <w:r>
              <w:rPr>
                <w:rFonts w:ascii="宋体" w:hAnsi="宋体" w:cs="宋体" w:eastAsia="宋体" w:hint="default"/>
                <w:sz w:val="18"/>
                <w:szCs w:val="18"/>
              </w:rPr>
              <w:t>，公司持股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金服技术，金服子公司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深圳市新国都金服技术有限公司，公司参股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信联征信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深圳市信联征信有限公司，金服技术子公司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惠信评级</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惠州市惠信资信评级有限公司，金服技术子公司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苏州新国都，苏州子公司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中宗电子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杭州中宗电子有限公司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审计机构、会计师、大华会计师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5"/>
          <w:szCs w:val="25"/>
        </w:rPr>
      </w:pPr>
    </w:p>
    <w:p>
      <w:pPr>
        <w:pStyle w:val="Heading1"/>
        <w:spacing w:line="456" w:lineRule="exact"/>
        <w:ind w:left="2642" w:right="1033"/>
        <w:jc w:val="left"/>
        <w:rPr>
          <w:b w:val="0"/>
          <w:bCs w:val="0"/>
        </w:rPr>
      </w:pPr>
      <w:bookmarkStart w:name="_bookmark1" w:id="2"/>
      <w:bookmarkEnd w:id="2"/>
      <w:r>
        <w:rPr>
          <w:b w:val="0"/>
          <w:bCs w:val="0"/>
        </w:rPr>
      </w:r>
      <w:r>
        <w:rPr/>
        <w:t>第二节 </w:t>
      </w:r>
      <w:r>
        <w:rPr>
          <w:spacing w:val="13"/>
        </w:rPr>
        <w:t> </w:t>
      </w:r>
      <w:r>
        <w:rPr/>
        <w:t>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4"/>
        <w:spacing w:line="367" w:lineRule="exact"/>
        <w:ind w:right="1033"/>
        <w:jc w:val="left"/>
        <w:rPr>
          <w:b w:val="0"/>
          <w:bCs w:val="0"/>
        </w:rPr>
      </w:pPr>
      <w:r>
        <w:rPr/>
        <w:pict>
          <v:group style="position:absolute;margin-left:172.369995pt;margin-top:114.702499pt;width:361.55pt;height:19.7pt;mso-position-horizontal-relative:page;mso-position-vertical-relative:paragraph;z-index:-1259488" coordorigin="3447,2294" coordsize="7231,394">
            <v:shape style="position:absolute;left:3447;top:2294;width:7231;height:394" coordorigin="3447,2294" coordsize="7231,394" path="m3447,2688l10678,2688,10678,2294,3447,2294,3447,2688xe" filled="true" fillcolor="#ffffff" stroked="false">
              <v:path arrowok="t"/>
              <v:fill type="solid"/>
            </v:shape>
            <w10:wrap type="none"/>
          </v:group>
        </w:pict>
      </w: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44"/>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新国都</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300130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深圳市新国都股份有限公司</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新国都</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XGD</w:t>
            </w:r>
            <w:r>
              <w:rPr>
                <w:rFonts w:ascii="Times New Roman"/>
                <w:spacing w:val="-3"/>
                <w:sz w:val="18"/>
              </w:rPr>
              <w:t> </w:t>
            </w:r>
            <w:r>
              <w:rPr>
                <w:rFonts w:ascii="Times New Roman"/>
                <w:sz w:val="18"/>
              </w:rPr>
              <w:t>INC.</w:t>
            </w:r>
          </w:p>
        </w:tc>
      </w:tr>
      <w:tr>
        <w:trPr>
          <w:trHeight w:val="403" w:hRule="exact"/>
        </w:trPr>
        <w:tc>
          <w:tcPr>
            <w:tcW w:w="227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53"/>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XGD</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深圳市福田区深南路车公庙工业区泰然劲松大厦</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17A</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518040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深圳市南山区深圳湾科技生态园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518057</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https:/</w:t>
            </w:r>
            <w:hyperlink r:id="rId9">
              <w:r>
                <w:rPr>
                  <w:rFonts w:ascii="Times New Roman"/>
                  <w:sz w:val="18"/>
                </w:rPr>
                <w:t>/www</w:t>
              </w:r>
            </w:hyperlink>
            <w:r>
              <w:rPr>
                <w:rFonts w:ascii="Times New Roman"/>
                <w:sz w:val="18"/>
              </w:rPr>
              <w:t>.</w:t>
            </w:r>
            <w:hyperlink r:id="rId9">
              <w:r>
                <w:rPr>
                  <w:rFonts w:ascii="Times New Roman"/>
                  <w:sz w:val="18"/>
                </w:rPr>
                <w:t>xgd.com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xgd-zqb@xgd.com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right="1033"/>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宋菁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方媛</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深圳市南山区深圳湾科技生态园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深圳市南山区深圳湾科技生态园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1"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0755-83481391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0755-83481391</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0755-83890344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0755-83890344</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songjing@xgd.com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fangyuan@xgd.com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right="1033"/>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80"/>
        <w:gridCol w:w="5590"/>
      </w:tblGrid>
      <w:tr>
        <w:trPr>
          <w:trHeight w:val="401"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中国证券报、证券时报、上海证券报</w:t>
            </w:r>
          </w:p>
        </w:tc>
      </w:tr>
      <w:tr>
        <w:trPr>
          <w:trHeight w:val="403"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1"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深圳市南山区深圳湾科技生态园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right="1033"/>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3"/>
        <w:jc w:val="left"/>
      </w:pPr>
      <w:r>
        <w:rPr/>
        <w:t>公司聘请的会计师事务所</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9"/>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刘高科、周灵芝</w:t>
            </w:r>
          </w:p>
        </w:tc>
      </w:tr>
    </w:tbl>
    <w:p>
      <w:pPr>
        <w:pStyle w:val="BodyText"/>
        <w:spacing w:line="240" w:lineRule="auto" w:before="49"/>
        <w:ind w:right="1033"/>
        <w:jc w:val="left"/>
      </w:pPr>
      <w:r>
        <w:rPr/>
        <w:t>公司聘请的报告期内履行持续督导职责的保荐机构</w:t>
      </w:r>
    </w:p>
    <w:p>
      <w:pPr>
        <w:pStyle w:val="BodyText"/>
        <w:spacing w:line="240" w:lineRule="auto" w:before="115"/>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1"/>
              <w:jc w:val="righ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万联证券股份有限公司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广州市天河区珠江东路</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楼、</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楼全层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胡治平、蒋序全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45"/>
              <w:jc w:val="righ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1033"/>
        <w:jc w:val="left"/>
      </w:pPr>
      <w:r>
        <w:rPr/>
        <w:t>公司聘请的报告期内履行持续督导职责的财务顾问</w:t>
      </w:r>
    </w:p>
    <w:p>
      <w:pPr>
        <w:pStyle w:val="BodyText"/>
        <w:spacing w:line="240" w:lineRule="auto" w:before="115"/>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1033"/>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3"/>
        <w:jc w:val="left"/>
      </w:pPr>
      <w:r>
        <w:rPr/>
        <w:t>公司是否需追溯调整或重述以前年度会计数据</w:t>
      </w:r>
    </w:p>
    <w:p>
      <w:pPr>
        <w:pStyle w:val="BodyText"/>
        <w:spacing w:line="240" w:lineRule="auto" w:before="115"/>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6"/>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3,027,887,474.72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2,319,327,318.57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1,236,913,539.17</w:t>
            </w:r>
          </w:p>
        </w:tc>
      </w:tr>
      <w:tr>
        <w:trPr>
          <w:trHeight w:val="716"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242,492,982.66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247,879,868.58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71,933,856.89</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50,823,388.55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187,693,484.59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49,238,633.78</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213,866,615.03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285,300,644.37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53,048,958.75</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3,372,698,478.14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4,160,400,580.37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3,894,304,556.05</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2,452,058,998.39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2,099,149,347.05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1,998,699,578.56</w:t>
            </w:r>
          </w:p>
        </w:tc>
      </w:tr>
    </w:tbl>
    <w:p>
      <w:pPr>
        <w:spacing w:line="240" w:lineRule="auto" w:before="1"/>
        <w:rPr>
          <w:rFonts w:ascii="宋体" w:hAnsi="宋体" w:cs="宋体" w:eastAsia="宋体" w:hint="default"/>
          <w:sz w:val="18"/>
          <w:szCs w:val="18"/>
        </w:rPr>
      </w:pPr>
    </w:p>
    <w:p>
      <w:pPr>
        <w:pStyle w:val="Heading4"/>
        <w:spacing w:line="367" w:lineRule="exact"/>
        <w:ind w:right="1033"/>
        <w:jc w:val="left"/>
        <w:rPr>
          <w:b w:val="0"/>
          <w:bCs w:val="0"/>
        </w:rPr>
      </w:pPr>
      <w:r>
        <w:rPr/>
        <w:t>六、分季度主要财务指标</w:t>
      </w:r>
      <w:r>
        <w:rPr>
          <w:b w:val="0"/>
          <w:bCs w:val="0"/>
        </w:rPr>
      </w:r>
    </w:p>
    <w:p>
      <w:pPr>
        <w:spacing w:line="240" w:lineRule="auto" w:before="11"/>
        <w:rPr>
          <w:rFonts w:ascii="Microsoft JhengHei" w:hAnsi="Microsoft JhengHei" w:cs="Microsoft JhengHei" w:eastAsia="Microsoft JhengHei" w:hint="default"/>
          <w:b/>
          <w:bCs/>
          <w:sz w:val="15"/>
          <w:szCs w:val="15"/>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1"/>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649,144,694.98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726,954,117.18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1,025,915,861.52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625,872,801.04</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60,403,760.65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81,223,837.63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163,459,320.37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-62,593,935.99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09"/>
        <w:gridCol w:w="1751"/>
        <w:gridCol w:w="1740"/>
        <w:gridCol w:w="1738"/>
        <w:gridCol w:w="1731"/>
      </w:tblGrid>
      <w:tr>
        <w:trPr>
          <w:trHeight w:val="713"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49,863,605.49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70,431,801.95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116,728,325.77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-186,200,344.66</w:t>
            </w:r>
          </w:p>
        </w:tc>
      </w:tr>
      <w:tr>
        <w:trPr>
          <w:trHeight w:val="403"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-4,011,196.97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1,236,241.49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100,777,731.28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115,863,839.23</w:t>
            </w:r>
          </w:p>
        </w:tc>
      </w:tr>
    </w:tbl>
    <w:p>
      <w:pPr>
        <w:pStyle w:val="BodyText"/>
        <w:spacing w:line="240" w:lineRule="auto" w:before="49"/>
        <w:ind w:right="1033"/>
        <w:jc w:val="left"/>
      </w:pPr>
      <w:r>
        <w:rPr/>
        <w:t>上述财务指标或其加总数是否与公司已披露季度报告、半年度报告相关财务指标存在重大差异</w:t>
      </w:r>
    </w:p>
    <w:p>
      <w:pPr>
        <w:pStyle w:val="BodyText"/>
        <w:spacing w:line="240" w:lineRule="auto" w:before="115"/>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4"/>
        <w:spacing w:line="240" w:lineRule="auto"/>
        <w:ind w:right="1033"/>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1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16"/>
          <w:szCs w:val="16"/>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13"/>
          <w:szCs w:val="13"/>
        </w:rPr>
      </w:pPr>
    </w:p>
    <w:p>
      <w:pPr>
        <w:pStyle w:val="Heading4"/>
        <w:spacing w:line="240" w:lineRule="auto"/>
        <w:ind w:right="1033"/>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3"/>
        <w:gridCol w:w="1519"/>
        <w:gridCol w:w="1522"/>
        <w:gridCol w:w="1712"/>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134,042,898.84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1,194,834.74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846,302.01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股权处置收益</w:t>
            </w: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58,789,944.51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26,225,674.80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24,419,855.79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政府补助及税收减免</w:t>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5,739,265.81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802,801.37</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3" w:type="dxa"/>
            <w:tcBorders>
              <w:top w:val="single" w:sz="4" w:space="0" w:color="000000"/>
              <w:left w:val="single" w:sz="10"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17,954,288.03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-146,373.42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-1,371,645.35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-241,253.36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-1,113,121.29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3" w:type="dxa"/>
            <w:tcBorders>
              <w:top w:val="single" w:sz="4" w:space="0" w:color="000000"/>
              <w:left w:val="single" w:sz="10"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15,969,033.82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5,509,569.49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911,533.73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2,108,143.71</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21,300.21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4,660.31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6,097.64</w:t>
            </w: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84"/>
        <w:gridCol w:w="1533"/>
        <w:gridCol w:w="1519"/>
        <w:gridCol w:w="1534"/>
        <w:gridCol w:w="1700"/>
      </w:tblGrid>
      <w:tr>
        <w:trPr>
          <w:trHeight w:val="404"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73" w:right="0"/>
              <w:jc w:val="left"/>
              <w:rPr>
                <w:rFonts w:ascii="Times New Roman" w:hAnsi="Times New Roman" w:cs="Times New Roman" w:eastAsia="Times New Roman" w:hint="default"/>
                <w:sz w:val="18"/>
                <w:szCs w:val="18"/>
              </w:rPr>
            </w:pPr>
            <w:r>
              <w:rPr>
                <w:rFonts w:ascii="Times New Roman"/>
                <w:sz w:val="18"/>
              </w:rPr>
              <w:t>191,669,594.11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3" w:right="0"/>
              <w:jc w:val="left"/>
              <w:rPr>
                <w:rFonts w:ascii="Times New Roman" w:hAnsi="Times New Roman" w:cs="Times New Roman" w:eastAsia="Times New Roman" w:hint="default"/>
                <w:sz w:val="18"/>
                <w:szCs w:val="18"/>
              </w:rPr>
            </w:pPr>
            <w:r>
              <w:rPr>
                <w:rFonts w:ascii="Times New Roman"/>
                <w:sz w:val="18"/>
              </w:rPr>
              <w:t>60,186,383.99</w:t>
            </w:r>
          </w:p>
        </w:tc>
        <w:tc>
          <w:tcPr>
            <w:tcW w:w="15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461" w:right="0"/>
              <w:jc w:val="left"/>
              <w:rPr>
                <w:rFonts w:ascii="Times New Roman" w:hAnsi="Times New Roman" w:cs="Times New Roman" w:eastAsia="Times New Roman" w:hint="default"/>
                <w:sz w:val="18"/>
                <w:szCs w:val="18"/>
              </w:rPr>
            </w:pPr>
            <w:r>
              <w:rPr>
                <w:rFonts w:ascii="Times New Roman"/>
                <w:sz w:val="18"/>
              </w:rPr>
              <w:t>22,695,223.11</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033"/>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46" w:right="1033"/>
        <w:jc w:val="left"/>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4"/>
        <w:spacing w:line="240" w:lineRule="auto"/>
        <w:ind w:right="1033"/>
        <w:jc w:val="left"/>
        <w:rPr>
          <w:b w:val="0"/>
          <w:bCs w:val="0"/>
        </w:rPr>
      </w:pPr>
      <w:r>
        <w:rPr/>
        <w:t>一、报告期内公司从事的主要业务</w:t>
      </w:r>
      <w:r>
        <w:rPr>
          <w:b w:val="0"/>
          <w:bCs w:val="0"/>
        </w:rPr>
      </w:r>
    </w:p>
    <w:p>
      <w:pPr>
        <w:spacing w:line="240" w:lineRule="auto" w:before="8"/>
        <w:rPr>
          <w:rFonts w:ascii="Microsoft JhengHei" w:hAnsi="Microsoft JhengHei" w:cs="Microsoft JhengHei" w:eastAsia="Microsoft JhengHei" w:hint="default"/>
          <w:b/>
          <w:bCs/>
          <w:sz w:val="19"/>
          <w:szCs w:val="19"/>
        </w:rPr>
      </w:pPr>
    </w:p>
    <w:p>
      <w:pPr>
        <w:pStyle w:val="Heading7"/>
        <w:spacing w:line="240" w:lineRule="auto"/>
        <w:ind w:right="1033"/>
        <w:jc w:val="left"/>
        <w:rPr>
          <w:b w:val="0"/>
          <w:bCs w:val="0"/>
        </w:rPr>
      </w:pPr>
      <w:r>
        <w:rPr/>
        <w:t>（一）报告期内公司主要业务、主要产品及其用途、经营模式</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BodyText"/>
        <w:spacing w:line="451" w:lineRule="auto"/>
        <w:ind w:left="573" w:right="1033" w:hanging="420"/>
        <w:jc w:val="left"/>
      </w:pPr>
      <w:r>
        <w:rPr>
          <w:rFonts w:ascii="Times New Roman" w:hAnsi="Times New Roman" w:cs="Times New Roman" w:eastAsia="Times New Roman" w:hint="default"/>
        </w:rPr>
        <w:t>1</w:t>
      </w:r>
      <w:r>
        <w:rPr/>
        <w:t>、支付服务及场景数字化服务 </w:t>
      </w:r>
      <w:r>
        <w:rPr>
          <w:spacing w:val="2"/>
        </w:rPr>
        <w:t>公司全资子公司嘉联支付是拥有全国性银行卡收单业务牌照的第三方支付机构，公司主要通过</w:t>
      </w:r>
      <w:r>
        <w:rPr>
          <w:rFonts w:ascii="Times New Roman" w:hAnsi="Times New Roman" w:cs="Times New Roman" w:eastAsia="Times New Roman" w:hint="default"/>
          <w:spacing w:val="2"/>
        </w:rPr>
        <w:t>“</w:t>
      </w:r>
      <w:r>
        <w:rPr>
          <w:spacing w:val="2"/>
        </w:rPr>
        <w:t>支付</w:t>
      </w:r>
      <w:r>
        <w:rPr>
          <w:rFonts w:ascii="Times New Roman" w:hAnsi="Times New Roman" w:cs="Times New Roman" w:eastAsia="Times New Roman" w:hint="default"/>
          <w:spacing w:val="2"/>
        </w:rPr>
        <w:t>+</w:t>
      </w:r>
      <w:r>
        <w:rPr>
          <w:spacing w:val="2"/>
        </w:rPr>
        <w:t>经营</w:t>
      </w:r>
      <w:r>
        <w:rPr>
          <w:rFonts w:ascii="Times New Roman" w:hAnsi="Times New Roman" w:cs="Times New Roman" w:eastAsia="Times New Roman" w:hint="default"/>
          <w:spacing w:val="2"/>
        </w:rPr>
        <w:t>”</w:t>
      </w:r>
      <w:r>
        <w:rPr>
          <w:spacing w:val="2"/>
        </w:rPr>
        <w:t>的服务体</w:t>
      </w:r>
      <w:r>
        <w:rPr/>
      </w:r>
    </w:p>
    <w:p>
      <w:pPr>
        <w:pStyle w:val="BodyText"/>
        <w:spacing w:line="463" w:lineRule="auto" w:before="43"/>
        <w:ind w:right="1033"/>
        <w:jc w:val="left"/>
      </w:pPr>
      <w:r>
        <w:rPr>
          <w:spacing w:val="-2"/>
        </w:rPr>
        <w:t>系，将支付入口全面融入经营场景，以</w:t>
      </w:r>
      <w:r>
        <w:rPr>
          <w:rFonts w:ascii="Times New Roman" w:hAnsi="Times New Roman" w:cs="Times New Roman" w:eastAsia="Times New Roman" w:hint="default"/>
          <w:spacing w:val="-2"/>
        </w:rPr>
        <w:t>SaaS</w:t>
      </w:r>
      <w:r>
        <w:rPr>
          <w:spacing w:val="-2"/>
        </w:rPr>
        <w:t>模式从上游介入商户经营，深耕行业特点，提供解决行业痛点的产品，为商户提</w:t>
      </w:r>
      <w:r>
        <w:rPr>
          <w:spacing w:val="-65"/>
        </w:rPr>
        <w:t> </w:t>
      </w:r>
      <w:r>
        <w:rPr>
          <w:spacing w:val="-65"/>
        </w:rPr>
      </w:r>
      <w:r>
        <w:rPr/>
        <w:t>供一体化的服务和附加价值。在万物智联的数字化、平台化趋势下，线下商业的数字化、网络化、智能化程度提升。目前，</w:t>
      </w:r>
      <w:r>
        <w:rPr/>
        <w:t> </w:t>
      </w:r>
      <w:r>
        <w:rPr>
          <w:spacing w:val="-2"/>
        </w:rPr>
        <w:t>嘉联支付已成功为超过</w:t>
      </w:r>
      <w:r>
        <w:rPr>
          <w:rFonts w:ascii="Times New Roman" w:hAnsi="Times New Roman" w:cs="Times New Roman" w:eastAsia="Times New Roman" w:hint="default"/>
          <w:spacing w:val="-2"/>
        </w:rPr>
        <w:t>36</w:t>
      </w:r>
      <w:r>
        <w:rPr>
          <w:spacing w:val="-2"/>
        </w:rPr>
        <w:t>个行业及不同应用场景为商户提供经营场景互联网解决方案，并且为商户提供创新、丰富的互联网</w:t>
      </w:r>
      <w:r>
        <w:rPr>
          <w:spacing w:val="-64"/>
        </w:rPr>
        <w:t> </w:t>
      </w:r>
      <w:r>
        <w:rPr>
          <w:spacing w:val="-64"/>
        </w:rPr>
      </w:r>
      <w:r>
        <w:rPr>
          <w:spacing w:val="-2"/>
        </w:rPr>
        <w:t>营销工具和高效的在线管理工具，为商家提供获客拓新、订单转化、二次营销、留存复购及经营数据分析、电子发票开具等</w:t>
      </w:r>
      <w:r>
        <w:rPr>
          <w:spacing w:val="-67"/>
        </w:rPr>
        <w:t> </w:t>
      </w:r>
      <w:r>
        <w:rPr>
          <w:spacing w:val="-67"/>
        </w:rPr>
      </w:r>
      <w:r>
        <w:rPr/>
        <w:t>一站式服务，与嘉联支付的支付产品形成双轮驱动，满足商业用户的需要。</w:t>
      </w:r>
    </w:p>
    <w:p>
      <w:pPr>
        <w:pStyle w:val="BodyText"/>
        <w:spacing w:line="240" w:lineRule="auto" w:before="65"/>
        <w:ind w:right="1033"/>
        <w:jc w:val="left"/>
      </w:pPr>
      <w:r>
        <w:rPr>
          <w:rFonts w:ascii="Times New Roman" w:hAnsi="Times New Roman" w:cs="Times New Roman" w:eastAsia="Times New Roman" w:hint="default"/>
        </w:rPr>
        <w:t>2</w:t>
      </w:r>
      <w:r>
        <w:rPr/>
        <w:t>、电子支付设备及生物识别产品</w:t>
      </w:r>
    </w:p>
    <w:p>
      <w:pPr>
        <w:spacing w:line="240" w:lineRule="auto" w:before="10"/>
        <w:rPr>
          <w:rFonts w:ascii="宋体" w:hAnsi="宋体" w:cs="宋体" w:eastAsia="宋体" w:hint="default"/>
          <w:sz w:val="16"/>
          <w:szCs w:val="16"/>
        </w:rPr>
      </w:pPr>
    </w:p>
    <w:p>
      <w:pPr>
        <w:pStyle w:val="BodyText"/>
        <w:spacing w:line="451" w:lineRule="auto"/>
        <w:ind w:left="573" w:right="1033" w:hanging="420"/>
        <w:jc w:val="left"/>
      </w:pPr>
      <w:r>
        <w:rPr/>
        <w:t>（</w:t>
      </w:r>
      <w:r>
        <w:rPr>
          <w:rFonts w:ascii="Times New Roman" w:hAnsi="Times New Roman" w:cs="Times New Roman" w:eastAsia="Times New Roman" w:hint="default"/>
        </w:rPr>
        <w:t>1</w:t>
      </w:r>
      <w:r>
        <w:rPr/>
        <w:t>）电子支付设备 公司全资子公司新国都支付主要产品和业务是以金融</w:t>
      </w:r>
      <w:r>
        <w:rPr>
          <w:rFonts w:ascii="Times New Roman" w:hAnsi="Times New Roman" w:cs="Times New Roman" w:eastAsia="Times New Roman" w:hint="default"/>
        </w:rPr>
        <w:t>POS</w:t>
      </w:r>
      <w:r>
        <w:rPr/>
        <w:t>机为主的电子支付受理终端设备软硬件的生产、研发、销售</w:t>
      </w:r>
    </w:p>
    <w:p>
      <w:pPr>
        <w:pStyle w:val="BodyText"/>
        <w:spacing w:line="451" w:lineRule="auto" w:before="43"/>
        <w:ind w:right="1106"/>
        <w:jc w:val="both"/>
      </w:pPr>
      <w:r>
        <w:rPr/>
        <w:t>和租赁，为客户提供基于电子支付的综合性解决方案。电子支付设备主要产品包括</w:t>
      </w:r>
      <w:r>
        <w:rPr>
          <w:rFonts w:ascii="Times New Roman" w:hAnsi="Times New Roman" w:cs="Times New Roman" w:eastAsia="Times New Roman" w:hint="default"/>
        </w:rPr>
        <w:t>POS</w:t>
      </w:r>
      <w:r>
        <w:rPr/>
        <w:t>机（刷脸支付终端、扫码</w:t>
      </w:r>
      <w:r>
        <w:rPr>
          <w:rFonts w:ascii="Times New Roman" w:hAnsi="Times New Roman" w:cs="Times New Roman" w:eastAsia="Times New Roman" w:hint="default"/>
        </w:rPr>
        <w:t>POS</w:t>
      </w:r>
      <w:r>
        <w:rPr/>
        <w:t>终端、 台式</w:t>
      </w:r>
      <w:r>
        <w:rPr>
          <w:rFonts w:ascii="Times New Roman" w:hAnsi="Times New Roman" w:cs="Times New Roman" w:eastAsia="Times New Roman" w:hint="default"/>
        </w:rPr>
        <w:t>POS</w:t>
      </w:r>
      <w:r>
        <w:rPr/>
        <w:t>、移动</w:t>
      </w:r>
      <w:r>
        <w:rPr>
          <w:rFonts w:ascii="Times New Roman" w:hAnsi="Times New Roman" w:cs="Times New Roman" w:eastAsia="Times New Roman" w:hint="default"/>
        </w:rPr>
        <w:t>POS</w:t>
      </w:r>
      <w:r>
        <w:rPr/>
        <w:t>、电话</w:t>
      </w:r>
      <w:r>
        <w:rPr>
          <w:rFonts w:ascii="Times New Roman" w:hAnsi="Times New Roman" w:cs="Times New Roman" w:eastAsia="Times New Roman" w:hint="default"/>
        </w:rPr>
        <w:t>POS</w:t>
      </w:r>
      <w:r>
        <w:rPr/>
        <w:t>、智能</w:t>
      </w:r>
      <w:r>
        <w:rPr>
          <w:rFonts w:ascii="Times New Roman" w:hAnsi="Times New Roman" w:cs="Times New Roman" w:eastAsia="Times New Roman" w:hint="default"/>
        </w:rPr>
        <w:t>POS</w:t>
      </w:r>
      <w:r>
        <w:rPr/>
        <w:t>、</w:t>
      </w:r>
      <w:r>
        <w:rPr>
          <w:rFonts w:ascii="Times New Roman" w:hAnsi="Times New Roman" w:cs="Times New Roman" w:eastAsia="Times New Roman" w:hint="default"/>
        </w:rPr>
        <w:t>MPOS</w:t>
      </w:r>
      <w:r>
        <w:rPr/>
        <w:t>、新型支付终端）、密码键盘及外接设备，业务主要涵盖餐饮、酒店、</w:t>
      </w:r>
      <w:r>
        <w:rPr>
          <w:spacing w:val="-22"/>
        </w:rPr>
        <w:t> </w:t>
      </w:r>
      <w:r>
        <w:rPr>
          <w:spacing w:val="-22"/>
        </w:rPr>
      </w:r>
      <w:r>
        <w:rPr/>
        <w:t>商超、交通等领域。</w:t>
      </w:r>
    </w:p>
    <w:p>
      <w:pPr>
        <w:pStyle w:val="BodyText"/>
        <w:spacing w:line="451" w:lineRule="auto" w:before="74"/>
        <w:ind w:left="573" w:right="1033" w:hanging="420"/>
        <w:jc w:val="left"/>
      </w:pPr>
      <w:r>
        <w:rPr/>
        <w:t>（</w:t>
      </w:r>
      <w:r>
        <w:rPr>
          <w:rFonts w:ascii="Times New Roman" w:hAnsi="Times New Roman" w:cs="Times New Roman" w:eastAsia="Times New Roman" w:hint="default"/>
        </w:rPr>
        <w:t>2</w:t>
      </w:r>
      <w:r>
        <w:rPr/>
        <w:t>）生物识别产品 公司全资子公司中正智能主要从事生物特征识别及身份认证产品的设计、研发和销售，包括人脸、指纹、虹膜、静脉</w:t>
      </w:r>
    </w:p>
    <w:p>
      <w:pPr>
        <w:pStyle w:val="BodyText"/>
        <w:spacing w:line="477" w:lineRule="auto" w:before="74"/>
        <w:ind w:right="1131"/>
        <w:jc w:val="both"/>
      </w:pPr>
      <w:r>
        <w:rPr>
          <w:spacing w:val="-2"/>
        </w:rPr>
        <w:t>等生物识别算法及系统、居民身份证阅读及核验产品、人证核验系统及智能终端、智慧安防生物识别产品及方案、智慧金融</w:t>
      </w:r>
      <w:r>
        <w:rPr>
          <w:spacing w:val="-65"/>
        </w:rPr>
        <w:t> </w:t>
      </w:r>
      <w:r>
        <w:rPr>
          <w:spacing w:val="-65"/>
        </w:rPr>
      </w:r>
      <w:r>
        <w:rPr>
          <w:spacing w:val="-2"/>
        </w:rPr>
        <w:t>自助产品和方案等，为客户提供生物识别、身份认证和信息安全系统解决方案，业务主要涵盖金融、安防、政务、军警、教</w:t>
      </w:r>
      <w:r>
        <w:rPr>
          <w:spacing w:val="-73"/>
        </w:rPr>
        <w:t> </w:t>
      </w:r>
      <w:r>
        <w:rPr>
          <w:spacing w:val="-73"/>
        </w:rPr>
      </w:r>
      <w:r>
        <w:rPr/>
        <w:t>育和旅游等领域。</w:t>
      </w:r>
    </w:p>
    <w:p>
      <w:pPr>
        <w:pStyle w:val="BodyText"/>
        <w:spacing w:line="240" w:lineRule="auto" w:before="54"/>
        <w:ind w:right="1033"/>
        <w:jc w:val="left"/>
      </w:pPr>
      <w:r>
        <w:rPr>
          <w:rFonts w:ascii="Times New Roman" w:hAnsi="Times New Roman" w:cs="Times New Roman" w:eastAsia="Times New Roman" w:hint="default"/>
        </w:rPr>
        <w:t>3</w:t>
      </w:r>
      <w:r>
        <w:rPr/>
        <w:t>、数据服务业务</w:t>
      </w:r>
    </w:p>
    <w:p>
      <w:pPr>
        <w:spacing w:line="240" w:lineRule="auto" w:before="9"/>
        <w:rPr>
          <w:rFonts w:ascii="宋体" w:hAnsi="宋体" w:cs="宋体" w:eastAsia="宋体" w:hint="default"/>
          <w:sz w:val="16"/>
          <w:szCs w:val="16"/>
        </w:rPr>
      </w:pPr>
    </w:p>
    <w:p>
      <w:pPr>
        <w:pStyle w:val="BodyText"/>
        <w:spacing w:line="477" w:lineRule="auto"/>
        <w:ind w:right="1131" w:firstLine="420"/>
        <w:jc w:val="both"/>
      </w:pPr>
      <w:r>
        <w:rPr/>
        <w:t>公司全资子公司公信诚丰围绕客户展开多方位综合数据服务，专注于审核认证服务和数据处理服务，启动多元化认证 </w:t>
      </w:r>
      <w:r>
        <w:rPr>
          <w:spacing w:val="-2"/>
        </w:rPr>
        <w:t>审核模式，为客户提供基于大数据技术的身份认证、运营业务审核等综合数据解决方案，并以此为基础，输出信息系统和技</w:t>
      </w:r>
      <w:r>
        <w:rPr>
          <w:spacing w:val="-65"/>
        </w:rPr>
        <w:t> </w:t>
      </w:r>
      <w:r>
        <w:rPr>
          <w:spacing w:val="-65"/>
        </w:rPr>
      </w:r>
      <w:r>
        <w:rPr/>
        <w:t>术增值服务。</w:t>
      </w:r>
    </w:p>
    <w:p>
      <w:pPr>
        <w:pStyle w:val="Heading7"/>
        <w:spacing w:line="310" w:lineRule="exact"/>
        <w:ind w:right="1033"/>
        <w:jc w:val="left"/>
        <w:rPr>
          <w:b w:val="0"/>
          <w:bCs w:val="0"/>
        </w:rPr>
      </w:pPr>
      <w:r>
        <w:rPr/>
        <w:t>（二）报告期内公司所属行业的发展阶段、周期性特点</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BodyText"/>
        <w:spacing w:line="240" w:lineRule="auto"/>
        <w:ind w:right="1033"/>
        <w:jc w:val="left"/>
      </w:pPr>
      <w:r>
        <w:rPr>
          <w:rFonts w:ascii="Times New Roman" w:hAnsi="Times New Roman" w:cs="Times New Roman" w:eastAsia="Times New Roman" w:hint="default"/>
        </w:rPr>
        <w:t>1</w:t>
      </w:r>
      <w:r>
        <w:rPr/>
        <w:t>、支付服务、商户服务</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1128" w:firstLine="420"/>
        <w:jc w:val="both"/>
      </w:pPr>
      <w:r>
        <w:rPr>
          <w:rFonts w:ascii="Times New Roman" w:hAnsi="Times New Roman" w:cs="Times New Roman" w:eastAsia="Times New Roman" w:hint="default"/>
        </w:rPr>
        <w:t>2019</w:t>
      </w:r>
      <w:r>
        <w:rPr/>
        <w:t>年度，银行卡发卡量、交易量级移动支付的业务量继续增长，全国支付体系运行平稳，资金交易规模不断扩大， 支付业务量保持稳步增长。移动支付业务</w:t>
      </w:r>
      <w:r>
        <w:rPr>
          <w:rFonts w:ascii="Times New Roman" w:hAnsi="Times New Roman" w:cs="Times New Roman" w:eastAsia="Times New Roman" w:hint="default"/>
        </w:rPr>
        <w:t>1,014.31</w:t>
      </w:r>
      <w:r>
        <w:rPr/>
        <w:t>亿笔，金额</w:t>
      </w:r>
      <w:r>
        <w:rPr>
          <w:rFonts w:ascii="Times New Roman" w:hAnsi="Times New Roman" w:cs="Times New Roman" w:eastAsia="Times New Roman" w:hint="default"/>
        </w:rPr>
        <w:t>347.11</w:t>
      </w:r>
      <w:r>
        <w:rPr/>
        <w:t>万亿元，同比分别增长</w:t>
      </w:r>
      <w:r>
        <w:rPr>
          <w:rFonts w:ascii="Times New Roman" w:hAnsi="Times New Roman" w:cs="Times New Roman" w:eastAsia="Times New Roman" w:hint="default"/>
        </w:rPr>
        <w:t>67.57%</w:t>
      </w:r>
      <w:r>
        <w:rPr/>
        <w:t>和</w:t>
      </w:r>
      <w:r>
        <w:rPr>
          <w:rFonts w:ascii="Times New Roman" w:hAnsi="Times New Roman" w:cs="Times New Roman" w:eastAsia="Times New Roman" w:hint="default"/>
        </w:rPr>
        <w:t>25.13%</w:t>
      </w:r>
      <w:r>
        <w:rPr/>
        <w:t>。</w:t>
      </w:r>
      <w:r>
        <w:rPr>
          <w:rFonts w:ascii="Times New Roman" w:hAnsi="Times New Roman" w:cs="Times New Roman" w:eastAsia="Times New Roman" w:hint="default"/>
        </w:rPr>
        <w:t>2019</w:t>
      </w:r>
      <w:r>
        <w:rPr/>
        <w:t>年度，非</w:t>
      </w:r>
      <w:r>
        <w:rPr>
          <w:spacing w:val="-77"/>
        </w:rPr>
        <w:t> </w:t>
      </w:r>
      <w:r>
        <w:rPr/>
        <w:t>银行支付机构处理网络支付业务</w:t>
      </w:r>
      <w:r>
        <w:rPr>
          <w:rFonts w:ascii="Times New Roman" w:hAnsi="Times New Roman" w:cs="Times New Roman" w:eastAsia="Times New Roman" w:hint="default"/>
        </w:rPr>
        <w:t>7,199.98</w:t>
      </w:r>
      <w:r>
        <w:rPr/>
        <w:t>亿笔，金额</w:t>
      </w:r>
      <w:r>
        <w:rPr>
          <w:rFonts w:ascii="Times New Roman" w:hAnsi="Times New Roman" w:cs="Times New Roman" w:eastAsia="Times New Roman" w:hint="default"/>
        </w:rPr>
        <w:t>249.88</w:t>
      </w:r>
      <w:r>
        <w:rPr/>
        <w:t>万亿元，同比分别增长</w:t>
      </w:r>
      <w:r>
        <w:rPr>
          <w:rFonts w:ascii="Times New Roman" w:hAnsi="Times New Roman" w:cs="Times New Roman" w:eastAsia="Times New Roman" w:hint="default"/>
        </w:rPr>
        <w:t>35.69%</w:t>
      </w:r>
      <w:r>
        <w:rPr/>
        <w:t>和</w:t>
      </w:r>
      <w:r>
        <w:rPr>
          <w:rFonts w:ascii="Times New Roman" w:hAnsi="Times New Roman" w:cs="Times New Roman" w:eastAsia="Times New Roman" w:hint="default"/>
        </w:rPr>
        <w:t>20.10%</w:t>
      </w:r>
      <w:r>
        <w:rPr/>
        <w:t>。上述数据显示，</w:t>
      </w:r>
      <w:r>
        <w:rPr>
          <w:rFonts w:ascii="Times New Roman" w:hAnsi="Times New Roman" w:cs="Times New Roman" w:eastAsia="Times New Roman" w:hint="default"/>
        </w:rPr>
        <w:t>2019</w:t>
      </w:r>
      <w:r>
        <w:rPr/>
        <w:t>年</w:t>
      </w:r>
      <w:r>
        <w:rPr>
          <w:spacing w:val="-74"/>
        </w:rPr>
        <w:t> </w:t>
      </w:r>
      <w:r>
        <w:rPr>
          <w:spacing w:val="-2"/>
        </w:rPr>
        <w:t>全年移动支付交易笔数和交易金额增长速度明显，这说明随着人们生活习惯的改变以及相应消费场景的转移，移动支付因其</w:t>
      </w:r>
      <w:r>
        <w:rPr>
          <w:spacing w:val="-64"/>
        </w:rPr>
        <w:t> </w:t>
      </w:r>
      <w:r>
        <w:rPr>
          <w:spacing w:val="-64"/>
        </w:rPr>
      </w:r>
      <w:r>
        <w:rPr>
          <w:spacing w:val="-2"/>
        </w:rPr>
        <w:t>便捷性和安全性逐渐普及，承载着码付及闪付等多样化的移动支付模式，不仅带来消费便捷性的升级，同时也催生出新的经</w:t>
      </w:r>
      <w:r>
        <w:rPr>
          <w:spacing w:val="-63"/>
        </w:rPr>
        <w:t> </w:t>
      </w:r>
      <w:r>
        <w:rPr>
          <w:spacing w:val="-63"/>
        </w:rPr>
      </w:r>
      <w:r>
        <w:rPr/>
        <w:t>济形态。</w:t>
      </w:r>
      <w:r>
        <w:rPr>
          <w:rFonts w:ascii="Times New Roman" w:hAnsi="Times New Roman" w:cs="Times New Roman" w:eastAsia="Times New Roman" w:hint="default"/>
        </w:rPr>
        <w:t>2019</w:t>
      </w:r>
      <w:r>
        <w:rPr/>
        <w:t>年</w:t>
      </w:r>
      <w:r>
        <w:rPr>
          <w:rFonts w:ascii="宋体" w:hAnsi="宋体" w:cs="宋体" w:eastAsia="宋体" w:hint="default"/>
        </w:rPr>
        <w:t>,</w:t>
      </w:r>
      <w:r>
        <w:rPr/>
        <w:t>移动支付笔数与网上支付笔数的差距逐渐缩小并实现反超，移动支付业务量增速仍然相对较快，反映出移</w:t>
      </w:r>
      <w:r>
        <w:rPr>
          <w:spacing w:val="-85"/>
        </w:rPr>
        <w:t> </w:t>
      </w:r>
      <w:r>
        <w:rPr>
          <w:spacing w:val="-85"/>
        </w:rPr>
      </w:r>
      <w:r>
        <w:rPr>
          <w:spacing w:val="-2"/>
        </w:rPr>
        <w:t>动支付的渗透率和用户粘性不断增长。移动支付笔数和金额同步增长，并且笔数增幅要远高于金额，说明线下小额移动支付</w:t>
      </w:r>
      <w:r>
        <w:rPr>
          <w:spacing w:val="-63"/>
        </w:rPr>
        <w:t> </w:t>
      </w:r>
      <w:r>
        <w:rPr>
          <w:spacing w:val="-63"/>
        </w:rPr>
      </w:r>
      <w:r>
        <w:rPr/>
        <w:t>场景拓宽，小额分散化趋势明显。</w:t>
      </w:r>
    </w:p>
    <w:p>
      <w:pPr>
        <w:pStyle w:val="BodyText"/>
        <w:spacing w:line="468" w:lineRule="auto" w:before="65"/>
        <w:ind w:right="1131" w:firstLine="420"/>
        <w:jc w:val="both"/>
      </w:pPr>
      <w:r>
        <w:rPr/>
        <w:t>在新零售的推动下，线下商业的互联网化程度迅速提升，二维码支付打通了线上与线下的链接，移动支付渗透进各行 </w:t>
      </w:r>
      <w:r>
        <w:rPr>
          <w:spacing w:val="-2"/>
        </w:rPr>
        <w:t>各业。从打车、外卖、餐饮、购物到公共交通、医疗的各种线下场景当中，移动支付均开始发挥出超越单纯的支付通道的作</w:t>
      </w:r>
      <w:r>
        <w:rPr>
          <w:spacing w:val="-70"/>
        </w:rPr>
        <w:t> </w:t>
      </w:r>
      <w:r>
        <w:rPr>
          <w:spacing w:val="-70"/>
        </w:rPr>
      </w:r>
      <w:r>
        <w:rPr>
          <w:spacing w:val="-2"/>
        </w:rPr>
        <w:t>用，商业数据统计分析、多元化增值服务已赋予电子支付体系</w:t>
      </w:r>
      <w:r>
        <w:rPr>
          <w:rFonts w:ascii="Times New Roman" w:hAnsi="Times New Roman" w:cs="Times New Roman" w:eastAsia="Times New Roman" w:hint="default"/>
          <w:spacing w:val="-2"/>
        </w:rPr>
        <w:t>“</w:t>
      </w:r>
      <w:r>
        <w:rPr>
          <w:spacing w:val="-2"/>
        </w:rPr>
        <w:t>商业基础设施</w:t>
      </w:r>
      <w:r>
        <w:rPr>
          <w:rFonts w:ascii="Times New Roman" w:hAnsi="Times New Roman" w:cs="Times New Roman" w:eastAsia="Times New Roman" w:hint="default"/>
          <w:spacing w:val="-2"/>
        </w:rPr>
        <w:t>”</w:t>
      </w:r>
      <w:r>
        <w:rPr>
          <w:spacing w:val="-2"/>
        </w:rPr>
        <w:t>的角色。一方面，部分互联网支付规模转移至</w:t>
      </w:r>
      <w:r>
        <w:rPr>
          <w:spacing w:val="-45"/>
        </w:rPr>
        <w:t> </w:t>
      </w:r>
      <w:r>
        <w:rPr>
          <w:spacing w:val="-45"/>
        </w:rPr>
      </w:r>
      <w:r>
        <w:rPr/>
        <w:t>移动端，另一方面，线下聚合支付发展，推动了移动支付大幅增长。</w:t>
      </w:r>
    </w:p>
    <w:p>
      <w:pPr>
        <w:pStyle w:val="BodyText"/>
        <w:spacing w:line="477" w:lineRule="auto" w:before="61"/>
        <w:ind w:right="1138" w:firstLine="420"/>
        <w:jc w:val="both"/>
      </w:pPr>
      <w:r>
        <w:rPr/>
        <w:t>电子支付行业会继续保持活跃性，随着生物识别技术的完善和精准度的提高、人工智能技术的成熟，支付行业未来仍 具有较多发展机遇与革新的可能。</w:t>
      </w:r>
    </w:p>
    <w:p>
      <w:pPr>
        <w:pStyle w:val="BodyText"/>
        <w:spacing w:line="477" w:lineRule="auto" w:before="54"/>
        <w:ind w:right="1134" w:firstLine="420"/>
        <w:jc w:val="both"/>
      </w:pPr>
      <w:r>
        <w:rPr/>
        <w:t>随着第三方支付机构的发展壮大和业务规模的持续增长，行业竞争加剧，传统收单市场产品同质化严重，发展渠道单 </w:t>
      </w:r>
      <w:r>
        <w:rPr>
          <w:spacing w:val="-2"/>
        </w:rPr>
        <w:t>一，手续费价格竞争严重。嘉联支付在商业模式上主动转型，弱化商户手续费概念，加强商户服务投入，借助软硬件研发一</w:t>
      </w:r>
      <w:r>
        <w:rPr>
          <w:spacing w:val="-67"/>
        </w:rPr>
        <w:t> </w:t>
      </w:r>
      <w:r>
        <w:rPr>
          <w:spacing w:val="-67"/>
        </w:rPr>
      </w:r>
      <w:r>
        <w:rPr/>
        <w:t>体化的能力，探索对于终端、平台、服务等领域的智能交互，定制化地为商户经营提供综合解决方案。</w:t>
      </w:r>
    </w:p>
    <w:p>
      <w:pPr>
        <w:pStyle w:val="BodyText"/>
        <w:spacing w:line="463" w:lineRule="auto" w:before="54"/>
        <w:ind w:right="1031" w:firstLine="420"/>
        <w:jc w:val="left"/>
      </w:pPr>
      <w:r>
        <w:rPr>
          <w:spacing w:val="-5"/>
        </w:rPr>
        <w:t>支付是线下流量管理的重要入口，智能</w:t>
      </w:r>
      <w:r>
        <w:rPr/>
        <w:t> </w:t>
      </w:r>
      <w:r>
        <w:rPr>
          <w:rFonts w:ascii="Times New Roman" w:hAnsi="Times New Roman" w:cs="Times New Roman" w:eastAsia="Times New Roman" w:hint="default"/>
          <w:w w:val="99"/>
        </w:rPr>
        <w:t>POS</w:t>
      </w:r>
      <w:r>
        <w:rPr>
          <w:rFonts w:ascii="Times New Roman" w:hAnsi="Times New Roman" w:cs="Times New Roman" w:eastAsia="Times New Roman" w:hint="default"/>
          <w:spacing w:val="21"/>
          <w:w w:val="99"/>
        </w:rPr>
        <w:t> </w:t>
      </w:r>
      <w:r>
        <w:rPr>
          <w:spacing w:val="-3"/>
        </w:rPr>
        <w:t>和聚合支付的崛起丰富了数据的维度，提升了线上线下连接的深度和广度。</w:t>
      </w:r>
      <w:r>
        <w:rPr/>
        <w:t> </w:t>
      </w:r>
      <w:r>
        <w:rPr>
          <w:spacing w:val="-2"/>
        </w:rPr>
        <w:t>对于大量商户，在营销推广、客户管理、用户体验提升等方面都有着明显的痛点，第三方支付公司以支付数据为起点，对商</w:t>
      </w:r>
      <w:r>
        <w:rPr>
          <w:spacing w:val="-67"/>
        </w:rPr>
        <w:t> </w:t>
      </w:r>
      <w:r>
        <w:rPr>
          <w:spacing w:val="-67"/>
        </w:rPr>
      </w:r>
      <w:r>
        <w:rPr/>
        <w:t>户提供客户管理与营销推广服务、电子发票服务等，以此不断提升单位流水的盈利能力。</w:t>
      </w:r>
    </w:p>
    <w:p>
      <w:pPr>
        <w:pStyle w:val="BodyText"/>
        <w:spacing w:line="451" w:lineRule="auto" w:before="65"/>
        <w:ind w:left="573" w:right="1033" w:hanging="420"/>
        <w:jc w:val="left"/>
      </w:pPr>
      <w:r>
        <w:rPr>
          <w:rFonts w:ascii="Times New Roman" w:hAnsi="Times New Roman" w:cs="Times New Roman" w:eastAsia="Times New Roman" w:hint="default"/>
        </w:rPr>
        <w:t>2</w:t>
      </w:r>
      <w:r>
        <w:rPr/>
        <w:t>、电子支付设备及生物识别产品 </w:t>
      </w:r>
      <w:r>
        <w:rPr>
          <w:spacing w:val="-2"/>
        </w:rPr>
        <w:t>随着信息技术在支付领域得到广泛的应用，支付基础设施建设取得了重大发展，非现金支付工具日益普及且创新不断，</w:t>
      </w:r>
    </w:p>
    <w:p>
      <w:pPr>
        <w:pStyle w:val="BodyText"/>
        <w:spacing w:line="477" w:lineRule="auto" w:before="74"/>
        <w:ind w:left="573" w:right="1108" w:hanging="420"/>
        <w:jc w:val="left"/>
      </w:pPr>
      <w:r>
        <w:rPr/>
        <w:t>支付服务环境大幅改善，有效支持了实体经济的发展。 根据中国人民银行发布的《</w:t>
      </w:r>
      <w:r>
        <w:rPr>
          <w:rFonts w:ascii="Times New Roman" w:hAnsi="Times New Roman" w:cs="Times New Roman" w:eastAsia="Times New Roman" w:hint="default"/>
        </w:rPr>
        <w:t>2019</w:t>
      </w:r>
      <w:r>
        <w:rPr/>
        <w:t>年支付体系运行总体情况报告》，截止至</w:t>
      </w:r>
      <w:r>
        <w:rPr>
          <w:rFonts w:ascii="Times New Roman" w:hAnsi="Times New Roman" w:cs="Times New Roman" w:eastAsia="Times New Roman" w:hint="default"/>
        </w:rPr>
        <w:t>2019</w:t>
      </w:r>
      <w:r>
        <w:rPr/>
        <w:t>年末，全国银行卡在用发卡数量</w:t>
      </w:r>
      <w:r>
        <w:rPr>
          <w:rFonts w:ascii="Times New Roman" w:hAnsi="Times New Roman" w:cs="Times New Roman" w:eastAsia="Times New Roman" w:hint="default"/>
        </w:rPr>
        <w:t>84.19</w:t>
      </w:r>
      <w:r>
        <w:rPr/>
        <w:t>亿</w:t>
      </w:r>
    </w:p>
    <w:p>
      <w:pPr>
        <w:pStyle w:val="BodyText"/>
        <w:spacing w:line="451" w:lineRule="auto" w:before="21"/>
        <w:ind w:right="1130"/>
        <w:jc w:val="both"/>
      </w:pPr>
      <w:r>
        <w:rPr/>
        <w:t>张，同比增长</w:t>
      </w:r>
      <w:r>
        <w:rPr>
          <w:rFonts w:ascii="Times New Roman" w:hAnsi="Times New Roman" w:cs="Times New Roman" w:eastAsia="Times New Roman" w:hint="default"/>
        </w:rPr>
        <w:t>10.82%</w:t>
      </w:r>
      <w:r>
        <w:rPr/>
        <w:t>；受理市场环境不断完善，银行卡受理终端数量有所下降，截止至</w:t>
      </w:r>
      <w:r>
        <w:rPr>
          <w:rFonts w:ascii="Times New Roman" w:hAnsi="Times New Roman" w:cs="Times New Roman" w:eastAsia="Times New Roman" w:hint="default"/>
        </w:rPr>
        <w:t>2019</w:t>
      </w:r>
      <w:r>
        <w:rPr/>
        <w:t>年末，银行卡跨行支付系统联</w:t>
      </w:r>
      <w:r>
        <w:rPr>
          <w:spacing w:val="-17"/>
        </w:rPr>
        <w:t> </w:t>
      </w:r>
      <w:r>
        <w:rPr>
          <w:spacing w:val="-17"/>
        </w:rPr>
      </w:r>
      <w:r>
        <w:rPr/>
        <w:t>网商户</w:t>
      </w:r>
      <w:r>
        <w:rPr>
          <w:rFonts w:ascii="Times New Roman" w:hAnsi="Times New Roman" w:cs="Times New Roman" w:eastAsia="Times New Roman" w:hint="default"/>
        </w:rPr>
        <w:t>2,362.96</w:t>
      </w:r>
      <w:r>
        <w:rPr/>
        <w:t>万户，联网</w:t>
      </w:r>
      <w:r>
        <w:rPr>
          <w:rFonts w:ascii="Times New Roman" w:hAnsi="Times New Roman" w:cs="Times New Roman" w:eastAsia="Times New Roman" w:hint="default"/>
        </w:rPr>
        <w:t>POS</w:t>
      </w:r>
      <w:r>
        <w:rPr/>
        <w:t>机具</w:t>
      </w:r>
      <w:r>
        <w:rPr>
          <w:rFonts w:ascii="Times New Roman" w:hAnsi="Times New Roman" w:cs="Times New Roman" w:eastAsia="Times New Roman" w:hint="default"/>
        </w:rPr>
        <w:t>3,089.28</w:t>
      </w:r>
      <w:r>
        <w:rPr/>
        <w:t>万台，较上季度末分别减少</w:t>
      </w:r>
      <w:r>
        <w:rPr>
          <w:rFonts w:ascii="Times New Roman" w:hAnsi="Times New Roman" w:cs="Times New Roman" w:eastAsia="Times New Roman" w:hint="default"/>
        </w:rPr>
        <w:t>370.04</w:t>
      </w:r>
      <w:r>
        <w:rPr/>
        <w:t>万户和</w:t>
      </w:r>
      <w:r>
        <w:rPr>
          <w:rFonts w:ascii="Times New Roman" w:hAnsi="Times New Roman" w:cs="Times New Roman" w:eastAsia="Times New Roman" w:hint="default"/>
        </w:rPr>
        <w:t>325.54</w:t>
      </w:r>
      <w:r>
        <w:rPr/>
        <w:t>万台。银行卡交易量继续增长。</w:t>
      </w:r>
      <w:r>
        <w:rPr>
          <w:spacing w:val="-67"/>
        </w:rPr>
        <w:t> </w:t>
      </w:r>
      <w:r>
        <w:rPr>
          <w:spacing w:val="-67"/>
        </w:rPr>
      </w:r>
      <w:r>
        <w:rPr>
          <w:rFonts w:ascii="Times New Roman" w:hAnsi="Times New Roman" w:cs="Times New Roman" w:eastAsia="Times New Roman" w:hint="default"/>
        </w:rPr>
        <w:t>2019</w:t>
      </w:r>
      <w:r>
        <w:rPr/>
        <w:t>年，全国共发生银行卡交易</w:t>
      </w:r>
      <w:r>
        <w:rPr>
          <w:rFonts w:ascii="Times New Roman" w:hAnsi="Times New Roman" w:cs="Times New Roman" w:eastAsia="Times New Roman" w:hint="default"/>
        </w:rPr>
        <w:t>3,219.89</w:t>
      </w:r>
      <w:r>
        <w:rPr/>
        <w:t>亿笔，金额</w:t>
      </w:r>
      <w:r>
        <w:rPr>
          <w:rFonts w:ascii="Times New Roman" w:hAnsi="Times New Roman" w:cs="Times New Roman" w:eastAsia="Times New Roman" w:hint="default"/>
        </w:rPr>
        <w:t>886.39</w:t>
      </w:r>
      <w:r>
        <w:rPr/>
        <w:t>万亿元，同比分别增长</w:t>
      </w:r>
      <w:r>
        <w:rPr>
          <w:rFonts w:ascii="Times New Roman" w:hAnsi="Times New Roman" w:cs="Times New Roman" w:eastAsia="Times New Roman" w:hint="default"/>
        </w:rPr>
        <w:t>53.07%</w:t>
      </w:r>
      <w:r>
        <w:rPr/>
        <w:t>和</w:t>
      </w:r>
      <w:r>
        <w:rPr>
          <w:rFonts w:ascii="Times New Roman" w:hAnsi="Times New Roman" w:cs="Times New Roman" w:eastAsia="Times New Roman" w:hint="default"/>
        </w:rPr>
        <w:t>2.82%</w:t>
      </w:r>
      <w:r>
        <w:rPr/>
        <w:t>。</w:t>
      </w:r>
    </w:p>
    <w:p>
      <w:pPr>
        <w:pStyle w:val="BodyText"/>
        <w:spacing w:line="451" w:lineRule="auto" w:before="43"/>
        <w:ind w:right="1130" w:firstLine="420"/>
        <w:jc w:val="both"/>
        <w:rPr>
          <w:rFonts w:ascii="Times New Roman" w:hAnsi="Times New Roman" w:cs="Times New Roman" w:eastAsia="Times New Roman" w:hint="default"/>
        </w:rPr>
      </w:pPr>
      <w:r>
        <w:rPr/>
        <w:t>电子支付设备市场主要仍集中在商业银行、银联商务、第三方支付机构等客户群体。据中国支付清算协会《</w:t>
      </w:r>
      <w:r>
        <w:rPr>
          <w:rFonts w:ascii="Times New Roman" w:hAnsi="Times New Roman" w:cs="Times New Roman" w:eastAsia="Times New Roman" w:hint="default"/>
        </w:rPr>
        <w:t>2019</w:t>
      </w:r>
      <w:r>
        <w:rPr/>
        <w:t>年移 </w:t>
      </w:r>
      <w:r>
        <w:rPr>
          <w:spacing w:val="-2"/>
        </w:rPr>
        <w:t>动支付用户调研报告》显示，用户最常使用的移动支付方式为扫码支付。</w:t>
      </w:r>
      <w:r>
        <w:rPr>
          <w:rFonts w:ascii="Times New Roman" w:hAnsi="Times New Roman" w:cs="Times New Roman" w:eastAsia="Times New Roman" w:hint="default"/>
          <w:spacing w:val="-2"/>
        </w:rPr>
        <w:t>2019</w:t>
      </w:r>
      <w:r>
        <w:rPr>
          <w:spacing w:val="-2"/>
        </w:rPr>
        <w:t>年，移动支付用户表示最常使用的支付方式是</w:t>
      </w:r>
      <w:r>
        <w:rPr>
          <w:spacing w:val="-62"/>
        </w:rPr>
        <w:t> </w:t>
      </w:r>
      <w:r>
        <w:rPr>
          <w:spacing w:val="-62"/>
        </w:rPr>
      </w:r>
      <w:r>
        <w:rPr>
          <w:spacing w:val="-7"/>
        </w:rPr>
        <w:t>使用客户端扫码或出示二维码完成支付，占比</w:t>
      </w:r>
      <w:r>
        <w:rPr>
          <w:rFonts w:ascii="Times New Roman" w:hAnsi="Times New Roman" w:cs="Times New Roman" w:eastAsia="Times New Roman" w:hint="default"/>
          <w:spacing w:val="-7"/>
        </w:rPr>
        <w:t>92.6%</w:t>
      </w:r>
      <w:r>
        <w:rPr>
          <w:spacing w:val="-7"/>
        </w:rPr>
        <w:t>，与去年持平；在终端设备上使用闪付（例如：银行卡，</w:t>
      </w:r>
      <w:r>
        <w:rPr>
          <w:rFonts w:ascii="Times New Roman" w:hAnsi="Times New Roman" w:cs="Times New Roman" w:eastAsia="Times New Roman" w:hint="default"/>
          <w:spacing w:val="-7"/>
        </w:rPr>
        <w:t>Apple</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7"/>
        </w:rPr>
        <w:t>Pay</w:t>
      </w:r>
      <w:r>
        <w:rPr>
          <w:spacing w:val="-7"/>
        </w:rPr>
        <w:t>、</w:t>
      </w:r>
      <w:r>
        <w:rPr>
          <w:rFonts w:ascii="Times New Roman" w:hAnsi="Times New Roman" w:cs="Times New Roman" w:eastAsia="Times New Roman" w:hint="default"/>
          <w:spacing w:val="-7"/>
        </w:rPr>
        <w:t>Huawei</w:t>
      </w:r>
    </w:p>
    <w:p>
      <w:pPr>
        <w:spacing w:after="0" w:line="451" w:lineRule="auto"/>
        <w:jc w:val="both"/>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458" w:lineRule="auto" w:before="44"/>
        <w:ind w:right="1033"/>
        <w:jc w:val="left"/>
      </w:pPr>
      <w:r>
        <w:rPr>
          <w:rFonts w:ascii="Times New Roman" w:hAnsi="Times New Roman" w:cs="Times New Roman" w:eastAsia="Times New Roman" w:hint="default"/>
          <w:spacing w:val="-4"/>
        </w:rPr>
        <w:t>Pay</w:t>
      </w:r>
      <w:r>
        <w:rPr>
          <w:spacing w:val="-4"/>
        </w:rPr>
        <w:t>、</w:t>
      </w:r>
      <w:r>
        <w:rPr>
          <w:rFonts w:ascii="Times New Roman" w:hAnsi="Times New Roman" w:cs="Times New Roman" w:eastAsia="Times New Roman" w:hint="default"/>
          <w:spacing w:val="-4"/>
        </w:rPr>
        <w:t>Mi</w:t>
      </w:r>
      <w:r>
        <w:rPr>
          <w:rFonts w:ascii="Times New Roman" w:hAnsi="Times New Roman" w:cs="Times New Roman" w:eastAsia="Times New Roman" w:hint="default"/>
        </w:rPr>
        <w:t> </w:t>
      </w:r>
      <w:r>
        <w:rPr>
          <w:rFonts w:ascii="Times New Roman" w:hAnsi="Times New Roman" w:cs="Times New Roman" w:eastAsia="Times New Roman" w:hint="default"/>
          <w:spacing w:val="-2"/>
        </w:rPr>
        <w:t>Pay</w:t>
      </w:r>
      <w:r>
        <w:rPr>
          <w:spacing w:val="-2"/>
        </w:rPr>
        <w:t>等手机闪付）完成支付排名第二，占比</w:t>
      </w:r>
      <w:r>
        <w:rPr>
          <w:rFonts w:ascii="Times New Roman" w:hAnsi="Times New Roman" w:cs="Times New Roman" w:eastAsia="Times New Roman" w:hint="default"/>
          <w:spacing w:val="-2"/>
        </w:rPr>
        <w:t>49.9%</w:t>
      </w:r>
      <w:r>
        <w:rPr>
          <w:spacing w:val="-2"/>
        </w:rPr>
        <w:t>；在商户客户端跳转第三方客户端进行支付排名第三，占比</w:t>
      </w:r>
      <w:r>
        <w:rPr>
          <w:rFonts w:ascii="Times New Roman" w:hAnsi="Times New Roman" w:cs="Times New Roman" w:eastAsia="Times New Roman" w:hint="default"/>
          <w:spacing w:val="-2"/>
        </w:rPr>
        <w:t>29.6%</w:t>
      </w:r>
      <w:r>
        <w:rPr>
          <w:spacing w:val="-2"/>
        </w:rPr>
        <w:t>；</w:t>
      </w:r>
      <w:r>
        <w:rPr>
          <w:spacing w:val="-59"/>
        </w:rPr>
        <w:t> </w:t>
      </w:r>
      <w:r>
        <w:rPr/>
        <w:t>还有</w:t>
      </w:r>
      <w:r>
        <w:rPr>
          <w:rFonts w:ascii="Times New Roman" w:hAnsi="Times New Roman" w:cs="Times New Roman" w:eastAsia="Times New Roman" w:hint="default"/>
        </w:rPr>
        <w:t>9.7%</w:t>
      </w:r>
      <w:r>
        <w:rPr/>
        <w:t>的用户经常使用其他支付方式（手机网页支付、回复短信支付、拨打热线支付等）进行支付。上述四种支付方式</w:t>
      </w:r>
      <w:r>
        <w:rPr>
          <w:spacing w:val="-19"/>
        </w:rPr>
        <w:t> </w:t>
      </w:r>
      <w:r>
        <w:rPr>
          <w:spacing w:val="-19"/>
        </w:rPr>
      </w:r>
      <w:r>
        <w:rPr>
          <w:spacing w:val="-2"/>
        </w:rPr>
        <w:t>的使用比例较</w:t>
      </w:r>
      <w:r>
        <w:rPr>
          <w:rFonts w:ascii="Times New Roman" w:hAnsi="Times New Roman" w:cs="Times New Roman" w:eastAsia="Times New Roman" w:hint="default"/>
          <w:spacing w:val="-2"/>
        </w:rPr>
        <w:t>2018</w:t>
      </w:r>
      <w:r>
        <w:rPr>
          <w:spacing w:val="-2"/>
        </w:rPr>
        <w:t>年均有所增长，其中在终端上使用闪付的用户比例增幅最大，较去年提升近</w:t>
      </w:r>
      <w:r>
        <w:rPr>
          <w:rFonts w:ascii="Times New Roman" w:hAnsi="Times New Roman" w:cs="Times New Roman" w:eastAsia="Times New Roman" w:hint="default"/>
          <w:spacing w:val="-2"/>
        </w:rPr>
        <w:t>23</w:t>
      </w:r>
      <w:r>
        <w:rPr>
          <w:spacing w:val="-2"/>
        </w:rPr>
        <w:t>个百分点。说明经过市场主</w:t>
      </w:r>
      <w:r>
        <w:rPr>
          <w:spacing w:val="-60"/>
        </w:rPr>
        <w:t> </w:t>
      </w:r>
      <w:r>
        <w:rPr>
          <w:spacing w:val="-60"/>
        </w:rPr>
      </w:r>
      <w:r>
        <w:rPr>
          <w:spacing w:val="-2"/>
        </w:rPr>
        <w:t>体的持续深耕市场和客户培育，条码支付的使用度和接受度进一步提升，移动支付的接受程度进一步提高，因受理环境进一</w:t>
      </w:r>
      <w:r>
        <w:rPr>
          <w:spacing w:val="-63"/>
        </w:rPr>
        <w:t> </w:t>
      </w:r>
      <w:r>
        <w:rPr>
          <w:spacing w:val="-63"/>
        </w:rPr>
      </w:r>
      <w:r>
        <w:rPr/>
        <w:t>步完善和补贴等原因，闪付的提高程度最为显著。</w:t>
      </w:r>
    </w:p>
    <w:p>
      <w:pPr>
        <w:pStyle w:val="BodyText"/>
        <w:spacing w:line="477" w:lineRule="auto" w:before="68"/>
        <w:ind w:right="1138" w:firstLine="420"/>
        <w:jc w:val="both"/>
      </w:pPr>
      <w:r>
        <w:rPr/>
        <w:t>为进一步满足丰富多样的应用场景及市场需求，报告期内，公司对码付设备（含扫码支付功能）的业务团队进行重点 配置和投入，加大投入智能</w:t>
      </w:r>
      <w:r>
        <w:rPr>
          <w:rFonts w:ascii="Times New Roman" w:hAnsi="Times New Roman" w:cs="Times New Roman" w:eastAsia="Times New Roman" w:hint="default"/>
        </w:rPr>
        <w:t>POS</w:t>
      </w:r>
      <w:r>
        <w:rPr/>
        <w:t>终端、聚合支付设备及扫码设备，并迅速迭代。</w:t>
      </w:r>
    </w:p>
    <w:p>
      <w:pPr>
        <w:pStyle w:val="BodyText"/>
        <w:spacing w:line="451" w:lineRule="auto" w:before="22"/>
        <w:ind w:right="1124" w:firstLine="420"/>
        <w:jc w:val="left"/>
      </w:pPr>
      <w:r>
        <w:rPr>
          <w:rFonts w:ascii="Times New Roman" w:hAnsi="Times New Roman" w:cs="Times New Roman" w:eastAsia="Times New Roman" w:hint="default"/>
        </w:rPr>
        <w:t>2019</w:t>
      </w:r>
      <w:r>
        <w:rPr/>
        <w:t>年，用户最常使用的移动支付产品是支付宝、微信和银联云闪付（含</w:t>
      </w:r>
      <w:r>
        <w:rPr>
          <w:rFonts w:ascii="Times New Roman" w:hAnsi="Times New Roman" w:cs="Times New Roman" w:eastAsia="Times New Roman" w:hint="default"/>
        </w:rPr>
        <w:t>Apple Pay</w:t>
      </w:r>
      <w:r>
        <w:rPr/>
        <w:t>、</w:t>
      </w:r>
      <w:r>
        <w:rPr>
          <w:rFonts w:ascii="Times New Roman" w:hAnsi="Times New Roman" w:cs="Times New Roman" w:eastAsia="Times New Roman" w:hint="default"/>
        </w:rPr>
        <w:t>Huawei Pay</w:t>
      </w:r>
      <w:r>
        <w:rPr/>
        <w:t>、</w:t>
      </w:r>
      <w:r>
        <w:rPr>
          <w:rFonts w:ascii="Times New Roman" w:hAnsi="Times New Roman" w:cs="Times New Roman" w:eastAsia="Times New Roman" w:hint="default"/>
        </w:rPr>
        <w:t>Mi</w:t>
      </w:r>
      <w:r>
        <w:rPr>
          <w:rFonts w:ascii="Times New Roman" w:hAnsi="Times New Roman" w:cs="Times New Roman" w:eastAsia="Times New Roman" w:hint="default"/>
          <w:spacing w:val="34"/>
        </w:rPr>
        <w:t> </w:t>
      </w:r>
      <w:r>
        <w:rPr>
          <w:rFonts w:ascii="Times New Roman" w:hAnsi="Times New Roman" w:cs="Times New Roman" w:eastAsia="Times New Roman" w:hint="default"/>
        </w:rPr>
        <w:t>Pay</w:t>
      </w:r>
      <w:r>
        <w:rPr/>
        <w:t>等手机闪付 </w:t>
      </w:r>
      <w:r>
        <w:rPr>
          <w:spacing w:val="-1"/>
        </w:rPr>
        <w:t>产品），占比分别为</w:t>
      </w:r>
      <w:r>
        <w:rPr>
          <w:rFonts w:ascii="Times New Roman" w:hAnsi="Times New Roman" w:cs="Times New Roman" w:eastAsia="Times New Roman" w:hint="default"/>
          <w:spacing w:val="-1"/>
        </w:rPr>
        <w:t>90.7%</w:t>
      </w:r>
      <w:r>
        <w:rPr>
          <w:spacing w:val="-1"/>
        </w:rPr>
        <w:t>、</w:t>
      </w:r>
      <w:r>
        <w:rPr>
          <w:rFonts w:ascii="Times New Roman" w:hAnsi="Times New Roman" w:cs="Times New Roman" w:eastAsia="Times New Roman" w:hint="default"/>
          <w:spacing w:val="-1"/>
        </w:rPr>
        <w:t>87.3%</w:t>
      </w:r>
      <w:r>
        <w:rPr>
          <w:spacing w:val="-1"/>
        </w:rPr>
        <w:t>和</w:t>
      </w:r>
      <w:r>
        <w:rPr>
          <w:rFonts w:ascii="Times New Roman" w:hAnsi="Times New Roman" w:cs="Times New Roman" w:eastAsia="Times New Roman" w:hint="default"/>
          <w:spacing w:val="-1"/>
        </w:rPr>
        <w:t>79.7%</w:t>
      </w:r>
      <w:r>
        <w:rPr>
          <w:spacing w:val="-1"/>
        </w:rPr>
        <w:t>。新国都支付根据市场需求，迅速调整产品销售结构，迎合移动支付的热门支付</w:t>
      </w:r>
      <w:r>
        <w:rPr>
          <w:spacing w:val="-73"/>
        </w:rPr>
        <w:t> </w:t>
      </w:r>
      <w:r>
        <w:rPr>
          <w:spacing w:val="-73"/>
        </w:rPr>
      </w:r>
      <w:r>
        <w:rPr/>
        <w:t>方式，向市场推出智能</w:t>
      </w:r>
      <w:r>
        <w:rPr>
          <w:rFonts w:ascii="Times New Roman" w:hAnsi="Times New Roman" w:cs="Times New Roman" w:eastAsia="Times New Roman" w:hint="default"/>
        </w:rPr>
        <w:t>POS</w:t>
      </w:r>
      <w:r>
        <w:rPr/>
        <w:t>终端明星产品</w:t>
      </w:r>
      <w:r>
        <w:rPr>
          <w:rFonts w:ascii="Times New Roman" w:hAnsi="Times New Roman" w:cs="Times New Roman" w:eastAsia="Times New Roman" w:hint="default"/>
        </w:rPr>
        <w:t>N5</w:t>
      </w:r>
      <w:r>
        <w:rPr/>
        <w:t>及</w:t>
      </w:r>
      <w:r>
        <w:rPr>
          <w:rFonts w:ascii="Times New Roman" w:hAnsi="Times New Roman" w:cs="Times New Roman" w:eastAsia="Times New Roman" w:hint="default"/>
        </w:rPr>
        <w:t>G21</w:t>
      </w:r>
      <w:r>
        <w:rPr/>
        <w:t>，其中</w:t>
      </w:r>
      <w:r>
        <w:rPr>
          <w:rFonts w:ascii="Times New Roman" w:hAnsi="Times New Roman" w:cs="Times New Roman" w:eastAsia="Times New Roman" w:hint="default"/>
        </w:rPr>
        <w:t>G21</w:t>
      </w:r>
      <w:r>
        <w:rPr/>
        <w:t>除支持传统磁条卡、</w:t>
      </w:r>
      <w:r>
        <w:rPr>
          <w:rFonts w:ascii="Times New Roman" w:hAnsi="Times New Roman" w:cs="Times New Roman" w:eastAsia="Times New Roman" w:hint="default"/>
        </w:rPr>
        <w:t>IC</w:t>
      </w:r>
      <w:r>
        <w:rPr/>
        <w:t>卡、</w:t>
      </w:r>
      <w:r>
        <w:rPr>
          <w:rFonts w:ascii="Times New Roman" w:hAnsi="Times New Roman" w:cs="Times New Roman" w:eastAsia="Times New Roman" w:hint="default"/>
        </w:rPr>
        <w:t>NFC</w:t>
      </w:r>
      <w:r>
        <w:rPr/>
        <w:t>支付方式外，更融合了当下流</w:t>
      </w:r>
      <w:r>
        <w:rPr>
          <w:spacing w:val="-81"/>
        </w:rPr>
        <w:t> </w:t>
      </w:r>
      <w:r>
        <w:rPr>
          <w:spacing w:val="-81"/>
        </w:rPr>
      </w:r>
      <w:r>
        <w:rPr/>
        <w:t>行的聚合支付（微信、支付宝、银联二维码等）和安全被扫方式（采用专业解码模块，支持</w:t>
      </w:r>
      <w:r>
        <w:rPr>
          <w:rFonts w:ascii="Times New Roman" w:hAnsi="Times New Roman" w:cs="Times New Roman" w:eastAsia="Times New Roman" w:hint="default"/>
        </w:rPr>
        <w:t>1D/2D</w:t>
      </w:r>
      <w:r>
        <w:rPr/>
        <w:t>解码）。 </w:t>
      </w:r>
      <w:r>
        <w:rPr>
          <w:rFonts w:ascii="Times New Roman" w:hAnsi="Times New Roman" w:cs="Times New Roman" w:eastAsia="Times New Roman" w:hint="default"/>
        </w:rPr>
        <w:t>3</w:t>
      </w:r>
      <w:r>
        <w:rPr/>
        <w:t>、数据服务业务</w:t>
      </w:r>
    </w:p>
    <w:p>
      <w:pPr>
        <w:pStyle w:val="BodyText"/>
        <w:spacing w:line="468" w:lineRule="auto" w:before="43"/>
        <w:ind w:right="1130" w:firstLine="420"/>
        <w:jc w:val="both"/>
      </w:pPr>
      <w:r>
        <w:rPr/>
        <w:t>数字化时代背景下，大数据、人工智能、云计算日渐兴起，应用大数据进行勾画目标用户、联系用户诉求、行业数据 分析以及风险防控已成为当下时代发展的主流，也是建设信息化、科技化社会的必然要求。在金融科技领域，应用大数据</w:t>
      </w:r>
      <w:r>
        <w:rPr>
          <w:rFonts w:ascii="Times New Roman" w:hAnsi="Times New Roman" w:cs="Times New Roman" w:eastAsia="Times New Roman" w:hint="default"/>
        </w:rPr>
        <w:t>+ </w:t>
      </w:r>
      <w:r>
        <w:rPr>
          <w:spacing w:val="-2"/>
        </w:rPr>
        <w:t>人工智能技术构建用户画像、预测用户行为，并据此防控风险、优化业务模式，已成为各大金融机构、商业主体顺应时代发</w:t>
      </w:r>
      <w:r>
        <w:rPr>
          <w:spacing w:val="-67"/>
        </w:rPr>
        <w:t> </w:t>
      </w:r>
      <w:r>
        <w:rPr>
          <w:spacing w:val="-67"/>
        </w:rPr>
      </w:r>
      <w:r>
        <w:rPr/>
        <w:t>展、增加竞争优势的必经之路。</w:t>
      </w:r>
    </w:p>
    <w:p>
      <w:pPr>
        <w:pStyle w:val="BodyText"/>
        <w:spacing w:line="458" w:lineRule="auto" w:before="61"/>
        <w:ind w:right="1131" w:firstLine="420"/>
        <w:jc w:val="both"/>
      </w:pPr>
      <w:r>
        <w:rPr/>
        <w:t>随着数据审核认证技术和人工智能技术方面的发展，公司致力于推动建设数据体系建设，以</w:t>
      </w:r>
      <w:r>
        <w:rPr>
          <w:rFonts w:ascii="Times New Roman" w:hAnsi="Times New Roman" w:cs="Times New Roman" w:eastAsia="Times New Roman" w:hint="default"/>
        </w:rPr>
        <w:t>O2O</w:t>
      </w:r>
      <w:r>
        <w:rPr/>
        <w:t>入口审核为基础，基 于互联网业务形态的身份认证、审核、营销服务为切入点，不断提升互联网</w:t>
      </w:r>
      <w:r>
        <w:rPr>
          <w:rFonts w:ascii="Times New Roman" w:hAnsi="Times New Roman" w:cs="Times New Roman" w:eastAsia="Times New Roman" w:hint="default"/>
        </w:rPr>
        <w:t>+</w:t>
      </w:r>
      <w:r>
        <w:rPr/>
        <w:t>解决方案，形成三位一体的成长动力引擎，为 互联网</w:t>
      </w:r>
      <w:r>
        <w:rPr>
          <w:rFonts w:ascii="Times New Roman" w:hAnsi="Times New Roman" w:cs="Times New Roman" w:eastAsia="Times New Roman" w:hint="default"/>
        </w:rPr>
        <w:t>O2O</w:t>
      </w:r>
      <w:r>
        <w:rPr/>
        <w:t>生态提供强大的护航能力，为互联网</w:t>
      </w:r>
      <w:r>
        <w:rPr>
          <w:rFonts w:ascii="Times New Roman" w:hAnsi="Times New Roman" w:cs="Times New Roman" w:eastAsia="Times New Roman" w:hint="default"/>
        </w:rPr>
        <w:t>CRM</w:t>
      </w:r>
      <w:r>
        <w:rPr/>
        <w:t>管理提供优质的认证、营销服务，为商债管理提供解决方案，并逐步</w:t>
      </w:r>
      <w:r>
        <w:rPr>
          <w:spacing w:val="-33"/>
        </w:rPr>
        <w:t> </w:t>
      </w:r>
      <w:r>
        <w:rPr>
          <w:spacing w:val="-33"/>
        </w:rPr>
      </w:r>
      <w:r>
        <w:rPr>
          <w:spacing w:val="-2"/>
        </w:rPr>
        <w:t>完善了数据审核、认证体系的建设，持续为客户提供优质稳定的数据风控服务、数据审核服务、智能运维技术服务，不断创</w:t>
      </w:r>
      <w:r>
        <w:rPr>
          <w:spacing w:val="-67"/>
        </w:rPr>
        <w:t> </w:t>
      </w:r>
      <w:r>
        <w:rPr>
          <w:spacing w:val="-67"/>
        </w:rPr>
      </w:r>
      <w:r>
        <w:rPr/>
        <w:t>新产品和服务以满足市场需求。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4"/>
        <w:spacing w:line="240" w:lineRule="auto"/>
        <w:ind w:right="1033"/>
        <w:jc w:val="left"/>
        <w:rPr>
          <w:b w:val="0"/>
          <w:bCs w:val="0"/>
        </w:rPr>
      </w:pPr>
      <w:r>
        <w:rPr/>
        <w:t>二、主要资产重大变化情况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3039"/>
        <w:gridCol w:w="6520"/>
      </w:tblGrid>
      <w:tr>
        <w:trPr>
          <w:trHeight w:val="18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10" w:space="0" w:color="D2D2D2"/>
              <w:right w:val="single" w:sz="4" w:space="0" w:color="000000"/>
            </w:tcBorders>
          </w:tcPr>
          <w:p>
            <w:pPr>
              <w:pStyle w:val="TableParagraph"/>
              <w:spacing w:line="297"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长期股权投资较年初增长</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100%</w:t>
            </w:r>
            <w:r>
              <w:rPr>
                <w:rFonts w:ascii="宋体" w:hAnsi="宋体" w:cs="宋体" w:eastAsia="宋体" w:hint="default"/>
                <w:spacing w:val="-5"/>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年处置金服子公司对于剩余股权按照 其在丧失控制权日的公允价值确认长期股权所致。</w:t>
            </w: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0" w:type="dxa"/>
            <w:vMerge/>
            <w:tcBorders>
              <w:left w:val="single" w:sz="10" w:space="0" w:color="D2D2D2"/>
              <w:right w:val="single" w:sz="4" w:space="0" w:color="000000"/>
            </w:tcBorders>
          </w:tcPr>
          <w:p>
            <w:pPr/>
          </w:p>
        </w:tc>
      </w:tr>
      <w:tr>
        <w:trPr>
          <w:trHeight w:val="161"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10" w:space="0" w:color="D2D2D2"/>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4"/>
          <w:szCs w:val="14"/>
        </w:rPr>
      </w:pPr>
    </w:p>
    <w:p>
      <w:pPr>
        <w:pStyle w:val="BodyText"/>
        <w:spacing w:line="240" w:lineRule="auto" w:before="44"/>
        <w:ind w:left="0" w:right="1139"/>
        <w:jc w:val="right"/>
      </w:pPr>
      <w:r>
        <w:rPr/>
        <w:pict>
          <v:shape style="position:absolute;margin-left:56.424pt;margin-top:-168.178253pt;width:479.3pt;height:319.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20"/>
                  </w:tblGrid>
                  <w:tr>
                    <w:trPr>
                      <w:trHeight w:val="71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固定资产较年初下降</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87.20%</w:t>
                        </w:r>
                        <w:r>
                          <w:rPr>
                            <w:rFonts w:ascii="宋体" w:hAnsi="宋体" w:cs="宋体" w:eastAsia="宋体" w:hint="default"/>
                            <w:spacing w:val="-3"/>
                            <w:sz w:val="18"/>
                            <w:szCs w:val="18"/>
                          </w:rPr>
                          <w:t>，主要系转让苏州子公司股权导致房屋及建筑物本期减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无形资产较年初下降</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80.36%</w:t>
                        </w:r>
                        <w:r>
                          <w:rPr>
                            <w:rFonts w:ascii="宋体" w:hAnsi="宋体" w:cs="宋体" w:eastAsia="宋体" w:hint="default"/>
                            <w:spacing w:val="-3"/>
                            <w:sz w:val="18"/>
                            <w:szCs w:val="18"/>
                          </w:rPr>
                          <w:t>，主要系转让苏州子公司股权导致土地使用权本期减少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32.90%</w:t>
                        </w:r>
                        <w:r>
                          <w:rPr>
                            <w:rFonts w:ascii="宋体" w:hAnsi="宋体" w:cs="宋体" w:eastAsia="宋体" w:hint="default"/>
                            <w:sz w:val="18"/>
                            <w:szCs w:val="18"/>
                          </w:rPr>
                          <w:t>，主要系本报告期客户支付方式变动所致。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41.80%,</w:t>
                        </w:r>
                        <w:r>
                          <w:rPr>
                            <w:rFonts w:ascii="宋体" w:hAnsi="宋体" w:cs="宋体" w:eastAsia="宋体" w:hint="default"/>
                            <w:sz w:val="18"/>
                            <w:szCs w:val="18"/>
                          </w:rPr>
                          <w:t>主要系本报告期赊销机具销售额增长所致。</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其他应收款较年初增长</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1163.86%</w:t>
                        </w:r>
                        <w:r>
                          <w:rPr>
                            <w:rFonts w:ascii="宋体" w:hAnsi="宋体" w:cs="宋体" w:eastAsia="宋体" w:hint="default"/>
                            <w:spacing w:val="-3"/>
                            <w:sz w:val="18"/>
                            <w:szCs w:val="18"/>
                          </w:rPr>
                          <w:t>，主要系本年度出售苏州子公司股权部分尾款未到</w:t>
                        </w:r>
                        <w:r>
                          <w:rPr>
                            <w:rFonts w:ascii="宋体" w:hAnsi="宋体" w:cs="宋体" w:eastAsia="宋体" w:hint="default"/>
                            <w:sz w:val="18"/>
                            <w:szCs w:val="18"/>
                          </w:rPr>
                          <w:t> 期结算所致。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存货较年初下降</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1"/>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主</w:t>
                        </w:r>
                        <w:r>
                          <w:rPr>
                            <w:rFonts w:ascii="宋体" w:hAnsi="宋体" w:cs="宋体" w:eastAsia="宋体" w:hint="default"/>
                            <w:spacing w:val="-3"/>
                            <w:sz w:val="18"/>
                            <w:szCs w:val="18"/>
                          </w:rPr>
                          <w:t>要</w:t>
                        </w:r>
                        <w:r>
                          <w:rPr>
                            <w:rFonts w:ascii="宋体" w:hAnsi="宋体" w:cs="宋体" w:eastAsia="宋体" w:hint="default"/>
                            <w:sz w:val="18"/>
                            <w:szCs w:val="18"/>
                          </w:rPr>
                          <w:t>系本年度对存货的有效管理</w:t>
                        </w:r>
                        <w:r>
                          <w:rPr>
                            <w:rFonts w:ascii="宋体" w:hAnsi="宋体" w:cs="宋体" w:eastAsia="宋体" w:hint="default"/>
                            <w:spacing w:val="-85"/>
                            <w:sz w:val="18"/>
                            <w:szCs w:val="18"/>
                          </w:rPr>
                          <w:t>，</w:t>
                        </w:r>
                        <w:r>
                          <w:rPr>
                            <w:rFonts w:ascii="宋体" w:hAnsi="宋体" w:cs="宋体" w:eastAsia="宋体" w:hint="default"/>
                            <w:sz w:val="18"/>
                            <w:szCs w:val="18"/>
                          </w:rPr>
                          <w:t>销售库存成品增加所致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1"/>
                          <w:jc w:val="left"/>
                          <w:rPr>
                            <w:rFonts w:ascii="宋体" w:hAnsi="宋体" w:cs="宋体" w:eastAsia="宋体" w:hint="default"/>
                            <w:sz w:val="18"/>
                            <w:szCs w:val="18"/>
                          </w:rPr>
                        </w:pPr>
                        <w:r>
                          <w:rPr>
                            <w:rFonts w:ascii="宋体" w:hAnsi="宋体" w:cs="宋体" w:eastAsia="宋体" w:hint="default"/>
                            <w:sz w:val="18"/>
                            <w:szCs w:val="18"/>
                          </w:rPr>
                          <w:t>其他流动资产较年初下降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85.70%</w:t>
                        </w:r>
                        <w:r>
                          <w:rPr>
                            <w:rFonts w:ascii="宋体" w:hAnsi="宋体" w:cs="宋体" w:eastAsia="宋体" w:hint="default"/>
                            <w:sz w:val="18"/>
                            <w:szCs w:val="18"/>
                          </w:rPr>
                          <w:t>，主要系理财产品赎回及收单业务垫付款到期所 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长期应收款较年初增长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147.41%</w:t>
                        </w:r>
                        <w:r>
                          <w:rPr>
                            <w:rFonts w:ascii="宋体" w:hAnsi="宋体" w:cs="宋体" w:eastAsia="宋体" w:hint="default"/>
                            <w:sz w:val="18"/>
                            <w:szCs w:val="18"/>
                          </w:rPr>
                          <w:t>，主要系应收客户长期货款增加所致。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递延所得税资产较年初增长</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117.67%</w:t>
                        </w:r>
                        <w:r>
                          <w:rPr>
                            <w:rFonts w:ascii="宋体" w:hAnsi="宋体" w:cs="宋体" w:eastAsia="宋体" w:hint="default"/>
                            <w:sz w:val="18"/>
                            <w:szCs w:val="18"/>
                          </w:rPr>
                          <w:t>，主要系未弥补亏损及预计负债增加所致。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其他非流动资产较年初增长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6081.94%</w:t>
                        </w:r>
                        <w:r>
                          <w:rPr>
                            <w:rFonts w:ascii="宋体" w:hAnsi="宋体" w:cs="宋体" w:eastAsia="宋体" w:hint="default"/>
                            <w:sz w:val="18"/>
                            <w:szCs w:val="18"/>
                          </w:rPr>
                          <w:t>，主要系预付软件采购款增加所致。</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非流动资产较年初下降</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32.32%</w:t>
                        </w:r>
                        <w:r>
                          <w:rPr>
                            <w:rFonts w:ascii="宋体" w:hAnsi="宋体" w:cs="宋体" w:eastAsia="宋体" w:hint="default"/>
                            <w:spacing w:val="-3"/>
                            <w:sz w:val="18"/>
                            <w:szCs w:val="18"/>
                          </w:rPr>
                          <w:t>，主要系转让苏州子公司股权导致固定资产、无形资</w:t>
                        </w:r>
                        <w:r>
                          <w:rPr>
                            <w:rFonts w:ascii="宋体" w:hAnsi="宋体" w:cs="宋体" w:eastAsia="宋体" w:hint="default"/>
                            <w:sz w:val="18"/>
                            <w:szCs w:val="18"/>
                          </w:rPr>
                          <w:t> 产减少所致。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5"/>
        <w:spacing w:line="335" w:lineRule="exact"/>
        <w:ind w:right="10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4"/>
        <w:spacing w:line="240" w:lineRule="auto"/>
        <w:ind w:right="1033"/>
        <w:jc w:val="left"/>
        <w:rPr>
          <w:b w:val="0"/>
          <w:bCs w:val="0"/>
        </w:rPr>
      </w:pPr>
      <w:r>
        <w:rPr/>
        <w:t>三、核心竞争力分析</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line="403" w:lineRule="auto" w:before="0"/>
        <w:ind w:left="573" w:right="1033" w:hanging="42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（一）核心业务布局和产业链优势</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pacing w:val="-36"/>
          <w:sz w:val="18"/>
          <w:szCs w:val="18"/>
        </w:rPr>
      </w:r>
      <w:r>
        <w:rPr>
          <w:rFonts w:ascii="宋体" w:hAnsi="宋体" w:cs="宋体" w:eastAsia="宋体" w:hint="default"/>
          <w:sz w:val="18"/>
          <w:szCs w:val="18"/>
        </w:rPr>
        <w:t>公司自</w:t>
      </w:r>
      <w:r>
        <w:rPr>
          <w:rFonts w:ascii="Times New Roman" w:hAnsi="Times New Roman" w:cs="Times New Roman" w:eastAsia="Times New Roman" w:hint="default"/>
          <w:sz w:val="18"/>
          <w:szCs w:val="18"/>
        </w:rPr>
        <w:t>2001</w:t>
      </w:r>
      <w:r>
        <w:rPr>
          <w:rFonts w:ascii="宋体" w:hAnsi="宋体" w:cs="宋体" w:eastAsia="宋体" w:hint="default"/>
          <w:sz w:val="18"/>
          <w:szCs w:val="18"/>
        </w:rPr>
        <w:t>年成立起即专注于电子支付领域，拥有专业的电子支付技术综合解决方案提供能力。新国都传统优势领域</w:t>
      </w:r>
    </w:p>
    <w:p>
      <w:pPr>
        <w:pStyle w:val="BodyText"/>
        <w:spacing w:line="463" w:lineRule="auto" w:before="84"/>
        <w:ind w:right="1130"/>
        <w:jc w:val="both"/>
      </w:pPr>
      <w:r>
        <w:rPr>
          <w:rFonts w:ascii="Times New Roman" w:hAnsi="Times New Roman" w:cs="Times New Roman" w:eastAsia="Times New Roman" w:hint="default"/>
          <w:spacing w:val="-2"/>
        </w:rPr>
        <w:t>——</w:t>
      </w:r>
      <w:r>
        <w:rPr>
          <w:spacing w:val="-2"/>
        </w:rPr>
        <w:t>电子支付作为移动互联网和智能化时代下经济活动中的核心环节，在经济活动和商业生态圈里开始扮演越来越重要的角</w:t>
      </w:r>
      <w:r>
        <w:rPr>
          <w:spacing w:val="-64"/>
        </w:rPr>
        <w:t> </w:t>
      </w:r>
      <w:r>
        <w:rPr>
          <w:spacing w:val="-64"/>
        </w:rPr>
      </w:r>
      <w:r>
        <w:rPr>
          <w:spacing w:val="-2"/>
        </w:rPr>
        <w:t>色，它将成为线上线下结合的商业模式中核心的一环，电子支付受理终端设备日益成为抢占新商业机会的重要运营端口。新</w:t>
      </w:r>
      <w:r>
        <w:rPr>
          <w:spacing w:val="-63"/>
        </w:rPr>
        <w:t> </w:t>
      </w:r>
      <w:r>
        <w:rPr>
          <w:spacing w:val="-63"/>
        </w:rPr>
      </w:r>
      <w:r>
        <w:rPr>
          <w:spacing w:val="-2"/>
        </w:rPr>
        <w:t>国都专注于电子支付领域十几年，积累了非常丰富的行业经验和商业资源。随着人工智能、物联网、大数据、云计算、区块</w:t>
      </w:r>
      <w:r>
        <w:rPr>
          <w:spacing w:val="-69"/>
        </w:rPr>
        <w:t> </w:t>
      </w:r>
      <w:r>
        <w:rPr>
          <w:spacing w:val="-69"/>
        </w:rPr>
      </w:r>
      <w:r>
        <w:rPr>
          <w:spacing w:val="-2"/>
        </w:rPr>
        <w:t>链技术等新一代信息技术的新应用，新国都将借助自身多年积累的行业经验，加上</w:t>
      </w:r>
      <w:r>
        <w:rPr>
          <w:rFonts w:ascii="Times New Roman" w:hAnsi="Times New Roman" w:cs="Times New Roman" w:eastAsia="Times New Roman" w:hint="default"/>
          <w:spacing w:val="-2"/>
        </w:rPr>
        <w:t>IT</w:t>
      </w:r>
      <w:r>
        <w:rPr>
          <w:spacing w:val="-2"/>
        </w:rPr>
        <w:t>软硬件综合能力、平台能力，基于金融</w:t>
      </w:r>
      <w:r>
        <w:rPr>
          <w:spacing w:val="-53"/>
        </w:rPr>
        <w:t> </w:t>
      </w:r>
      <w:r>
        <w:rPr>
          <w:spacing w:val="-53"/>
        </w:rPr>
      </w:r>
      <w:r>
        <w:rPr>
          <w:rFonts w:ascii="Times New Roman" w:hAnsi="Times New Roman" w:cs="Times New Roman" w:eastAsia="Times New Roman" w:hint="default"/>
          <w:spacing w:val="-1"/>
        </w:rPr>
        <w:t>POS</w:t>
      </w:r>
      <w:r>
        <w:rPr>
          <w:spacing w:val="-1"/>
        </w:rPr>
        <w:t>机的线上线下支付入口优势，增强数据分析处理能力和增值应用服务能力，在公司战略逐步推进落地和加强内控管理的</w:t>
      </w:r>
      <w:r>
        <w:rPr/>
        <w:t> </w:t>
      </w:r>
      <w:r>
        <w:rPr>
          <w:spacing w:val="-2"/>
        </w:rPr>
        <w:t>背景下，加大各业务板块之间的协同合作，突出产业链上下游整合优势，通过创新的服务和产品以及不断探索和吸收新的商</w:t>
      </w:r>
      <w:r>
        <w:rPr>
          <w:spacing w:val="-63"/>
        </w:rPr>
        <w:t> </w:t>
      </w:r>
      <w:r>
        <w:rPr>
          <w:spacing w:val="-63"/>
        </w:rPr>
      </w:r>
      <w:r>
        <w:rPr/>
        <w:t>业模式来提升公司整体盈利能力和抗风险能力。</w:t>
      </w:r>
    </w:p>
    <w:p>
      <w:pPr>
        <w:spacing w:line="403" w:lineRule="auto" w:before="7"/>
        <w:ind w:left="573" w:right="1025" w:hanging="42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（二）较为完善的经营管理体系、人才团队建设优势</w:t>
      </w:r>
      <w:r>
        <w:rPr>
          <w:rFonts w:ascii="Microsoft JhengHei" w:hAnsi="Microsoft JhengHei" w:cs="Microsoft JhengHei" w:eastAsia="Microsoft JhengHei" w:hint="default"/>
          <w:b/>
          <w:bCs/>
          <w:spacing w:val="-32"/>
          <w:sz w:val="18"/>
          <w:szCs w:val="18"/>
        </w:rPr>
        <w:t> </w:t>
      </w:r>
      <w:r>
        <w:rPr>
          <w:rFonts w:ascii="Microsoft JhengHei" w:hAnsi="Microsoft JhengHei" w:cs="Microsoft JhengHei" w:eastAsia="Microsoft JhengHei" w:hint="default"/>
          <w:b/>
          <w:bCs/>
          <w:spacing w:val="-32"/>
          <w:sz w:val="18"/>
          <w:szCs w:val="18"/>
        </w:rPr>
      </w:r>
      <w:r>
        <w:rPr>
          <w:rFonts w:ascii="宋体" w:hAnsi="宋体" w:cs="宋体" w:eastAsia="宋体" w:hint="default"/>
          <w:spacing w:val="-1"/>
          <w:sz w:val="18"/>
          <w:szCs w:val="18"/>
        </w:rPr>
        <w:t>经过多年的不断打造、变革升级，目前公司拥有完善的产品研发体系、市场营销体系、生产制造体系、质量管控体系、</w:t>
      </w:r>
    </w:p>
    <w:p>
      <w:pPr>
        <w:spacing w:after="0" w:line="403"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0" w:lineRule="auto"/>
        <w:ind w:right="1128"/>
        <w:jc w:val="both"/>
      </w:pPr>
      <w:r>
        <w:rPr>
          <w:spacing w:val="-2"/>
        </w:rPr>
        <w:t>人力资源体系，有利于整合各个业务链之资源，实现核心资源的优化配置，控制生产成本和产品质量的同时进行产品和商业</w:t>
      </w:r>
      <w:r>
        <w:rPr>
          <w:spacing w:val="-63"/>
        </w:rPr>
        <w:t> </w:t>
      </w:r>
      <w:r>
        <w:rPr>
          <w:spacing w:val="-63"/>
        </w:rPr>
      </w:r>
      <w:r>
        <w:rPr>
          <w:spacing w:val="-2"/>
        </w:rPr>
        <w:t>模式创新。随着行业快速发展、公司战略重心和商业模式的变化，对公司管理团队的能力提出了新的要求，</w:t>
      </w:r>
      <w:r>
        <w:rPr>
          <w:rFonts w:ascii="Times New Roman" w:hAnsi="Times New Roman" w:cs="Times New Roman" w:eastAsia="Times New Roman" w:hint="default"/>
          <w:spacing w:val="-2"/>
        </w:rPr>
        <w:t>2019</w:t>
      </w:r>
      <w:r>
        <w:rPr>
          <w:spacing w:val="-2"/>
        </w:rPr>
        <w:t>年公司着手</w:t>
      </w:r>
      <w:r>
        <w:rPr>
          <w:spacing w:val="-60"/>
        </w:rPr>
        <w:t> </w:t>
      </w:r>
      <w:r>
        <w:rPr>
          <w:spacing w:val="-60"/>
        </w:rPr>
      </w:r>
      <w:r>
        <w:rPr>
          <w:spacing w:val="-2"/>
        </w:rPr>
        <w:t>管理架构的变革和重塑，引入新的高层管理人员，利用互联网思维改造传统管理模式和优化公司管理制度，提高公司管理效</w:t>
      </w:r>
      <w:r>
        <w:rPr>
          <w:spacing w:val="-63"/>
        </w:rPr>
        <w:t> </w:t>
      </w:r>
      <w:r>
        <w:rPr>
          <w:spacing w:val="-63"/>
        </w:rPr>
      </w:r>
      <w:r>
        <w:rPr>
          <w:spacing w:val="-2"/>
        </w:rPr>
        <w:t>率。同时，为了更好地满足公司战略转型对各类人才的需求，公司计划持续在相关领域培养和招募专业人才，优化调整组织</w:t>
      </w:r>
      <w:r>
        <w:rPr>
          <w:spacing w:val="-64"/>
        </w:rPr>
        <w:t> </w:t>
      </w:r>
      <w:r>
        <w:rPr>
          <w:spacing w:val="-64"/>
        </w:rPr>
      </w:r>
      <w:r>
        <w:rPr/>
        <w:t>架构，通过建立长效的人才引进、激励机制，以业绩为导向激励团队，激发各个板块协同性和全员积极性。</w:t>
      </w:r>
    </w:p>
    <w:p>
      <w:pPr>
        <w:spacing w:line="403" w:lineRule="auto" w:before="2"/>
        <w:ind w:left="573" w:right="1033" w:hanging="42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（三）产品和服务的质量优势</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宋体" w:hAnsi="宋体" w:cs="宋体" w:eastAsia="宋体" w:hint="default"/>
          <w:sz w:val="18"/>
          <w:szCs w:val="18"/>
        </w:rPr>
        <w:t>自公司成立以来，对产品质量精益求精，以打造低成本、高质量、快速响应的供应链管理体系为核心价值，公司一方</w:t>
      </w:r>
    </w:p>
    <w:p>
      <w:pPr>
        <w:pStyle w:val="BodyText"/>
        <w:spacing w:line="477" w:lineRule="auto" w:before="110"/>
        <w:ind w:right="1128"/>
        <w:jc w:val="both"/>
      </w:pPr>
      <w:r>
        <w:rPr>
          <w:spacing w:val="-2"/>
        </w:rPr>
        <w:t>面通过生产效率提升、生产直通率提升、工艺优化等活动与项目，在保障产品高效安全的前提下，进一步提升整体工效与品</w:t>
      </w:r>
      <w:r>
        <w:rPr>
          <w:spacing w:val="-65"/>
        </w:rPr>
        <w:t> </w:t>
      </w:r>
      <w:r>
        <w:rPr>
          <w:spacing w:val="-65"/>
        </w:rPr>
      </w:r>
      <w:r>
        <w:rPr>
          <w:spacing w:val="-2"/>
        </w:rPr>
        <w:t>质；另一方面，公司通过不断推动研发创新，持续优化产品成本，确保产品开发能够如期高质量的实现交付；增值服务体系</w:t>
      </w:r>
      <w:r>
        <w:rPr>
          <w:spacing w:val="-68"/>
        </w:rPr>
        <w:t> </w:t>
      </w:r>
      <w:r>
        <w:rPr>
          <w:spacing w:val="-68"/>
        </w:rPr>
      </w:r>
      <w:r>
        <w:rPr>
          <w:spacing w:val="-2"/>
        </w:rPr>
        <w:t>进一步完善，在快速响应客户服务需求的同时，为创新业务延伸拓展提供了充分的资源保障。公司已在全国范围内设立多个</w:t>
      </w:r>
      <w:r>
        <w:rPr>
          <w:spacing w:val="-62"/>
        </w:rPr>
        <w:t> </w:t>
      </w:r>
      <w:r>
        <w:rPr>
          <w:spacing w:val="-62"/>
        </w:rPr>
      </w:r>
      <w:r>
        <w:rPr/>
        <w:t>服务点，覆盖全国</w:t>
      </w:r>
      <w:r>
        <w:rPr>
          <w:rFonts w:ascii="宋体" w:hAnsi="宋体" w:cs="宋体" w:eastAsia="宋体" w:hint="default"/>
        </w:rPr>
        <w:t>340</w:t>
      </w:r>
      <w:r>
        <w:rPr/>
        <w:t>个城市（含港澳台）及多个海外地区办事处，主要为响应客户对支付服务及增值服务的需求。同时，</w:t>
      </w:r>
      <w:r>
        <w:rPr>
          <w:spacing w:val="-84"/>
        </w:rPr>
        <w:t> </w:t>
      </w:r>
      <w:r>
        <w:rPr>
          <w:spacing w:val="-84"/>
        </w:rPr>
      </w:r>
      <w:r>
        <w:rPr>
          <w:spacing w:val="-2"/>
        </w:rPr>
        <w:t>公司积极运用技术手段推进服务创新，自主开发了服务管理及风控管理平台，人均服务效能不断提升。庞大的服务网络以及</w:t>
      </w:r>
      <w:r>
        <w:rPr>
          <w:spacing w:val="-63"/>
        </w:rPr>
        <w:t> </w:t>
      </w:r>
      <w:r>
        <w:rPr>
          <w:spacing w:val="-63"/>
        </w:rPr>
      </w:r>
      <w:r>
        <w:rPr>
          <w:spacing w:val="-2"/>
        </w:rPr>
        <w:t>智能化的服务管理和风控管理平台，不仅保障公司的终端机具维保服务、增值服务收入稳定增长，而且促进公司不断挖掘产</w:t>
      </w:r>
      <w:r>
        <w:rPr>
          <w:spacing w:val="-64"/>
        </w:rPr>
        <w:t> </w:t>
      </w:r>
      <w:r>
        <w:rPr>
          <w:spacing w:val="-64"/>
        </w:rPr>
      </w:r>
      <w:r>
        <w:rPr/>
        <w:t>业链价值、延伸拓展多领域创新业务。</w:t>
      </w:r>
    </w:p>
    <w:p>
      <w:pPr>
        <w:pStyle w:val="BodyText"/>
        <w:spacing w:line="403" w:lineRule="auto"/>
        <w:ind w:left="573" w:right="1033" w:hanging="420"/>
        <w:jc w:val="left"/>
      </w:pPr>
      <w:r>
        <w:rPr>
          <w:rFonts w:ascii="Microsoft JhengHei" w:hAnsi="Microsoft JhengHei" w:cs="Microsoft JhengHei" w:eastAsia="Microsoft JhengHei" w:hint="default"/>
          <w:b/>
          <w:bCs/>
        </w:rPr>
        <w:t>（四）知识产权及技术优势</w:t>
      </w:r>
      <w:r>
        <w:rPr>
          <w:rFonts w:ascii="Microsoft JhengHei" w:hAnsi="Microsoft JhengHei" w:cs="Microsoft JhengHei" w:eastAsia="Microsoft JhengHei" w:hint="default"/>
          <w:b/>
          <w:bCs/>
          <w:spacing w:val="-38"/>
        </w:rPr>
        <w:t> </w:t>
      </w:r>
      <w:r>
        <w:rPr>
          <w:rFonts w:ascii="Microsoft JhengHei" w:hAnsi="Microsoft JhengHei" w:cs="Microsoft JhengHei" w:eastAsia="Microsoft JhengHei" w:hint="default"/>
          <w:b/>
          <w:bCs/>
          <w:spacing w:val="-38"/>
        </w:rPr>
      </w:r>
      <w:r>
        <w:rPr/>
        <w:t>公司始终坚持自主研发道路，在产品和技术研发方面持续加大投入。截至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日，公司取得专利、计算机软</w:t>
      </w:r>
    </w:p>
    <w:p>
      <w:pPr>
        <w:pStyle w:val="BodyText"/>
        <w:spacing w:line="451" w:lineRule="auto" w:before="83"/>
        <w:ind w:right="1130"/>
        <w:jc w:val="both"/>
      </w:pPr>
      <w:r>
        <w:rPr/>
        <w:t>件著作权及软件产品等研发成果如下：获得专利</w:t>
      </w:r>
      <w:r>
        <w:rPr>
          <w:rFonts w:ascii="Times New Roman" w:hAnsi="Times New Roman" w:cs="Times New Roman" w:eastAsia="Times New Roman" w:hint="default"/>
        </w:rPr>
        <w:t>226</w:t>
      </w:r>
      <w:r>
        <w:rPr/>
        <w:t>项，其中发明专利</w:t>
      </w:r>
      <w:r>
        <w:rPr>
          <w:rFonts w:ascii="Times New Roman" w:hAnsi="Times New Roman" w:cs="Times New Roman" w:eastAsia="Times New Roman" w:hint="default"/>
        </w:rPr>
        <w:t>63</w:t>
      </w:r>
      <w:r>
        <w:rPr/>
        <w:t>项，国际专利</w:t>
      </w:r>
      <w:r>
        <w:rPr>
          <w:rFonts w:ascii="Times New Roman" w:hAnsi="Times New Roman" w:cs="Times New Roman" w:eastAsia="Times New Roman" w:hint="default"/>
        </w:rPr>
        <w:t>4</w:t>
      </w:r>
      <w:r>
        <w:rPr/>
        <w:t>项；获得软件著作权证书</w:t>
      </w:r>
      <w:r>
        <w:rPr>
          <w:rFonts w:ascii="Times New Roman" w:hAnsi="Times New Roman" w:cs="Times New Roman" w:eastAsia="Times New Roman" w:hint="default"/>
        </w:rPr>
        <w:t>319</w:t>
      </w:r>
      <w:r>
        <w:rPr/>
        <w:t>项，拥</w:t>
      </w:r>
      <w:r>
        <w:rPr>
          <w:spacing w:val="-85"/>
        </w:rPr>
        <w:t> </w:t>
      </w:r>
      <w:r>
        <w:rPr/>
        <w:t>有商标</w:t>
      </w:r>
      <w:r>
        <w:rPr>
          <w:rFonts w:ascii="Times New Roman" w:hAnsi="Times New Roman" w:cs="Times New Roman" w:eastAsia="Times New Roman" w:hint="default"/>
        </w:rPr>
        <w:t>130</w:t>
      </w:r>
      <w:r>
        <w:rPr/>
        <w:t>项。上述科研成果为公司的持续发展保驾护航，成为公司的核心竞争力之一。</w:t>
      </w:r>
    </w:p>
    <w:p>
      <w:pPr>
        <w:pStyle w:val="BodyText"/>
        <w:spacing w:line="468" w:lineRule="auto" w:before="43"/>
        <w:ind w:right="1129" w:firstLine="420"/>
        <w:jc w:val="both"/>
      </w:pPr>
      <w:r>
        <w:rPr/>
        <w:t>公司自主开发独立架构的支付服务系统，面向多业务模式、高频交易的业务需求，基于分布式微服务架构体系的支付 </w:t>
      </w:r>
      <w:r>
        <w:rPr>
          <w:spacing w:val="-2"/>
        </w:rPr>
        <w:t>交易处理和服务平台，系统已完成跨城多活中心容灾体系建设来防范不可控风险，大大增强支付系统的容灾容错、可伸缩及</w:t>
      </w:r>
      <w:r>
        <w:rPr>
          <w:spacing w:val="-63"/>
        </w:rPr>
        <w:t> </w:t>
      </w:r>
      <w:r>
        <w:rPr>
          <w:spacing w:val="-63"/>
        </w:rPr>
      </w:r>
      <w:r>
        <w:rPr/>
        <w:t>高并发处理能力，实现系统</w:t>
      </w:r>
      <w:r>
        <w:rPr>
          <w:rFonts w:ascii="Times New Roman" w:hAnsi="Times New Roman" w:cs="Times New Roman" w:eastAsia="Times New Roman" w:hint="default"/>
        </w:rPr>
        <w:t>RTO</w:t>
      </w:r>
      <w:r>
        <w:rPr/>
        <w:t>于</w:t>
      </w:r>
      <w:r>
        <w:rPr>
          <w:rFonts w:ascii="Times New Roman" w:hAnsi="Times New Roman" w:cs="Times New Roman" w:eastAsia="Times New Roman" w:hint="default"/>
        </w:rPr>
        <w:t>60s</w:t>
      </w:r>
      <w:r>
        <w:rPr/>
        <w:t>以内，应用容器化率</w:t>
      </w:r>
      <w:r>
        <w:rPr>
          <w:rFonts w:ascii="Times New Roman" w:hAnsi="Times New Roman" w:cs="Times New Roman" w:eastAsia="Times New Roman" w:hint="default"/>
        </w:rPr>
        <w:t>96%</w:t>
      </w:r>
      <w:r>
        <w:rPr/>
        <w:t>以上，多维度保障平台的正常运转与数据安全可靠，具备为</w:t>
      </w:r>
      <w:r>
        <w:rPr>
          <w:spacing w:val="-38"/>
        </w:rPr>
        <w:t> </w:t>
      </w:r>
      <w:r>
        <w:rPr>
          <w:spacing w:val="-38"/>
        </w:rPr>
      </w:r>
      <w:r>
        <w:rPr>
          <w:spacing w:val="-2"/>
        </w:rPr>
        <w:t>千万级商户和亿级个人用户提供各种支付及增值服务的能力，满足公司现有及可预见未来的业务及发展需求。随着电子支付</w:t>
      </w:r>
      <w:r>
        <w:rPr>
          <w:spacing w:val="-64"/>
        </w:rPr>
        <w:t> </w:t>
      </w:r>
      <w:r>
        <w:rPr>
          <w:spacing w:val="-64"/>
        </w:rPr>
      </w:r>
      <w:r>
        <w:rPr>
          <w:spacing w:val="-2"/>
        </w:rPr>
        <w:t>服务行业的监管要求不断提升和变化，欺诈行为模式日益复杂，公司建设了基于大数据、实时流计算的风控系统，具备反欺</w:t>
      </w:r>
      <w:r>
        <w:rPr>
          <w:spacing w:val="-63"/>
        </w:rPr>
        <w:t> </w:t>
      </w:r>
      <w:r>
        <w:rPr>
          <w:spacing w:val="-63"/>
        </w:rPr>
      </w:r>
      <w:r>
        <w:rPr>
          <w:spacing w:val="-1"/>
        </w:rPr>
        <w:t>诈风控、反洗钱风控的能力。风控系统处理能力目前达到</w:t>
      </w:r>
      <w:r>
        <w:rPr>
          <w:rFonts w:ascii="Times New Roman" w:hAnsi="Times New Roman" w:cs="Times New Roman" w:eastAsia="Times New Roman" w:hint="default"/>
          <w:spacing w:val="-1"/>
        </w:rPr>
        <w:t>10000TPS</w:t>
      </w:r>
      <w:r>
        <w:rPr>
          <w:spacing w:val="-1"/>
        </w:rPr>
        <w:t>、实现高风险拦截</w:t>
      </w:r>
      <w:r>
        <w:rPr>
          <w:rFonts w:ascii="Times New Roman" w:hAnsi="Times New Roman" w:cs="Times New Roman" w:eastAsia="Times New Roman" w:hint="default"/>
          <w:spacing w:val="-1"/>
        </w:rPr>
        <w:t>100ms</w:t>
      </w:r>
      <w:r>
        <w:rPr>
          <w:spacing w:val="-1"/>
        </w:rPr>
        <w:t>以内，准实时规则能够在</w:t>
      </w:r>
      <w:r>
        <w:rPr>
          <w:rFonts w:ascii="Times New Roman" w:hAnsi="Times New Roman" w:cs="Times New Roman" w:eastAsia="Times New Roman" w:hint="default"/>
          <w:spacing w:val="-1"/>
        </w:rPr>
        <w:t>1s</w:t>
      </w:r>
      <w:r>
        <w:rPr>
          <w:spacing w:val="-1"/>
        </w:rPr>
        <w:t>以内</w:t>
      </w:r>
      <w:r>
        <w:rPr>
          <w:spacing w:val="-82"/>
        </w:rPr>
        <w:t> </w:t>
      </w:r>
      <w:r>
        <w:rPr/>
        <w:t>执行管控；对于伪卡、盗刷等主流作案手法监控覆盖率达</w:t>
      </w:r>
      <w:r>
        <w:rPr>
          <w:rFonts w:ascii="Times New Roman" w:hAnsi="Times New Roman" w:cs="Times New Roman" w:eastAsia="Times New Roman" w:hint="default"/>
        </w:rPr>
        <w:t>96%</w:t>
      </w:r>
      <w:r>
        <w:rPr/>
        <w:t>；业务欺诈损失率保持在百万分之一的水平。</w:t>
      </w:r>
    </w:p>
    <w:p>
      <w:pPr>
        <w:pStyle w:val="Heading7"/>
        <w:spacing w:line="285" w:lineRule="exact"/>
        <w:ind w:right="0"/>
        <w:jc w:val="both"/>
        <w:rPr>
          <w:b w:val="0"/>
          <w:bCs w:val="0"/>
        </w:rPr>
      </w:pPr>
      <w:r>
        <w:rPr/>
        <w:t>（五）支付服务牌照优势及出色的增值服务能力，具有支付产业链布局优势</w:t>
      </w:r>
      <w:r>
        <w:rPr>
          <w:b w:val="0"/>
          <w:bCs w:val="0"/>
        </w:rPr>
      </w:r>
    </w:p>
    <w:p>
      <w:pPr>
        <w:spacing w:line="240" w:lineRule="auto" w:before="4"/>
        <w:rPr>
          <w:rFonts w:ascii="Microsoft JhengHei" w:hAnsi="Microsoft JhengHei" w:cs="Microsoft JhengHei" w:eastAsia="Microsoft JhengHei" w:hint="default"/>
          <w:b/>
          <w:bCs/>
          <w:sz w:val="12"/>
          <w:szCs w:val="12"/>
        </w:rPr>
      </w:pPr>
    </w:p>
    <w:p>
      <w:pPr>
        <w:pStyle w:val="BodyText"/>
        <w:spacing w:line="468" w:lineRule="auto"/>
        <w:ind w:right="1130" w:firstLine="420"/>
        <w:jc w:val="both"/>
      </w:pPr>
      <w:r>
        <w:rPr/>
        <w:t>公司于</w:t>
      </w:r>
      <w:r>
        <w:rPr>
          <w:rFonts w:ascii="Times New Roman" w:hAnsi="Times New Roman" w:cs="Times New Roman" w:eastAsia="Times New Roman" w:hint="default"/>
        </w:rPr>
        <w:t>2017</w:t>
      </w:r>
      <w:r>
        <w:rPr/>
        <w:t>年收购嘉联支付后，新国都和嘉联支付同在支付产业链上，具有天然的协同性，鉴于双方具有长期的合作 </w:t>
      </w:r>
      <w:r>
        <w:rPr>
          <w:spacing w:val="-2"/>
        </w:rPr>
        <w:t>基础，收购完成后整合快速有效，嘉联支付充分展现支付服务牌照优势和较为强大的增值服务、运营服务能力；其次，公司</w:t>
      </w:r>
      <w:r>
        <w:rPr>
          <w:spacing w:val="-65"/>
        </w:rPr>
        <w:t> </w:t>
      </w:r>
      <w:r>
        <w:rPr>
          <w:spacing w:val="-65"/>
        </w:rPr>
      </w:r>
      <w:r>
        <w:rPr>
          <w:spacing w:val="-2"/>
        </w:rPr>
        <w:t>可以利用多年的电子支付行业经验，使具备软硬件能力的子公司强强联合，从提供基础支付服务升级到支付综合服务，加强</w:t>
      </w:r>
      <w:r>
        <w:rPr>
          <w:spacing w:val="-63"/>
        </w:rPr>
        <w:t> </w:t>
      </w:r>
      <w:r>
        <w:rPr>
          <w:spacing w:val="-63"/>
        </w:rPr>
      </w:r>
      <w:r>
        <w:rPr>
          <w:spacing w:val="-2"/>
        </w:rPr>
        <w:t>商户服务投入，借助多年在电子支付行业积累的技术和客户资源，针对细分领域提供综合解决方案，建立行业壁垒，提升公</w:t>
      </w:r>
    </w:p>
    <w:p>
      <w:pPr>
        <w:spacing w:after="0" w:line="46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033"/>
        <w:jc w:val="left"/>
      </w:pPr>
      <w:r>
        <w:rPr/>
        <w:t>司可持续盈利能力。</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2964" w:right="1033"/>
        <w:jc w:val="left"/>
        <w:rPr>
          <w:b w:val="0"/>
          <w:bCs w:val="0"/>
        </w:rPr>
      </w:pPr>
      <w:bookmarkStart w:name="_bookmark3" w:id="4"/>
      <w:bookmarkEnd w:id="4"/>
      <w:r>
        <w:rPr>
          <w:b w:val="0"/>
          <w:bCs w:val="0"/>
        </w:rPr>
      </w:r>
      <w:r>
        <w:rPr/>
        <w:t>第四节 </w:t>
      </w:r>
      <w:r>
        <w:rPr>
          <w:spacing w:val="11"/>
        </w:rPr>
        <w:t> </w:t>
      </w:r>
      <w:r>
        <w:rPr/>
        <w:t>经营情况讨论与分析</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4"/>
        <w:spacing w:line="367" w:lineRule="exact"/>
        <w:ind w:right="1033"/>
        <w:jc w:val="left"/>
        <w:rPr>
          <w:b w:val="0"/>
          <w:bCs w:val="0"/>
        </w:rPr>
      </w:pPr>
      <w:r>
        <w:rPr/>
        <w:t>一、概述</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477" w:lineRule="auto"/>
        <w:ind w:right="1132" w:firstLine="420"/>
        <w:jc w:val="both"/>
      </w:pPr>
      <w:r>
        <w:rPr/>
        <w:t>随着电子支付、生物识别、大数据分析处理及人工智能技术进一步升级和发展，以及</w:t>
      </w:r>
      <w:r>
        <w:rPr>
          <w:rFonts w:ascii="宋体" w:hAnsi="宋体" w:cs="宋体" w:eastAsia="宋体" w:hint="default"/>
        </w:rPr>
        <w:t>5G</w:t>
      </w:r>
      <w:r>
        <w:rPr/>
        <w:t>商用步伐的快速推进，支付市 </w:t>
      </w:r>
      <w:r>
        <w:rPr>
          <w:spacing w:val="-2"/>
        </w:rPr>
        <w:t>场的业务形态从单纯的收单向融合支付转变，支付增值服务进一步裂变，承载了更多的服务、运营、数据管理、平台管理等</w:t>
      </w:r>
      <w:r>
        <w:rPr>
          <w:spacing w:val="-65"/>
        </w:rPr>
        <w:t> </w:t>
      </w:r>
      <w:r>
        <w:rPr>
          <w:spacing w:val="-65"/>
        </w:rPr>
      </w:r>
      <w:r>
        <w:rPr/>
        <w:t>移动互联网的应用场景。</w:t>
      </w:r>
    </w:p>
    <w:p>
      <w:pPr>
        <w:pStyle w:val="BodyText"/>
        <w:spacing w:line="477" w:lineRule="auto" w:before="54"/>
        <w:ind w:right="1129" w:firstLine="420"/>
        <w:jc w:val="both"/>
      </w:pPr>
      <w:r>
        <w:rPr>
          <w:rFonts w:ascii="宋体" w:hAnsi="宋体" w:cs="宋体" w:eastAsia="宋体" w:hint="default"/>
        </w:rPr>
        <w:t>2019</w:t>
      </w:r>
      <w:r>
        <w:rPr/>
        <w:t>年，公司利用自身在电子支付技术领域的行业经验和商业资源，基于电子支付受理终端设备软硬件的研发、生产 </w:t>
      </w:r>
      <w:r>
        <w:rPr>
          <w:spacing w:val="-2"/>
        </w:rPr>
        <w:t>和销售，叠加运营模式及技术领域的创新，进一步为客户提供支付、运营、综合性系统解决方案等集成化增值服务，利用已</w:t>
      </w:r>
      <w:r>
        <w:rPr>
          <w:spacing w:val="-66"/>
        </w:rPr>
        <w:t> </w:t>
      </w:r>
      <w:r>
        <w:rPr>
          <w:spacing w:val="-66"/>
        </w:rPr>
      </w:r>
      <w:r>
        <w:rPr>
          <w:spacing w:val="-2"/>
        </w:rPr>
        <w:t>储备的生物识别、大数据分析及人工智能、区块链研究等技术与融合支付方案相结合、相促进，巩固和提升公司在电子支付</w:t>
      </w:r>
      <w:r>
        <w:rPr>
          <w:spacing w:val="-63"/>
        </w:rPr>
        <w:t> </w:t>
      </w:r>
      <w:r>
        <w:rPr>
          <w:spacing w:val="-63"/>
        </w:rPr>
      </w:r>
      <w:r>
        <w:rPr/>
        <w:t>行业的领先地位。</w:t>
      </w:r>
    </w:p>
    <w:p>
      <w:pPr>
        <w:pStyle w:val="BodyText"/>
        <w:spacing w:line="477" w:lineRule="auto" w:before="54"/>
        <w:ind w:right="1128" w:firstLine="420"/>
        <w:jc w:val="both"/>
      </w:pPr>
      <w:r>
        <w:rPr>
          <w:rFonts w:ascii="宋体" w:hAnsi="宋体" w:cs="宋体" w:eastAsia="宋体" w:hint="default"/>
        </w:rPr>
        <w:t>2019</w:t>
      </w:r>
      <w:r>
        <w:rPr/>
        <w:t>年，公司实现营业收入</w:t>
      </w:r>
      <w:r>
        <w:rPr>
          <w:rFonts w:ascii="宋体" w:hAnsi="宋体" w:cs="宋体" w:eastAsia="宋体" w:hint="default"/>
        </w:rPr>
        <w:t>302,788.75</w:t>
      </w:r>
      <w:r>
        <w:rPr/>
        <w:t>万元，同比增长</w:t>
      </w:r>
      <w:r>
        <w:rPr>
          <w:rFonts w:ascii="宋体" w:hAnsi="宋体" w:cs="宋体" w:eastAsia="宋体" w:hint="default"/>
        </w:rPr>
        <w:t>30.55%</w:t>
      </w:r>
      <w:r>
        <w:rPr>
          <w:rFonts w:ascii="宋体" w:hAnsi="宋体" w:cs="宋体" w:eastAsia="宋体" w:hint="default"/>
          <w:spacing w:val="-52"/>
        </w:rPr>
        <w:t> </w:t>
      </w:r>
      <w:r>
        <w:rPr/>
        <w:t>；实现营业利润</w:t>
      </w:r>
      <w:r>
        <w:rPr>
          <w:rFonts w:ascii="宋体" w:hAnsi="宋体" w:cs="宋体" w:eastAsia="宋体" w:hint="default"/>
        </w:rPr>
        <w:t>23,938.43</w:t>
      </w:r>
      <w:r>
        <w:rPr/>
        <w:t>万元，同比下降</w:t>
      </w:r>
      <w:r>
        <w:rPr>
          <w:rFonts w:ascii="宋体" w:hAnsi="宋体" w:cs="宋体" w:eastAsia="宋体" w:hint="default"/>
        </w:rPr>
        <w:t>8.48%</w:t>
      </w:r>
      <w:r>
        <w:rPr/>
        <w:t>；利润 总额</w:t>
      </w:r>
      <w:r>
        <w:rPr>
          <w:rFonts w:ascii="宋体" w:hAnsi="宋体" w:cs="宋体" w:eastAsia="宋体" w:hint="default"/>
        </w:rPr>
        <w:t>23,782.69</w:t>
      </w:r>
      <w:r>
        <w:rPr/>
        <w:t>万元，同比下降</w:t>
      </w:r>
      <w:r>
        <w:rPr>
          <w:rFonts w:ascii="宋体" w:hAnsi="宋体" w:cs="宋体" w:eastAsia="宋体" w:hint="default"/>
        </w:rPr>
        <w:t>8.95%</w:t>
      </w:r>
      <w:r>
        <w:rPr>
          <w:rFonts w:ascii="宋体" w:hAnsi="宋体" w:cs="宋体" w:eastAsia="宋体" w:hint="default"/>
          <w:spacing w:val="-4"/>
        </w:rPr>
        <w:t> </w:t>
      </w:r>
      <w:r>
        <w:rPr/>
        <w:t>；归属于上市公司股东的净利润</w:t>
      </w:r>
      <w:r>
        <w:rPr>
          <w:rFonts w:ascii="宋体" w:hAnsi="宋体" w:cs="宋体" w:eastAsia="宋体" w:hint="default"/>
        </w:rPr>
        <w:t>24,249.30</w:t>
      </w:r>
      <w:r>
        <w:rPr/>
        <w:t>万元，实现同比下降</w:t>
      </w:r>
      <w:r>
        <w:rPr>
          <w:rFonts w:ascii="宋体" w:hAnsi="宋体" w:cs="宋体" w:eastAsia="宋体" w:hint="default"/>
        </w:rPr>
        <w:t>2.17%</w:t>
      </w:r>
      <w:r>
        <w:rPr/>
        <w:t>。</w:t>
      </w:r>
      <w:r>
        <w:rPr>
          <w:rFonts w:ascii="宋体" w:hAnsi="宋体" w:cs="宋体" w:eastAsia="宋体" w:hint="default"/>
        </w:rPr>
        <w:t>2019</w:t>
      </w:r>
      <w:r>
        <w:rPr/>
        <w:t>年，公司 经过商誉减值测试，对中正智能、公信诚丰计合并形成的商誉减值金额为</w:t>
      </w:r>
      <w:r>
        <w:rPr>
          <w:rFonts w:ascii="宋体" w:hAnsi="宋体" w:cs="宋体" w:eastAsia="宋体" w:hint="default"/>
        </w:rPr>
        <w:t>19,377.18</w:t>
      </w:r>
      <w:r>
        <w:rPr/>
        <w:t>万元。若不计前述商誉计提减值准备的</w:t>
      </w:r>
      <w:r>
        <w:rPr>
          <w:spacing w:val="-85"/>
        </w:rPr>
        <w:t> </w:t>
      </w:r>
      <w:r>
        <w:rPr>
          <w:spacing w:val="-85"/>
        </w:rPr>
      </w:r>
      <w:r>
        <w:rPr/>
        <w:t>影响，</w:t>
      </w:r>
      <w:r>
        <w:rPr>
          <w:rFonts w:ascii="宋体" w:hAnsi="宋体" w:cs="宋体" w:eastAsia="宋体" w:hint="default"/>
        </w:rPr>
        <w:t>2019</w:t>
      </w:r>
      <w:r>
        <w:rPr/>
        <w:t>年全年盈利</w:t>
      </w:r>
      <w:r>
        <w:rPr>
          <w:rFonts w:ascii="宋体" w:hAnsi="宋体" w:cs="宋体" w:eastAsia="宋体" w:hint="default"/>
        </w:rPr>
        <w:t>43,626.48</w:t>
      </w:r>
      <w:r>
        <w:rPr/>
        <w:t>万元，同比增长</w:t>
      </w:r>
      <w:r>
        <w:rPr>
          <w:rFonts w:ascii="宋体" w:hAnsi="宋体" w:cs="宋体" w:eastAsia="宋体" w:hint="default"/>
        </w:rPr>
        <w:t>76%</w:t>
      </w:r>
      <w:r>
        <w:rPr/>
        <w:t>。</w:t>
      </w:r>
    </w:p>
    <w:p>
      <w:pPr>
        <w:pStyle w:val="Heading7"/>
        <w:spacing w:line="310" w:lineRule="exact"/>
        <w:ind w:right="1033"/>
        <w:jc w:val="left"/>
        <w:rPr>
          <w:b w:val="0"/>
          <w:bCs w:val="0"/>
        </w:rPr>
      </w:pPr>
      <w:r>
        <w:rPr/>
        <w:t>（一）</w:t>
      </w:r>
      <w:r>
        <w:rPr>
          <w:spacing w:val="38"/>
        </w:rPr>
        <w:t> </w:t>
      </w:r>
      <w:r>
        <w:rPr/>
        <w:t>公司经营情况</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BodyText"/>
        <w:spacing w:line="451" w:lineRule="auto"/>
        <w:ind w:left="573" w:right="1033" w:hanging="420"/>
        <w:jc w:val="left"/>
      </w:pPr>
      <w:r>
        <w:rPr>
          <w:rFonts w:ascii="Times New Roman" w:hAnsi="Times New Roman" w:cs="Times New Roman" w:eastAsia="Times New Roman" w:hint="default"/>
        </w:rPr>
        <w:t>1</w:t>
      </w:r>
      <w:r>
        <w:rPr/>
        <w:t>、支付服务及场景数字化服务 随着移动互联网时代的爆发，移动支付市场加速升级，支付增值服务进一步裂变，承载了更多的服务、运营、数据管</w:t>
      </w:r>
    </w:p>
    <w:p>
      <w:pPr>
        <w:pStyle w:val="BodyText"/>
        <w:spacing w:line="477" w:lineRule="auto" w:before="74"/>
        <w:ind w:right="1033"/>
        <w:jc w:val="left"/>
      </w:pPr>
      <w:r>
        <w:rPr>
          <w:spacing w:val="-2"/>
        </w:rPr>
        <w:t>理等移动互联网的应用场景。公司支付服务及场景数字化服务主要包括交易资金结算服务及基于支付交易平台为商户提供多</w:t>
      </w:r>
      <w:r>
        <w:rPr>
          <w:spacing w:val="-64"/>
        </w:rPr>
        <w:t> </w:t>
      </w:r>
      <w:r>
        <w:rPr>
          <w:spacing w:val="-64"/>
        </w:rPr>
      </w:r>
      <w:r>
        <w:rPr/>
        <w:t>样化的支付解决方案。</w:t>
      </w:r>
    </w:p>
    <w:p>
      <w:pPr>
        <w:pStyle w:val="BodyText"/>
        <w:spacing w:line="240" w:lineRule="auto" w:before="54"/>
        <w:ind w:right="1033"/>
        <w:jc w:val="left"/>
      </w:pPr>
      <w:r>
        <w:rPr/>
        <w:t>（</w:t>
      </w:r>
      <w:r>
        <w:rPr>
          <w:rFonts w:ascii="Times New Roman" w:hAnsi="Times New Roman" w:cs="Times New Roman" w:eastAsia="Times New Roman" w:hint="default"/>
        </w:rPr>
        <w:t>1</w:t>
      </w:r>
      <w:r>
        <w:rPr/>
        <w:t>）支付服务业务</w:t>
      </w:r>
    </w:p>
    <w:p>
      <w:pPr>
        <w:spacing w:line="240" w:lineRule="auto" w:before="9"/>
        <w:rPr>
          <w:rFonts w:ascii="宋体" w:hAnsi="宋体" w:cs="宋体" w:eastAsia="宋体" w:hint="default"/>
          <w:sz w:val="16"/>
          <w:szCs w:val="16"/>
        </w:rPr>
      </w:pPr>
    </w:p>
    <w:p>
      <w:pPr>
        <w:pStyle w:val="BodyText"/>
        <w:spacing w:line="463" w:lineRule="auto"/>
        <w:ind w:right="1130" w:firstLine="420"/>
        <w:jc w:val="both"/>
      </w:pPr>
      <w:r>
        <w:rPr>
          <w:rFonts w:ascii="Times New Roman" w:hAnsi="Times New Roman" w:cs="Times New Roman" w:eastAsia="Times New Roman" w:hint="default"/>
        </w:rPr>
        <w:t>2019</w:t>
      </w:r>
      <w:r>
        <w:rPr/>
        <w:t>年，银行卡发卡量、交易量级移动支付的业务量继续增长，全国支付体系运行平稳，资金交易规模不断扩大，支 </w:t>
      </w:r>
      <w:r>
        <w:rPr>
          <w:spacing w:val="-2"/>
        </w:rPr>
        <w:t>付业务量保持稳步增长。交易笔数增速长期高于交易金额增速，第三方支付的笔均交易金额逐渐降低，行业的整体交易呈小</w:t>
      </w:r>
      <w:r>
        <w:rPr>
          <w:spacing w:val="-63"/>
        </w:rPr>
        <w:t> </w:t>
      </w:r>
      <w:r>
        <w:rPr>
          <w:spacing w:val="-63"/>
        </w:rPr>
      </w:r>
      <w:r>
        <w:rPr>
          <w:spacing w:val="-2"/>
        </w:rPr>
        <w:t>额碎片化发展。随着条码支付互联互通的加速推进，支付行业的生态格局也将生变，支付机构所能提供的支付以外的增值服</w:t>
      </w:r>
      <w:r>
        <w:rPr>
          <w:spacing w:val="-63"/>
        </w:rPr>
        <w:t> </w:t>
      </w:r>
      <w:r>
        <w:rPr>
          <w:spacing w:val="-63"/>
        </w:rPr>
      </w:r>
      <w:r>
        <w:rPr/>
        <w:t>务将会是新的核心竞争力。智能手机及</w:t>
      </w:r>
      <w:r>
        <w:rPr>
          <w:rFonts w:ascii="Times New Roman" w:hAnsi="Times New Roman" w:cs="Times New Roman" w:eastAsia="Times New Roman" w:hint="default"/>
        </w:rPr>
        <w:t>4G</w:t>
      </w:r>
      <w:r>
        <w:rPr/>
        <w:t>网络的快速普及大大推动了移动支付市场的发展，一方面部分互联网支付规模转</w:t>
      </w:r>
      <w:r>
        <w:rPr>
          <w:spacing w:val="-41"/>
        </w:rPr>
        <w:t> </w:t>
      </w:r>
      <w:r>
        <w:rPr>
          <w:spacing w:val="-41"/>
        </w:rPr>
      </w:r>
      <w:r>
        <w:rPr/>
        <w:t>移至移动端，另一方面，线下聚合支付发展，推动了移动支付大幅增长。</w:t>
      </w:r>
    </w:p>
    <w:p>
      <w:pPr>
        <w:pStyle w:val="BodyText"/>
        <w:spacing w:line="477" w:lineRule="auto" w:before="65"/>
        <w:ind w:right="1138" w:firstLine="420"/>
        <w:jc w:val="both"/>
      </w:pPr>
      <w:r>
        <w:rPr/>
        <w:t>电子支付行业会继续保持活跃性，随着生物识别技术的完善和精准度的提高、人工智能技术的成熟，支付行业未来仍 具有较多发展机遇与革新的可能。</w:t>
      </w:r>
    </w:p>
    <w:p>
      <w:pPr>
        <w:pStyle w:val="BodyText"/>
        <w:spacing w:line="240" w:lineRule="auto" w:before="54"/>
        <w:ind w:left="573" w:right="1033"/>
        <w:jc w:val="left"/>
      </w:pPr>
      <w:r>
        <w:rPr/>
        <w:t>随着第三方支付机构的发展壮大和业务规模的持续增长，行业竞争加剧，传统收单市场产品同质化严重，发展渠道单</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4"/>
        <w:jc w:val="both"/>
      </w:pPr>
      <w:r>
        <w:rPr>
          <w:spacing w:val="-2"/>
        </w:rPr>
        <w:t>一，手续费价格竞争严重。公司子公司嘉联支付在商业模式上主动转型，弱化商户手续费概念，加强商户服务投入，为商户</w:t>
      </w:r>
      <w:r>
        <w:rPr>
          <w:spacing w:val="-67"/>
        </w:rPr>
        <w:t> </w:t>
      </w:r>
      <w:r>
        <w:rPr>
          <w:spacing w:val="-67"/>
        </w:rPr>
      </w:r>
      <w:r>
        <w:rPr/>
        <w:t>经营提供全面的一站式解决方案。</w:t>
      </w:r>
    </w:p>
    <w:p>
      <w:pPr>
        <w:pStyle w:val="BodyText"/>
        <w:spacing w:line="458" w:lineRule="auto" w:before="54"/>
        <w:ind w:right="1129" w:firstLine="420"/>
        <w:jc w:val="both"/>
      </w:pPr>
      <w:r>
        <w:rPr/>
        <w:t>自</w:t>
      </w:r>
      <w:r>
        <w:rPr>
          <w:rFonts w:ascii="Times New Roman" w:hAnsi="Times New Roman" w:cs="Times New Roman" w:eastAsia="Times New Roman" w:hint="default"/>
        </w:rPr>
        <w:t>2018</w:t>
      </w:r>
      <w:r>
        <w:rPr/>
        <w:t>年起，嘉联支付始终致力于支付服务渠道建设工作，不立足于价格战，以商户为载体，衔接支付场景，为商户 </w:t>
      </w:r>
      <w:r>
        <w:rPr>
          <w:spacing w:val="-2"/>
        </w:rPr>
        <w:t>提供融合支付服务。报告期内，公司根据市场情况调整业务模式和产品服务形式，提升内部运营效率，优化用户体验，增强</w:t>
      </w:r>
      <w:r>
        <w:rPr>
          <w:spacing w:val="-67"/>
        </w:rPr>
        <w:t> </w:t>
      </w:r>
      <w:r>
        <w:rPr>
          <w:spacing w:val="-67"/>
        </w:rPr>
      </w:r>
      <w:r>
        <w:rPr>
          <w:spacing w:val="-2"/>
        </w:rPr>
        <w:t>客户粘性，提升了综合盈利能力。目前，公司支付服务业务覆盖范围拓展至全国</w:t>
      </w:r>
      <w:r>
        <w:rPr>
          <w:rFonts w:ascii="Times New Roman" w:hAnsi="Times New Roman" w:cs="Times New Roman" w:eastAsia="Times New Roman" w:hint="default"/>
          <w:spacing w:val="-2"/>
        </w:rPr>
        <w:t>34</w:t>
      </w:r>
      <w:r>
        <w:rPr>
          <w:spacing w:val="-2"/>
        </w:rPr>
        <w:t>个省市自治区，近三年的活跃商户数量逐</w:t>
      </w:r>
      <w:r>
        <w:rPr>
          <w:spacing w:val="-63"/>
        </w:rPr>
        <w:t> </w:t>
      </w:r>
      <w:r>
        <w:rPr>
          <w:spacing w:val="-63"/>
        </w:rPr>
      </w:r>
      <w:r>
        <w:rPr/>
        <w:t>年大幅增长，带来了收单手续费收入的持续增长。</w:t>
      </w:r>
    </w:p>
    <w:p>
      <w:pPr>
        <w:pStyle w:val="BodyText"/>
        <w:spacing w:line="451" w:lineRule="auto" w:before="68"/>
        <w:ind w:left="573" w:right="1033" w:hanging="420"/>
        <w:jc w:val="left"/>
      </w:pPr>
      <w:r>
        <w:rPr/>
        <w:t>（</w:t>
      </w:r>
      <w:r>
        <w:rPr>
          <w:rFonts w:ascii="Times New Roman" w:hAnsi="Times New Roman" w:cs="Times New Roman" w:eastAsia="Times New Roman" w:hint="default"/>
        </w:rPr>
        <w:t>2</w:t>
      </w:r>
      <w:r>
        <w:rPr/>
        <w:t>）场景数字化服务 在新零售的推动下，线下商业的数字化程度迅速提升，单一的收单服务已经融入场景数字化应用，商户群体逐步向数</w:t>
      </w:r>
    </w:p>
    <w:p>
      <w:pPr>
        <w:pStyle w:val="BodyText"/>
        <w:spacing w:line="458" w:lineRule="auto" w:before="74"/>
        <w:ind w:right="1126"/>
        <w:jc w:val="both"/>
      </w:pPr>
      <w:r>
        <w:rPr>
          <w:spacing w:val="-2"/>
        </w:rPr>
        <w:t>字化的科学经营进化，传统线上线下割据的局面已经快速融为一体，为嘉联支付提供了全面融入和打造商业互联网生态的重</w:t>
      </w:r>
      <w:r>
        <w:rPr>
          <w:spacing w:val="-64"/>
        </w:rPr>
        <w:t> </w:t>
      </w:r>
      <w:r>
        <w:rPr>
          <w:spacing w:val="-64"/>
        </w:rPr>
      </w:r>
      <w:r>
        <w:rPr/>
        <w:t>大机遇。嘉联支付以客户为中心、根据客户场景需求变化进行同频升级，快速增加场景互联网能力。通过</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经营</w:t>
      </w:r>
      <w:r>
        <w:rPr>
          <w:rFonts w:ascii="Times New Roman" w:hAnsi="Times New Roman" w:cs="Times New Roman" w:eastAsia="Times New Roman" w:hint="default"/>
        </w:rPr>
        <w:t>”</w:t>
      </w:r>
      <w:r>
        <w:rPr/>
        <w:t>的服</w:t>
      </w:r>
      <w:r>
        <w:rPr>
          <w:spacing w:val="-71"/>
        </w:rPr>
        <w:t> </w:t>
      </w:r>
      <w:r>
        <w:rPr>
          <w:spacing w:val="-2"/>
        </w:rPr>
        <w:t>务体系，将支付入口全面融入经营场景，以</w:t>
      </w:r>
      <w:r>
        <w:rPr>
          <w:rFonts w:ascii="Times New Roman" w:hAnsi="Times New Roman" w:cs="Times New Roman" w:eastAsia="Times New Roman" w:hint="default"/>
          <w:spacing w:val="-2"/>
        </w:rPr>
        <w:t>SaaS</w:t>
      </w:r>
      <w:r>
        <w:rPr>
          <w:spacing w:val="-2"/>
        </w:rPr>
        <w:t>模式从上游介入商户经营，为商户提供更大的附加价值是嘉联支付现在以及</w:t>
      </w:r>
      <w:r>
        <w:rPr>
          <w:spacing w:val="-62"/>
        </w:rPr>
        <w:t> </w:t>
      </w:r>
      <w:r>
        <w:rPr>
          <w:spacing w:val="-62"/>
        </w:rPr>
      </w:r>
      <w:r>
        <w:rPr/>
        <w:t>未来的重点布局。</w:t>
      </w:r>
    </w:p>
    <w:p>
      <w:pPr>
        <w:pStyle w:val="BodyText"/>
        <w:spacing w:line="463" w:lineRule="auto" w:before="68"/>
        <w:ind w:right="1134" w:firstLine="420"/>
        <w:jc w:val="both"/>
      </w:pPr>
      <w:r>
        <w:rPr/>
        <w:t>公司通过合作自研等方式成功为超过</w:t>
      </w:r>
      <w:r>
        <w:rPr>
          <w:rFonts w:ascii="Times New Roman" w:hAnsi="Times New Roman" w:cs="Times New Roman" w:eastAsia="Times New Roman" w:hint="default"/>
        </w:rPr>
        <w:t>36</w:t>
      </w:r>
      <w:r>
        <w:rPr/>
        <w:t>个行业及不同应用场景为商户提供经营场景互联网解决方案，并且为商户提供 </w:t>
      </w:r>
      <w:r>
        <w:rPr>
          <w:spacing w:val="-2"/>
        </w:rPr>
        <w:t>创新、丰富的互联网营销工具和高效的在线管理工具，为商家提供全在线的获客拓新、订单转化、二次营销、留存复购及经</w:t>
      </w:r>
      <w:r>
        <w:rPr>
          <w:spacing w:val="-67"/>
        </w:rPr>
        <w:t> </w:t>
      </w:r>
      <w:r>
        <w:rPr>
          <w:spacing w:val="-67"/>
        </w:rPr>
      </w:r>
      <w:r>
        <w:rPr/>
        <w:t>营数据分析、电子发票开具等一站式服务，与嘉联支付的支付产品形成双轮驱动，满足商业用户的需要。</w:t>
      </w:r>
    </w:p>
    <w:p>
      <w:pPr>
        <w:pStyle w:val="BodyText"/>
        <w:spacing w:line="458" w:lineRule="auto" w:before="65"/>
        <w:ind w:right="1033" w:firstLine="420"/>
        <w:jc w:val="left"/>
      </w:pPr>
      <w:r>
        <w:rPr>
          <w:rFonts w:ascii="Times New Roman" w:hAnsi="Times New Roman" w:cs="Times New Roman" w:eastAsia="Times New Roman" w:hint="default"/>
        </w:rPr>
        <w:t>2019</w:t>
      </w:r>
      <w:r>
        <w:rPr/>
        <w:t>年，使用嘉联支付提供的场景互联网服务的商户数同比增长</w:t>
      </w:r>
      <w:r>
        <w:rPr>
          <w:rFonts w:ascii="Times New Roman" w:hAnsi="Times New Roman" w:cs="Times New Roman" w:eastAsia="Times New Roman" w:hint="default"/>
        </w:rPr>
        <w:t>30%</w:t>
      </w:r>
      <w:r>
        <w:rPr/>
        <w:t>，与此相关的增值服务费收入已经有了可观的增 </w:t>
      </w:r>
      <w:r>
        <w:rPr>
          <w:spacing w:val="-4"/>
        </w:rPr>
        <w:t>长。随着商户数量的增加，客户流量入口的运营持续加大，将为公司带来极大的客户流量红利，使公司在新零售模式推动下，</w:t>
      </w:r>
      <w:r>
        <w:rPr>
          <w:spacing w:val="-46"/>
        </w:rPr>
        <w:t> </w:t>
      </w:r>
      <w:r>
        <w:rPr>
          <w:spacing w:val="-46"/>
        </w:rPr>
      </w:r>
      <w:r>
        <w:rPr>
          <w:spacing w:val="-2"/>
        </w:rPr>
        <w:t>具备服务商户端上游到客户端下游的互联网服务能力，达到全产业布局的目标。</w:t>
      </w:r>
      <w:r>
        <w:rPr>
          <w:rFonts w:ascii="Times New Roman" w:hAnsi="Times New Roman" w:cs="Times New Roman" w:eastAsia="Times New Roman" w:hint="default"/>
          <w:spacing w:val="-2"/>
        </w:rPr>
        <w:t>2019</w:t>
      </w:r>
      <w:r>
        <w:rPr>
          <w:spacing w:val="-2"/>
        </w:rPr>
        <w:t>年，公司进一步投入新孵化业务，如无</w:t>
      </w:r>
      <w:r>
        <w:rPr>
          <w:spacing w:val="-59"/>
        </w:rPr>
        <w:t> </w:t>
      </w:r>
      <w:r>
        <w:rPr>
          <w:spacing w:val="-59"/>
        </w:rPr>
      </w:r>
      <w:r>
        <w:rPr/>
        <w:t>人零售、四方平台及海外支付业务等，目前仍在继续推进相关业务实施。</w:t>
      </w:r>
    </w:p>
    <w:p>
      <w:pPr>
        <w:pStyle w:val="BodyText"/>
        <w:spacing w:line="240" w:lineRule="auto" w:before="68"/>
        <w:ind w:right="0"/>
        <w:jc w:val="both"/>
      </w:pPr>
      <w:r>
        <w:rPr>
          <w:rFonts w:ascii="Times New Roman" w:hAnsi="Times New Roman" w:cs="Times New Roman" w:eastAsia="Times New Roman" w:hint="default"/>
        </w:rPr>
        <w:t>2</w:t>
      </w:r>
      <w:r>
        <w:rPr/>
        <w:t>、电子支付设备及生物识别产品</w:t>
      </w:r>
    </w:p>
    <w:p>
      <w:pPr>
        <w:spacing w:line="240" w:lineRule="auto" w:before="10"/>
        <w:rPr>
          <w:rFonts w:ascii="宋体" w:hAnsi="宋体" w:cs="宋体" w:eastAsia="宋体" w:hint="default"/>
          <w:sz w:val="16"/>
          <w:szCs w:val="16"/>
        </w:rPr>
      </w:pPr>
    </w:p>
    <w:p>
      <w:pPr>
        <w:pStyle w:val="BodyText"/>
        <w:spacing w:line="451" w:lineRule="auto"/>
        <w:ind w:left="573" w:right="1033" w:hanging="420"/>
        <w:jc w:val="left"/>
      </w:pPr>
      <w:r>
        <w:rPr/>
        <w:t>（</w:t>
      </w:r>
      <w:r>
        <w:rPr>
          <w:rFonts w:ascii="Times New Roman" w:hAnsi="Times New Roman" w:cs="Times New Roman" w:eastAsia="Times New Roman" w:hint="default"/>
        </w:rPr>
        <w:t>1</w:t>
      </w:r>
      <w:r>
        <w:rPr/>
        <w:t>）电子支付设备 </w:t>
      </w:r>
      <w:r>
        <w:rPr>
          <w:spacing w:val="-2"/>
        </w:rPr>
        <w:t>随着信息技术在支付领域得到广泛的应用，支付基础设施建设取得了重大发展，非现金支付工具日益普及且创新不断，</w:t>
      </w:r>
    </w:p>
    <w:p>
      <w:pPr>
        <w:pStyle w:val="BodyText"/>
        <w:spacing w:line="451" w:lineRule="auto" w:before="74"/>
        <w:ind w:right="1128"/>
        <w:jc w:val="both"/>
      </w:pPr>
      <w:r>
        <w:rPr>
          <w:spacing w:val="-2"/>
        </w:rPr>
        <w:t>支付服务环境大幅改善，有效支持了实体经济的发展。根据中国人民银行发布的《</w:t>
      </w:r>
      <w:r>
        <w:rPr>
          <w:rFonts w:ascii="Times New Roman" w:hAnsi="Times New Roman" w:cs="Times New Roman" w:eastAsia="Times New Roman" w:hint="default"/>
          <w:spacing w:val="-2"/>
        </w:rPr>
        <w:t>2019</w:t>
      </w:r>
      <w:r>
        <w:rPr>
          <w:spacing w:val="-2"/>
        </w:rPr>
        <w:t>年支付体系运行总体情况报告》，截</w:t>
      </w:r>
      <w:r>
        <w:rPr>
          <w:spacing w:val="-65"/>
        </w:rPr>
        <w:t> </w:t>
      </w:r>
      <w:r>
        <w:rPr>
          <w:spacing w:val="-65"/>
        </w:rPr>
      </w:r>
      <w:r>
        <w:rPr/>
        <w:t>至</w:t>
      </w:r>
      <w:r>
        <w:rPr>
          <w:rFonts w:ascii="Times New Roman" w:hAnsi="Times New Roman" w:cs="Times New Roman" w:eastAsia="Times New Roman" w:hint="default"/>
        </w:rPr>
        <w:t>2019</w:t>
      </w:r>
      <w:r>
        <w:rPr/>
        <w:t>年末，全国银行卡在用发卡数量</w:t>
      </w:r>
      <w:r>
        <w:rPr>
          <w:rFonts w:ascii="Times New Roman" w:hAnsi="Times New Roman" w:cs="Times New Roman" w:eastAsia="Times New Roman" w:hint="default"/>
        </w:rPr>
        <w:t>84.19</w:t>
      </w:r>
      <w:r>
        <w:rPr/>
        <w:t>亿张，同比增长</w:t>
      </w:r>
      <w:r>
        <w:rPr>
          <w:rFonts w:ascii="Times New Roman" w:hAnsi="Times New Roman" w:cs="Times New Roman" w:eastAsia="Times New Roman" w:hint="default"/>
        </w:rPr>
        <w:t>10.82%</w:t>
      </w:r>
      <w:r>
        <w:rPr/>
        <w:t>；受理市场环境不断完善，银行卡受理终端数量有所下</w:t>
      </w:r>
      <w:r>
        <w:rPr>
          <w:spacing w:val="-58"/>
        </w:rPr>
        <w:t> </w:t>
      </w:r>
      <w:r>
        <w:rPr>
          <w:spacing w:val="-58"/>
        </w:rPr>
      </w:r>
      <w:r>
        <w:rPr>
          <w:spacing w:val="-1"/>
        </w:rPr>
        <w:t>降，截至</w:t>
      </w:r>
      <w:r>
        <w:rPr>
          <w:rFonts w:ascii="Times New Roman" w:hAnsi="Times New Roman" w:cs="Times New Roman" w:eastAsia="Times New Roman" w:hint="default"/>
          <w:spacing w:val="-1"/>
        </w:rPr>
        <w:t>2019</w:t>
      </w:r>
      <w:r>
        <w:rPr>
          <w:spacing w:val="-1"/>
        </w:rPr>
        <w:t>年末，银行卡跨行支付系统联网商户</w:t>
      </w:r>
      <w:r>
        <w:rPr>
          <w:rFonts w:ascii="Times New Roman" w:hAnsi="Times New Roman" w:cs="Times New Roman" w:eastAsia="Times New Roman" w:hint="default"/>
          <w:spacing w:val="-1"/>
        </w:rPr>
        <w:t>2,362.96</w:t>
      </w:r>
      <w:r>
        <w:rPr>
          <w:spacing w:val="-1"/>
        </w:rPr>
        <w:t>万户，联网</w:t>
      </w:r>
      <w:r>
        <w:rPr>
          <w:rFonts w:ascii="Times New Roman" w:hAnsi="Times New Roman" w:cs="Times New Roman" w:eastAsia="Times New Roman" w:hint="default"/>
          <w:spacing w:val="-1"/>
        </w:rPr>
        <w:t>POS</w:t>
      </w:r>
      <w:r>
        <w:rPr>
          <w:spacing w:val="-1"/>
        </w:rPr>
        <w:t>机具</w:t>
      </w:r>
      <w:r>
        <w:rPr>
          <w:rFonts w:ascii="Times New Roman" w:hAnsi="Times New Roman" w:cs="Times New Roman" w:eastAsia="Times New Roman" w:hint="default"/>
          <w:spacing w:val="-1"/>
        </w:rPr>
        <w:t>3,089.28</w:t>
      </w:r>
      <w:r>
        <w:rPr>
          <w:spacing w:val="-1"/>
        </w:rPr>
        <w:t>万台，较上季度末分别减少</w:t>
      </w:r>
      <w:r>
        <w:rPr>
          <w:rFonts w:ascii="Times New Roman" w:hAnsi="Times New Roman" w:cs="Times New Roman" w:eastAsia="Times New Roman" w:hint="default"/>
          <w:spacing w:val="-1"/>
        </w:rPr>
        <w:t>370.04</w:t>
      </w:r>
      <w:r>
        <w:rPr>
          <w:spacing w:val="-1"/>
        </w:rPr>
        <w:t>万</w:t>
      </w:r>
      <w:r>
        <w:rPr>
          <w:spacing w:val="-40"/>
        </w:rPr>
        <w:t> </w:t>
      </w:r>
      <w:r>
        <w:rPr>
          <w:spacing w:val="-1"/>
        </w:rPr>
        <w:t>户和</w:t>
      </w:r>
      <w:r>
        <w:rPr>
          <w:rFonts w:ascii="Times New Roman" w:hAnsi="Times New Roman" w:cs="Times New Roman" w:eastAsia="Times New Roman" w:hint="default"/>
          <w:spacing w:val="-1"/>
        </w:rPr>
        <w:t>325.54</w:t>
      </w:r>
      <w:r>
        <w:rPr>
          <w:spacing w:val="-1"/>
        </w:rPr>
        <w:t>万台。</w:t>
      </w:r>
      <w:r>
        <w:rPr>
          <w:rFonts w:ascii="Times New Roman" w:hAnsi="Times New Roman" w:cs="Times New Roman" w:eastAsia="Times New Roman" w:hint="default"/>
          <w:spacing w:val="-1"/>
        </w:rPr>
        <w:t>2019</w:t>
      </w:r>
      <w:r>
        <w:rPr>
          <w:spacing w:val="-1"/>
        </w:rPr>
        <w:t>年，全国共发生银行卡交易</w:t>
      </w:r>
      <w:r>
        <w:rPr>
          <w:rFonts w:ascii="Times New Roman" w:hAnsi="Times New Roman" w:cs="Times New Roman" w:eastAsia="Times New Roman" w:hint="default"/>
          <w:spacing w:val="-1"/>
        </w:rPr>
        <w:t>3,219.89</w:t>
      </w:r>
      <w:r>
        <w:rPr>
          <w:spacing w:val="-1"/>
        </w:rPr>
        <w:t>亿笔，金额</w:t>
      </w:r>
      <w:r>
        <w:rPr>
          <w:rFonts w:ascii="Times New Roman" w:hAnsi="Times New Roman" w:cs="Times New Roman" w:eastAsia="Times New Roman" w:hint="default"/>
          <w:spacing w:val="-1"/>
        </w:rPr>
        <w:t>886.39</w:t>
      </w:r>
      <w:r>
        <w:rPr>
          <w:spacing w:val="-1"/>
        </w:rPr>
        <w:t>万亿元，同比分别增长</w:t>
      </w:r>
      <w:r>
        <w:rPr>
          <w:rFonts w:ascii="Times New Roman" w:hAnsi="Times New Roman" w:cs="Times New Roman" w:eastAsia="Times New Roman" w:hint="default"/>
          <w:spacing w:val="-1"/>
        </w:rPr>
        <w:t>53.07%</w:t>
      </w:r>
      <w:r>
        <w:rPr>
          <w:spacing w:val="-1"/>
        </w:rPr>
        <w:t>和</w:t>
      </w:r>
      <w:r>
        <w:rPr>
          <w:rFonts w:ascii="Times New Roman" w:hAnsi="Times New Roman" w:cs="Times New Roman" w:eastAsia="Times New Roman" w:hint="default"/>
          <w:spacing w:val="-1"/>
        </w:rPr>
        <w:t>2.82%</w:t>
      </w:r>
      <w:r>
        <w:rPr>
          <w:spacing w:val="-1"/>
        </w:rPr>
        <w:t>。银行卡</w:t>
      </w:r>
      <w:r>
        <w:rPr>
          <w:spacing w:val="-50"/>
        </w:rPr>
        <w:t> </w:t>
      </w:r>
      <w:r>
        <w:rPr>
          <w:spacing w:val="-50"/>
        </w:rPr>
      </w:r>
      <w:r>
        <w:rPr/>
        <w:t>交易量继续增长。</w:t>
      </w:r>
    </w:p>
    <w:p>
      <w:pPr>
        <w:pStyle w:val="BodyText"/>
        <w:spacing w:line="451" w:lineRule="auto" w:before="74"/>
        <w:ind w:right="1130" w:firstLine="420"/>
        <w:jc w:val="both"/>
        <w:rPr>
          <w:rFonts w:ascii="Times New Roman" w:hAnsi="Times New Roman" w:cs="Times New Roman" w:eastAsia="Times New Roman" w:hint="default"/>
        </w:rPr>
      </w:pPr>
      <w:r>
        <w:rPr/>
        <w:t>电子支付设备市场主要仍集中在商业银行、银联商务、第三方支付机构等客户群体。据中国支付清算协会《</w:t>
      </w:r>
      <w:r>
        <w:rPr>
          <w:rFonts w:ascii="Times New Roman" w:hAnsi="Times New Roman" w:cs="Times New Roman" w:eastAsia="Times New Roman" w:hint="default"/>
        </w:rPr>
        <w:t>2019</w:t>
      </w:r>
      <w:r>
        <w:rPr/>
        <w:t>年移 </w:t>
      </w:r>
      <w:r>
        <w:rPr>
          <w:spacing w:val="-2"/>
        </w:rPr>
        <w:t>动支付用户调研报告》显示，用户最常使用的移动支付方式为扫码支付。</w:t>
      </w:r>
      <w:r>
        <w:rPr>
          <w:rFonts w:ascii="Times New Roman" w:hAnsi="Times New Roman" w:cs="Times New Roman" w:eastAsia="Times New Roman" w:hint="default"/>
          <w:spacing w:val="-2"/>
        </w:rPr>
        <w:t>2019</w:t>
      </w:r>
      <w:r>
        <w:rPr>
          <w:spacing w:val="-2"/>
        </w:rPr>
        <w:t>年，移动支付用户表示最常使用的支付方式是</w:t>
      </w:r>
      <w:r>
        <w:rPr>
          <w:spacing w:val="-62"/>
        </w:rPr>
        <w:t> </w:t>
      </w:r>
      <w:r>
        <w:rPr>
          <w:spacing w:val="-62"/>
        </w:rPr>
      </w:r>
      <w:r>
        <w:rPr>
          <w:spacing w:val="-7"/>
        </w:rPr>
        <w:t>使用客户端扫码或出示二维码完成支付，占比</w:t>
      </w:r>
      <w:r>
        <w:rPr>
          <w:rFonts w:ascii="Times New Roman" w:hAnsi="Times New Roman" w:cs="Times New Roman" w:eastAsia="Times New Roman" w:hint="default"/>
          <w:spacing w:val="-7"/>
        </w:rPr>
        <w:t>92.6%</w:t>
      </w:r>
      <w:r>
        <w:rPr>
          <w:spacing w:val="-7"/>
        </w:rPr>
        <w:t>，与去年持平；在终端设备上使用闪付（例如：银行卡，</w:t>
      </w:r>
      <w:r>
        <w:rPr>
          <w:rFonts w:ascii="Times New Roman" w:hAnsi="Times New Roman" w:cs="Times New Roman" w:eastAsia="Times New Roman" w:hint="default"/>
          <w:spacing w:val="-7"/>
        </w:rPr>
        <w:t>Apple</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7"/>
        </w:rPr>
        <w:t>Pay</w:t>
      </w:r>
      <w:r>
        <w:rPr>
          <w:spacing w:val="-7"/>
        </w:rPr>
        <w:t>、</w:t>
      </w:r>
      <w:r>
        <w:rPr>
          <w:rFonts w:ascii="Times New Roman" w:hAnsi="Times New Roman" w:cs="Times New Roman" w:eastAsia="Times New Roman" w:hint="default"/>
          <w:spacing w:val="-7"/>
        </w:rPr>
        <w:t>Huawei</w:t>
      </w:r>
    </w:p>
    <w:p>
      <w:pPr>
        <w:spacing w:after="0" w:line="451" w:lineRule="auto"/>
        <w:jc w:val="both"/>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463" w:lineRule="auto" w:before="44"/>
        <w:ind w:right="1033"/>
        <w:jc w:val="left"/>
      </w:pPr>
      <w:r>
        <w:rPr>
          <w:rFonts w:ascii="Times New Roman" w:hAnsi="Times New Roman" w:cs="Times New Roman" w:eastAsia="Times New Roman" w:hint="default"/>
          <w:spacing w:val="-4"/>
        </w:rPr>
        <w:t>Pay</w:t>
      </w:r>
      <w:r>
        <w:rPr>
          <w:spacing w:val="-4"/>
        </w:rPr>
        <w:t>、</w:t>
      </w:r>
      <w:r>
        <w:rPr>
          <w:rFonts w:ascii="Times New Roman" w:hAnsi="Times New Roman" w:cs="Times New Roman" w:eastAsia="Times New Roman" w:hint="default"/>
          <w:spacing w:val="-4"/>
        </w:rPr>
        <w:t>Mi</w:t>
      </w:r>
      <w:r>
        <w:rPr>
          <w:rFonts w:ascii="Times New Roman" w:hAnsi="Times New Roman" w:cs="Times New Roman" w:eastAsia="Times New Roman" w:hint="default"/>
        </w:rPr>
        <w:t> </w:t>
      </w:r>
      <w:r>
        <w:rPr>
          <w:rFonts w:ascii="Times New Roman" w:hAnsi="Times New Roman" w:cs="Times New Roman" w:eastAsia="Times New Roman" w:hint="default"/>
          <w:spacing w:val="-2"/>
        </w:rPr>
        <w:t>Pay</w:t>
      </w:r>
      <w:r>
        <w:rPr>
          <w:spacing w:val="-2"/>
        </w:rPr>
        <w:t>等手机闪付）完成支付排名第二，占比</w:t>
      </w:r>
      <w:r>
        <w:rPr>
          <w:rFonts w:ascii="Times New Roman" w:hAnsi="Times New Roman" w:cs="Times New Roman" w:eastAsia="Times New Roman" w:hint="default"/>
          <w:spacing w:val="-2"/>
        </w:rPr>
        <w:t>49.9%</w:t>
      </w:r>
      <w:r>
        <w:rPr>
          <w:spacing w:val="-2"/>
        </w:rPr>
        <w:t>；在商户客户端跳转第三方客户端进行支付排名第三，占比</w:t>
      </w:r>
      <w:r>
        <w:rPr>
          <w:rFonts w:ascii="Times New Roman" w:hAnsi="Times New Roman" w:cs="Times New Roman" w:eastAsia="Times New Roman" w:hint="default"/>
          <w:spacing w:val="-2"/>
        </w:rPr>
        <w:t>29.6%</w:t>
      </w:r>
      <w:r>
        <w:rPr>
          <w:spacing w:val="-2"/>
        </w:rPr>
        <w:t>。</w:t>
      </w:r>
      <w:r>
        <w:rPr>
          <w:spacing w:val="-59"/>
        </w:rPr>
        <w:t> </w:t>
      </w:r>
      <w:r>
        <w:rPr>
          <w:spacing w:val="-2"/>
        </w:rPr>
        <w:t>上述支付方式的使用比例较</w:t>
      </w:r>
      <w:r>
        <w:rPr>
          <w:rFonts w:ascii="Times New Roman" w:hAnsi="Times New Roman" w:cs="Times New Roman" w:eastAsia="Times New Roman" w:hint="default"/>
          <w:spacing w:val="-2"/>
        </w:rPr>
        <w:t>2018</w:t>
      </w:r>
      <w:r>
        <w:rPr>
          <w:spacing w:val="-2"/>
        </w:rPr>
        <w:t>年均有所增长，其中在终端上使用闪付的用户比例增幅最大，较去年提升近</w:t>
      </w:r>
      <w:r>
        <w:rPr>
          <w:rFonts w:ascii="Times New Roman" w:hAnsi="Times New Roman" w:cs="Times New Roman" w:eastAsia="Times New Roman" w:hint="default"/>
          <w:spacing w:val="-2"/>
        </w:rPr>
        <w:t>23</w:t>
      </w:r>
      <w:r>
        <w:rPr>
          <w:spacing w:val="-2"/>
        </w:rPr>
        <w:t>个百分点。市</w:t>
      </w:r>
      <w:r>
        <w:rPr>
          <w:spacing w:val="-61"/>
        </w:rPr>
        <w:t> </w:t>
      </w:r>
      <w:r>
        <w:rPr>
          <w:spacing w:val="-61"/>
        </w:rPr>
      </w:r>
      <w:r>
        <w:rPr>
          <w:spacing w:val="-2"/>
        </w:rPr>
        <w:t>场主体的持续深耕市场和客户培育，条码支付的使用度和接受度进一步提升，移动支付的接受程度进一步提高。为进一步满</w:t>
      </w:r>
      <w:r>
        <w:rPr>
          <w:spacing w:val="-63"/>
        </w:rPr>
        <w:t> </w:t>
      </w:r>
      <w:r>
        <w:rPr>
          <w:spacing w:val="-63"/>
        </w:rPr>
      </w:r>
      <w:r>
        <w:rPr>
          <w:spacing w:val="-4"/>
        </w:rPr>
        <w:t>足丰富多样的应用场景及市场需求，报告期内，新国都支付对码付设备（含扫码支付功能）的业务团队进行重点配置和投入，</w:t>
      </w:r>
      <w:r>
        <w:rPr>
          <w:spacing w:val="-46"/>
        </w:rPr>
        <w:t> </w:t>
      </w:r>
      <w:r>
        <w:rPr>
          <w:spacing w:val="-46"/>
        </w:rPr>
      </w:r>
      <w:r>
        <w:rPr/>
        <w:t>加大投入智能</w:t>
      </w:r>
      <w:r>
        <w:rPr>
          <w:rFonts w:ascii="Times New Roman" w:hAnsi="Times New Roman" w:cs="Times New Roman" w:eastAsia="Times New Roman" w:hint="default"/>
        </w:rPr>
        <w:t>POS</w:t>
      </w:r>
      <w:r>
        <w:rPr/>
        <w:t>终端、聚合支付设备及扫码设备，并迅速迭代。</w:t>
      </w:r>
    </w:p>
    <w:p>
      <w:pPr>
        <w:pStyle w:val="BodyText"/>
        <w:spacing w:line="451" w:lineRule="auto" w:before="33"/>
        <w:ind w:right="1129" w:firstLine="420"/>
        <w:jc w:val="both"/>
      </w:pPr>
      <w:r>
        <w:rPr>
          <w:rFonts w:ascii="Times New Roman" w:hAnsi="Times New Roman" w:cs="Times New Roman" w:eastAsia="Times New Roman" w:hint="default"/>
        </w:rPr>
        <w:t>2019</w:t>
      </w:r>
      <w:r>
        <w:rPr/>
        <w:t>年，用户最常使用的移动支付产品是支付宝、微信和银联云闪付（含</w:t>
      </w:r>
      <w:r>
        <w:rPr>
          <w:rFonts w:ascii="Times New Roman" w:hAnsi="Times New Roman" w:cs="Times New Roman" w:eastAsia="Times New Roman" w:hint="default"/>
        </w:rPr>
        <w:t>Apple Pay</w:t>
      </w:r>
      <w:r>
        <w:rPr/>
        <w:t>、</w:t>
      </w:r>
      <w:r>
        <w:rPr>
          <w:rFonts w:ascii="Times New Roman" w:hAnsi="Times New Roman" w:cs="Times New Roman" w:eastAsia="Times New Roman" w:hint="default"/>
        </w:rPr>
        <w:t>Huawei Pay</w:t>
      </w:r>
      <w:r>
        <w:rPr/>
        <w:t>、</w:t>
      </w:r>
      <w:r>
        <w:rPr>
          <w:rFonts w:ascii="Times New Roman" w:hAnsi="Times New Roman" w:cs="Times New Roman" w:eastAsia="Times New Roman" w:hint="default"/>
        </w:rPr>
        <w:t>Mi</w:t>
      </w:r>
      <w:r>
        <w:rPr>
          <w:rFonts w:ascii="Times New Roman" w:hAnsi="Times New Roman" w:cs="Times New Roman" w:eastAsia="Times New Roman" w:hint="default"/>
          <w:spacing w:val="34"/>
        </w:rPr>
        <w:t> </w:t>
      </w:r>
      <w:r>
        <w:rPr>
          <w:rFonts w:ascii="Times New Roman" w:hAnsi="Times New Roman" w:cs="Times New Roman" w:eastAsia="Times New Roman" w:hint="default"/>
        </w:rPr>
        <w:t>Pay</w:t>
      </w:r>
      <w:r>
        <w:rPr/>
        <w:t>等手机闪付 </w:t>
      </w:r>
      <w:r>
        <w:rPr>
          <w:spacing w:val="-1"/>
        </w:rPr>
        <w:t>产品），占比分别为</w:t>
      </w:r>
      <w:r>
        <w:rPr>
          <w:rFonts w:ascii="Times New Roman" w:hAnsi="Times New Roman" w:cs="Times New Roman" w:eastAsia="Times New Roman" w:hint="default"/>
          <w:spacing w:val="-1"/>
        </w:rPr>
        <w:t>90.7%</w:t>
      </w:r>
      <w:r>
        <w:rPr>
          <w:spacing w:val="-1"/>
        </w:rPr>
        <w:t>、</w:t>
      </w:r>
      <w:r>
        <w:rPr>
          <w:rFonts w:ascii="Times New Roman" w:hAnsi="Times New Roman" w:cs="Times New Roman" w:eastAsia="Times New Roman" w:hint="default"/>
          <w:spacing w:val="-1"/>
        </w:rPr>
        <w:t>87.3%</w:t>
      </w:r>
      <w:r>
        <w:rPr>
          <w:spacing w:val="-1"/>
        </w:rPr>
        <w:t>和</w:t>
      </w:r>
      <w:r>
        <w:rPr>
          <w:rFonts w:ascii="Times New Roman" w:hAnsi="Times New Roman" w:cs="Times New Roman" w:eastAsia="Times New Roman" w:hint="default"/>
          <w:spacing w:val="-1"/>
        </w:rPr>
        <w:t>79.7%</w:t>
      </w:r>
      <w:r>
        <w:rPr>
          <w:spacing w:val="-1"/>
        </w:rPr>
        <w:t>。新国都支付根据市场需求，迅速调整产品销售结构，迎合移动支付的热门支付</w:t>
      </w:r>
      <w:r>
        <w:rPr>
          <w:spacing w:val="-72"/>
        </w:rPr>
        <w:t> </w:t>
      </w:r>
      <w:r>
        <w:rPr>
          <w:spacing w:val="-72"/>
        </w:rPr>
      </w:r>
      <w:r>
        <w:rPr/>
        <w:t>方式，向市场推出智能</w:t>
      </w:r>
      <w:r>
        <w:rPr>
          <w:rFonts w:ascii="Times New Roman" w:hAnsi="Times New Roman" w:cs="Times New Roman" w:eastAsia="Times New Roman" w:hint="default"/>
        </w:rPr>
        <w:t>POS</w:t>
      </w:r>
      <w:r>
        <w:rPr/>
        <w:t>终端明星产品</w:t>
      </w:r>
      <w:r>
        <w:rPr>
          <w:rFonts w:ascii="Times New Roman" w:hAnsi="Times New Roman" w:cs="Times New Roman" w:eastAsia="Times New Roman" w:hint="default"/>
        </w:rPr>
        <w:t>N5</w:t>
      </w:r>
      <w:r>
        <w:rPr/>
        <w:t>及</w:t>
      </w:r>
      <w:r>
        <w:rPr>
          <w:rFonts w:ascii="Times New Roman" w:hAnsi="Times New Roman" w:cs="Times New Roman" w:eastAsia="Times New Roman" w:hint="default"/>
        </w:rPr>
        <w:t>G21</w:t>
      </w:r>
      <w:r>
        <w:rPr/>
        <w:t>，其中</w:t>
      </w:r>
      <w:r>
        <w:rPr>
          <w:rFonts w:ascii="Times New Roman" w:hAnsi="Times New Roman" w:cs="Times New Roman" w:eastAsia="Times New Roman" w:hint="default"/>
        </w:rPr>
        <w:t>G21</w:t>
      </w:r>
      <w:r>
        <w:rPr/>
        <w:t>除支持传统磁条卡、</w:t>
      </w:r>
      <w:r>
        <w:rPr>
          <w:rFonts w:ascii="Times New Roman" w:hAnsi="Times New Roman" w:cs="Times New Roman" w:eastAsia="Times New Roman" w:hint="default"/>
        </w:rPr>
        <w:t>IC</w:t>
      </w:r>
      <w:r>
        <w:rPr/>
        <w:t>卡、</w:t>
      </w:r>
      <w:r>
        <w:rPr>
          <w:rFonts w:ascii="Times New Roman" w:hAnsi="Times New Roman" w:cs="Times New Roman" w:eastAsia="Times New Roman" w:hint="default"/>
        </w:rPr>
        <w:t>NFC</w:t>
      </w:r>
      <w:r>
        <w:rPr/>
        <w:t>支付方式外，更融合了当下流</w:t>
      </w:r>
      <w:r>
        <w:rPr>
          <w:spacing w:val="-81"/>
        </w:rPr>
        <w:t> </w:t>
      </w:r>
      <w:r>
        <w:rPr>
          <w:spacing w:val="-81"/>
        </w:rPr>
      </w:r>
      <w:r>
        <w:rPr/>
        <w:t>行的聚合支付（微信、支付宝、银联二维码等）和安全扫码方式（采用专业解码模块，支持</w:t>
      </w:r>
      <w:r>
        <w:rPr>
          <w:rFonts w:ascii="Times New Roman" w:hAnsi="Times New Roman" w:cs="Times New Roman" w:eastAsia="Times New Roman" w:hint="default"/>
        </w:rPr>
        <w:t>1D/2D</w:t>
      </w:r>
      <w:r>
        <w:rPr/>
        <w:t>解码）。</w:t>
      </w:r>
    </w:p>
    <w:p>
      <w:pPr>
        <w:pStyle w:val="BodyText"/>
        <w:spacing w:line="468" w:lineRule="auto" w:before="43"/>
        <w:ind w:right="1033" w:firstLine="420"/>
        <w:jc w:val="left"/>
      </w:pPr>
      <w:r>
        <w:rPr/>
        <w:t>报告期内，公司全系列产品合计销量超</w:t>
      </w:r>
      <w:r>
        <w:rPr>
          <w:rFonts w:ascii="Times New Roman" w:hAnsi="Times New Roman" w:cs="Times New Roman" w:eastAsia="Times New Roman" w:hint="default"/>
        </w:rPr>
        <w:t>878</w:t>
      </w:r>
      <w:r>
        <w:rPr/>
        <w:t>万套。同时，公司子公司新国都支付中标光大银行、兴业银行、华夏银行及 </w:t>
      </w:r>
      <w:r>
        <w:rPr>
          <w:spacing w:val="-2"/>
        </w:rPr>
        <w:t>中国农业发展银行等招标项目，获得客户对公司综合实力的肯定。国际市场方面，国外新兴市场保持强劲增长动力，新国都</w:t>
      </w:r>
      <w:r>
        <w:rPr>
          <w:spacing w:val="-64"/>
        </w:rPr>
        <w:t> </w:t>
      </w:r>
      <w:r>
        <w:rPr>
          <w:spacing w:val="-64"/>
        </w:rPr>
      </w:r>
      <w:r>
        <w:rPr/>
        <w:t>支付对国际市场重点国家、地域进行合理化布局，并通过连续多年积极参加国际大型展会，充分展示产品实力和企业形象， </w:t>
      </w:r>
      <w:r>
        <w:rPr>
          <w:spacing w:val="4"/>
        </w:rPr>
        <w:t>获得了较好的传播效果和知名度，国际业务快速成长。报告期内，新国都支付参加了阿联酋智能卡、支付与零售展览会</w:t>
      </w:r>
    </w:p>
    <w:p>
      <w:pPr>
        <w:pStyle w:val="BodyText"/>
        <w:spacing w:line="240" w:lineRule="auto" w:before="62"/>
        <w:ind w:right="1033"/>
        <w:jc w:val="left"/>
      </w:pPr>
      <w:r>
        <w:rPr>
          <w:rFonts w:ascii="Times New Roman" w:hAnsi="Times New Roman" w:cs="Times New Roman" w:eastAsia="Times New Roman" w:hint="default"/>
        </w:rPr>
        <w:t>——</w:t>
      </w:r>
      <w:r>
        <w:rPr>
          <w:rFonts w:ascii="Times New Roman" w:hAnsi="Times New Roman" w:cs="Times New Roman" w:eastAsia="Times New Roman" w:hint="default"/>
        </w:rPr>
        <w:t>Seamless</w:t>
      </w:r>
      <w:r>
        <w:rPr>
          <w:rFonts w:ascii="Times New Roman" w:hAnsi="Times New Roman" w:cs="Times New Roman" w:eastAsia="Times New Roman" w:hint="default"/>
          <w:spacing w:val="40"/>
        </w:rPr>
        <w:t> </w:t>
      </w:r>
      <w:r>
        <w:rPr>
          <w:rFonts w:ascii="Times New Roman" w:hAnsi="Times New Roman" w:cs="Times New Roman" w:eastAsia="Times New Roman" w:hint="default"/>
        </w:rPr>
        <w:t>Middle</w:t>
      </w:r>
      <w:r>
        <w:rPr>
          <w:rFonts w:ascii="Times New Roman" w:hAnsi="Times New Roman" w:cs="Times New Roman" w:eastAsia="Times New Roman" w:hint="default"/>
          <w:spacing w:val="40"/>
        </w:rPr>
        <w:t> </w:t>
      </w:r>
      <w:r>
        <w:rPr>
          <w:rFonts w:ascii="Times New Roman" w:hAnsi="Times New Roman" w:cs="Times New Roman" w:eastAsia="Times New Roman" w:hint="default"/>
        </w:rPr>
        <w:t>East</w:t>
      </w:r>
      <w:r>
        <w:rPr>
          <w:rFonts w:ascii="Times New Roman" w:hAnsi="Times New Roman" w:cs="Times New Roman" w:eastAsia="Times New Roman" w:hint="default"/>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6"/>
        </w:rPr>
        <w:t> </w:t>
      </w:r>
      <w:r>
        <w:rPr>
          <w:spacing w:val="10"/>
        </w:rPr>
        <w:t>展会、</w:t>
      </w:r>
      <w:r>
        <w:rPr>
          <w:spacing w:val="-74"/>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38"/>
        </w:rPr>
        <w:t> </w:t>
      </w:r>
      <w:r>
        <w:rPr>
          <w:rFonts w:ascii="Times New Roman" w:hAnsi="Times New Roman" w:cs="Times New Roman" w:eastAsia="Times New Roman" w:hint="default"/>
        </w:rPr>
        <w:t>PayExpo</w:t>
      </w:r>
      <w:r>
        <w:rPr>
          <w:rFonts w:ascii="Times New Roman" w:hAnsi="Times New Roman" w:cs="Times New Roman" w:eastAsia="Times New Roman" w:hint="default"/>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9"/>
        </w:rPr>
        <w:t> </w:t>
      </w:r>
      <w:r>
        <w:rPr>
          <w:spacing w:val="15"/>
        </w:rPr>
        <w:t>年尼日利亚支付展览会以及新加坡智能支付</w:t>
      </w:r>
      <w:r>
        <w:rPr>
          <w:rFonts w:ascii="Times New Roman" w:hAnsi="Times New Roman" w:cs="Times New Roman" w:eastAsia="Times New Roman" w:hint="default"/>
          <w:spacing w:val="15"/>
        </w:rPr>
        <w:t>&amp;</w:t>
      </w:r>
      <w:r>
        <w:rPr>
          <w:rFonts w:ascii="Times New Roman" w:hAnsi="Times New Roman" w:cs="Times New Roman" w:eastAsia="Times New Roman" w:hint="default"/>
          <w:spacing w:val="-30"/>
        </w:rPr>
        <w:t> </w:t>
      </w:r>
      <w:r>
        <w:rPr>
          <w:spacing w:val="12"/>
        </w:rPr>
        <w:t>零售展览会</w:t>
      </w:r>
    </w:p>
    <w:p>
      <w:pPr>
        <w:spacing w:line="240" w:lineRule="auto" w:before="9"/>
        <w:rPr>
          <w:rFonts w:ascii="宋体" w:hAnsi="宋体" w:cs="宋体" w:eastAsia="宋体" w:hint="default"/>
          <w:sz w:val="16"/>
          <w:szCs w:val="16"/>
        </w:rPr>
      </w:pPr>
    </w:p>
    <w:p>
      <w:pPr>
        <w:pStyle w:val="BodyText"/>
        <w:spacing w:line="451" w:lineRule="auto"/>
        <w:ind w:right="1033"/>
        <w:jc w:val="left"/>
      </w:pPr>
      <w:r>
        <w:rPr>
          <w:rFonts w:ascii="Times New Roman" w:hAnsi="Times New Roman" w:cs="Times New Roman" w:eastAsia="Times New Roman" w:hint="default"/>
        </w:rPr>
        <w:t>——</w:t>
      </w:r>
      <w:r>
        <w:rPr>
          <w:rFonts w:ascii="Times New Roman" w:hAnsi="Times New Roman" w:cs="Times New Roman" w:eastAsia="Times New Roman" w:hint="default"/>
        </w:rPr>
        <w:t>Seamless Asia</w:t>
      </w:r>
      <w:r>
        <w:rPr>
          <w:rFonts w:ascii="Times New Roman" w:hAnsi="Times New Roman" w:cs="Times New Roman" w:eastAsia="Times New Roman" w:hint="default"/>
          <w:spacing w:val="35"/>
        </w:rPr>
        <w:t> </w:t>
      </w:r>
      <w:r>
        <w:rPr>
          <w:rFonts w:ascii="Times New Roman" w:hAnsi="Times New Roman" w:cs="Times New Roman" w:eastAsia="Times New Roman" w:hint="default"/>
        </w:rPr>
        <w:t>2019</w:t>
      </w:r>
      <w:r>
        <w:rPr/>
        <w:t>。截止至本报告期，公司国际业务已实现销售国家</w:t>
      </w:r>
      <w:r>
        <w:rPr>
          <w:rFonts w:ascii="Times New Roman" w:hAnsi="Times New Roman" w:cs="Times New Roman" w:eastAsia="Times New Roman" w:hint="default"/>
        </w:rPr>
        <w:t>46</w:t>
      </w:r>
      <w:r>
        <w:rPr/>
        <w:t>个。国际业务仍然保持了较好的毛利率水平， 整体收入增长</w:t>
      </w:r>
      <w:r>
        <w:rPr>
          <w:rFonts w:ascii="Times New Roman" w:hAnsi="Times New Roman" w:cs="Times New Roman" w:eastAsia="Times New Roman" w:hint="default"/>
        </w:rPr>
        <w:t>60.82%</w:t>
      </w:r>
      <w:r>
        <w:rPr/>
        <w:t>。</w:t>
      </w:r>
    </w:p>
    <w:p>
      <w:pPr>
        <w:pStyle w:val="BodyText"/>
        <w:spacing w:line="451" w:lineRule="auto" w:before="43"/>
        <w:ind w:left="573" w:right="1033" w:hanging="420"/>
        <w:jc w:val="left"/>
      </w:pPr>
      <w:r>
        <w:rPr/>
        <w:t>（</w:t>
      </w:r>
      <w:r>
        <w:rPr>
          <w:rFonts w:ascii="Times New Roman" w:hAnsi="Times New Roman" w:cs="Times New Roman" w:eastAsia="Times New Roman" w:hint="default"/>
        </w:rPr>
        <w:t>2</w:t>
      </w:r>
      <w:r>
        <w:rPr/>
        <w:t>）生物识别产品 随着互联网移动及</w:t>
      </w:r>
      <w:r>
        <w:rPr>
          <w:rFonts w:ascii="Times New Roman" w:hAnsi="Times New Roman" w:cs="Times New Roman" w:eastAsia="Times New Roman" w:hint="default"/>
        </w:rPr>
        <w:t>AI</w:t>
      </w:r>
      <w:r>
        <w:rPr/>
        <w:t>、生物识别等高新技术在金融领域的应用，</w:t>
      </w:r>
      <w:r>
        <w:rPr>
          <w:rFonts w:ascii="Times New Roman" w:hAnsi="Times New Roman" w:cs="Times New Roman" w:eastAsia="Times New Roman" w:hint="default"/>
        </w:rPr>
        <w:t>“</w:t>
      </w:r>
      <w:r>
        <w:rPr/>
        <w:t>无钱包、无纸币、无证件</w:t>
      </w:r>
      <w:r>
        <w:rPr>
          <w:rFonts w:ascii="Times New Roman" w:hAnsi="Times New Roman" w:cs="Times New Roman" w:eastAsia="Times New Roman" w:hint="default"/>
        </w:rPr>
        <w:t>”</w:t>
      </w:r>
      <w:r>
        <w:rPr/>
        <w:t>的时代到来。据中国支付</w:t>
      </w:r>
    </w:p>
    <w:p>
      <w:pPr>
        <w:pStyle w:val="BodyText"/>
        <w:spacing w:line="458" w:lineRule="auto" w:before="43"/>
        <w:ind w:right="1124"/>
        <w:jc w:val="both"/>
      </w:pPr>
      <w:r>
        <w:rPr/>
        <w:t>清算协会《</w:t>
      </w:r>
      <w:r>
        <w:rPr>
          <w:rFonts w:ascii="Times New Roman" w:hAnsi="Times New Roman" w:cs="Times New Roman" w:eastAsia="Times New Roman" w:hint="default"/>
        </w:rPr>
        <w:t>2019</w:t>
      </w:r>
      <w:r>
        <w:rPr/>
        <w:t>年移动支付用户调研报告》显示，</w:t>
      </w:r>
      <w:r>
        <w:rPr>
          <w:rFonts w:ascii="Times New Roman" w:hAnsi="Times New Roman" w:cs="Times New Roman" w:eastAsia="Times New Roman" w:hint="default"/>
        </w:rPr>
        <w:t>2019</w:t>
      </w:r>
      <w:r>
        <w:rPr/>
        <w:t>年，指纹识别是用户了解最多的生物识别技术，占比为</w:t>
      </w:r>
      <w:r>
        <w:rPr>
          <w:rFonts w:ascii="Times New Roman" w:hAnsi="Times New Roman" w:cs="Times New Roman" w:eastAsia="Times New Roman" w:hint="default"/>
        </w:rPr>
        <w:t>91.4%</w:t>
      </w:r>
      <w:r>
        <w:rPr/>
        <w:t>；对人 脸识别技术的了解程度排名第二，占比为</w:t>
      </w:r>
      <w:r>
        <w:rPr>
          <w:rFonts w:ascii="Times New Roman" w:hAnsi="Times New Roman" w:cs="Times New Roman" w:eastAsia="Times New Roman" w:hint="default"/>
        </w:rPr>
        <w:t>88.8%</w:t>
      </w:r>
      <w:r>
        <w:rPr/>
        <w:t>。与</w:t>
      </w:r>
      <w:r>
        <w:rPr>
          <w:rFonts w:ascii="Times New Roman" w:hAnsi="Times New Roman" w:cs="Times New Roman" w:eastAsia="Times New Roman" w:hint="default"/>
        </w:rPr>
        <w:t>2018</w:t>
      </w:r>
      <w:r>
        <w:rPr/>
        <w:t>年相比，了解人脸识别技术的移动支付用户增长了近十个百分点， </w:t>
      </w:r>
      <w:r>
        <w:rPr>
          <w:spacing w:val="-2"/>
        </w:rPr>
        <w:t>与指纹识别技术的了解程度持平，得益于该项技术在支付交易、用户身份验证方面的广泛探索试用，虹膜、声波和静脉识别</w:t>
      </w:r>
      <w:r>
        <w:rPr>
          <w:spacing w:val="-64"/>
        </w:rPr>
        <w:t> </w:t>
      </w:r>
      <w:r>
        <w:rPr>
          <w:spacing w:val="-64"/>
        </w:rPr>
      </w:r>
      <w:r>
        <w:rPr>
          <w:spacing w:val="-2"/>
        </w:rPr>
        <w:t>技术有待进一步应用推广。</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月，人脸识别技术国家标准工作组正式成立，人脸识别国家标准制定工作全面启动，人</w:t>
      </w:r>
      <w:r>
        <w:rPr>
          <w:spacing w:val="-59"/>
        </w:rPr>
        <w:t> </w:t>
      </w:r>
      <w:r>
        <w:rPr>
          <w:spacing w:val="-59"/>
        </w:rPr>
      </w:r>
      <w:r>
        <w:rPr>
          <w:spacing w:val="-2"/>
        </w:rPr>
        <w:t>脸识别行业进一步规范化。当前人脸识别应用正在加速普及，在各个领域的应用不断拓展，行业呈现出新的发展趋势。从我</w:t>
      </w:r>
      <w:r>
        <w:rPr>
          <w:spacing w:val="-64"/>
        </w:rPr>
        <w:t> </w:t>
      </w:r>
      <w:r>
        <w:rPr>
          <w:spacing w:val="-64"/>
        </w:rPr>
      </w:r>
      <w:r>
        <w:rPr>
          <w:spacing w:val="-2"/>
        </w:rPr>
        <w:t>国人脸识别技术的应用来看，主要集中在金融、安防以及考勤</w:t>
      </w:r>
      <w:r>
        <w:rPr>
          <w:rFonts w:ascii="宋体" w:hAnsi="宋体" w:cs="宋体" w:eastAsia="宋体" w:hint="default"/>
          <w:spacing w:val="-2"/>
        </w:rPr>
        <w:t>/</w:t>
      </w:r>
      <w:r>
        <w:rPr>
          <w:spacing w:val="-2"/>
        </w:rPr>
        <w:t>门禁三大领域，市场占比分别为</w:t>
      </w:r>
      <w:r>
        <w:rPr>
          <w:rFonts w:ascii="Times New Roman" w:hAnsi="Times New Roman" w:cs="Times New Roman" w:eastAsia="Times New Roman" w:hint="default"/>
          <w:spacing w:val="-2"/>
        </w:rPr>
        <w:t>20%</w:t>
      </w:r>
      <w:r>
        <w:rPr>
          <w:spacing w:val="-2"/>
        </w:rPr>
        <w:t>、</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42%</w:t>
      </w:r>
      <w:r>
        <w:rPr>
          <w:spacing w:val="-2"/>
        </w:rPr>
        <w:t>。此外，我</w:t>
      </w:r>
      <w:r>
        <w:rPr>
          <w:spacing w:val="-63"/>
        </w:rPr>
        <w:t> </w:t>
      </w:r>
      <w:r>
        <w:rPr>
          <w:spacing w:val="-63"/>
        </w:rPr>
      </w:r>
      <w:r>
        <w:rPr/>
        <w:t>国人脸识别技术在教育、物流、航空、医疗等领域也有应用。</w:t>
      </w:r>
    </w:p>
    <w:p>
      <w:pPr>
        <w:pStyle w:val="BodyText"/>
        <w:spacing w:line="463" w:lineRule="auto" w:before="68"/>
        <w:ind w:right="1131" w:firstLine="420"/>
        <w:jc w:val="both"/>
      </w:pPr>
      <w:r>
        <w:rPr>
          <w:spacing w:val="-3"/>
        </w:rPr>
        <w:t>生物识别技术作为移动支付身份识别和交易验证的手段已经过多年使用，在移动支付用户中的接受程度趋于稳定。</w:t>
      </w:r>
      <w:r>
        <w:rPr>
          <w:rFonts w:ascii="Times New Roman" w:hAnsi="Times New Roman" w:cs="Times New Roman" w:eastAsia="Times New Roman" w:hint="default"/>
          <w:spacing w:val="-3"/>
        </w:rPr>
        <w:t>2019</w:t>
      </w:r>
      <w:r>
        <w:rPr>
          <w:rFonts w:ascii="Times New Roman" w:hAnsi="Times New Roman" w:cs="Times New Roman" w:eastAsia="Times New Roman" w:hint="default"/>
        </w:rPr>
        <w:t> </w:t>
      </w:r>
      <w:r>
        <w:rPr>
          <w:spacing w:val="-2"/>
        </w:rPr>
        <w:t>年，新国都支付研发的支付类终端符合中国人民银行刷脸支付安全标准并通过银联终端安全认证；中正智能在人脸识别技术</w:t>
      </w:r>
      <w:r>
        <w:rPr>
          <w:spacing w:val="-63"/>
        </w:rPr>
        <w:t> </w:t>
      </w:r>
      <w:r>
        <w:rPr>
          <w:spacing w:val="-63"/>
        </w:rPr>
      </w:r>
      <w:r>
        <w:rPr>
          <w:spacing w:val="-2"/>
        </w:rPr>
        <w:t>得到一定突破，技术已经达到国内先进水平，并在人证核验上应用，在金融机构、卫生系统、房产登记、酒店前台等行业中</w:t>
      </w:r>
      <w:r>
        <w:rPr>
          <w:spacing w:val="-68"/>
        </w:rPr>
        <w:t> </w:t>
      </w:r>
      <w:r>
        <w:rPr>
          <w:spacing w:val="-68"/>
        </w:rPr>
      </w:r>
      <w:r>
        <w:rPr/>
        <w:t>实现应用，支持活体检测，精准人脸识别。而中正智能采用的</w:t>
      </w:r>
      <w:r>
        <w:rPr>
          <w:rFonts w:ascii="Times New Roman" w:hAnsi="Times New Roman" w:cs="Times New Roman" w:eastAsia="Times New Roman" w:hint="default"/>
        </w:rPr>
        <w:t>NB-IoT</w:t>
      </w:r>
      <w:r>
        <w:rPr/>
        <w:t>、二代证指纹算法的新一代智能联网锁研发成功并得</w:t>
      </w:r>
      <w:r>
        <w:rPr>
          <w:spacing w:val="-34"/>
        </w:rPr>
        <w:t> </w:t>
      </w:r>
      <w:r>
        <w:rPr>
          <w:spacing w:val="-34"/>
        </w:rPr>
      </w:r>
      <w:r>
        <w:rPr>
          <w:spacing w:val="-2"/>
        </w:rPr>
        <w:t>以应用，取得新一代智能联网锁的技术优势，为后续公租房、廉租房、出租房等智能锁应用奠定基础。同时，中正智能积极</w:t>
      </w:r>
    </w:p>
    <w:p>
      <w:pPr>
        <w:spacing w:after="0" w:line="463"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033"/>
        <w:jc w:val="left"/>
      </w:pPr>
      <w:r>
        <w:rPr>
          <w:spacing w:val="-2"/>
        </w:rPr>
        <w:t>推广及落实银行指纹设备向公安部指纹标准过渡，现有柜员指纹仪和自助设备指纹需更新换代，为金融指纹应用的第二阶段</w:t>
      </w:r>
      <w:r>
        <w:rPr>
          <w:spacing w:val="-64"/>
        </w:rPr>
        <w:t> </w:t>
      </w:r>
      <w:r>
        <w:rPr>
          <w:spacing w:val="-64"/>
        </w:rPr>
      </w:r>
      <w:r>
        <w:rPr/>
        <w:t>奠定基础。</w:t>
      </w:r>
    </w:p>
    <w:p>
      <w:pPr>
        <w:pStyle w:val="BodyText"/>
        <w:spacing w:line="240" w:lineRule="auto" w:before="54"/>
        <w:ind w:right="1033"/>
        <w:jc w:val="left"/>
      </w:pPr>
      <w:r>
        <w:rPr>
          <w:rFonts w:ascii="Times New Roman" w:hAnsi="Times New Roman" w:cs="Times New Roman" w:eastAsia="Times New Roman" w:hint="default"/>
        </w:rPr>
        <w:t>3</w:t>
      </w:r>
      <w:r>
        <w:rPr/>
        <w:t>、数据服务业务</w:t>
      </w:r>
    </w:p>
    <w:p>
      <w:pPr>
        <w:spacing w:line="240" w:lineRule="auto" w:before="9"/>
        <w:rPr>
          <w:rFonts w:ascii="宋体" w:hAnsi="宋体" w:cs="宋体" w:eastAsia="宋体" w:hint="default"/>
          <w:sz w:val="16"/>
          <w:szCs w:val="16"/>
        </w:rPr>
      </w:pPr>
    </w:p>
    <w:p>
      <w:pPr>
        <w:pStyle w:val="BodyText"/>
        <w:spacing w:line="468" w:lineRule="auto"/>
        <w:ind w:right="1128" w:firstLine="420"/>
        <w:jc w:val="both"/>
      </w:pPr>
      <w:r>
        <w:rPr/>
        <w:t>数字化时代背景下，大数据、人工智能、云计算日渐兴起，应用大数据进行勾画目标用户、联系用户诉求、行业数据 分析以及风险防控已成为当下时代发展的主流，也是建设信息化、科技化社会的必然要求。在金融科技领域，应用大数据</w:t>
      </w:r>
      <w:r>
        <w:rPr>
          <w:rFonts w:ascii="Times New Roman" w:hAnsi="Times New Roman" w:cs="Times New Roman" w:eastAsia="Times New Roman" w:hint="default"/>
        </w:rPr>
        <w:t>+ </w:t>
      </w:r>
      <w:r>
        <w:rPr>
          <w:spacing w:val="-2"/>
        </w:rPr>
        <w:t>人工智能技术构建用户画像、预测用户行为，并据此防控风险、优化业务模式，已成为各大金融机构及其他商业主体顺应时</w:t>
      </w:r>
      <w:r>
        <w:rPr>
          <w:spacing w:val="-62"/>
        </w:rPr>
        <w:t> </w:t>
      </w:r>
      <w:r>
        <w:rPr>
          <w:spacing w:val="-62"/>
        </w:rPr>
      </w:r>
      <w:r>
        <w:rPr/>
        <w:t>代发展、增加竞争优势的必经之路。</w:t>
      </w:r>
    </w:p>
    <w:p>
      <w:pPr>
        <w:pStyle w:val="BodyText"/>
        <w:spacing w:line="468" w:lineRule="auto" w:before="62"/>
        <w:ind w:right="1033" w:firstLine="420"/>
        <w:jc w:val="left"/>
      </w:pPr>
      <w:r>
        <w:rPr/>
        <w:t>随着数据审核认证技术的发展，公信诚丰逐步升级数据处理技术，逐步完善了审核认证体系的建设。公信诚丰借助大 </w:t>
      </w:r>
      <w:r>
        <w:rPr>
          <w:spacing w:val="-2"/>
        </w:rPr>
        <w:t>数据分析、人工智能等前沿技术不断实现多元化服务，同时通过软件集成和软件开发的技术，结合审核认证的能力，不断创</w:t>
      </w:r>
      <w:r>
        <w:rPr>
          <w:spacing w:val="-62"/>
        </w:rPr>
        <w:t> </w:t>
      </w:r>
      <w:r>
        <w:rPr>
          <w:spacing w:val="-62"/>
        </w:rPr>
      </w:r>
      <w:r>
        <w:rPr>
          <w:spacing w:val="-2"/>
        </w:rPr>
        <w:t>新产品和服务以满足市场需求。</w:t>
      </w:r>
      <w:r>
        <w:rPr>
          <w:rFonts w:ascii="Times New Roman" w:hAnsi="Times New Roman" w:cs="Times New Roman" w:eastAsia="Times New Roman" w:hint="default"/>
          <w:spacing w:val="-2"/>
        </w:rPr>
        <w:t>2019</w:t>
      </w:r>
      <w:r>
        <w:rPr>
          <w:spacing w:val="-2"/>
        </w:rPr>
        <w:t>年，公信诚丰专注于审核认证服务和数据审核技术开发，进一步围绕主要客户展开多方</w:t>
      </w:r>
      <w:r>
        <w:rPr>
          <w:spacing w:val="-63"/>
        </w:rPr>
        <w:t> </w:t>
      </w:r>
      <w:r>
        <w:rPr>
          <w:spacing w:val="-63"/>
        </w:rPr>
      </w:r>
      <w:r>
        <w:rPr>
          <w:spacing w:val="-2"/>
        </w:rPr>
        <w:t>位综合数据服务，发挥核心竞争力整体优势，启动多元化认证审核模式。同时，公信诚丰积极推动业务创新，布局未来，组</w:t>
      </w:r>
      <w:r>
        <w:rPr>
          <w:spacing w:val="-70"/>
        </w:rPr>
        <w:t> </w:t>
      </w:r>
      <w:r>
        <w:rPr>
          <w:spacing w:val="-70"/>
        </w:rPr>
      </w:r>
      <w:r>
        <w:rPr>
          <w:spacing w:val="-2"/>
        </w:rPr>
        <w:t>建创新业务团队，并继续拓展到更多审核领域，加强布局互联网公司招投标项目。</w:t>
      </w:r>
      <w:r>
        <w:rPr>
          <w:rFonts w:ascii="Times New Roman" w:hAnsi="Times New Roman" w:cs="Times New Roman" w:eastAsia="Times New Roman" w:hint="default"/>
          <w:spacing w:val="-2"/>
        </w:rPr>
        <w:t>2019</w:t>
      </w:r>
      <w:r>
        <w:rPr>
          <w:spacing w:val="-2"/>
        </w:rPr>
        <w:t>年，在营销审核方面，完成开展微博</w:t>
      </w:r>
      <w:r>
        <w:rPr>
          <w:spacing w:val="-64"/>
        </w:rPr>
        <w:t> </w:t>
      </w:r>
      <w:r>
        <w:rPr>
          <w:spacing w:val="-64"/>
        </w:rPr>
      </w:r>
      <w:r>
        <w:rPr/>
        <w:t>认证审核业务、拓展拉新业务，及美团客户资质认证及数据标注业务；另外，积极开拓了部分互联网企业的审核领域业务；</w:t>
      </w:r>
      <w:r>
        <w:rPr/>
        <w:t> 软件集成开发项目成功落地，打造惠民供销</w:t>
      </w:r>
      <w:r>
        <w:rPr>
          <w:rFonts w:ascii="Times New Roman" w:hAnsi="Times New Roman" w:cs="Times New Roman" w:eastAsia="Times New Roman" w:hint="default"/>
        </w:rPr>
        <w:t>“</w:t>
      </w:r>
      <w:r>
        <w:rPr/>
        <w:t>智慧农村</w:t>
      </w:r>
      <w:r>
        <w:rPr>
          <w:rFonts w:ascii="Times New Roman" w:hAnsi="Times New Roman" w:cs="Times New Roman" w:eastAsia="Times New Roman" w:hint="default"/>
        </w:rPr>
        <w:t>”</w:t>
      </w:r>
      <w:r>
        <w:rPr/>
        <w:t>产品，逐步开展运营服务。</w:t>
      </w:r>
    </w:p>
    <w:p>
      <w:pPr>
        <w:pStyle w:val="BodyText"/>
        <w:spacing w:line="468" w:lineRule="auto" w:before="29"/>
        <w:ind w:right="1131" w:firstLine="420"/>
        <w:jc w:val="both"/>
      </w:pPr>
      <w:r>
        <w:rPr/>
        <w:t>在</w:t>
      </w:r>
      <w:r>
        <w:rPr>
          <w:rFonts w:ascii="Times New Roman" w:hAnsi="Times New Roman" w:cs="Times New Roman" w:eastAsia="Times New Roman" w:hint="default"/>
        </w:rPr>
        <w:t>2019</w:t>
      </w:r>
      <w:r>
        <w:rPr/>
        <w:t>年第四季度末，公信诚丰虽与其主要客户进行多次沟通，但最终于</w:t>
      </w:r>
      <w:r>
        <w:rPr>
          <w:rFonts w:ascii="Times New Roman" w:hAnsi="Times New Roman" w:cs="Times New Roman" w:eastAsia="Times New Roman" w:hint="default"/>
        </w:rPr>
        <w:t>2019</w:t>
      </w:r>
      <w:r>
        <w:rPr/>
        <w:t>年年末确认没有入围其主要客户新一年 </w:t>
      </w:r>
      <w:r>
        <w:rPr>
          <w:spacing w:val="-2"/>
        </w:rPr>
        <w:t>数据审核业务的主要供应商，管理层认为该事项对公信诚丰未来的审核服务业务收入将产生较大影响。公司管理层全面总结</w:t>
      </w:r>
      <w:r>
        <w:rPr>
          <w:spacing w:val="-64"/>
        </w:rPr>
        <w:t> </w:t>
      </w:r>
      <w:r>
        <w:rPr>
          <w:spacing w:val="-64"/>
        </w:rPr>
      </w:r>
      <w:r>
        <w:rPr>
          <w:spacing w:val="-2"/>
        </w:rPr>
        <w:t>本次经验教训，在未来的业务拓展中力求提供更优质的服务，同时也将注重深度维护现有存量客户、大力拓展潜在客户、积</w:t>
      </w:r>
      <w:r>
        <w:rPr>
          <w:spacing w:val="-64"/>
        </w:rPr>
        <w:t> </w:t>
      </w:r>
      <w:r>
        <w:rPr>
          <w:spacing w:val="-64"/>
        </w:rPr>
      </w:r>
      <w:r>
        <w:rPr/>
        <w:t>极联络暂停业务合作的历史客户，努力提升产品和服务的市场竞争力，进一步赢取订单提升经营业绩。</w:t>
      </w:r>
    </w:p>
    <w:p>
      <w:pPr>
        <w:pStyle w:val="Heading7"/>
        <w:spacing w:line="240" w:lineRule="auto" w:before="4"/>
        <w:ind w:right="1033"/>
        <w:jc w:val="left"/>
        <w:rPr>
          <w:b w:val="0"/>
          <w:bCs w:val="0"/>
        </w:rPr>
      </w:pPr>
      <w:r>
        <w:rPr/>
        <w:t>（二）公司资本市场活动情况</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BodyText"/>
        <w:spacing w:line="458" w:lineRule="auto"/>
        <w:ind w:right="1033"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日，公司召开第四届董事会第三十五次会议审议通过了《关于公司非公开发行公司债券方案的议案》 </w:t>
      </w:r>
      <w:r>
        <w:rPr>
          <w:spacing w:val="-2"/>
        </w:rPr>
        <w:t>相关事项。为进一步拓宽公司融资渠道、满足公司资金需求、合理规划资本结构提升流动性，公司根据有关法律、法规的规</w:t>
      </w:r>
      <w:r>
        <w:rPr>
          <w:spacing w:val="-67"/>
        </w:rPr>
        <w:t> </w:t>
      </w:r>
      <w:r>
        <w:rPr>
          <w:spacing w:val="-67"/>
        </w:rPr>
      </w:r>
      <w:r>
        <w:rPr>
          <w:spacing w:val="-2"/>
        </w:rPr>
        <w:t>定，并结合目前债券市场的分析、与潜在投资者初步沟通结果，比较和公司的资金需求情况，公司向深圳证券交易所申请非</w:t>
      </w:r>
      <w:r>
        <w:rPr>
          <w:spacing w:val="-64"/>
        </w:rPr>
        <w:t> </w:t>
      </w:r>
      <w:r>
        <w:rPr>
          <w:spacing w:val="-64"/>
        </w:rPr>
      </w:r>
      <w:r>
        <w:rPr/>
        <w:t>公开发行面值总额不超过人民币</w:t>
      </w:r>
      <w:r>
        <w:rPr>
          <w:rFonts w:ascii="Times New Roman" w:hAnsi="Times New Roman" w:cs="Times New Roman" w:eastAsia="Times New Roman" w:hint="default"/>
        </w:rPr>
        <w:t>3</w:t>
      </w:r>
      <w:r>
        <w:rPr/>
        <w:t>亿元的公司债券。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日，公司收到深圳证券交易所出具的《关于深圳市新国都</w:t>
      </w:r>
      <w:r>
        <w:rPr>
          <w:spacing w:val="-86"/>
        </w:rPr>
        <w:t> </w:t>
      </w:r>
      <w:r>
        <w:rPr>
          <w:spacing w:val="-86"/>
        </w:rPr>
      </w:r>
      <w:r>
        <w:rPr/>
        <w:t>股份有限公司</w:t>
      </w:r>
      <w:r>
        <w:rPr>
          <w:rFonts w:ascii="Times New Roman" w:hAnsi="Times New Roman" w:cs="Times New Roman" w:eastAsia="Times New Roman" w:hint="default"/>
        </w:rPr>
        <w:t>2019</w:t>
      </w:r>
      <w:r>
        <w:rPr/>
        <w:t>年非公开发行创新创业公司债券符合深交所转让条件的无异议函》（深证函</w:t>
      </w:r>
      <w:r>
        <w:rPr>
          <w:rFonts w:ascii="Times New Roman" w:hAnsi="Times New Roman" w:cs="Times New Roman" w:eastAsia="Times New Roman" w:hint="default"/>
        </w:rPr>
        <w:t>[2019]752</w:t>
      </w:r>
      <w:r>
        <w:rPr/>
        <w:t>号）。</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spacing w:val="-37"/>
        </w:rPr>
        <w:t> </w:t>
      </w:r>
      <w:r>
        <w:rPr>
          <w:rFonts w:ascii="Times New Roman" w:hAnsi="Times New Roman" w:cs="Times New Roman" w:eastAsia="Times New Roman" w:hint="default"/>
          <w:spacing w:val="-6"/>
        </w:rPr>
        <w:t>27</w:t>
      </w:r>
      <w:r>
        <w:rPr>
          <w:spacing w:val="-6"/>
        </w:rPr>
        <w:t>日，公司完成了深圳市新国都股份有限公司</w:t>
      </w:r>
      <w:r>
        <w:rPr>
          <w:rFonts w:ascii="Times New Roman" w:hAnsi="Times New Roman" w:cs="Times New Roman" w:eastAsia="Times New Roman" w:hint="default"/>
          <w:spacing w:val="-6"/>
        </w:rPr>
        <w:t>2019</w:t>
      </w:r>
      <w:r>
        <w:rPr>
          <w:spacing w:val="-6"/>
        </w:rPr>
        <w:t>年非公开发行创新创业公司债券（债券简称及债券代码：</w:t>
      </w:r>
      <w:r>
        <w:rPr>
          <w:rFonts w:ascii="Times New Roman" w:hAnsi="Times New Roman" w:cs="Times New Roman" w:eastAsia="Times New Roman" w:hint="default"/>
          <w:spacing w:val="-6"/>
        </w:rPr>
        <w:t>19</w:t>
      </w:r>
      <w:r>
        <w:rPr>
          <w:spacing w:val="-6"/>
        </w:rPr>
        <w:t>新国都，</w:t>
      </w:r>
      <w:r>
        <w:rPr>
          <w:rFonts w:ascii="Times New Roman" w:hAnsi="Times New Roman" w:cs="Times New Roman" w:eastAsia="Times New Roman" w:hint="default"/>
          <w:spacing w:val="-6"/>
        </w:rPr>
        <w:t>114645</w:t>
      </w:r>
      <w:r>
        <w:rPr>
          <w:spacing w:val="-6"/>
        </w:rPr>
        <w:t>）</w:t>
      </w:r>
      <w:r>
        <w:rPr>
          <w:spacing w:val="-68"/>
        </w:rPr>
        <w:t> </w:t>
      </w:r>
      <w:r>
        <w:rPr/>
        <w:t>的发行，发行规模：</w:t>
      </w:r>
      <w:r>
        <w:rPr>
          <w:rFonts w:ascii="Times New Roman" w:hAnsi="Times New Roman" w:cs="Times New Roman" w:eastAsia="Times New Roman" w:hint="default"/>
        </w:rPr>
        <w:t>3</w:t>
      </w:r>
      <w:r>
        <w:rPr/>
        <w:t>亿元，票面利率：</w:t>
      </w:r>
      <w:r>
        <w:rPr>
          <w:rFonts w:ascii="Times New Roman" w:hAnsi="Times New Roman" w:cs="Times New Roman" w:eastAsia="Times New Roman" w:hint="default"/>
        </w:rPr>
        <w:t>5.00%</w:t>
      </w:r>
      <w:r>
        <w:rPr/>
        <w:t>，债券期限：三年。</w:t>
      </w:r>
    </w:p>
    <w:p>
      <w:pPr>
        <w:pStyle w:val="BodyText"/>
        <w:spacing w:line="458" w:lineRule="auto" w:before="38"/>
        <w:ind w:right="1128" w:firstLine="420"/>
        <w:jc w:val="both"/>
      </w:pPr>
      <w:r>
        <w:rPr>
          <w:rFonts w:ascii="Times New Roman" w:hAnsi="Times New Roman" w:cs="Times New Roman" w:eastAsia="Times New Roman" w:hint="default"/>
          <w:spacing w:val="-2"/>
        </w:rPr>
        <w:t>2</w:t>
      </w:r>
      <w:r>
        <w:rPr>
          <w:spacing w:val="-2"/>
        </w:rPr>
        <w:t>、公司持续以电子支付为聚焦点，布局融合生物识别、大数据、人工智能等前沿技术，在以增强自身电子支付主营业</w:t>
      </w:r>
      <w:r>
        <w:rPr/>
        <w:t> </w:t>
      </w:r>
      <w:r>
        <w:rPr>
          <w:spacing w:val="-2"/>
        </w:rPr>
        <w:t>务以及抓住支付市场发展新机遇的基础上，衍生发展前沿技术叠加支付的新业务，以增加公司未来盈利点，提升公司的持续</w:t>
      </w:r>
      <w:r>
        <w:rPr>
          <w:spacing w:val="-63"/>
        </w:rPr>
        <w:t> </w:t>
      </w:r>
      <w:r>
        <w:rPr>
          <w:spacing w:val="-63"/>
        </w:rPr>
      </w:r>
      <w:r>
        <w:rPr/>
        <w:t>盈利能力。基于以上战略背景，</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日，公司与江汉先生、宁波梅山保税港区雄腾煜富投资中心（有限合伙）（以</w:t>
      </w:r>
      <w:r>
        <w:rPr>
          <w:spacing w:val="-84"/>
        </w:rPr>
        <w:t> </w:t>
      </w:r>
      <w:r>
        <w:rPr>
          <w:spacing w:val="-84"/>
        </w:rPr>
      </w:r>
      <w:r>
        <w:rPr>
          <w:spacing w:val="-2"/>
        </w:rPr>
        <w:t>下简称“雄腾煜富”）及深圳市信链投资咨询合伙企业（有限合伙）（以下简称“信链投资”）签署《关于深圳市新国都金</w:t>
      </w:r>
    </w:p>
    <w:p>
      <w:pPr>
        <w:spacing w:after="0" w:line="45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8" w:lineRule="auto"/>
        <w:ind w:right="1129"/>
        <w:jc w:val="both"/>
      </w:pPr>
      <w:r>
        <w:rPr/>
        <w:t>服技术有限公司之股权转让协议》，公司拟分别向江汉先生、雄腾煜富及信链投资转让金服技术</w:t>
      </w:r>
      <w:r>
        <w:rPr>
          <w:rFonts w:ascii="Times New Roman" w:hAnsi="Times New Roman" w:cs="Times New Roman" w:eastAsia="Times New Roman" w:hint="default"/>
        </w:rPr>
        <w:t>31%</w:t>
      </w:r>
      <w:r>
        <w:rPr/>
        <w:t>、</w:t>
      </w:r>
      <w:r>
        <w:rPr>
          <w:rFonts w:ascii="Times New Roman" w:hAnsi="Times New Roman" w:cs="Times New Roman" w:eastAsia="Times New Roman" w:hint="default"/>
        </w:rPr>
        <w:t>20%</w:t>
      </w:r>
      <w:r>
        <w:rPr/>
        <w:t>及</w:t>
      </w:r>
      <w:r>
        <w:rPr>
          <w:rFonts w:ascii="Times New Roman" w:hAnsi="Times New Roman" w:cs="Times New Roman" w:eastAsia="Times New Roman" w:hint="default"/>
        </w:rPr>
        <w:t>21%</w:t>
      </w:r>
      <w:r>
        <w:rPr/>
        <w:t>的股权，</w:t>
      </w:r>
      <w:r>
        <w:rPr>
          <w:spacing w:val="-85"/>
        </w:rPr>
        <w:t> </w:t>
      </w:r>
      <w:r>
        <w:rPr>
          <w:spacing w:val="-1"/>
        </w:rPr>
        <w:t>公司合计共转让金服技术</w:t>
      </w:r>
      <w:r>
        <w:rPr>
          <w:rFonts w:ascii="Times New Roman" w:hAnsi="Times New Roman" w:cs="Times New Roman" w:eastAsia="Times New Roman" w:hint="default"/>
          <w:spacing w:val="-1"/>
        </w:rPr>
        <w:t>72%</w:t>
      </w:r>
      <w:r>
        <w:rPr>
          <w:spacing w:val="-1"/>
        </w:rPr>
        <w:t>股权。本次交易完成后，公司持有金服技术</w:t>
      </w:r>
      <w:r>
        <w:rPr>
          <w:rFonts w:ascii="Times New Roman" w:hAnsi="Times New Roman" w:cs="Times New Roman" w:eastAsia="Times New Roman" w:hint="default"/>
          <w:spacing w:val="-1"/>
        </w:rPr>
        <w:t>28%</w:t>
      </w:r>
      <w:r>
        <w:rPr>
          <w:spacing w:val="-1"/>
        </w:rPr>
        <w:t>的股权。本次交易的实施有助于公司进一步聚</w:t>
      </w:r>
      <w:r>
        <w:rPr>
          <w:spacing w:val="-58"/>
        </w:rPr>
        <w:t> </w:t>
      </w:r>
      <w:r>
        <w:rPr>
          <w:spacing w:val="-58"/>
        </w:rPr>
      </w:r>
      <w:r>
        <w:rPr>
          <w:spacing w:val="-2"/>
        </w:rPr>
        <w:t>焦主业，优化产业结构和资源配置，提升公司核心竞争力；也有助于减轻上市公司的资金投入压力，改善财务状况和盈利能</w:t>
      </w:r>
      <w:r>
        <w:rPr>
          <w:spacing w:val="-64"/>
        </w:rPr>
        <w:t> </w:t>
      </w:r>
      <w:r>
        <w:rPr>
          <w:spacing w:val="-64"/>
        </w:rPr>
      </w:r>
      <w:r>
        <w:rPr/>
        <w:t>力，促进公司健康长远的发展。</w:t>
      </w:r>
    </w:p>
    <w:p>
      <w:pPr>
        <w:pStyle w:val="BodyText"/>
        <w:spacing w:line="460" w:lineRule="auto" w:before="68"/>
        <w:ind w:right="1129" w:firstLine="420"/>
        <w:jc w:val="both"/>
      </w:pPr>
      <w:r>
        <w:rPr>
          <w:rFonts w:ascii="Times New Roman" w:hAnsi="Times New Roman" w:cs="Times New Roman" w:eastAsia="Times New Roman" w:hint="default"/>
          <w:spacing w:val="-2"/>
        </w:rPr>
        <w:t>3</w:t>
      </w:r>
      <w:r>
        <w:rPr>
          <w:spacing w:val="-2"/>
        </w:rPr>
        <w:t>、基于对公司未来发展前景的信心和基本面的判断，为维护广大股东利益，增强投资者信心，同时进一步建立健全公</w:t>
      </w:r>
      <w:r>
        <w:rPr/>
        <w:t> </w:t>
      </w:r>
      <w:r>
        <w:rPr>
          <w:spacing w:val="-2"/>
        </w:rPr>
        <w:t>司的长效激励机制，结合公司经营情况、财务状况以及对未来发展前景，公司发布了回购公司部分社会公众股份的预案，公</w:t>
      </w:r>
      <w:r>
        <w:rPr>
          <w:spacing w:val="-64"/>
        </w:rPr>
        <w:t> </w:t>
      </w:r>
      <w:r>
        <w:rPr>
          <w:spacing w:val="-64"/>
        </w:rPr>
      </w:r>
      <w:r>
        <w:rPr>
          <w:spacing w:val="-1"/>
        </w:rPr>
        <w:t>司本次回购的股份种类为公司已发行的</w:t>
      </w:r>
      <w:r>
        <w:rPr>
          <w:rFonts w:ascii="Times New Roman" w:hAnsi="Times New Roman" w:cs="Times New Roman" w:eastAsia="Times New Roman" w:hint="default"/>
          <w:spacing w:val="-1"/>
        </w:rPr>
        <w:t>A</w:t>
      </w:r>
      <w:r>
        <w:rPr>
          <w:spacing w:val="-1"/>
        </w:rPr>
        <w:t>股社会公众股份，回购股份将用于公司股权激励计划。公司用于回购的资金全部为</w:t>
      </w:r>
      <w:r>
        <w:rPr>
          <w:spacing w:val="-69"/>
        </w:rPr>
        <w:t> </w:t>
      </w:r>
      <w:r>
        <w:rPr>
          <w:spacing w:val="-69"/>
        </w:rPr>
      </w:r>
      <w:r>
        <w:rPr/>
        <w:t>自有资金，回购期为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日，公司共回购股份数量</w:t>
      </w:r>
      <w:r>
        <w:rPr>
          <w:rFonts w:ascii="Times New Roman" w:hAnsi="Times New Roman" w:cs="Times New Roman" w:eastAsia="Times New Roman" w:hint="default"/>
        </w:rPr>
        <w:t>3,526,268</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0"/>
        <w:ind w:right="1033"/>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82" w:lineRule="auto" w:before="0"/>
        <w:ind w:left="153" w:right="64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5"/>
        <w:spacing w:line="332" w:lineRule="exact"/>
        <w:ind w:right="10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t>营业收入整体情况</w:t>
      </w:r>
    </w:p>
    <w:p>
      <w:pPr>
        <w:pStyle w:val="BodyText"/>
        <w:spacing w:line="240" w:lineRule="auto" w:before="117"/>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9"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3,027,887,474.72</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2,319,327,318.57</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0"/>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30.55%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1,161,800,107.86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38.37%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1,009,626,208.32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43.54%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15.07%</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收单业务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1,609,731,610.02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53.16%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1,016,175,479.25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43.81%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58.41%</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征信审核业务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98,521,724.83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130,197,612.39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-24.33%</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服务及其他收入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157,834,032.01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163,328,018.61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电子支付产品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1,045,905,373.92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34.54%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893,728,806.85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38.53%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17.03%</w:t>
            </w:r>
          </w:p>
        </w:tc>
      </w:tr>
      <w:tr>
        <w:trPr>
          <w:trHeight w:val="40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生物识别产品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115,894,733.94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3.83%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spacing w:val="-1"/>
                <w:sz w:val="18"/>
              </w:rPr>
              <w:t>115,897,401.47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5.00%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收单服务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1,609,731,610.02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53.16%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1,016,175,479.25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43.81%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58.41%</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信用审核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98,521,724.83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130,197,612.39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-24.33%</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机租赁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16,864,663.21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7,136,532.02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57,337,953.96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4,555,380.80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1,158.69%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21,825,035.27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37,044,683.80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61,806,379.57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114,591,421.99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-46.06%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2,816,334,481.07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2,187,777,196.49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28.73%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211,552,993.65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131,550,122.08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60.82%</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1,161,800,107.86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745,276,410.94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收单业务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1,609,731,610.02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1,322,663,115.08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86.26%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征信审核业务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98,521,724.83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56,181,708.35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服务及其他收入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157,834,032.01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52,113,715.87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3,027,887,474.72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2,176,234,950.24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37.96%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电子支付产品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1,045,905,373.92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669,059,797.51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生物识别产品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115,894,733.94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76,216,613.43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收单服务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1,609,731,610.02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1,322,663,115.08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86.26%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信用审核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98,521,724.83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56,181,708.35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机租赁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16,864,663.21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11,056,122.70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57,337,953.96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30,368,194.69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1,158.69%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77.73%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21,825,035.27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892,763.82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-86.69%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61,806,379.57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9,796,634.66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-76.02%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3,027,887,474.72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2,176,234,950.24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37.96%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2,816,334,481.07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2,084,919,481.05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211,552,993.65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91,315,469.19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48.45%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3,027,887,474.72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2,176,234,950.24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37.96%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w:t>
            </w:r>
          </w:p>
        </w:tc>
      </w:tr>
    </w:tbl>
    <w:p>
      <w:pPr>
        <w:pStyle w:val="BodyText"/>
        <w:spacing w:line="240" w:lineRule="auto" w:before="49"/>
        <w:ind w:right="1033"/>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5"/>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7,819,185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7,069,439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10.61%</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7,954,635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7,181,602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10.76%</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31.37%</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144.16%</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114.14%</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17.83%</w:t>
            </w:r>
          </w:p>
        </w:tc>
      </w:tr>
    </w:tbl>
    <w:p>
      <w:pPr>
        <w:pStyle w:val="BodyText"/>
        <w:spacing w:line="240" w:lineRule="auto" w:before="49"/>
        <w:ind w:right="10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033"/>
        <w:jc w:val="left"/>
      </w:pPr>
      <w:r>
        <w:rPr>
          <w:rFonts w:ascii="Times New Roman" w:hAnsi="Times New Roman" w:cs="Times New Roman" w:eastAsia="Times New Roman" w:hint="default"/>
        </w:rPr>
        <w:t>1</w:t>
      </w:r>
      <w:r>
        <w:rPr/>
        <w:t>、电子支付库存量变动超过</w:t>
      </w:r>
      <w:r>
        <w:rPr>
          <w:rFonts w:ascii="Times New Roman" w:hAnsi="Times New Roman" w:cs="Times New Roman" w:eastAsia="Times New Roman" w:hint="default"/>
        </w:rPr>
        <w:t>30%</w:t>
      </w:r>
      <w:r>
        <w:rPr/>
        <w:t>主要系为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季度销售备库存；</w:t>
      </w:r>
    </w:p>
    <w:p>
      <w:pPr>
        <w:pStyle w:val="BodyText"/>
        <w:spacing w:line="240" w:lineRule="auto" w:before="63"/>
        <w:ind w:right="1033"/>
        <w:jc w:val="left"/>
      </w:pPr>
      <w:r>
        <w:rPr>
          <w:rFonts w:ascii="Times New Roman" w:hAnsi="Times New Roman" w:cs="Times New Roman" w:eastAsia="Times New Roman" w:hint="default"/>
        </w:rPr>
        <w:t>2</w:t>
      </w:r>
      <w:r>
        <w:rPr/>
        <w:t>、生物识别销售量和生产量超过</w:t>
      </w:r>
      <w:r>
        <w:rPr>
          <w:rFonts w:ascii="Times New Roman" w:hAnsi="Times New Roman" w:cs="Times New Roman" w:eastAsia="Times New Roman" w:hint="default"/>
        </w:rPr>
        <w:t>30%</w:t>
      </w:r>
      <w:r>
        <w:rPr/>
        <w:t>，主要系</w:t>
      </w:r>
      <w:r>
        <w:rPr>
          <w:rFonts w:ascii="Times New Roman" w:hAnsi="Times New Roman" w:cs="Times New Roman" w:eastAsia="Times New Roman" w:hint="default"/>
        </w:rPr>
        <w:t>2019</w:t>
      </w:r>
      <w:r>
        <w:rPr/>
        <w:t>年芯片、模块简易类产品销售数量增长约</w:t>
      </w:r>
      <w:r>
        <w:rPr>
          <w:rFonts w:ascii="Times New Roman" w:hAnsi="Times New Roman" w:cs="Times New Roman" w:eastAsia="Times New Roman" w:hint="default"/>
        </w:rPr>
        <w:t>49</w:t>
      </w:r>
      <w:r>
        <w:rPr/>
        <w:t>万套。</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5"/>
        <w:spacing w:line="240" w:lineRule="auto"/>
        <w:ind w:right="10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t>行业分类</w:t>
      </w:r>
    </w:p>
    <w:p>
      <w:pPr>
        <w:pStyle w:val="BodyText"/>
        <w:spacing w:line="240" w:lineRule="auto" w:before="117"/>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639,152,824.56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615,878,804.46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18,934,392.27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36,204,458.02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10,972,580.68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19,613,546.83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669,059,797.51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671,696,809.31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72,413,404.42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74,532,118.96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1,752,982.11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1,152,504.48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2,050,226.90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1,883,920.59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76,216,613.43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77,568,544.03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收单业务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专业化服务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1,313,519,927.68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705,748,445.91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15.62%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收单业务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4,504,547.73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3,600,087.30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收单业务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4,638,639.67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761,363.40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收单业务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1,322,663,115.08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710,109,896.61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108,295,424.22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118,080,052.98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108,295,424.22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118,080,052.98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-2.51%</w:t>
            </w:r>
          </w:p>
        </w:tc>
      </w:tr>
    </w:tbl>
    <w:p>
      <w:pPr>
        <w:pStyle w:val="BodyText"/>
        <w:spacing w:line="240" w:lineRule="auto" w:before="49"/>
        <w:ind w:left="213" w:right="4943"/>
        <w:jc w:val="left"/>
      </w:pPr>
      <w:r>
        <w:rPr/>
        <w:t>说明</w:t>
      </w:r>
    </w:p>
    <w:p>
      <w:pPr>
        <w:spacing w:line="240" w:lineRule="auto" w:before="12"/>
        <w:rPr>
          <w:rFonts w:ascii="宋体" w:hAnsi="宋体" w:cs="宋体" w:eastAsia="宋体" w:hint="default"/>
          <w:sz w:val="21"/>
          <w:szCs w:val="21"/>
        </w:rPr>
      </w:pPr>
    </w:p>
    <w:p>
      <w:pPr>
        <w:pStyle w:val="Heading5"/>
        <w:spacing w:line="240" w:lineRule="auto"/>
        <w:ind w:left="213" w:right="494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left="213" w:right="4943"/>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本期纳入合并财务报表范围的主体较上期相比，增加</w:t>
      </w:r>
      <w:r>
        <w:rPr>
          <w:rFonts w:ascii="Times New Roman" w:hAnsi="Times New Roman" w:cs="Times New Roman" w:eastAsia="Times New Roman" w:hint="default"/>
        </w:rPr>
        <w:t>6</w:t>
      </w:r>
      <w:r>
        <w:rPr/>
        <w:t>户，减少</w:t>
      </w:r>
      <w:r>
        <w:rPr>
          <w:rFonts w:ascii="Times New Roman" w:hAnsi="Times New Roman" w:cs="Times New Roman" w:eastAsia="Times New Roman" w:hint="default"/>
        </w:rPr>
        <w:t>6</w:t>
      </w:r>
      <w:r>
        <w:rPr/>
        <w:t>户，其中</w:t>
      </w:r>
      <w:r>
        <w:rPr>
          <w:rFonts w:ascii="Times New Roman" w:hAnsi="Times New Roman" w:cs="Times New Roman" w:eastAsia="Times New Roman" w:hint="default"/>
        </w:rPr>
        <w:t>:</w:t>
      </w:r>
    </w:p>
    <w:p>
      <w:pPr>
        <w:pStyle w:val="BodyText"/>
        <w:spacing w:line="215" w:lineRule="exact"/>
        <w:ind w:left="573" w:right="1198"/>
        <w:jc w:val="left"/>
      </w:pPr>
      <w:r>
        <w:rPr>
          <w:rFonts w:ascii="宋体" w:hAnsi="宋体" w:cs="宋体" w:eastAsia="宋体" w:hint="default"/>
        </w:rPr>
        <w:t>1.</w:t>
      </w:r>
      <w:r>
        <w:rPr>
          <w:rFonts w:ascii="宋体" w:hAnsi="宋体" w:cs="宋体" w:eastAsia="宋体" w:hint="default"/>
          <w:spacing w:val="89"/>
        </w:rPr>
        <w:t> </w:t>
      </w:r>
      <w:r>
        <w:rPr/>
        <w:t>本期新纳入合并范围的子公司、特殊目的主体、通过受托经营或承租等方式形成控制权的经营实体</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4785"/>
        <w:gridCol w:w="5072"/>
      </w:tblGrid>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变更原因</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Nexgo India Private</w:t>
            </w:r>
            <w:r>
              <w:rPr>
                <w:rFonts w:ascii="Times New Roman"/>
                <w:spacing w:val="-8"/>
                <w:sz w:val="18"/>
              </w:rPr>
              <w:t> </w:t>
            </w:r>
            <w:r>
              <w:rPr>
                <w:rFonts w:ascii="Times New Roman"/>
                <w:sz w:val="18"/>
              </w:rPr>
              <w:t>Ltd.</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XGD Europe</w:t>
            </w:r>
            <w:r>
              <w:rPr>
                <w:rFonts w:ascii="Times New Roman"/>
                <w:spacing w:val="-6"/>
                <w:sz w:val="18"/>
              </w:rPr>
              <w:t> </w:t>
            </w:r>
            <w:r>
              <w:rPr>
                <w:rFonts w:ascii="Times New Roman"/>
                <w:sz w:val="18"/>
              </w:rPr>
              <w:t>S.A.</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深圳市新国都通信技术有限公司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XGD MACAU</w:t>
            </w:r>
            <w:r>
              <w:rPr>
                <w:rFonts w:ascii="Times New Roman"/>
                <w:spacing w:val="-7"/>
                <w:sz w:val="18"/>
              </w:rPr>
              <w:t> </w:t>
            </w:r>
            <w:r>
              <w:rPr>
                <w:rFonts w:ascii="Times New Roman"/>
                <w:sz w:val="18"/>
              </w:rPr>
              <w:t>LIMITED</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信小样（深圳）传媒有限公司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深圳市新国都腾云软件有限公司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pStyle w:val="BodyText"/>
        <w:spacing w:line="240" w:lineRule="auto" w:before="8"/>
        <w:ind w:left="213" w:right="1198"/>
        <w:jc w:val="left"/>
      </w:pPr>
      <w:r>
        <w:rPr/>
        <w:t>注：深圳市嘉创信息技术服务有限公司于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月更名为深圳市新国都通信技术有限公司。</w:t>
      </w:r>
    </w:p>
    <w:p>
      <w:pPr>
        <w:spacing w:line="240" w:lineRule="auto" w:before="13"/>
        <w:rPr>
          <w:rFonts w:ascii="宋体" w:hAnsi="宋体" w:cs="宋体" w:eastAsia="宋体" w:hint="default"/>
          <w:sz w:val="13"/>
          <w:szCs w:val="13"/>
        </w:rPr>
      </w:pPr>
    </w:p>
    <w:p>
      <w:pPr>
        <w:pStyle w:val="BodyText"/>
        <w:spacing w:line="240" w:lineRule="auto"/>
        <w:ind w:left="573" w:right="1198"/>
        <w:jc w:val="left"/>
      </w:pPr>
      <w:r>
        <w:rPr>
          <w:rFonts w:ascii="Times New Roman" w:hAnsi="Times New Roman" w:cs="Times New Roman" w:eastAsia="Times New Roman" w:hint="default"/>
        </w:rPr>
        <w:t>2</w:t>
      </w:r>
      <w:r>
        <w:rPr/>
        <w:t>）本期不再纳入合并范围的子公司、特殊目的主体、通过委托经营或出租等方式丧失控制权的经营实体</w:t>
      </w: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4785"/>
        <w:gridCol w:w="5072"/>
      </w:tblGrid>
      <w:tr>
        <w:trPr>
          <w:trHeight w:val="32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变更原因</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深圳市新国都金服技术有限公司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股权出售</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惠州市惠信资信评级有限公司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股权出售</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深圳市信联征信有限公司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股权出售</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股权出售</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信小样（深圳）传媒有限公司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股权出售</w:t>
            </w:r>
          </w:p>
        </w:tc>
      </w:tr>
      <w:tr>
        <w:trPr>
          <w:trHeight w:val="32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杭州中宗电子有限公司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335" w:lineRule="exact"/>
        <w:ind w:left="213" w:right="1198"/>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213" w:right="49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left="213" w:right="494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13" w:right="4943"/>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246"/>
        <w:gridCol w:w="5323"/>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260,592,645.28</w:t>
            </w:r>
          </w:p>
        </w:tc>
      </w:tr>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w:t>
            </w:r>
          </w:p>
        </w:tc>
      </w:tr>
      <w:tr>
        <w:trPr>
          <w:trHeight w:val="714"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left="213" w:right="4943"/>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5" w:right="0"/>
              <w:jc w:val="left"/>
              <w:rPr>
                <w:rFonts w:ascii="Times New Roman" w:hAnsi="Times New Roman" w:cs="Times New Roman" w:eastAsia="Times New Roman" w:hint="default"/>
                <w:sz w:val="18"/>
                <w:szCs w:val="18"/>
              </w:rPr>
            </w:pPr>
            <w:r>
              <w:rPr>
                <w:rFonts w:ascii="Times New Roman"/>
                <w:sz w:val="18"/>
              </w:rPr>
              <w:t>69,391,217.14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65,007,221.25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47,673,283.23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40,961,677.10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37,559,246.56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260,592,645.28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w:t>
            </w:r>
          </w:p>
        </w:tc>
      </w:tr>
    </w:tbl>
    <w:p>
      <w:pPr>
        <w:pStyle w:val="BodyText"/>
        <w:spacing w:line="240" w:lineRule="auto" w:before="49"/>
        <w:ind w:right="1033"/>
        <w:jc w:val="left"/>
      </w:pPr>
      <w:r>
        <w:rPr/>
        <w:t>主要客户其他情况说明</w:t>
      </w:r>
    </w:p>
    <w:p>
      <w:pPr>
        <w:pStyle w:val="BodyText"/>
        <w:spacing w:line="340" w:lineRule="auto" w:before="11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6"/>
        <w:gridCol w:w="5323"/>
      </w:tblGrid>
      <w:tr>
        <w:trPr>
          <w:trHeight w:val="404"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363,024,943.35</w:t>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14.10%</w:t>
            </w:r>
          </w:p>
        </w:tc>
      </w:tr>
      <w:tr>
        <w:trPr>
          <w:trHeight w:val="715"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033"/>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160,923,560.17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62,614,835.26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58,179,051.47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44,047,957.46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37,259,538.99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363,024,943.35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14.10%</w:t>
            </w:r>
          </w:p>
        </w:tc>
      </w:tr>
    </w:tbl>
    <w:p>
      <w:pPr>
        <w:pStyle w:val="BodyText"/>
        <w:spacing w:line="240" w:lineRule="auto" w:before="49"/>
        <w:ind w:right="1033"/>
        <w:jc w:val="left"/>
      </w:pPr>
      <w:r>
        <w:rPr/>
        <w:t>主要供应商其他情况说明</w:t>
      </w:r>
    </w:p>
    <w:p>
      <w:pPr>
        <w:pStyle w:val="BodyText"/>
        <w:spacing w:line="240" w:lineRule="auto" w:before="115"/>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48"/>
        <w:gridCol w:w="1637"/>
        <w:gridCol w:w="1462"/>
        <w:gridCol w:w="2919"/>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166,002,366.20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137,013,893.60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193,834,030.24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154,636,182.86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9,982,291.63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52,901,338.30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主要系借款利息减少。</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223,649,428.51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201,855,380.01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033" w:firstLine="420"/>
        <w:jc w:val="left"/>
      </w:pPr>
      <w:r>
        <w:rPr>
          <w:spacing w:val="-3"/>
        </w:rPr>
        <w:t>报告期内，公司研发投入主要投入在基于</w:t>
      </w:r>
      <w:r>
        <w:rPr>
          <w:rFonts w:ascii="Times New Roman" w:hAnsi="Times New Roman" w:cs="Times New Roman" w:eastAsia="Times New Roman" w:hint="default"/>
          <w:spacing w:val="-3"/>
        </w:rPr>
        <w:t>“</w:t>
      </w:r>
      <w:r>
        <w:rPr>
          <w:spacing w:val="-3"/>
        </w:rPr>
        <w:t>支付</w:t>
      </w:r>
      <w:r>
        <w:rPr>
          <w:rFonts w:ascii="Times New Roman" w:hAnsi="Times New Roman" w:cs="Times New Roman" w:eastAsia="Times New Roman" w:hint="default"/>
          <w:spacing w:val="-3"/>
        </w:rPr>
        <w:t>+</w:t>
      </w:r>
      <w:r>
        <w:rPr>
          <w:spacing w:val="-3"/>
        </w:rPr>
        <w:t>经营</w:t>
      </w:r>
      <w:r>
        <w:rPr>
          <w:rFonts w:ascii="Times New Roman" w:hAnsi="Times New Roman" w:cs="Times New Roman" w:eastAsia="Times New Roman" w:hint="default"/>
          <w:spacing w:val="-3"/>
        </w:rPr>
        <w:t>”</w:t>
      </w:r>
      <w:r>
        <w:rPr>
          <w:spacing w:val="-3"/>
        </w:rPr>
        <w:t>的服务体系，以及大数据分析系统，场景化数字服务管理工具等；</w:t>
      </w:r>
      <w:r>
        <w:rPr/>
        <w:t> 电子支付设备、生物识别设备、云平台技术架构的大型交易结算支撑系统的研发及后台服务；以及区块链技术、</w:t>
      </w:r>
      <w:r>
        <w:rPr>
          <w:rFonts w:ascii="Times New Roman" w:hAnsi="Times New Roman" w:cs="Times New Roman" w:eastAsia="Times New Roman" w:hint="default"/>
        </w:rPr>
        <w:t>AI</w:t>
      </w:r>
      <w:r>
        <w:rPr/>
        <w:t>识别技</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13"/>
        <w:jc w:val="left"/>
      </w:pPr>
      <w:r>
        <w:rPr/>
        <w:t>术、</w:t>
      </w:r>
      <w:r>
        <w:rPr>
          <w:rFonts w:ascii="Times New Roman" w:hAnsi="Times New Roman" w:cs="Times New Roman" w:eastAsia="Times New Roman" w:hint="default"/>
        </w:rPr>
        <w:t>5G</w:t>
      </w:r>
      <w:r>
        <w:rPr/>
        <w:t>通讯模组等领域进行新业务板块的投入。报告期内公司研发投入</w:t>
      </w:r>
      <w:r>
        <w:rPr>
          <w:rFonts w:ascii="Times New Roman" w:hAnsi="Times New Roman" w:cs="Times New Roman" w:eastAsia="Times New Roman" w:hint="default"/>
        </w:rPr>
        <w:t>2.24</w:t>
      </w:r>
      <w:r>
        <w:rPr/>
        <w:t>亿元，占营业收入的</w:t>
      </w:r>
      <w:r>
        <w:rPr>
          <w:rFonts w:ascii="Times New Roman" w:hAnsi="Times New Roman" w:cs="Times New Roman" w:eastAsia="Times New Roman" w:hint="default"/>
        </w:rPr>
        <w:t>7.39%</w:t>
      </w:r>
      <w:r>
        <w:rPr/>
        <w:t>，所有研发支出均作 为当期费用核算，未进行资本化。</w:t>
      </w:r>
    </w:p>
    <w:p>
      <w:pPr>
        <w:pStyle w:val="BodyText"/>
        <w:spacing w:line="240" w:lineRule="auto" w:before="72"/>
        <w:ind w:right="1033"/>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25.66%</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223,649,428.51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201,855,380.00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154,873,998.20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12.52%</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033"/>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3,329,807,019.02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2,813,786,884.01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18.34%</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3,115,940,403.99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2,528,486,239.64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23.23%</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213,866,615.03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285,300,644.37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-25.04%</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1,126,156,605.62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2,521,553,894.26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-55.34%</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605,721,028.17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2,523,267,600.07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-75.99%</w:t>
            </w:r>
          </w:p>
        </w:tc>
      </w:tr>
      <w:tr>
        <w:trPr>
          <w:trHeight w:val="71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520,435,577.45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-1,713,705.81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30,469.02%</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1,151,811,858.82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983,717,075.84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17.09%</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2,151,046,107.85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1,088,134,282.05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97.68%</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-999,234,249.03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-104,417,206.21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856.97%</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-261,998,691.61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178,465,089.64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-246.81%</w:t>
            </w:r>
          </w:p>
        </w:tc>
      </w:tr>
    </w:tbl>
    <w:p>
      <w:pPr>
        <w:pStyle w:val="BodyText"/>
        <w:spacing w:line="240" w:lineRule="auto" w:before="49"/>
        <w:ind w:right="1033"/>
        <w:jc w:val="left"/>
      </w:pPr>
      <w:r>
        <w:rPr/>
        <w:t>相关数据同比发生重大变动的主要影响因素说明</w:t>
      </w:r>
    </w:p>
    <w:p>
      <w:pPr>
        <w:pStyle w:val="BodyText"/>
        <w:spacing w:line="240" w:lineRule="auto" w:before="115"/>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3"/>
        <w:ind w:right="0"/>
        <w:jc w:val="left"/>
      </w:pPr>
      <w:r>
        <w:rPr>
          <w:rFonts w:ascii="Times New Roman" w:hAnsi="Times New Roman" w:cs="Times New Roman" w:eastAsia="Times New Roman" w:hint="default"/>
        </w:rPr>
        <w:t>1</w:t>
      </w:r>
      <w:r>
        <w:rPr/>
        <w:t>、报告期，投资活动现金流入小计较上年同期减少</w:t>
      </w:r>
      <w:r>
        <w:rPr>
          <w:rFonts w:ascii="Times New Roman" w:hAnsi="Times New Roman" w:cs="Times New Roman" w:eastAsia="Times New Roman" w:hint="default"/>
        </w:rPr>
        <w:t>55.34%</w:t>
      </w:r>
      <w:r>
        <w:rPr/>
        <w:t>，主要系本年度未发生参股公司投资收回及结构性理财减少所致。</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213" w:right="1198"/>
        <w:jc w:val="left"/>
      </w:pPr>
      <w:r>
        <w:rPr>
          <w:rFonts w:ascii="Times New Roman" w:hAnsi="Times New Roman" w:cs="Times New Roman" w:eastAsia="Times New Roman" w:hint="default"/>
        </w:rPr>
        <w:t>2</w:t>
      </w:r>
      <w:r>
        <w:rPr/>
        <w:t>、报告期，投资活动现金流出小计较上年同期减少</w:t>
      </w:r>
      <w:r>
        <w:rPr>
          <w:rFonts w:ascii="Times New Roman" w:hAnsi="Times New Roman" w:cs="Times New Roman" w:eastAsia="Times New Roman" w:hint="default"/>
        </w:rPr>
        <w:t>75.99%</w:t>
      </w:r>
      <w:r>
        <w:rPr/>
        <w:t>，主要系结构性理财及装修费用减少所致。</w:t>
      </w:r>
    </w:p>
    <w:p>
      <w:pPr>
        <w:pStyle w:val="BodyText"/>
        <w:spacing w:line="240" w:lineRule="auto" w:before="63"/>
        <w:ind w:left="213" w:right="1198"/>
        <w:jc w:val="left"/>
      </w:pPr>
      <w:r>
        <w:rPr>
          <w:rFonts w:ascii="Times New Roman" w:hAnsi="Times New Roman" w:cs="Times New Roman" w:eastAsia="Times New Roman" w:hint="default"/>
        </w:rPr>
        <w:t>3</w:t>
      </w:r>
      <w:r>
        <w:rPr/>
        <w:t>、报告期，投资活动产生的现金流量净额较上年同期增加</w:t>
      </w:r>
      <w:r>
        <w:rPr>
          <w:rFonts w:ascii="Times New Roman" w:hAnsi="Times New Roman" w:cs="Times New Roman" w:eastAsia="Times New Roman" w:hint="default"/>
        </w:rPr>
        <w:t>30469.02%</w:t>
      </w:r>
      <w:r>
        <w:rPr/>
        <w:t>，主要系处置子公司收到的现金增加所致。</w:t>
      </w:r>
    </w:p>
    <w:p>
      <w:pPr>
        <w:pStyle w:val="BodyText"/>
        <w:spacing w:line="240" w:lineRule="auto" w:before="63"/>
        <w:ind w:left="213" w:right="1198"/>
        <w:jc w:val="left"/>
      </w:pPr>
      <w:r>
        <w:rPr>
          <w:rFonts w:ascii="Times New Roman" w:hAnsi="Times New Roman" w:cs="Times New Roman" w:eastAsia="Times New Roman" w:hint="default"/>
        </w:rPr>
        <w:t>4</w:t>
      </w:r>
      <w:r>
        <w:rPr/>
        <w:t>、报告期，筹资活动现金流出小计较上年同期增加</w:t>
      </w:r>
      <w:r>
        <w:rPr>
          <w:rFonts w:ascii="Times New Roman" w:hAnsi="Times New Roman" w:cs="Times New Roman" w:eastAsia="Times New Roman" w:hint="default"/>
        </w:rPr>
        <w:t>97.68%</w:t>
      </w:r>
      <w:r>
        <w:rPr/>
        <w:t>，主要系偿还借款、债券到期及回购股票增加所致。</w:t>
      </w:r>
    </w:p>
    <w:p>
      <w:pPr>
        <w:pStyle w:val="BodyText"/>
        <w:spacing w:line="240" w:lineRule="auto" w:before="63"/>
        <w:ind w:left="213" w:right="1198"/>
        <w:jc w:val="left"/>
      </w:pPr>
      <w:r>
        <w:rPr>
          <w:rFonts w:ascii="Times New Roman" w:hAnsi="Times New Roman" w:cs="Times New Roman" w:eastAsia="Times New Roman" w:hint="default"/>
        </w:rPr>
        <w:t>5</w:t>
      </w:r>
      <w:r>
        <w:rPr/>
        <w:t>、报告期，筹资活动产生的现金流量净额较上年同期增加</w:t>
      </w:r>
      <w:r>
        <w:rPr>
          <w:rFonts w:ascii="Times New Roman" w:hAnsi="Times New Roman" w:cs="Times New Roman" w:eastAsia="Times New Roman" w:hint="default"/>
        </w:rPr>
        <w:t>856.96%</w:t>
      </w:r>
      <w:r>
        <w:rPr/>
        <w:t>，主要系偿还借款、债券到期及回购股票增加所致。</w:t>
      </w:r>
    </w:p>
    <w:p>
      <w:pPr>
        <w:pStyle w:val="BodyText"/>
        <w:spacing w:line="300" w:lineRule="auto" w:before="63"/>
        <w:ind w:left="213" w:right="1198"/>
        <w:jc w:val="left"/>
      </w:pPr>
      <w:r>
        <w:rPr>
          <w:rFonts w:ascii="Times New Roman" w:hAnsi="Times New Roman" w:cs="Times New Roman" w:eastAsia="Times New Roman" w:hint="default"/>
        </w:rPr>
        <w:t>6</w:t>
      </w:r>
      <w:r>
        <w:rPr/>
        <w:t>、报告期，现金及现金等价物净增加额较上年同期减少</w:t>
      </w:r>
      <w:r>
        <w:rPr>
          <w:rFonts w:ascii="Times New Roman" w:hAnsi="Times New Roman" w:cs="Times New Roman" w:eastAsia="Times New Roman" w:hint="default"/>
        </w:rPr>
        <w:t>246.81%</w:t>
      </w:r>
      <w:r>
        <w:rPr/>
        <w:t>，主要系本年度偿还长期借款、公司债券到期支付导致筹 资活动现金流出增加所致。</w:t>
      </w:r>
    </w:p>
    <w:p>
      <w:pPr>
        <w:spacing w:line="240" w:lineRule="auto" w:before="0"/>
        <w:rPr>
          <w:rFonts w:ascii="宋体" w:hAnsi="宋体" w:cs="宋体" w:eastAsia="宋体" w:hint="default"/>
          <w:sz w:val="18"/>
          <w:szCs w:val="18"/>
        </w:rPr>
      </w:pPr>
    </w:p>
    <w:p>
      <w:pPr>
        <w:pStyle w:val="BodyText"/>
        <w:spacing w:line="240" w:lineRule="auto" w:before="148"/>
        <w:ind w:left="213" w:right="1198"/>
        <w:jc w:val="left"/>
      </w:pPr>
      <w:r>
        <w:rPr/>
        <w:t>报告期内公司经营活动产生的现金净流量与本年度净利润存在重大差异的原因说明</w:t>
      </w:r>
    </w:p>
    <w:p>
      <w:pPr>
        <w:pStyle w:val="BodyText"/>
        <w:spacing w:line="240" w:lineRule="auto" w:before="115"/>
        <w:ind w:left="213" w:right="49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left="213" w:right="4943"/>
        <w:jc w:val="left"/>
        <w:rPr>
          <w:b w:val="0"/>
          <w:bCs w:val="0"/>
        </w:rPr>
      </w:pPr>
      <w:r>
        <w:rPr/>
        <w:t>三、非主营业务情况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left="213" w:right="49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512"/>
        <w:gridCol w:w="1916"/>
        <w:gridCol w:w="1623"/>
        <w:gridCol w:w="2168"/>
        <w:gridCol w:w="2340"/>
      </w:tblGrid>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137,364,773.85</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7" w:right="0"/>
              <w:jc w:val="left"/>
              <w:rPr>
                <w:rFonts w:ascii="Times New Roman" w:hAnsi="Times New Roman" w:cs="Times New Roman" w:eastAsia="Times New Roman" w:hint="default"/>
                <w:sz w:val="18"/>
                <w:szCs w:val="18"/>
              </w:rPr>
            </w:pPr>
            <w:r>
              <w:rPr>
                <w:rFonts w:ascii="Times New Roman"/>
                <w:sz w:val="18"/>
              </w:rPr>
              <w:t>57.76%</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52"/>
              <w:jc w:val="left"/>
              <w:rPr>
                <w:rFonts w:ascii="宋体" w:hAnsi="宋体" w:cs="宋体" w:eastAsia="宋体" w:hint="default"/>
                <w:sz w:val="18"/>
                <w:szCs w:val="18"/>
              </w:rPr>
            </w:pPr>
            <w:r>
              <w:rPr>
                <w:rFonts w:ascii="宋体" w:hAnsi="宋体" w:cs="宋体" w:eastAsia="宋体" w:hint="default"/>
                <w:sz w:val="18"/>
                <w:szCs w:val="18"/>
              </w:rPr>
              <w:t>主要系转让子公司产生的 投资收益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207,018,079.37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7" w:right="0"/>
              <w:jc w:val="left"/>
              <w:rPr>
                <w:rFonts w:ascii="Times New Roman" w:hAnsi="Times New Roman" w:cs="Times New Roman" w:eastAsia="Times New Roman" w:hint="default"/>
                <w:sz w:val="18"/>
                <w:szCs w:val="18"/>
              </w:rPr>
            </w:pPr>
            <w:r>
              <w:rPr>
                <w:rFonts w:ascii="Times New Roman"/>
                <w:sz w:val="18"/>
              </w:rPr>
              <w:t>87.05%</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52"/>
              <w:jc w:val="left"/>
              <w:rPr>
                <w:rFonts w:ascii="宋体" w:hAnsi="宋体" w:cs="宋体" w:eastAsia="宋体" w:hint="default"/>
                <w:sz w:val="18"/>
                <w:szCs w:val="18"/>
              </w:rPr>
            </w:pPr>
            <w:r>
              <w:rPr>
                <w:rFonts w:ascii="宋体" w:hAnsi="宋体" w:cs="宋体" w:eastAsia="宋体" w:hint="default"/>
                <w:sz w:val="18"/>
                <w:szCs w:val="18"/>
              </w:rPr>
              <w:t>主要系存货跌价损失和商 誉减值损失</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17,001.08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1,574,374.60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0.66%</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100,382,238.62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42.21%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5"/>
                <w:sz w:val="18"/>
                <w:szCs w:val="18"/>
              </w:rPr>
              <w:t>主要系增值税退税、税收减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免和政府补助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33,686,206.03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14.16%</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4"/>
        <w:spacing w:line="367" w:lineRule="exact"/>
        <w:ind w:left="213" w:right="4943"/>
        <w:jc w:val="left"/>
        <w:rPr>
          <w:b w:val="0"/>
          <w:bCs w:val="0"/>
        </w:rPr>
      </w:pPr>
      <w:r>
        <w:rPr/>
        <w:t>四、资产及负债状况</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Heading5"/>
        <w:spacing w:line="240" w:lineRule="auto"/>
        <w:ind w:left="213" w:right="494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20" w:right="0"/>
        </w:sectPr>
      </w:pPr>
    </w:p>
    <w:p>
      <w:pPr>
        <w:pStyle w:val="BodyText"/>
        <w:spacing w:line="240" w:lineRule="auto" w:before="44"/>
        <w:ind w:left="213" w:right="-17"/>
        <w:jc w:val="left"/>
      </w:pPr>
      <w:r>
        <w:rPr/>
        <w:t>公司</w:t>
      </w:r>
      <w:r>
        <w:rPr>
          <w:spacing w:val="-47"/>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left="213"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13" w:right="0"/>
        <w:jc w:val="left"/>
      </w:pPr>
      <w:r>
        <w:rPr/>
        <w:t>单位：元</w:t>
      </w:r>
    </w:p>
    <w:p>
      <w:pPr>
        <w:spacing w:after="0" w:line="240" w:lineRule="auto"/>
        <w:jc w:val="left"/>
        <w:sectPr>
          <w:type w:val="continuous"/>
          <w:pgSz w:w="11910" w:h="16840"/>
          <w:pgMar w:top="1060" w:bottom="1160" w:left="920" w:right="0"/>
          <w:cols w:num="2" w:equalWidth="0">
            <w:col w:w="8585" w:space="335"/>
            <w:col w:w="2070"/>
          </w:cols>
        </w:sectPr>
      </w:pP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829"/>
        <w:gridCol w:w="1558"/>
        <w:gridCol w:w="1421"/>
        <w:gridCol w:w="1598"/>
        <w:gridCol w:w="1421"/>
        <w:gridCol w:w="2028"/>
      </w:tblGrid>
      <w:tr>
        <w:trPr>
          <w:trHeight w:val="401" w:hRule="exact"/>
        </w:trPr>
        <w:tc>
          <w:tcPr>
            <w:tcW w:w="1829" w:type="dxa"/>
            <w:vMerge w:val="restart"/>
            <w:tcBorders>
              <w:top w:val="single" w:sz="4" w:space="0" w:color="000000"/>
              <w:left w:val="single" w:sz="4" w:space="0" w:color="000000"/>
              <w:right w:val="single" w:sz="4" w:space="0" w:color="000000"/>
            </w:tcBorders>
          </w:tcPr>
          <w:p>
            <w:pPr/>
          </w:p>
        </w:tc>
        <w:tc>
          <w:tcPr>
            <w:tcW w:w="2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3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2028" w:type="dxa"/>
            <w:vMerge w:val="restart"/>
            <w:tcBorders>
              <w:top w:val="single" w:sz="4" w:space="0" w:color="000000"/>
              <w:left w:val="single" w:sz="4" w:space="0" w:color="000000"/>
              <w:right w:val="single" w:sz="4" w:space="0" w:color="000000"/>
            </w:tcBorders>
          </w:tcPr>
          <w:p>
            <w:pPr>
              <w:pStyle w:val="TableParagraph"/>
              <w:spacing w:line="240" w:lineRule="auto" w:before="49"/>
              <w:ind w:left="648" w:right="0"/>
              <w:jc w:val="left"/>
              <w:rPr>
                <w:rFonts w:ascii="宋体" w:hAnsi="宋体" w:cs="宋体" w:eastAsia="宋体" w:hint="default"/>
                <w:sz w:val="18"/>
                <w:szCs w:val="18"/>
              </w:rPr>
            </w:pPr>
            <w:r>
              <w:rPr>
                <w:rFonts w:ascii="宋体" w:hAnsi="宋体" w:cs="宋体" w:eastAsia="宋体" w:hint="default"/>
                <w:sz w:val="18"/>
                <w:szCs w:val="18"/>
              </w:rPr>
              <w:t>比重增减</w:t>
            </w:r>
          </w:p>
        </w:tc>
      </w:tr>
      <w:tr>
        <w:trPr>
          <w:trHeight w:val="403" w:hRule="exact"/>
        </w:trPr>
        <w:tc>
          <w:tcPr>
            <w:tcW w:w="1829"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4"/>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2028" w:type="dxa"/>
            <w:vMerge/>
            <w:tcBorders>
              <w:left w:val="single" w:sz="4" w:space="0" w:color="000000"/>
              <w:bottom w:val="single" w:sz="4" w:space="0" w:color="000000"/>
              <w:right w:val="single" w:sz="4" w:space="0" w:color="000000"/>
            </w:tcBorders>
          </w:tcPr>
          <w:p>
            <w:pPr/>
          </w:p>
        </w:tc>
      </w:tr>
      <w:tr>
        <w:trPr>
          <w:trHeight w:val="40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1,181,384,095.27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35.03%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1,330,609,282.00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31.98%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w:t>
            </w:r>
          </w:p>
        </w:tc>
      </w:tr>
      <w:tr>
        <w:trPr>
          <w:trHeight w:val="404"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471,423,150.81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13.98%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332,465,986.93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7.99%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5.99%</w:t>
            </w:r>
          </w:p>
        </w:tc>
      </w:tr>
      <w:tr>
        <w:trPr>
          <w:trHeight w:val="40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160,309,553.93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268,418,278.53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-1.70%</w:t>
            </w:r>
          </w:p>
        </w:tc>
      </w:tr>
      <w:tr>
        <w:trPr>
          <w:trHeight w:val="403"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18,798,768.71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829"/>
        <w:gridCol w:w="1558"/>
        <w:gridCol w:w="1421"/>
        <w:gridCol w:w="1598"/>
        <w:gridCol w:w="1421"/>
        <w:gridCol w:w="2028"/>
      </w:tblGrid>
      <w:tr>
        <w:trPr>
          <w:trHeight w:val="40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51,895,161.64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405,312,497.19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-8.20%</w:t>
            </w:r>
          </w:p>
        </w:tc>
      </w:tr>
      <w:tr>
        <w:trPr>
          <w:trHeight w:val="403"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809,000,000.00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19.45%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-18.26%</w:t>
            </w:r>
          </w:p>
        </w:tc>
      </w:tr>
      <w:tr>
        <w:trPr>
          <w:trHeight w:val="403"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2.40%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-2.40%</w:t>
            </w:r>
          </w:p>
        </w:tc>
      </w:tr>
      <w:tr>
        <w:trPr>
          <w:trHeight w:val="401"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320,000,100.00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-7.69%</w:t>
            </w:r>
          </w:p>
        </w:tc>
      </w:tr>
      <w:tr>
        <w:trPr>
          <w:trHeight w:val="403" w:hRule="exact"/>
        </w:trPr>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66,210,057.56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1.96%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142,884,619.30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3.43%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-1.47%</w:t>
            </w:r>
          </w:p>
        </w:tc>
      </w:tr>
    </w:tbl>
    <w:p>
      <w:pPr>
        <w:spacing w:line="240" w:lineRule="auto" w:before="3"/>
        <w:rPr>
          <w:rFonts w:ascii="宋体" w:hAnsi="宋体" w:cs="宋体" w:eastAsia="宋体" w:hint="default"/>
          <w:sz w:val="19"/>
          <w:szCs w:val="19"/>
        </w:rPr>
      </w:pPr>
    </w:p>
    <w:p>
      <w:pPr>
        <w:pStyle w:val="Heading5"/>
        <w:spacing w:line="335" w:lineRule="exact"/>
        <w:ind w:left="213" w:right="494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213" w:right="49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970"/>
        <w:gridCol w:w="1021"/>
        <w:gridCol w:w="1058"/>
        <w:gridCol w:w="1193"/>
        <w:gridCol w:w="925"/>
        <w:gridCol w:w="1207"/>
        <w:gridCol w:w="1052"/>
        <w:gridCol w:w="920"/>
        <w:gridCol w:w="1212"/>
      </w:tblGrid>
      <w:tr>
        <w:trPr>
          <w:trHeight w:val="161" w:hRule="exact"/>
        </w:trPr>
        <w:tc>
          <w:tcPr>
            <w:tcW w:w="970" w:type="dxa"/>
            <w:vMerge w:val="restart"/>
            <w:tcBorders>
              <w:top w:val="single" w:sz="4" w:space="0" w:color="000000"/>
              <w:left w:val="single" w:sz="4" w:space="0" w:color="000000"/>
              <w:right w:val="single" w:sz="4" w:space="0" w:color="000000"/>
            </w:tcBorders>
            <w:shd w:val="clear" w:color="auto" w:fill="D2D2D2"/>
          </w:tcPr>
          <w:p>
            <w:pPr/>
          </w:p>
        </w:tc>
        <w:tc>
          <w:tcPr>
            <w:tcW w:w="1021" w:type="dxa"/>
            <w:vMerge w:val="restart"/>
            <w:tcBorders>
              <w:top w:val="single" w:sz="4" w:space="0" w:color="000000"/>
              <w:left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 w:right="4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70" w:type="dxa"/>
            <w:vMerge/>
            <w:tcBorders>
              <w:left w:val="single" w:sz="4" w:space="0" w:color="000000"/>
              <w:bottom w:val="nil" w:sz="6" w:space="0" w:color="auto"/>
              <w:right w:val="single" w:sz="4" w:space="0" w:color="000000"/>
            </w:tcBorders>
            <w:shd w:val="clear" w:color="auto" w:fill="D2D2D2"/>
          </w:tcPr>
          <w:p>
            <w:pPr/>
          </w:p>
        </w:tc>
        <w:tc>
          <w:tcPr>
            <w:tcW w:w="1021" w:type="dxa"/>
            <w:vMerge/>
            <w:tcBorders>
              <w:left w:val="single" w:sz="4" w:space="0" w:color="000000"/>
              <w:bottom w:val="nil" w:sz="6" w:space="0" w:color="auto"/>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89" w:right="93"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7"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1" w:right="69" w:hanging="361"/>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20"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8"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6"/>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052"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70" w:type="dxa"/>
            <w:vMerge w:val="restart"/>
            <w:tcBorders>
              <w:top w:val="nil" w:sz="6" w:space="0" w:color="auto"/>
              <w:left w:val="single" w:sz="4" w:space="0" w:color="000000"/>
              <w:right w:val="single" w:sz="4" w:space="0" w:color="000000"/>
            </w:tcBorders>
            <w:shd w:val="clear" w:color="auto" w:fill="D2D2D2"/>
          </w:tcPr>
          <w:p>
            <w:pPr/>
          </w:p>
        </w:tc>
        <w:tc>
          <w:tcPr>
            <w:tcW w:w="1021" w:type="dxa"/>
            <w:vMerge w:val="restart"/>
            <w:tcBorders>
              <w:top w:val="nil" w:sz="6" w:space="0" w:color="auto"/>
              <w:left w:val="single" w:sz="4" w:space="0" w:color="000000"/>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970" w:type="dxa"/>
            <w:vMerge/>
            <w:tcBorders>
              <w:left w:val="single" w:sz="4" w:space="0" w:color="000000"/>
              <w:bottom w:val="single" w:sz="4" w:space="0" w:color="000000"/>
              <w:right w:val="single" w:sz="4" w:space="0" w:color="000000"/>
            </w:tcBorders>
            <w:shd w:val="clear" w:color="auto" w:fill="D2D2D2"/>
          </w:tcPr>
          <w:p>
            <w:pPr/>
          </w:p>
        </w:tc>
        <w:tc>
          <w:tcPr>
            <w:tcW w:w="1021" w:type="dxa"/>
            <w:vMerge/>
            <w:tcBorders>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5"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161" w:hRule="exact"/>
        </w:trPr>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1" w:type="dxa"/>
            <w:vMerge w:val="restart"/>
            <w:tcBorders>
              <w:top w:val="single" w:sz="4" w:space="0" w:color="000000"/>
              <w:left w:val="single" w:sz="9" w:space="0" w:color="D2D2D2"/>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z w:val="18"/>
              </w:rPr>
              <w:t>0</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0.00</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0.00</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50,000,000.00</w:t>
            </w:r>
          </w:p>
        </w:tc>
      </w:tr>
      <w:tr>
        <w:trPr>
          <w:trHeight w:val="391" w:hRule="exact"/>
        </w:trPr>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21" w:type="dxa"/>
            <w:vMerge/>
            <w:tcBorders>
              <w:left w:val="single" w:sz="9" w:space="0" w:color="D2D2D2"/>
              <w:right w:val="single" w:sz="4" w:space="0" w:color="000000"/>
            </w:tcBorders>
          </w:tcPr>
          <w:p>
            <w:pPr/>
          </w:p>
        </w:tc>
        <w:tc>
          <w:tcPr>
            <w:tcW w:w="1058"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161" w:hRule="exact"/>
        </w:trPr>
        <w:tc>
          <w:tcPr>
            <w:tcW w:w="9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1" w:type="dxa"/>
            <w:vMerge/>
            <w:tcBorders>
              <w:left w:val="single" w:sz="9" w:space="0" w:color="D2D2D2"/>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r>
      <w:tr>
        <w:trPr>
          <w:trHeight w:val="403"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58" w:right="0"/>
              <w:jc w:val="left"/>
              <w:rPr>
                <w:rFonts w:ascii="Times New Roman" w:hAnsi="Times New Roman" w:cs="Times New Roman" w:eastAsia="Times New Roman" w:hint="default"/>
                <w:sz w:val="18"/>
                <w:szCs w:val="18"/>
              </w:rPr>
            </w:pPr>
            <w:r>
              <w:rPr>
                <w:rFonts w:ascii="Times New Roman"/>
                <w:sz w:val="18"/>
              </w:rPr>
              <w:t>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left="213" w:right="9493"/>
        <w:jc w:val="left"/>
      </w:pPr>
      <w:r>
        <w:rPr/>
        <w:t>其他变动的内容 无</w:t>
      </w:r>
    </w:p>
    <w:p>
      <w:pPr>
        <w:pStyle w:val="BodyText"/>
        <w:spacing w:line="240" w:lineRule="auto" w:before="29"/>
        <w:ind w:left="213" w:right="4943"/>
        <w:jc w:val="left"/>
      </w:pPr>
      <w:r>
        <w:rPr/>
        <w:t>报告期内公司主要资产计量属性是否发生重大变化</w:t>
      </w:r>
    </w:p>
    <w:p>
      <w:pPr>
        <w:pStyle w:val="BodyText"/>
        <w:spacing w:line="240" w:lineRule="auto" w:before="115"/>
        <w:ind w:left="213" w:right="494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5"/>
        <w:spacing w:line="240" w:lineRule="auto"/>
        <w:ind w:left="213" w:right="494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13" w:right="1198"/>
        <w:jc w:val="left"/>
      </w:pPr>
      <w:r>
        <w:rPr/>
        <w:t>截至报告期末，公司不存在主要资产被查封、扣押、冻结或者被抵押、质押的情形。</w:t>
      </w:r>
    </w:p>
    <w:p>
      <w:pPr>
        <w:spacing w:line="240" w:lineRule="auto" w:before="5"/>
        <w:rPr>
          <w:rFonts w:ascii="宋体" w:hAnsi="宋体" w:cs="宋体" w:eastAsia="宋体" w:hint="default"/>
          <w:sz w:val="19"/>
          <w:szCs w:val="19"/>
        </w:rPr>
      </w:pPr>
    </w:p>
    <w:p>
      <w:pPr>
        <w:pStyle w:val="Heading4"/>
        <w:spacing w:line="240" w:lineRule="auto"/>
        <w:ind w:left="213" w:right="4943"/>
        <w:jc w:val="left"/>
        <w:rPr>
          <w:b w:val="0"/>
          <w:bCs w:val="0"/>
        </w:rPr>
      </w:pPr>
      <w:r>
        <w:rPr/>
        <w:t>五、投资状况分析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left="213" w:right="494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13" w:right="49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20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489,878,241.59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5"/>
        <w:spacing w:line="335" w:lineRule="exact"/>
        <w:ind w:left="213" w:right="494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213" w:right="49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2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5"/>
        <w:spacing w:line="240" w:lineRule="auto"/>
        <w:ind w:right="10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2"/>
        <w:gridCol w:w="869"/>
        <w:gridCol w:w="871"/>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0"/>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64,633.49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3,664.04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73,453.38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13"/>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44,462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44,526.17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非公开发 行公司债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29,640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9,640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存于专户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138,735.49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23,673.52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137,979.55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9,640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2"/>
        <w:rPr>
          <w:rFonts w:ascii="宋体" w:hAnsi="宋体" w:cs="宋体" w:eastAsia="宋体" w:hint="default"/>
          <w:sz w:val="28"/>
          <w:szCs w:val="28"/>
        </w:rPr>
      </w:pPr>
    </w:p>
    <w:p>
      <w:pPr>
        <w:spacing w:line="6077" w:lineRule="exact"/>
        <w:ind w:left="148" w:right="0" w:firstLine="0"/>
        <w:rPr>
          <w:rFonts w:ascii="宋体" w:hAnsi="宋体" w:cs="宋体" w:eastAsia="宋体" w:hint="default"/>
          <w:sz w:val="20"/>
          <w:szCs w:val="20"/>
        </w:rPr>
      </w:pPr>
      <w:r>
        <w:rPr>
          <w:rFonts w:ascii="宋体" w:hAnsi="宋体" w:cs="宋体" w:eastAsia="宋体" w:hint="default"/>
          <w:position w:val="-121"/>
          <w:sz w:val="20"/>
          <w:szCs w:val="20"/>
        </w:rPr>
        <w:pict>
          <v:group style="width:481.8pt;height:303.9pt;mso-position-horizontal-relative:char;mso-position-vertical-relative:line" coordorigin="0,0" coordsize="9636,6078">
            <v:group style="position:absolute;left:10;top:10;width:9557;height:2" coordorigin="10,10" coordsize="9557,2">
              <v:shape style="position:absolute;left:10;top:10;width:9557;height:2" coordorigin="10,10" coordsize="9557,0" path="m10,10l9566,10e" filled="false" stroked="true" strokeweight=".48pt" strokecolor="#000000">
                <v:path arrowok="t"/>
              </v:shape>
            </v:group>
            <v:group style="position:absolute;left:5;top:5;width:2;height:6069" coordorigin="5,5" coordsize="2,6069">
              <v:shape style="position:absolute;left:5;top:5;width:2;height:6069" coordorigin="5,5" coordsize="0,6069" path="m5,5l5,6073e" filled="false" stroked="true" strokeweight=".48pt" strokecolor="#000000">
                <v:path arrowok="t"/>
              </v:shape>
            </v:group>
            <v:group style="position:absolute;left:10;top:6068;width:9557;height:2" coordorigin="10,6068" coordsize="9557,2">
              <v:shape style="position:absolute;left:10;top:6068;width:9557;height:2" coordorigin="10,6068" coordsize="9557,0" path="m10,6068l9566,6068e" filled="false" stroked="true" strokeweight=".47998pt" strokecolor="#000000">
                <v:path arrowok="t"/>
              </v:shape>
            </v:group>
            <v:group style="position:absolute;left:9571;top:5;width:2;height:6069" coordorigin="9571,5" coordsize="2,6069">
              <v:shape style="position:absolute;left:9571;top:5;width:2;height:6069" coordorigin="9571,5" coordsize="0,6069" path="m9571,5l9571,6073e" filled="false" stroked="true" strokeweight=".47998pt" strokecolor="#000000">
                <v:path arrowok="t"/>
              </v:shape>
              <v:shape style="position:absolute;left:0;top:0;width:9636;height:6078" type="#_x0000_t202" filled="false" stroked="false">
                <v:textbox inset="0,0,0,0">
                  <w:txbxContent>
                    <w:p>
                      <w:pPr>
                        <w:spacing w:before="63"/>
                        <w:ind w:left="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日经中国证券监督管理委员会证监发行字</w:t>
                      </w:r>
                      <w:r>
                        <w:rPr>
                          <w:rFonts w:ascii="Times New Roman" w:hAnsi="Times New Roman" w:cs="Times New Roman" w:eastAsia="Times New Roman" w:hint="default"/>
                          <w:sz w:val="18"/>
                          <w:szCs w:val="18"/>
                        </w:rPr>
                        <w:t>[2010]1292 </w:t>
                      </w:r>
                      <w:r>
                        <w:rPr>
                          <w:rFonts w:ascii="宋体" w:hAnsi="宋体" w:cs="宋体" w:eastAsia="宋体" w:hint="default"/>
                          <w:sz w:val="18"/>
                          <w:szCs w:val="18"/>
                        </w:rPr>
                        <w:t>号文核准，并经深圳证券交易所同意，公司由主承</w:t>
                      </w:r>
                    </w:p>
                    <w:p>
                      <w:pPr>
                        <w:spacing w:before="63"/>
                        <w:ind w:left="33"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销商中信证券股份有限公司向社会公众公开发行普通股（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股）股票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万股，每股面值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元，每股发行价人民币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43.33</w:t>
                      </w:r>
                    </w:p>
                    <w:p>
                      <w:pPr>
                        <w:spacing w:before="63"/>
                        <w:ind w:left="33" w:right="0" w:firstLine="0"/>
                        <w:jc w:val="both"/>
                        <w:rPr>
                          <w:rFonts w:ascii="宋体" w:hAnsi="宋体" w:cs="宋体" w:eastAsia="宋体" w:hint="default"/>
                          <w:sz w:val="18"/>
                          <w:szCs w:val="18"/>
                        </w:rPr>
                      </w:pP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日止，本公司共募集资金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69,328.00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46,945,065.67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元，募集资金净额</w:t>
                      </w:r>
                    </w:p>
                    <w:p>
                      <w:pPr>
                        <w:spacing w:before="63"/>
                        <w:ind w:left="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646,334,934.33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元。其中，募投项目承诺投资资金为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236,170,000.00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其他与主营业务相关的营运资金（以下简称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w:t>
                      </w:r>
                    </w:p>
                    <w:p>
                      <w:pPr>
                        <w:spacing w:line="300" w:lineRule="auto" w:before="63"/>
                        <w:ind w:left="33" w:right="86" w:firstLine="0"/>
                        <w:jc w:val="both"/>
                        <w:rPr>
                          <w:rFonts w:ascii="宋体" w:hAnsi="宋体" w:cs="宋体" w:eastAsia="宋体" w:hint="default"/>
                          <w:sz w:val="18"/>
                          <w:szCs w:val="18"/>
                        </w:rPr>
                      </w:pPr>
                      <w:r>
                        <w:rPr>
                          <w:rFonts w:ascii="宋体" w:hAnsi="宋体" w:cs="宋体" w:eastAsia="宋体" w:hint="default"/>
                          <w:spacing w:val="-5"/>
                          <w:sz w:val="18"/>
                          <w:szCs w:val="18"/>
                        </w:rPr>
                        <w:t>金</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410,164,934.33 </w:t>
                      </w:r>
                      <w:r>
                        <w:rPr>
                          <w:rFonts w:ascii="宋体" w:hAnsi="宋体" w:cs="宋体" w:eastAsia="宋体" w:hint="default"/>
                          <w:spacing w:val="-6"/>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日，公司已累计投入募集资金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73,453.38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日经中 国证券监督管理委员会证监许可〔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1146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号文核准，并经深圳证券交易所同意，公司以每股</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18.22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元的价格向泰达宏 利基金管理有限公司、鹏华资产管理有限公司、财通证券资产管理有限公司合计非公开发行股票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万股。股款计人民</w:t>
                      </w:r>
                    </w:p>
                    <w:p>
                      <w:pPr>
                        <w:spacing w:line="307" w:lineRule="auto" w:before="13"/>
                        <w:ind w:left="3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万元，扣除与发行有关的费用总额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万（含税）元，实际募集资金净额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44,462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 公司第四届董事会第五次会议及第四届监事会第五次会议审议通过了《关于使用募集资金置换预先投入募投项目自筹资金 </w:t>
                      </w:r>
                      <w:r>
                        <w:rPr>
                          <w:rFonts w:ascii="宋体" w:hAnsi="宋体" w:cs="宋体" w:eastAsia="宋体" w:hint="default"/>
                          <w:spacing w:val="-3"/>
                          <w:sz w:val="18"/>
                          <w:szCs w:val="18"/>
                        </w:rPr>
                        <w:t>的议案》，公司以自筹资金预先投入收购长沙公信诚丰信息技术服务有限公司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股权项目的实际投资额为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 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日，从募集户将预先投入自筹资金金额为人民币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万元转入公司基本户。截止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spacing w:before="7"/>
                        <w:ind w:left="33" w:right="0" w:firstLine="0"/>
                        <w:jc w:val="both"/>
                        <w:rPr>
                          <w:rFonts w:ascii="宋体" w:hAnsi="宋体" w:cs="宋体" w:eastAsia="宋体" w:hint="default"/>
                          <w:sz w:val="18"/>
                          <w:szCs w:val="18"/>
                        </w:rPr>
                      </w:pPr>
                      <w:r>
                        <w:rPr>
                          <w:rFonts w:ascii="宋体" w:hAnsi="宋体" w:cs="宋体" w:eastAsia="宋体" w:hint="default"/>
                          <w:sz w:val="18"/>
                          <w:szCs w:val="18"/>
                        </w:rPr>
                        <w:t>日，公司已累计投入募集资金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44,526.17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00" w:lineRule="auto" w:before="101"/>
                        <w:ind w:left="33" w:right="87"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3. 2019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日，公司收到深圳证券交易所出具的《关于深圳市新国都股份有限公司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年非公开发行创新创 </w:t>
                      </w:r>
                      <w:r>
                        <w:rPr>
                          <w:rFonts w:ascii="宋体" w:hAnsi="宋体" w:cs="宋体" w:eastAsia="宋体" w:hint="default"/>
                          <w:spacing w:val="-4"/>
                          <w:sz w:val="18"/>
                          <w:szCs w:val="18"/>
                        </w:rPr>
                        <w:t>业公司债券符合深交所转让条件的无异议函》（深证函</w:t>
                      </w:r>
                      <w:r>
                        <w:rPr>
                          <w:rFonts w:ascii="Times New Roman" w:hAnsi="Times New Roman" w:cs="Times New Roman" w:eastAsia="Times New Roman" w:hint="default"/>
                          <w:spacing w:val="-4"/>
                          <w:sz w:val="18"/>
                          <w:szCs w:val="18"/>
                        </w:rPr>
                        <w:t>[2019]752 </w:t>
                      </w:r>
                      <w:r>
                        <w:rPr>
                          <w:rFonts w:ascii="宋体" w:hAnsi="宋体" w:cs="宋体" w:eastAsia="宋体" w:hint="default"/>
                          <w:spacing w:val="-8"/>
                          <w:sz w:val="18"/>
                          <w:szCs w:val="18"/>
                        </w:rPr>
                        <w:t>号），公司非公开发行不超过人民币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亿元公司债券获得 深圳证券交易所核准。</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公司完成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年非公开发行创新创业公司债券（债券简称及债券代码：</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 国都，</w:t>
                      </w:r>
                      <w:r>
                        <w:rPr>
                          <w:rFonts w:ascii="Times New Roman" w:hAnsi="Times New Roman" w:cs="Times New Roman" w:eastAsia="Times New Roman" w:hint="default"/>
                          <w:sz w:val="18"/>
                          <w:szCs w:val="18"/>
                        </w:rPr>
                        <w:t>114645 </w:t>
                      </w:r>
                      <w:r>
                        <w:rPr>
                          <w:rFonts w:ascii="宋体" w:hAnsi="宋体" w:cs="宋体" w:eastAsia="宋体" w:hint="default"/>
                          <w:sz w:val="18"/>
                          <w:szCs w:val="18"/>
                        </w:rPr>
                        <w:t>）发行，发行规模 </w:t>
                      </w:r>
                      <w:r>
                        <w:rPr>
                          <w:rFonts w:ascii="Times New Roman" w:hAnsi="Times New Roman" w:cs="Times New Roman" w:eastAsia="Times New Roman" w:hint="default"/>
                          <w:sz w:val="18"/>
                          <w:szCs w:val="18"/>
                        </w:rPr>
                        <w:t>30,000 </w:t>
                      </w:r>
                      <w:r>
                        <w:rPr>
                          <w:rFonts w:ascii="宋体" w:hAnsi="宋体" w:cs="宋体" w:eastAsia="宋体" w:hint="default"/>
                          <w:sz w:val="18"/>
                          <w:szCs w:val="18"/>
                        </w:rPr>
                        <w:t>万元（票面利率</w:t>
                      </w:r>
                      <w:r>
                        <w:rPr>
                          <w:rFonts w:ascii="宋体" w:hAnsi="宋体" w:cs="宋体" w:eastAsia="宋体" w:hint="default"/>
                          <w:spacing w:val="-74"/>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，债券期三年），扣除本次发行承销费用，募集资金到账净额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29,640 </w:t>
                      </w:r>
                      <w:r>
                        <w:rPr>
                          <w:rFonts w:ascii="宋体" w:hAnsi="宋体" w:cs="宋体" w:eastAsia="宋体" w:hint="default"/>
                          <w:sz w:val="18"/>
                          <w:szCs w:val="18"/>
                        </w:rPr>
                        <w:t>万元。经公司第四届董事会第三十五次会议、第四届监事会第三十二次会议及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年第三次临时股东大会审议，</w:t>
                      </w:r>
                    </w:p>
                    <w:p>
                      <w:pPr>
                        <w:spacing w:before="13"/>
                        <w:ind w:left="33" w:right="0" w:firstLine="0"/>
                        <w:jc w:val="both"/>
                        <w:rPr>
                          <w:rFonts w:ascii="宋体" w:hAnsi="宋体" w:cs="宋体" w:eastAsia="宋体" w:hint="default"/>
                          <w:sz w:val="18"/>
                          <w:szCs w:val="18"/>
                        </w:rPr>
                      </w:pPr>
                      <w:r>
                        <w:rPr>
                          <w:rFonts w:ascii="宋体" w:hAnsi="宋体" w:cs="宋体" w:eastAsia="宋体" w:hint="default"/>
                          <w:sz w:val="18"/>
                          <w:szCs w:val="18"/>
                        </w:rPr>
                        <w:t>同意本次非公开发行债券募集资金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亿元用于偿还金融机构借款，剩余资金用于补充营运资金。截止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r>
                    </w:p>
                    <w:p>
                      <w:pPr>
                        <w:spacing w:before="63"/>
                        <w:ind w:left="33" w:right="0" w:firstLine="0"/>
                        <w:jc w:val="both"/>
                        <w:rPr>
                          <w:rFonts w:ascii="宋体" w:hAnsi="宋体" w:cs="宋体" w:eastAsia="宋体" w:hint="default"/>
                          <w:sz w:val="18"/>
                          <w:szCs w:val="18"/>
                        </w:rPr>
                      </w:pPr>
                      <w:r>
                        <w:rPr>
                          <w:rFonts w:ascii="宋体" w:hAnsi="宋体" w:cs="宋体" w:eastAsia="宋体" w:hint="default"/>
                          <w:sz w:val="18"/>
                          <w:szCs w:val="18"/>
                        </w:rPr>
                        <w:t>已提取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亿元用于偿还金融机构借款，剩余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万元存放于募集资金专户。</w:t>
                      </w:r>
                    </w:p>
                  </w:txbxContent>
                </v:textbox>
                <w10:wrap type="none"/>
              </v:shape>
            </v:group>
          </v:group>
        </w:pict>
      </w:r>
      <w:r>
        <w:rPr>
          <w:rFonts w:ascii="宋体" w:hAnsi="宋体" w:cs="宋体" w:eastAsia="宋体" w:hint="default"/>
          <w:position w:val="-121"/>
          <w:sz w:val="20"/>
          <w:szCs w:val="20"/>
        </w:rPr>
      </w:r>
    </w:p>
    <w:p>
      <w:pPr>
        <w:spacing w:line="240" w:lineRule="auto" w:before="12"/>
        <w:rPr>
          <w:rFonts w:ascii="宋体" w:hAnsi="宋体" w:cs="宋体" w:eastAsia="宋体" w:hint="default"/>
          <w:sz w:val="18"/>
          <w:szCs w:val="18"/>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22"/>
        <w:gridCol w:w="725"/>
        <w:gridCol w:w="898"/>
        <w:gridCol w:w="895"/>
        <w:gridCol w:w="727"/>
        <w:gridCol w:w="898"/>
        <w:gridCol w:w="898"/>
        <w:gridCol w:w="727"/>
        <w:gridCol w:w="728"/>
        <w:gridCol w:w="898"/>
        <w:gridCol w:w="728"/>
        <w:gridCol w:w="727"/>
      </w:tblGrid>
      <w:tr>
        <w:trPr>
          <w:trHeight w:val="1652"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83" w:right="8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9"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3"/>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51"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运营 销售服 务网络 建设项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2,690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1,967.88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73.16%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 支付终 端设备 运营项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5,621</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3,041.83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54.12%</w:t>
            </w: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822.48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2"/>
        <w:gridCol w:w="725"/>
        <w:gridCol w:w="898"/>
        <w:gridCol w:w="895"/>
        <w:gridCol w:w="727"/>
        <w:gridCol w:w="898"/>
        <w:gridCol w:w="898"/>
        <w:gridCol w:w="727"/>
        <w:gridCol w:w="728"/>
        <w:gridCol w:w="898"/>
        <w:gridCol w:w="728"/>
        <w:gridCol w:w="727"/>
      </w:tblGrid>
      <w:tr>
        <w:trPr>
          <w:trHeight w:val="1649"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电子 支付技 术产研 基地建 设项目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15,306</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16,001.82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702.44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1,430.82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2"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项目 节余资 金永久 补充流 动资金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3,962.25</w:t>
            </w: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收购 公信诚 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p>
          <w:p>
            <w:pPr>
              <w:pStyle w:val="TableParagraph"/>
              <w:spacing w:line="316" w:lineRule="auto" w:before="5"/>
              <w:ind w:left="24" w:right="146"/>
              <w:jc w:val="left"/>
              <w:rPr>
                <w:rFonts w:ascii="宋体" w:hAnsi="宋体" w:cs="宋体" w:eastAsia="宋体" w:hint="default"/>
                <w:sz w:val="18"/>
                <w:szCs w:val="18"/>
              </w:rPr>
            </w:pPr>
            <w:r>
              <w:rPr>
                <w:rFonts w:ascii="宋体" w:hAnsi="宋体" w:cs="宋体" w:eastAsia="宋体" w:hint="default"/>
                <w:sz w:val="18"/>
                <w:szCs w:val="18"/>
              </w:rPr>
              <w:t>股权项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44,462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44,462</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44,516.69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4,004.45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19,363.72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归还 流动贷 款</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29,640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4" w:right="146"/>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97,719</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88,079</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89,490.47</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4,706.89</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21,617.02</w:t>
            </w:r>
          </w:p>
        </w:tc>
        <w:tc>
          <w:tcPr>
            <w:tcW w:w="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22" w:type="dxa"/>
            <w:vMerge/>
            <w:tcBorders>
              <w:left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98" w:type="dxa"/>
            <w:vMerge/>
            <w:tcBorders>
              <w:left w:val="single" w:sz="10" w:space="0" w:color="D2D2D2"/>
              <w:right w:val="single" w:sz="4" w:space="0" w:color="000000"/>
            </w:tcBorders>
          </w:tcPr>
          <w:p>
            <w:pPr/>
          </w:p>
        </w:tc>
        <w:tc>
          <w:tcPr>
            <w:tcW w:w="89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8" w:type="dxa"/>
            <w:vMerge/>
            <w:tcBorders>
              <w:left w:val="single" w:sz="10" w:space="0" w:color="D2D2D2"/>
              <w:right w:val="single" w:sz="4" w:space="0" w:color="000000"/>
            </w:tcBorders>
          </w:tcPr>
          <w:p>
            <w:pPr/>
          </w:p>
        </w:tc>
        <w:tc>
          <w:tcPr>
            <w:tcW w:w="898" w:type="dxa"/>
            <w:vMerge/>
            <w:tcBorders>
              <w:left w:val="single" w:sz="4" w:space="0" w:color="000000"/>
              <w:right w:val="single" w:sz="9" w:space="0" w:color="D2D2D2"/>
            </w:tcBorders>
          </w:tcPr>
          <w:p>
            <w:pPr/>
          </w:p>
        </w:tc>
        <w:tc>
          <w:tcPr>
            <w:tcW w:w="7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8"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2585"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电子 支付技 术苏州 研发基 地项目</w:t>
            </w:r>
          </w:p>
          <w:p>
            <w:pPr>
              <w:pStyle w:val="TableParagraph"/>
              <w:spacing w:line="309" w:lineRule="auto" w:before="20"/>
              <w:ind w:left="24" w:right="73"/>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苏州项 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25,684.61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25,684.61</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26,425.04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102.88%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w w:val="95"/>
                <w:sz w:val="18"/>
              </w:rPr>
              <w:t>1,178.74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w w:val="95"/>
                <w:sz w:val="18"/>
              </w:rPr>
              <w:t>1,344.36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 瑞柏泰 公司 </w:t>
            </w:r>
            <w:r>
              <w:rPr>
                <w:rFonts w:ascii="Times New Roman" w:hAnsi="Times New Roman" w:cs="Times New Roman" w:eastAsia="Times New Roman" w:hint="default"/>
                <w:sz w:val="18"/>
                <w:szCs w:val="18"/>
              </w:rPr>
              <w:t>20%</w:t>
            </w:r>
            <w:r>
              <w:rPr>
                <w:rFonts w:ascii="宋体" w:hAnsi="宋体" w:cs="宋体" w:eastAsia="宋体" w:hint="default"/>
                <w:sz w:val="18"/>
                <w:szCs w:val="18"/>
              </w:rPr>
              <w:t>股</w:t>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887.6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76"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增资 易联技 术公司 开展电 子支付 服务项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24pt;margin-top:71.999985pt;width:479.3pt;height:677.8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34"/>
                    <w:gridCol w:w="702"/>
                    <w:gridCol w:w="909"/>
                    <w:gridCol w:w="895"/>
                    <w:gridCol w:w="727"/>
                    <w:gridCol w:w="898"/>
                    <w:gridCol w:w="898"/>
                    <w:gridCol w:w="727"/>
                    <w:gridCol w:w="728"/>
                    <w:gridCol w:w="898"/>
                    <w:gridCol w:w="728"/>
                    <w:gridCol w:w="727"/>
                  </w:tblGrid>
                  <w:tr>
                    <w:trPr>
                      <w:trHeight w:val="317"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补充流 动资金</w:t>
                        </w:r>
                      </w:p>
                      <w:p>
                        <w:pPr>
                          <w:pStyle w:val="TableParagraph"/>
                          <w:spacing w:line="240" w:lineRule="auto" w:before="19"/>
                          <w:ind w:left="24" w:right="-20"/>
                          <w:jc w:val="left"/>
                          <w:rPr>
                            <w:rFonts w:ascii="宋体" w:hAnsi="宋体" w:cs="宋体" w:eastAsia="宋体" w:hint="default"/>
                            <w:sz w:val="18"/>
                            <w:szCs w:val="18"/>
                          </w:rPr>
                        </w:pPr>
                        <w:r>
                          <w:rPr>
                            <w:rFonts w:ascii="宋体" w:hAnsi="宋体" w:cs="宋体" w:eastAsia="宋体" w:hint="default"/>
                            <w:sz w:val="18"/>
                            <w:szCs w:val="18"/>
                          </w:rPr>
                          <w:t>（如有）</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90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16,400</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16,400</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3,664.04</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20,064.04</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122.34%</w:t>
                        </w: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34" w:type="dxa"/>
                        <w:vMerge/>
                        <w:tcBorders>
                          <w:left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09" w:type="dxa"/>
                        <w:vMerge/>
                        <w:tcBorders>
                          <w:left w:val="single" w:sz="10" w:space="0" w:color="D2D2D2"/>
                          <w:right w:val="single" w:sz="4" w:space="0" w:color="000000"/>
                        </w:tcBorders>
                      </w:tcPr>
                      <w:p>
                        <w:pPr/>
                      </w:p>
                    </w:tc>
                    <w:tc>
                      <w:tcPr>
                        <w:tcW w:w="89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909" w:type="dxa"/>
                        <w:vMerge/>
                        <w:tcBorders>
                          <w:left w:val="single" w:sz="10" w:space="0" w:color="D2D2D2"/>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超募资 金投向 小计</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90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54,084.61</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44,084.61</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3,664.04</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48,489.08</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1,178.74</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2,231.96</w:t>
                        </w:r>
                      </w:p>
                    </w:tc>
                    <w:tc>
                      <w:tcPr>
                        <w:tcW w:w="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34" w:type="dxa"/>
                        <w:vMerge/>
                        <w:tcBorders>
                          <w:left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09" w:type="dxa"/>
                        <w:vMerge/>
                        <w:tcBorders>
                          <w:left w:val="single" w:sz="10" w:space="0" w:color="D2D2D2"/>
                          <w:right w:val="single" w:sz="4" w:space="0" w:color="000000"/>
                        </w:tcBorders>
                      </w:tcPr>
                      <w:p>
                        <w:pPr/>
                      </w:p>
                    </w:tc>
                    <w:tc>
                      <w:tcPr>
                        <w:tcW w:w="89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8" w:type="dxa"/>
                        <w:vMerge/>
                        <w:tcBorders>
                          <w:left w:val="single" w:sz="10" w:space="0" w:color="D2D2D2"/>
                          <w:right w:val="single" w:sz="4" w:space="0" w:color="000000"/>
                        </w:tcBorders>
                      </w:tcPr>
                      <w:p>
                        <w:pPr/>
                      </w:p>
                    </w:tc>
                    <w:tc>
                      <w:tcPr>
                        <w:tcW w:w="898" w:type="dxa"/>
                        <w:vMerge/>
                        <w:tcBorders>
                          <w:left w:val="single" w:sz="4" w:space="0" w:color="000000"/>
                          <w:right w:val="single" w:sz="9" w:space="0" w:color="D2D2D2"/>
                        </w:tcBorders>
                      </w:tcPr>
                      <w:p>
                        <w:pPr/>
                      </w:p>
                    </w:tc>
                    <w:tc>
                      <w:tcPr>
                        <w:tcW w:w="7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909" w:type="dxa"/>
                        <w:vMerge/>
                        <w:tcBorders>
                          <w:left w:val="single" w:sz="10" w:space="0" w:color="D2D2D2"/>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8"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90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151,803.61</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132,163.61</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23,673.5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137,979.55</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5,885.63</w:t>
                        </w:r>
                      </w:p>
                    </w:tc>
                    <w:tc>
                      <w:tcPr>
                        <w:tcW w:w="898"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23,848.98</w:t>
                        </w:r>
                      </w:p>
                    </w:tc>
                    <w:tc>
                      <w:tcPr>
                        <w:tcW w:w="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09" w:type="dxa"/>
                        <w:vMerge/>
                        <w:tcBorders>
                          <w:left w:val="single" w:sz="10" w:space="0" w:color="D2D2D2"/>
                          <w:right w:val="single" w:sz="4" w:space="0" w:color="000000"/>
                        </w:tcBorders>
                      </w:tcPr>
                      <w:p>
                        <w:pPr/>
                      </w:p>
                    </w:tc>
                    <w:tc>
                      <w:tcPr>
                        <w:tcW w:w="89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9"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8" w:type="dxa"/>
                        <w:vMerge/>
                        <w:tcBorders>
                          <w:left w:val="single" w:sz="10" w:space="0" w:color="D2D2D2"/>
                          <w:right w:val="single" w:sz="4" w:space="0" w:color="000000"/>
                        </w:tcBorders>
                      </w:tcPr>
                      <w:p>
                        <w:pPr/>
                      </w:p>
                    </w:tc>
                    <w:tc>
                      <w:tcPr>
                        <w:tcW w:w="898" w:type="dxa"/>
                        <w:vMerge/>
                        <w:tcBorders>
                          <w:left w:val="single" w:sz="4" w:space="0" w:color="000000"/>
                          <w:right w:val="single" w:sz="9" w:space="0" w:color="D2D2D2"/>
                        </w:tcBorders>
                      </w:tcPr>
                      <w:p>
                        <w:pPr/>
                      </w:p>
                    </w:tc>
                    <w:tc>
                      <w:tcPr>
                        <w:tcW w:w="7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909" w:type="dxa"/>
                        <w:vMerge/>
                        <w:tcBorders>
                          <w:left w:val="single" w:sz="10" w:space="0" w:color="D2D2D2"/>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8"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9" w:space="0" w:color="D2D2D2"/>
                        </w:tcBorders>
                      </w:tcPr>
                      <w:p>
                        <w:pPr/>
                      </w:p>
                    </w:tc>
                    <w:tc>
                      <w:tcPr>
                        <w:tcW w:w="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103" w:hRule="exact"/>
                    </w:trPr>
                    <w:tc>
                      <w:tcPr>
                        <w:tcW w:w="734" w:type="dxa"/>
                        <w:tcBorders>
                          <w:top w:val="single" w:sz="4" w:space="0" w:color="000000"/>
                          <w:left w:val="single" w:sz="4" w:space="0" w:color="000000"/>
                          <w:bottom w:val="nil" w:sz="6" w:space="0" w:color="auto"/>
                          <w:right w:val="single" w:sz="13" w:space="0" w:color="FFFFFF"/>
                        </w:tcBorders>
                        <w:shd w:val="clear" w:color="auto" w:fill="D2D2D2"/>
                      </w:tcPr>
                      <w:p>
                        <w:pPr/>
                      </w:p>
                    </w:tc>
                    <w:tc>
                      <w:tcPr>
                        <w:tcW w:w="8836" w:type="dxa"/>
                        <w:gridSpan w:val="11"/>
                        <w:vMerge w:val="restart"/>
                        <w:tcBorders>
                          <w:top w:val="single" w:sz="4" w:space="0" w:color="000000"/>
                          <w:left w:val="single" w:sz="13" w:space="0" w:color="FFFFFF"/>
                          <w:right w:val="single" w:sz="4" w:space="0" w:color="000000"/>
                        </w:tcBorders>
                      </w:tcPr>
                      <w:p>
                        <w:pPr>
                          <w:pStyle w:val="TableParagraph"/>
                          <w:spacing w:line="309" w:lineRule="auto" w:before="51"/>
                          <w:ind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电子支付终端设备运营项目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的实施进度未能达到计划进度和预计收益，具体原因为：</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月，中国人 民银行发布中国人民银行令【</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4"/>
                            <w:w w:val="100"/>
                            <w:sz w:val="18"/>
                            <w:szCs w:val="18"/>
                          </w:rPr>
                          <w:t>号文件《非金融机构支付服务管理办法》（以下简称</w:t>
                        </w:r>
                        <w:r>
                          <w:rPr>
                            <w:rFonts w:ascii="Times New Roman" w:hAnsi="Times New Roman" w:cs="Times New Roman" w:eastAsia="Times New Roman" w:hint="default"/>
                            <w:spacing w:val="-4"/>
                            <w:w w:val="100"/>
                            <w:sz w:val="18"/>
                            <w:szCs w:val="18"/>
                          </w:rPr>
                          <w:t>“2</w:t>
                        </w:r>
                        <w:r>
                          <w:rPr>
                            <w:rFonts w:ascii="Times New Roman" w:hAnsi="Times New Roman" w:cs="Times New Roman" w:eastAsia="Times New Roman" w:hint="default"/>
                            <w:spacing w:val="5"/>
                            <w:w w:val="100"/>
                            <w:sz w:val="18"/>
                            <w:szCs w:val="18"/>
                          </w:rPr>
                          <w:t> </w:t>
                        </w:r>
                        <w:r>
                          <w:rPr>
                            <w:rFonts w:ascii="宋体" w:hAnsi="宋体" w:cs="宋体" w:eastAsia="宋体" w:hint="default"/>
                            <w:spacing w:val="-14"/>
                            <w:w w:val="100"/>
                            <w:sz w:val="18"/>
                            <w:szCs w:val="18"/>
                          </w:rPr>
                          <w:t>号令</w:t>
                        </w:r>
                        <w:r>
                          <w:rPr>
                            <w:rFonts w:ascii="Times New Roman" w:hAnsi="Times New Roman" w:cs="Times New Roman" w:eastAsia="Times New Roman" w:hint="default"/>
                            <w:spacing w:val="-14"/>
                            <w:w w:val="100"/>
                            <w:sz w:val="18"/>
                            <w:szCs w:val="18"/>
                          </w:rPr>
                          <w:t>”</w:t>
                        </w:r>
                        <w:r>
                          <w:rPr>
                            <w:rFonts w:ascii="宋体" w:hAnsi="宋体" w:cs="宋体" w:eastAsia="宋体" w:hint="default"/>
                            <w:spacing w:val="-14"/>
                            <w:w w:val="100"/>
                            <w:sz w:val="18"/>
                            <w:szCs w:val="18"/>
                          </w:rPr>
                          <w:t>），根据</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pacing w:val="-1"/>
                            <w:sz w:val="18"/>
                            <w:szCs w:val="18"/>
                          </w:rPr>
                          <w:t>该办法规定，国内非金融机构从事网上支付、预付卡的发行与受理、银行卡收单服务等业务的，必须通过中国人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民银行审批，并获得相关业务许可证书。电子支付终端设备运营项目的运营内容主要为与广州羊城通有限公司合</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作开展基于</w:t>
                        </w:r>
                        <w:r>
                          <w:rPr>
                            <w:rFonts w:ascii="Times New Roman" w:hAnsi="Times New Roman" w:cs="Times New Roman" w:eastAsia="Times New Roman" w:hint="default"/>
                            <w:sz w:val="18"/>
                            <w:szCs w:val="18"/>
                          </w:rPr>
                          <w:t>“</w:t>
                        </w:r>
                        <w:r>
                          <w:rPr>
                            <w:rFonts w:ascii="宋体" w:hAnsi="宋体" w:cs="宋体" w:eastAsia="宋体" w:hint="default"/>
                            <w:sz w:val="18"/>
                            <w:szCs w:val="18"/>
                          </w:rPr>
                          <w:t>羊城通</w:t>
                        </w:r>
                        <w:r>
                          <w:rPr>
                            <w:rFonts w:ascii="Times New Roman" w:hAnsi="Times New Roman" w:cs="Times New Roman" w:eastAsia="Times New Roman" w:hint="default"/>
                            <w:sz w:val="18"/>
                            <w:szCs w:val="18"/>
                          </w:rPr>
                          <w:t>”</w:t>
                        </w:r>
                        <w:r>
                          <w:rPr>
                            <w:rFonts w:ascii="宋体" w:hAnsi="宋体" w:cs="宋体" w:eastAsia="宋体" w:hint="default"/>
                            <w:sz w:val="18"/>
                            <w:szCs w:val="18"/>
                          </w:rPr>
                          <w:t>公交卡的小额支付合作运营业务，以及为商业银行、第三方提供设备租赁服务。由于受到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1"/>
                            <w:sz w:val="18"/>
                            <w:szCs w:val="18"/>
                          </w:rPr>
                          <w:t>号令实施和审批进度的影响，以及广州羊城通有限公司在申领预付卡发行与受理牌照的进度限制，本项目的实施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进度缓慢，项目一直未能达到预计收益。截止至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日，广州羊城通有限公司仍未能取得预付卡发</w:t>
                        </w:r>
                      </w:p>
                      <w:p>
                        <w:pPr>
                          <w:pStyle w:val="TableParagraph"/>
                          <w:spacing w:line="307" w:lineRule="auto" w:before="5"/>
                          <w:ind w:right="77"/>
                          <w:jc w:val="both"/>
                          <w:rPr>
                            <w:rFonts w:ascii="宋体" w:hAnsi="宋体" w:cs="宋体" w:eastAsia="宋体" w:hint="default"/>
                            <w:sz w:val="18"/>
                            <w:szCs w:val="18"/>
                          </w:rPr>
                        </w:pPr>
                        <w:r>
                          <w:rPr>
                            <w:rFonts w:ascii="宋体" w:hAnsi="宋体" w:cs="宋体" w:eastAsia="宋体" w:hint="default"/>
                            <w:sz w:val="18"/>
                            <w:szCs w:val="18"/>
                          </w:rPr>
                          <w:t>行与受理牌照，对公司电子支付终端设备运营项目直接产生影响。鉴于上述情况，公司于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 </w:t>
                        </w:r>
                        <w:r>
                          <w:rPr>
                            <w:rFonts w:ascii="宋体" w:hAnsi="宋体" w:cs="宋体" w:eastAsia="宋体" w:hint="default"/>
                            <w:spacing w:val="-2"/>
                            <w:sz w:val="18"/>
                            <w:szCs w:val="18"/>
                          </w:rPr>
                          <w:t>开第三届董事会第七次会议，审议通过《关于终止部分募投项目并将剩余募集资金永久补充流动资金的议案》，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w w:val="100"/>
                            <w:sz w:val="18"/>
                            <w:szCs w:val="18"/>
                          </w:rPr>
                          <w:t>同意终止募投项目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电子支付终端设备运营项目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的实施，并将该项目剩余资金（含利息收入）（资金转出当日银</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行结息余额为</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3,123.16</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万元（含利息））永久补充流动资金。</w:t>
                        </w:r>
                      </w:p>
                      <w:p>
                        <w:pPr>
                          <w:pStyle w:val="TableParagraph"/>
                          <w:spacing w:line="309" w:lineRule="auto" w:before="48"/>
                          <w:ind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（原募集资金承诺投资项目，实施地点：南京）的实施进度未能达到计划 </w:t>
                        </w:r>
                        <w:r>
                          <w:rPr>
                            <w:rFonts w:ascii="宋体" w:hAnsi="宋体" w:cs="宋体" w:eastAsia="宋体" w:hint="default"/>
                            <w:spacing w:val="-4"/>
                            <w:sz w:val="18"/>
                            <w:szCs w:val="18"/>
                          </w:rPr>
                          <w:t>进度和预计收益，具体原因为：政府原本规定的项目土地建设规划要点由</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建筑容积率</w:t>
                        </w:r>
                        <w:r>
                          <w:rPr>
                            <w:rFonts w:ascii="宋体" w:hAnsi="宋体" w:cs="宋体" w:eastAsia="宋体" w:hint="default"/>
                            <w:sz w:val="18"/>
                            <w:szCs w:val="18"/>
                          </w:rPr>
                          <w:t> </w:t>
                        </w:r>
                        <w:r>
                          <w:rPr>
                            <w:rFonts w:ascii="Times New Roman" w:hAnsi="Times New Roman" w:cs="Times New Roman" w:eastAsia="Times New Roman" w:hint="default"/>
                            <w:spacing w:val="-5"/>
                            <w:w w:val="100"/>
                            <w:sz w:val="18"/>
                            <w:szCs w:val="18"/>
                          </w:rPr>
                          <w:t>0.7</w:t>
                        </w:r>
                        <w:r>
                          <w:rPr>
                            <w:rFonts w:ascii="Times New Roman" w:hAnsi="Times New Roman" w:cs="Times New Roman" w:eastAsia="Times New Roman" w:hint="default"/>
                            <w:spacing w:val="-5"/>
                            <w:w w:val="100"/>
                            <w:sz w:val="18"/>
                            <w:szCs w:val="18"/>
                          </w:rPr>
                          <w:t>≤</w:t>
                        </w:r>
                        <w:r>
                          <w:rPr>
                            <w:rFonts w:ascii="Times New Roman" w:hAnsi="Times New Roman" w:cs="Times New Roman" w:eastAsia="Times New Roman" w:hint="default"/>
                            <w:spacing w:val="-5"/>
                            <w:w w:val="100"/>
                            <w:sz w:val="18"/>
                            <w:szCs w:val="18"/>
                          </w:rPr>
                          <w:t>R</w:t>
                        </w:r>
                        <w:r>
                          <w:rPr>
                            <w:rFonts w:ascii="Times New Roman" w:hAnsi="Times New Roman" w:cs="Times New Roman" w:eastAsia="Times New Roman" w:hint="default"/>
                            <w:spacing w:val="-5"/>
                            <w:w w:val="100"/>
                            <w:sz w:val="18"/>
                            <w:szCs w:val="18"/>
                          </w:rPr>
                          <w:t>≤</w:t>
                        </w:r>
                        <w:r>
                          <w:rPr>
                            <w:rFonts w:ascii="Times New Roman" w:hAnsi="Times New Roman" w:cs="Times New Roman" w:eastAsia="Times New Roman" w:hint="default"/>
                            <w:spacing w:val="-5"/>
                            <w:w w:val="100"/>
                            <w:sz w:val="18"/>
                            <w:szCs w:val="18"/>
                          </w:rPr>
                          <w:t>1.2</w:t>
                        </w:r>
                        <w:r>
                          <w:rPr>
                            <w:rFonts w:ascii="宋体" w:hAnsi="宋体" w:cs="宋体" w:eastAsia="宋体" w:hint="default"/>
                            <w:spacing w:val="-5"/>
                            <w:w w:val="100"/>
                            <w:sz w:val="18"/>
                            <w:szCs w:val="18"/>
                          </w:rPr>
                          <w:t>，建筑密度</w:t>
                        </w:r>
                        <w:r>
                          <w:rPr>
                            <w:rFonts w:ascii="Times New Roman" w:hAnsi="Times New Roman" w:cs="Times New Roman" w:eastAsia="Times New Roman" w:hint="default"/>
                            <w:spacing w:val="-5"/>
                            <w:w w:val="100"/>
                            <w:sz w:val="18"/>
                            <w:szCs w:val="18"/>
                          </w:rPr>
                          <w:t>≤</w:t>
                        </w:r>
                        <w:r>
                          <w:rPr>
                            <w:rFonts w:ascii="Times New Roman" w:hAnsi="Times New Roman" w:cs="Times New Roman" w:eastAsia="Times New Roman" w:hint="default"/>
                            <w:spacing w:val="-5"/>
                            <w:w w:val="100"/>
                            <w:sz w:val="18"/>
                            <w:szCs w:val="18"/>
                          </w:rPr>
                          <w:t>30%</w:t>
                        </w:r>
                        <w:r>
                          <w:rPr>
                            <w:rFonts w:ascii="Times New Roman" w:hAnsi="Times New Roman" w:cs="Times New Roman" w:eastAsia="Times New Roman" w:hint="default"/>
                            <w:spacing w:val="-30"/>
                            <w:w w:val="100"/>
                            <w:sz w:val="18"/>
                            <w:szCs w:val="18"/>
                          </w:rPr>
                          <w:t> </w:t>
                        </w:r>
                        <w:r>
                          <w:rPr>
                            <w:rFonts w:ascii="宋体" w:hAnsi="宋体" w:cs="宋体" w:eastAsia="宋体" w:hint="default"/>
                            <w:sz w:val="18"/>
                            <w:szCs w:val="18"/>
                          </w:rPr>
                          <w:t>建筑高度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米，绿地率</w:t>
                        </w:r>
                        <w:r>
                          <w:rPr>
                            <w:rFonts w:ascii="Times New Roman" w:hAnsi="Times New Roman" w:cs="Times New Roman" w:eastAsia="Times New Roman" w:hint="default"/>
                            <w:spacing w:val="-3"/>
                            <w:sz w:val="18"/>
                            <w:szCs w:val="18"/>
                          </w:rPr>
                          <w:t>≥45%”</w:t>
                        </w:r>
                        <w:r>
                          <w:rPr>
                            <w:rFonts w:ascii="宋体" w:hAnsi="宋体" w:cs="宋体" w:eastAsia="宋体" w:hint="default"/>
                            <w:spacing w:val="-3"/>
                            <w:sz w:val="18"/>
                            <w:szCs w:val="18"/>
                          </w:rPr>
                          <w:t>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建筑容积率</w:t>
                        </w:r>
                        <w:r>
                          <w:rPr>
                            <w:rFonts w:ascii="宋体" w:hAnsi="宋体" w:cs="宋体" w:eastAsia="宋体" w:hint="default"/>
                            <w:spacing w:val="4"/>
                            <w:sz w:val="18"/>
                            <w:szCs w:val="18"/>
                          </w:rPr>
                          <w:t> </w:t>
                        </w:r>
                        <w:r>
                          <w:rPr>
                            <w:rFonts w:ascii="Times New Roman" w:hAnsi="Times New Roman" w:cs="Times New Roman" w:eastAsia="Times New Roman" w:hint="default"/>
                            <w:spacing w:val="-4"/>
                            <w:sz w:val="18"/>
                            <w:szCs w:val="18"/>
                          </w:rPr>
                          <w:t>0.7</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
                            <w:sz w:val="18"/>
                            <w:szCs w:val="18"/>
                          </w:rPr>
                          <w:t>R</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，建筑密度</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，建筑高度</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米，绿地率</w:t>
                        </w:r>
                        <w:r>
                          <w:rPr>
                            <w:rFonts w:ascii="Times New Roman" w:hAnsi="Times New Roman" w:cs="Times New Roman" w:eastAsia="Times New Roman" w:hint="default"/>
                            <w:spacing w:val="-5"/>
                            <w:sz w:val="18"/>
                            <w:szCs w:val="18"/>
                          </w:rPr>
                          <w:t>≥45%”</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pacing w:val="-1"/>
                            <w:sz w:val="18"/>
                            <w:szCs w:val="18"/>
                          </w:rPr>
                          <w:t>建设规划要点的变更导致南京项目土地的原定建设方案无法正常实施，且根据新的建设规划要点，项目地块已经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无法满足公司使用需求。该项目于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年度股东大会审议通过，公司已将该项目建设内 </w:t>
                        </w:r>
                        <w:r>
                          <w:rPr>
                            <w:rFonts w:ascii="宋体" w:hAnsi="宋体" w:cs="宋体" w:eastAsia="宋体" w:hint="default"/>
                            <w:spacing w:val="-1"/>
                            <w:sz w:val="18"/>
                            <w:szCs w:val="18"/>
                          </w:rPr>
                          <w:t>容和投资资金分别迁移至深圳、苏州两地实施，其中在深圳，由公司通过租赁厂房的方式实施电子支付设备生产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中心；在苏州，由公司的控股子公司苏州新国都电子技术有限公司实施电子支付技术研发中心建设项目。</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电子支付技术苏州研发基地项目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达到预定可使用状态。该募 </w:t>
                        </w:r>
                        <w:r>
                          <w:rPr>
                            <w:rFonts w:ascii="宋体" w:hAnsi="宋体" w:cs="宋体" w:eastAsia="宋体" w:hint="default"/>
                            <w:spacing w:val="-3"/>
                            <w:sz w:val="18"/>
                            <w:szCs w:val="18"/>
                          </w:rPr>
                          <w:t>集资金投资项目的投产将有利于实现新技术研发和产能扩张，完善售后服务，提升公司的综合实力和核心竞争力</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保障公司在技术、产品和服务方面的行业领先地位。</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日，公司取得该项目产业园区的不动产权证书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项目运营还存在以下问题：（</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）持续运营所面临的最大问题在于人才招聘方面，公司人力资源部已通过与多家人</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1"/>
                            <w:sz w:val="18"/>
                            <w:szCs w:val="18"/>
                          </w:rPr>
                          <w:t>力资源公司合作，并为相关人才提供较优的薪资福利待遇，但实际招聘结果与预期相差较大，人员入职后流失率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也较高。虽然苏州、南京有众多高等院校，人才储备较充足，但相关人才毕业后更倾向于前往上海、南京、苏州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等大城市就业，苏州子公司位于镇级区域花桥，对人才缺乏聚集效应。目前中高端人才招聘已成为当地所有企业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所面对的共同难题。（</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）苏州新国都位于花桥经济开发区的金融服务外包基地，整个区域的公共交通设施还不完</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
                            <w:sz w:val="18"/>
                            <w:szCs w:val="18"/>
                          </w:rPr>
                          <w:t>善，员工出行以及客户来访较不便。目前整个区域暂无相关配套设施，当地企业或园区需自配便利店及餐厅以满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足员工基本生活需求。由于员工在当地生活工作不便利，对公司人员的稳定性造成一定影响。（</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）苏州研发中心</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
                            <w:sz w:val="18"/>
                            <w:szCs w:val="18"/>
                          </w:rPr>
                          <w:t>自运营后，公司面临该项目管理成本较高、沟通效率差强人意的困难。由于苏州新国都与深圳总部及生产基地有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较远的物理距离，日常两地工作沟通安排大部分通过电话会议形式进行，项目团队之间的沟通效率不高，特别在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苏州研发中心运营初期，在新项目研讨、项目困难解决等方面效果不佳（详见公告编号</w:t>
                        </w:r>
                        <w:r>
                          <w:rPr>
                            <w:rFonts w:ascii="Times New Roman" w:hAnsi="Times New Roman" w:cs="Times New Roman" w:eastAsia="Times New Roman" w:hint="default"/>
                            <w:spacing w:val="-4"/>
                            <w:sz w:val="18"/>
                            <w:szCs w:val="18"/>
                          </w:rPr>
                          <w:t>-2017-127</w:t>
                        </w:r>
                        <w:r>
                          <w:rPr>
                            <w:rFonts w:ascii="宋体" w:hAnsi="宋体" w:cs="宋体" w:eastAsia="宋体" w:hint="default"/>
                            <w:spacing w:val="-4"/>
                            <w:sz w:val="18"/>
                            <w:szCs w:val="18"/>
                          </w:rPr>
                          <w:t>）。</w:t>
                        </w:r>
                        <w:r>
                          <w:rPr>
                            <w:rFonts w:ascii="宋体" w:hAnsi="宋体" w:cs="宋体" w:eastAsia="宋体" w:hint="default"/>
                            <w:sz w:val="18"/>
                            <w:szCs w:val="18"/>
                          </w:rPr>
                        </w:r>
                      </w:p>
                      <w:p>
                        <w:pPr>
                          <w:pStyle w:val="TableParagraph"/>
                          <w:spacing w:line="300" w:lineRule="auto" w:before="46"/>
                          <w:ind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年在整体经济形势出现下行压力情况下，长沙公信诚丰信息技术服务有限公司因市场竞争激烈、业务开 </w:t>
                        </w:r>
                        <w:r>
                          <w:rPr>
                            <w:rFonts w:ascii="宋体" w:hAnsi="宋体" w:cs="宋体" w:eastAsia="宋体" w:hint="default"/>
                            <w:spacing w:val="-2"/>
                            <w:sz w:val="18"/>
                            <w:szCs w:val="18"/>
                          </w:rPr>
                          <w:t>拓不达预期等不利因素影响，实际经营情况未达预期，根据实际经营情况及未来的盈利预测，</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年末已对公司</w:t>
                        </w:r>
                        <w:r>
                          <w:rPr>
                            <w:rFonts w:ascii="宋体" w:hAnsi="宋体" w:cs="宋体" w:eastAsia="宋体" w:hint="default"/>
                            <w:spacing w:val="-72"/>
                            <w:sz w:val="18"/>
                            <w:szCs w:val="18"/>
                          </w:rPr>
                          <w:t> </w:t>
                        </w:r>
                        <w:r>
                          <w:rPr>
                            <w:rFonts w:ascii="宋体" w:hAnsi="宋体" w:cs="宋体" w:eastAsia="宋体" w:hint="default"/>
                            <w:sz w:val="18"/>
                            <w:szCs w:val="18"/>
                          </w:rPr>
                          <w:t>合并形成的商誉计提减值准备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14,794.01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2578" w:hRule="exact"/>
                    </w:trPr>
                    <w:tc>
                      <w:tcPr>
                        <w:tcW w:w="734"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316" w:lineRule="auto" w:before="49"/>
                          <w:ind w:left="24" w:right="146"/>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316" w:lineRule="auto" w:before="19"/>
                          <w:ind w:left="24" w:right="-32"/>
                          <w:jc w:val="left"/>
                          <w:rPr>
                            <w:rFonts w:ascii="宋体" w:hAnsi="宋体" w:cs="宋体" w:eastAsia="宋体" w:hint="default"/>
                            <w:sz w:val="18"/>
                            <w:szCs w:val="18"/>
                          </w:rPr>
                        </w:pPr>
                        <w:r>
                          <w:rPr>
                            <w:rFonts w:ascii="宋体" w:hAnsi="宋体" w:cs="宋体" w:eastAsia="宋体" w:hint="default"/>
                            <w:sz w:val="18"/>
                            <w:szCs w:val="18"/>
                          </w:rPr>
                          <w:t>（分具 体项目）</w:t>
                        </w:r>
                      </w:p>
                    </w:tc>
                    <w:tc>
                      <w:tcPr>
                        <w:tcW w:w="8836" w:type="dxa"/>
                        <w:gridSpan w:val="11"/>
                        <w:vMerge/>
                        <w:tcBorders>
                          <w:left w:val="single" w:sz="13" w:space="0" w:color="FFFFFF"/>
                          <w:right w:val="single" w:sz="4" w:space="0" w:color="000000"/>
                        </w:tcBorders>
                      </w:tcPr>
                      <w:p>
                        <w:pPr/>
                      </w:p>
                    </w:tc>
                  </w:tr>
                  <w:tr>
                    <w:trPr>
                      <w:trHeight w:val="4100" w:hRule="exact"/>
                    </w:trPr>
                    <w:tc>
                      <w:tcPr>
                        <w:tcW w:w="734" w:type="dxa"/>
                        <w:tcBorders>
                          <w:top w:val="nil" w:sz="6" w:space="0" w:color="auto"/>
                          <w:left w:val="single" w:sz="4" w:space="0" w:color="000000"/>
                          <w:bottom w:val="single" w:sz="4" w:space="0" w:color="000000"/>
                          <w:right w:val="single" w:sz="13" w:space="0" w:color="FFFFFF"/>
                        </w:tcBorders>
                        <w:shd w:val="clear" w:color="auto" w:fill="D2D2D2"/>
                      </w:tcPr>
                      <w:p>
                        <w:pPr/>
                      </w:p>
                    </w:tc>
                    <w:tc>
                      <w:tcPr>
                        <w:tcW w:w="8836" w:type="dxa"/>
                        <w:gridSpan w:val="11"/>
                        <w:vMerge/>
                        <w:tcBorders>
                          <w:left w:val="single" w:sz="13" w:space="0" w:color="FFFFFF"/>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pStyle w:val="BodyText"/>
        <w:spacing w:line="240" w:lineRule="auto" w:before="44"/>
        <w:ind w:left="0" w:right="1133"/>
        <w:jc w:val="right"/>
      </w:pPr>
      <w:r>
        <w:rPr/>
        <w:t>，</w:t>
      </w:r>
    </w:p>
    <w:p>
      <w:pPr>
        <w:pStyle w:val="BodyText"/>
        <w:spacing w:line="240" w:lineRule="auto" w:before="76"/>
        <w:ind w:left="0" w:right="113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1139"/>
        <w:jc w:val="right"/>
      </w:pPr>
      <w:r>
        <w:rPr/>
        <w:t>，</w:t>
      </w:r>
    </w:p>
    <w:p>
      <w:pPr>
        <w:pStyle w:val="BodyText"/>
        <w:spacing w:line="240" w:lineRule="auto" w:before="76"/>
        <w:ind w:left="0" w:right="1136"/>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44"/>
        <w:ind w:left="0" w:right="1133"/>
        <w:jc w:val="right"/>
      </w:pPr>
      <w:r>
        <w:rPr/>
        <w:pict>
          <v:shape style="position:absolute;margin-left:56.484001pt;margin-top:-47.548309pt;width:479.2pt;height:481.5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1"/>
                    <w:gridCol w:w="8848"/>
                  </w:tblGrid>
                  <w:tr>
                    <w:trPr>
                      <w:trHeight w:val="9220"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5"/>
                          <w:ind w:left="22" w:right="146"/>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、用超募资金增资深圳市易联技术有限公司（以下简称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易联技术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）开展</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电子支付服务项目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，项目可行性发生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重大变化，具体情况为：随着</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号令的推行，国内第三方支付市场发生重大变化，且市场竞争不断加剧。易联技 </w:t>
                        </w:r>
                        <w:r>
                          <w:rPr>
                            <w:rFonts w:ascii="宋体" w:hAnsi="宋体" w:cs="宋体" w:eastAsia="宋体" w:hint="default"/>
                            <w:spacing w:val="-1"/>
                            <w:sz w:val="18"/>
                            <w:szCs w:val="18"/>
                          </w:rPr>
                          <w:t>术开展电子支付服务项目，主要是为了推进小额支付运营业务的进展，计划申领预付卡发行和受理业务。由于公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司的小额支付运营业务受到阻碍，导致本项目无法实际开展，造成项目可行性发生重大变化。</w:t>
                        </w:r>
                        <w:r>
                          <w:rPr>
                            <w:rFonts w:ascii="Times New Roman" w:hAnsi="Times New Roman" w:cs="Times New Roman" w:eastAsia="Times New Roman" w:hint="default"/>
                            <w:spacing w:val="-3"/>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日</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年第一次临时股东大会审议通过了《审议终止深圳市易联技术有限公司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并退回其他</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与主营业务相关的营运资金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亿元的议案</w:t>
                        </w:r>
                        <w:r>
                          <w:rPr>
                            <w:rFonts w:ascii="宋体" w:hAnsi="宋体" w:cs="宋体" w:eastAsia="宋体" w:hint="default"/>
                            <w:spacing w:val="-92"/>
                            <w:sz w:val="18"/>
                            <w:szCs w:val="18"/>
                          </w:rPr>
                          <w:t>》</w:t>
                        </w:r>
                        <w:r>
                          <w:rPr>
                            <w:rFonts w:ascii="宋体" w:hAnsi="宋体" w:cs="宋体" w:eastAsia="宋体" w:hint="default"/>
                            <w:sz w:val="18"/>
                            <w:szCs w:val="18"/>
                          </w:rPr>
                          <w:t>，终止该项目的</w:t>
                        </w:r>
                        <w:r>
                          <w:rPr>
                            <w:rFonts w:ascii="宋体" w:hAnsi="宋体" w:cs="宋体" w:eastAsia="宋体" w:hint="default"/>
                            <w:spacing w:val="2"/>
                            <w:sz w:val="18"/>
                            <w:szCs w:val="18"/>
                          </w:rPr>
                          <w:t>实</w:t>
                        </w:r>
                        <w:r>
                          <w:rPr>
                            <w:rFonts w:ascii="宋体" w:hAnsi="宋体" w:cs="宋体" w:eastAsia="宋体" w:hint="default"/>
                            <w:sz w:val="18"/>
                            <w:szCs w:val="18"/>
                          </w:rPr>
                          <w:t>施，以提高超募资金的使用效率。</w:t>
                        </w:r>
                      </w:p>
                      <w:p>
                        <w:pPr>
                          <w:pStyle w:val="TableParagraph"/>
                          <w:spacing w:line="304" w:lineRule="auto" w:before="101"/>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、电子支付终端设备运营项目：</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月，中国人民银行发布中国人民银行令【</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号文件《非金融</w:t>
                        </w:r>
                        <w:r>
                          <w:rPr>
                            <w:rFonts w:ascii="宋体" w:hAnsi="宋体" w:cs="宋体" w:eastAsia="宋体" w:hint="default"/>
                            <w:sz w:val="18"/>
                            <w:szCs w:val="18"/>
                          </w:rPr>
                          <w:t> </w:t>
                        </w:r>
                        <w:r>
                          <w:rPr>
                            <w:rFonts w:ascii="宋体" w:hAnsi="宋体" w:cs="宋体" w:eastAsia="宋体" w:hint="default"/>
                            <w:spacing w:val="-6"/>
                            <w:w w:val="100"/>
                            <w:sz w:val="18"/>
                            <w:szCs w:val="18"/>
                          </w:rPr>
                          <w:t>机构支付服务管理办法》（以下简称</w:t>
                        </w:r>
                        <w:r>
                          <w:rPr>
                            <w:rFonts w:ascii="Times New Roman" w:hAnsi="Times New Roman" w:cs="Times New Roman" w:eastAsia="Times New Roman" w:hint="default"/>
                            <w:spacing w:val="-6"/>
                            <w:w w:val="100"/>
                            <w:sz w:val="18"/>
                            <w:szCs w:val="18"/>
                          </w:rPr>
                          <w:t>“2</w:t>
                        </w:r>
                        <w:r>
                          <w:rPr>
                            <w:rFonts w:ascii="Times New Roman" w:hAnsi="Times New Roman" w:cs="Times New Roman" w:eastAsia="Times New Roman" w:hint="default"/>
                            <w:spacing w:val="38"/>
                            <w:w w:val="100"/>
                            <w:sz w:val="18"/>
                            <w:szCs w:val="18"/>
                          </w:rPr>
                          <w:t> </w:t>
                        </w:r>
                        <w:r>
                          <w:rPr>
                            <w:rFonts w:ascii="宋体" w:hAnsi="宋体" w:cs="宋体" w:eastAsia="宋体" w:hint="default"/>
                            <w:spacing w:val="-4"/>
                            <w:w w:val="100"/>
                            <w:sz w:val="18"/>
                            <w:szCs w:val="18"/>
                          </w:rPr>
                          <w:t>号令</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），根据该办法规定，国内非金融机构从事网上支付、预付卡的发行</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pacing w:val="-1"/>
                            <w:sz w:val="18"/>
                            <w:szCs w:val="18"/>
                          </w:rPr>
                          <w:t>与受理、银行卡收单服务等业务的，必须通过中国人民银行审批，并获得相关业务许可证书。电子支付终端设备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运营项目的运营内容主要为与广州羊城通有限公司合作开展基于</w:t>
                        </w:r>
                        <w:r>
                          <w:rPr>
                            <w:rFonts w:ascii="Times New Roman" w:hAnsi="Times New Roman" w:cs="Times New Roman" w:eastAsia="Times New Roman" w:hint="default"/>
                            <w:sz w:val="18"/>
                            <w:szCs w:val="18"/>
                          </w:rPr>
                          <w:t>“</w:t>
                        </w:r>
                        <w:r>
                          <w:rPr>
                            <w:rFonts w:ascii="宋体" w:hAnsi="宋体" w:cs="宋体" w:eastAsia="宋体" w:hint="default"/>
                            <w:sz w:val="18"/>
                            <w:szCs w:val="18"/>
                          </w:rPr>
                          <w:t>羊城通</w:t>
                        </w:r>
                        <w:r>
                          <w:rPr>
                            <w:rFonts w:ascii="Times New Roman" w:hAnsi="Times New Roman" w:cs="Times New Roman" w:eastAsia="Times New Roman" w:hint="default"/>
                            <w:sz w:val="18"/>
                            <w:szCs w:val="18"/>
                          </w:rPr>
                          <w:t>”</w:t>
                        </w:r>
                        <w:r>
                          <w:rPr>
                            <w:rFonts w:ascii="宋体" w:hAnsi="宋体" w:cs="宋体" w:eastAsia="宋体" w:hint="default"/>
                            <w:sz w:val="18"/>
                            <w:szCs w:val="18"/>
                          </w:rPr>
                          <w:t>公交卡的小额支付合作运营业务，以及 为商业银行、第三方提供设备租赁服务。由于受到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号令实施和审批进度的影响，以及广州羊城通有限公司在</w:t>
                        </w:r>
                      </w:p>
                      <w:p>
                        <w:pPr>
                          <w:pStyle w:val="TableParagraph"/>
                          <w:spacing w:line="240" w:lineRule="auto" w:before="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申领预付卡发行与受理牌照的进度限制，本项目的实施进度缓慢，项目一直未能达到预计收益。截止至</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日，广州羊城通有限公司仍未能取得预付卡发行与受理牌照，对公司电子支付终端设备运营项目直接产生</w:t>
                        </w:r>
                      </w:p>
                      <w:p>
                        <w:pPr>
                          <w:pStyle w:val="TableParagraph"/>
                          <w:spacing w:line="300" w:lineRule="auto" w:before="63"/>
                          <w:ind w:left="24" w:right="23"/>
                          <w:jc w:val="left"/>
                          <w:rPr>
                            <w:rFonts w:ascii="宋体" w:hAnsi="宋体" w:cs="宋体" w:eastAsia="宋体" w:hint="default"/>
                            <w:sz w:val="18"/>
                            <w:szCs w:val="18"/>
                          </w:rPr>
                        </w:pPr>
                        <w:r>
                          <w:rPr>
                            <w:rFonts w:ascii="宋体" w:hAnsi="宋体" w:cs="宋体" w:eastAsia="宋体" w:hint="default"/>
                            <w:spacing w:val="-4"/>
                            <w:sz w:val="18"/>
                            <w:szCs w:val="18"/>
                          </w:rPr>
                          <w:t>影响。鉴于上述情况，公司于</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日召开第三届董事会第七次会议，审议通过《关于终止部分募投项 </w:t>
                        </w:r>
                        <w:r>
                          <w:rPr>
                            <w:rFonts w:ascii="宋体" w:hAnsi="宋体" w:cs="宋体" w:eastAsia="宋体" w:hint="default"/>
                            <w:spacing w:val="-2"/>
                            <w:w w:val="100"/>
                            <w:sz w:val="18"/>
                            <w:szCs w:val="18"/>
                          </w:rPr>
                          <w:t>目并将剩余募集资金永久补充流动资金的议案》，同意终止募投项目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电子支付终端设备运营项目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的实施，并将</w:t>
                        </w:r>
                        <w:r>
                          <w:rPr>
                            <w:rFonts w:ascii="宋体" w:hAnsi="宋体" w:cs="宋体" w:eastAsia="宋体" w:hint="default"/>
                            <w:spacing w:val="-82"/>
                            <w:w w:val="100"/>
                            <w:sz w:val="18"/>
                            <w:szCs w:val="18"/>
                          </w:rPr>
                          <w:t> </w:t>
                        </w:r>
                        <w:r>
                          <w:rPr>
                            <w:rFonts w:ascii="宋体" w:hAnsi="宋体" w:cs="宋体" w:eastAsia="宋体" w:hint="default"/>
                            <w:spacing w:val="-4"/>
                            <w:sz w:val="18"/>
                            <w:szCs w:val="18"/>
                          </w:rPr>
                          <w:t>该项目剩余资金（含利息收入）（资金转出当日银行结息余额为</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3,123.16</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万元（含利息））永久补充流动资金。</w:t>
                        </w:r>
                      </w:p>
                      <w:p>
                        <w:pPr>
                          <w:pStyle w:val="TableParagraph"/>
                          <w:spacing w:line="307" w:lineRule="auto" w:before="53"/>
                          <w:ind w:left="24" w:right="-8"/>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日公司与深圳市瑞柏泰电子有限公司股东签署《深圳市新国都技术股份有限公司与蔡敏及深圳 </w:t>
                        </w:r>
                        <w:r>
                          <w:rPr>
                            <w:rFonts w:ascii="宋体" w:hAnsi="宋体" w:cs="宋体" w:eastAsia="宋体" w:hint="default"/>
                            <w:spacing w:val="-2"/>
                            <w:sz w:val="18"/>
                            <w:szCs w:val="18"/>
                          </w:rPr>
                          <w:t>市柏士泰科技有限公司关于深圳市瑞柏泰电子有限公司之股权回购协议》，该事项已经公司第三届董事会第三十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次会议和第三届监事会第二十九次会议审议通过，根据公司与蔡敏女士于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月签订的《股权受让合同》 约定，新国都受让深圳市瑞柏泰电子有限公司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股权。后蔡敏女士将其持有的瑞柏泰</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股权全部转让至其设 </w:t>
                        </w:r>
                        <w:r>
                          <w:rPr>
                            <w:rFonts w:ascii="宋体" w:hAnsi="宋体" w:cs="宋体" w:eastAsia="宋体" w:hint="default"/>
                            <w:spacing w:val="-3"/>
                            <w:w w:val="100"/>
                            <w:sz w:val="18"/>
                            <w:szCs w:val="18"/>
                          </w:rPr>
                          <w:t>立并控制的深圳市柏士泰科技有限公司（以下简称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柏士泰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）。考虑到自公司受让瑞柏泰</w:t>
                        </w:r>
                        <w:r>
                          <w:rPr>
                            <w:rFonts w:ascii="宋体" w:hAnsi="宋体" w:cs="宋体" w:eastAsia="宋体" w:hint="default"/>
                            <w:spacing w:val="-33"/>
                            <w:w w:val="100"/>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股权后，公司和瑞</w:t>
                        </w:r>
                        <w:r>
                          <w:rPr>
                            <w:rFonts w:ascii="宋体" w:hAnsi="宋体" w:cs="宋体" w:eastAsia="宋体" w:hint="default"/>
                            <w:spacing w:val="-64"/>
                            <w:sz w:val="18"/>
                            <w:szCs w:val="18"/>
                          </w:rPr>
                          <w:t> </w:t>
                        </w:r>
                        <w:r>
                          <w:rPr>
                            <w:rFonts w:ascii="宋体" w:hAnsi="宋体" w:cs="宋体" w:eastAsia="宋体" w:hint="default"/>
                            <w:sz w:val="18"/>
                            <w:szCs w:val="18"/>
                          </w:rPr>
                          <w:t>柏泰的业务合作、团队整合等方面未达预期，同时公司和瑞柏泰的业务模式和未来发展战略存在差异，经公司、</w:t>
                        </w:r>
                        <w:r>
                          <w:rPr>
                            <w:rFonts w:ascii="宋体" w:hAnsi="宋体" w:cs="宋体" w:eastAsia="宋体" w:hint="default"/>
                            <w:sz w:val="18"/>
                            <w:szCs w:val="18"/>
                          </w:rPr>
                          <w:t> </w:t>
                        </w:r>
                        <w:r>
                          <w:rPr>
                            <w:rFonts w:ascii="宋体" w:hAnsi="宋体" w:cs="宋体" w:eastAsia="宋体" w:hint="default"/>
                            <w:spacing w:val="-1"/>
                            <w:sz w:val="18"/>
                            <w:szCs w:val="18"/>
                          </w:rPr>
                          <w:t>蔡敏女士及柏士泰友好协商，各方一致同意，由柏士泰受让公司持有瑞柏泰的全部股权，包括公司根据《股权受</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让合同》受让的瑞柏泰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的股权及柏士泰依据相关合同及协议应无偿转让给公司的瑞柏泰的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股权，股权转 让价格为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2,860 </w:t>
                        </w:r>
                        <w:r>
                          <w:rPr>
                            <w:rFonts w:ascii="宋体" w:hAnsi="宋体" w:cs="宋体" w:eastAsia="宋体" w:hint="default"/>
                            <w:sz w:val="18"/>
                            <w:szCs w:val="18"/>
                          </w:rPr>
                          <w:t>万元，于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日完成了工商变更手续。</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日，经各方协商并经公司第三 </w:t>
                        </w:r>
                        <w:r>
                          <w:rPr>
                            <w:rFonts w:ascii="宋体" w:hAnsi="宋体" w:cs="宋体" w:eastAsia="宋体" w:hint="default"/>
                            <w:spacing w:val="-1"/>
                            <w:sz w:val="18"/>
                            <w:szCs w:val="18"/>
                          </w:rPr>
                          <w:t>届董事会第三十六次会议审议通过，公司与蔡敏及柏士泰签署《深圳市新国都技术股份有限公司与蔡敏及深圳市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柏士泰科技有限公司关于深圳市瑞柏泰电子有限公司之股权回购协议之补充协议（二）》，对股权回购价格的支付</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约定修改为</w:t>
                        </w:r>
                        <w:r>
                          <w:rPr>
                            <w:rFonts w:ascii="Times New Roman" w:hAnsi="Times New Roman" w:cs="Times New Roman" w:eastAsia="Times New Roman" w:hint="default"/>
                            <w:sz w:val="18"/>
                            <w:szCs w:val="18"/>
                          </w:rPr>
                          <w:t>“</w:t>
                        </w:r>
                        <w:r>
                          <w:rPr>
                            <w:rFonts w:ascii="宋体" w:hAnsi="宋体" w:cs="宋体" w:eastAsia="宋体" w:hint="default"/>
                            <w:sz w:val="18"/>
                            <w:szCs w:val="18"/>
                          </w:rPr>
                          <w:t>本次股权转让的工商变更手续办理完毕之日起七个自然月内，丙方向甲方指定银行账户支付回购款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，具体详见公司披露于巨潮资讯网的相关公告。</w:t>
                        </w:r>
                      </w:p>
                    </w:tc>
                  </w:tr>
                  <w:tr>
                    <w:trPr>
                      <w:trHeight w:val="401"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超募资</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1"/>
        <w:gridCol w:w="8848"/>
      </w:tblGrid>
      <w:tr>
        <w:trPr>
          <w:trHeight w:val="11947" w:hRule="exact"/>
        </w:trPr>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8"/>
              <w:ind w:left="22" w:right="22"/>
              <w:jc w:val="left"/>
              <w:rPr>
                <w:rFonts w:ascii="宋体" w:hAnsi="宋体" w:cs="宋体" w:eastAsia="宋体" w:hint="default"/>
                <w:sz w:val="18"/>
                <w:szCs w:val="18"/>
              </w:rPr>
            </w:pPr>
            <w:r>
              <w:rPr>
                <w:rFonts w:ascii="宋体" w:hAnsi="宋体" w:cs="宋体" w:eastAsia="宋体" w:hint="default"/>
                <w:sz w:val="18"/>
                <w:szCs w:val="18"/>
              </w:rPr>
              <w:t>金的金 </w:t>
            </w:r>
            <w:r>
              <w:rPr>
                <w:rFonts w:ascii="宋体" w:hAnsi="宋体" w:cs="宋体" w:eastAsia="宋体" w:hint="default"/>
                <w:spacing w:val="-14"/>
                <w:sz w:val="18"/>
                <w:szCs w:val="18"/>
              </w:rPr>
              <w:t>额、用途</w:t>
            </w:r>
            <w:r>
              <w:rPr>
                <w:rFonts w:ascii="宋体" w:hAnsi="宋体" w:cs="宋体" w:eastAsia="宋体" w:hint="default"/>
                <w:sz w:val="18"/>
                <w:szCs w:val="18"/>
              </w:rPr>
              <w:t> 及使用 进展情 况</w:t>
            </w:r>
          </w:p>
        </w:tc>
        <w:tc>
          <w:tcPr>
            <w:tcW w:w="884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年第一次临时股东大会会议于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日召开，审议通过了《关于审议使用部分其他与主营业务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相关的营运资金对全资子公司深圳市新国都软件技术有限公司增资的议案》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公司于</w:t>
            </w:r>
            <w:r>
              <w:rPr>
                <w:rFonts w:ascii="宋体" w:hAnsi="宋体" w:cs="宋体" w:eastAsia="宋体" w:hint="default"/>
                <w:spacing w:val="-1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日使用超募资</w:t>
            </w:r>
          </w:p>
          <w:p>
            <w:pPr>
              <w:pStyle w:val="TableParagraph"/>
              <w:spacing w:line="302"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亿增资新国都软件公司。（注：现已更名为深圳市易联技术有限公司）。</w:t>
            </w:r>
            <w:r>
              <w:rPr>
                <w:rFonts w:ascii="Times New Roman" w:hAnsi="Times New Roman" w:cs="Times New Roman" w:eastAsia="Times New Roman" w:hint="default"/>
                <w:spacing w:val="-7"/>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日，经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 临时股东大会审议通过了《审议终止深圳市易联技术有限公司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并退回其他与主营业务相关的 营运资金</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亿元的议案》，终止该项目的实施。</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、本公司于</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日召开第二届董事会第二次会议，会</w:t>
            </w:r>
            <w:r>
              <w:rPr>
                <w:rFonts w:ascii="宋体" w:hAnsi="宋体" w:cs="宋体" w:eastAsia="宋体" w:hint="default"/>
                <w:sz w:val="18"/>
                <w:szCs w:val="18"/>
              </w:rPr>
              <w:t> </w:t>
            </w:r>
            <w:r>
              <w:rPr>
                <w:rFonts w:ascii="宋体" w:hAnsi="宋体" w:cs="宋体" w:eastAsia="宋体" w:hint="default"/>
                <w:spacing w:val="-2"/>
                <w:w w:val="100"/>
                <w:sz w:val="18"/>
                <w:szCs w:val="18"/>
              </w:rPr>
              <w:t>议通过了《关于投资建设</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电子支付技术苏州研发基地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的议案》，同意从其他与主营业务相关的营运资金</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超募资</w:t>
            </w:r>
            <w:r>
              <w:rPr>
                <w:rFonts w:ascii="宋体" w:hAnsi="宋体" w:cs="宋体" w:eastAsia="宋体" w:hint="default"/>
                <w:spacing w:val="-80"/>
                <w:w w:val="100"/>
                <w:sz w:val="18"/>
                <w:szCs w:val="18"/>
              </w:rPr>
              <w:t> </w:t>
            </w: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中支出 </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亿元人民币，以货币资金形式对苏州新国都投资。</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日召开第二届董 </w:t>
            </w:r>
            <w:r>
              <w:rPr>
                <w:rFonts w:ascii="宋体" w:hAnsi="宋体" w:cs="宋体" w:eastAsia="宋体" w:hint="default"/>
                <w:spacing w:val="-2"/>
                <w:sz w:val="18"/>
                <w:szCs w:val="18"/>
              </w:rPr>
              <w:t>事会第三次会议，会议通过了《关于使用部分超募资金永久补充流动资金的议案》，同意公司使用部分超募资金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万元永久补充流动资金；</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月，公司从募集资金账户支取人民币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 </w:t>
            </w:r>
            <w:r>
              <w:rPr>
                <w:rFonts w:ascii="宋体" w:hAnsi="宋体" w:cs="宋体" w:eastAsia="宋体" w:hint="default"/>
                <w:sz w:val="18"/>
                <w:szCs w:val="18"/>
              </w:rPr>
              <w:t>万元用于永久补充流动资</w:t>
            </w:r>
          </w:p>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年第一次临时股东大会，会议审议通过了《审议使用部分超募资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金永久补充流动资金的议案</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同意公司使用部分超募资金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w:t>
            </w:r>
            <w:r>
              <w:rPr>
                <w:rFonts w:ascii="宋体" w:hAnsi="宋体" w:cs="宋体" w:eastAsia="宋体" w:hint="default"/>
                <w:spacing w:val="-26"/>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w:t>
            </w:r>
            <w:r>
              <w:rPr>
                <w:rFonts w:ascii="宋体" w:hAnsi="宋体" w:cs="宋体" w:eastAsia="宋体" w:hint="default"/>
                <w:spacing w:val="-24"/>
                <w:sz w:val="18"/>
                <w:szCs w:val="18"/>
              </w:rPr>
              <w:t>，</w:t>
            </w:r>
            <w:r>
              <w:rPr>
                <w:rFonts w:ascii="宋体" w:hAnsi="宋体" w:cs="宋体" w:eastAsia="宋体" w:hint="default"/>
                <w:sz w:val="18"/>
                <w:szCs w:val="18"/>
              </w:rPr>
              <w:t>公司从</w:t>
            </w:r>
          </w:p>
          <w:p>
            <w:pPr>
              <w:pStyle w:val="TableParagraph"/>
              <w:spacing w:line="304" w:lineRule="auto" w:before="63"/>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募集资金账户支取人民币</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3,700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万元用于永久补充流动资金。</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日召开第二届董事会 第十次会议，会议通过了《审议收购深圳市瑞柏泰电子有限公司</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股权的议案》，同意公司使用超募资金人民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万元向蔡敏女士购买其所持瑞柏泰公司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日，公司从募集资金账户转出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 元。新国都受让深圳市瑞柏泰电子有限公司</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股权后，蔡敏女士将其持有的瑞柏泰</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股权全部转让至其设立 </w:t>
            </w:r>
            <w:r>
              <w:rPr>
                <w:rFonts w:ascii="宋体" w:hAnsi="宋体" w:cs="宋体" w:eastAsia="宋体" w:hint="default"/>
                <w:spacing w:val="-5"/>
                <w:w w:val="100"/>
                <w:sz w:val="18"/>
                <w:szCs w:val="18"/>
              </w:rPr>
              <w:t>并控制的深圳市柏士泰科技有限公司（以下简称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柏士泰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w:t>
            </w:r>
            <w:r>
              <w:rPr>
                <w:rFonts w:ascii="Times New Roman" w:hAnsi="Times New Roman" w:cs="Times New Roman" w:eastAsia="Times New Roman" w:hint="default"/>
                <w:spacing w:val="-5"/>
                <w:w w:val="100"/>
                <w:sz w:val="18"/>
                <w:szCs w:val="18"/>
              </w:rPr>
              <w:t>2016</w:t>
            </w:r>
            <w:r>
              <w:rPr>
                <w:rFonts w:ascii="Times New Roman" w:hAnsi="Times New Roman" w:cs="Times New Roman" w:eastAsia="Times New Roman" w:hint="default"/>
                <w:spacing w:val="6"/>
                <w:w w:val="100"/>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日公司与深圳市瑞柏泰电子有限公司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股东签署《深圳市新国都技术股份有限公司与蔡敏及深圳市柏士泰科技有限公司关于深圳市瑞柏泰电子有限公司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之股权回购协议》，该事项已经公司第三届监事会第二十九次会议及第三届董事会第三十次会议审议通过，考虑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到自公司受让瑞柏泰</w:t>
            </w:r>
            <w:r>
              <w:rPr>
                <w:rFonts w:ascii="宋体" w:hAnsi="宋体" w:cs="宋体" w:eastAsia="宋体" w:hint="default"/>
                <w:spacing w:val="-21"/>
                <w:sz w:val="18"/>
                <w:szCs w:val="18"/>
              </w:rPr>
              <w:t> </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股权后，公司和瑞柏泰的业务合作、团队整合等方面未达预期，同时公司和瑞柏泰的业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务模式和未来发展战略存在差异，经公司、蔡敏女士及柏士泰友好协商，各方一致同意，由柏士泰受让公司持有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瑞柏泰的全部股权，包括公司根据《股权受让合同》受让的瑞柏泰</w:t>
            </w:r>
            <w:r>
              <w:rPr>
                <w:rFonts w:ascii="宋体" w:hAnsi="宋体" w:cs="宋体" w:eastAsia="宋体" w:hint="default"/>
                <w:spacing w:val="-23"/>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的股权及柏士泰依据相关合同及协议应无</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偿转让给公司的瑞柏泰的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股权，终止此超募资金项目，股权转让价格为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2,860 </w:t>
            </w:r>
            <w:r>
              <w:rPr>
                <w:rFonts w:ascii="宋体" w:hAnsi="宋体" w:cs="宋体" w:eastAsia="宋体" w:hint="default"/>
                <w:sz w:val="18"/>
                <w:szCs w:val="18"/>
              </w:rPr>
              <w:t>万元，本次股权转让已于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309" w:lineRule="auto" w:before="9"/>
              <w:ind w:left="24" w:right="1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日办理完成工商变更手续。具体详见公司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日披露于巨潮资讯网的相关公告。根据《股权 回购协议》约定：柏士泰应于本次股权转让事项工商手续变更完毕之日起三个自然月内，向新国都支付回购款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万元；《股权回购协议》之补充协议（二）将上述支付条款变更为：本次股权转让的工商变更手续办理完毕</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之日起七个自然月内，丙方向甲方指定银行账户支付回购款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2,360 </w:t>
            </w:r>
            <w:r>
              <w:rPr>
                <w:rFonts w:ascii="宋体" w:hAnsi="宋体" w:cs="宋体" w:eastAsia="宋体" w:hint="default"/>
                <w:sz w:val="18"/>
                <w:szCs w:val="18"/>
              </w:rPr>
              <w:t>万元。经本公司第三届董事会第三十一次会议</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和第三届监事会第三十次会议审议通过，及公司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年第四次临时股东大会批准，本次股权转让交易所得款项</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将用于暂时性补充流动资金。本公司招商银行车公庙支行账户于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日分别收到</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瑞柏泰回购股权款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 </w:t>
            </w:r>
            <w:r>
              <w:rPr>
                <w:rFonts w:ascii="宋体" w:hAnsi="宋体" w:cs="宋体" w:eastAsia="宋体" w:hint="default"/>
                <w:sz w:val="18"/>
                <w:szCs w:val="18"/>
              </w:rPr>
              <w:t>万元，并于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日将实际用于暂时补充流动资金人民币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2,360 </w:t>
            </w:r>
            <w:r>
              <w:rPr>
                <w:rFonts w:ascii="宋体" w:hAnsi="宋体" w:cs="宋体" w:eastAsia="宋体" w:hint="default"/>
                <w:sz w:val="18"/>
                <w:szCs w:val="18"/>
              </w:rPr>
              <w:t>万</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元归还至公司募集资金专用账户。</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日，公司收到瑞柏泰回购股权尾款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日，出售瑞柏泰</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的股权款</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万元已全部收回，全部存放于募集资金专户。</w:t>
            </w:r>
            <w:r>
              <w:rPr>
                <w:rFonts w:ascii="Times New Roman" w:hAnsi="Times New Roman" w:cs="Times New Roman" w:eastAsia="Times New Roman" w:hint="default"/>
                <w:sz w:val="18"/>
                <w:szCs w:val="18"/>
              </w:rPr>
              <w:t>6</w:t>
            </w:r>
            <w:r>
              <w:rPr>
                <w:rFonts w:ascii="宋体" w:hAnsi="宋体" w:cs="宋体" w:eastAsia="宋体" w:hint="default"/>
                <w:sz w:val="18"/>
                <w:szCs w:val="18"/>
              </w:rPr>
              <w:t>、本公司于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日召开第二届董事会第十</w:t>
            </w:r>
            <w:r>
              <w:rPr>
                <w:rFonts w:ascii="宋体" w:hAnsi="宋体" w:cs="宋体" w:eastAsia="宋体" w:hint="default"/>
                <w:spacing w:val="-3"/>
                <w:sz w:val="18"/>
                <w:szCs w:val="18"/>
              </w:rPr>
              <w:t>七</w:t>
            </w:r>
            <w:r>
              <w:rPr>
                <w:rFonts w:ascii="宋体" w:hAnsi="宋体" w:cs="宋体" w:eastAsia="宋体" w:hint="default"/>
                <w:sz w:val="18"/>
                <w:szCs w:val="18"/>
              </w:rPr>
              <w:t>次会议</w:t>
            </w:r>
            <w:r>
              <w:rPr>
                <w:rFonts w:ascii="宋体" w:hAnsi="宋体" w:cs="宋体" w:eastAsia="宋体" w:hint="default"/>
                <w:spacing w:val="-24"/>
                <w:sz w:val="18"/>
                <w:szCs w:val="18"/>
              </w:rPr>
              <w:t>，</w:t>
            </w:r>
            <w:r>
              <w:rPr>
                <w:rFonts w:ascii="宋体" w:hAnsi="宋体" w:cs="宋体" w:eastAsia="宋体" w:hint="default"/>
                <w:sz w:val="18"/>
                <w:szCs w:val="18"/>
              </w:rPr>
              <w:t>会议通过</w:t>
            </w:r>
            <w:r>
              <w:rPr>
                <w:rFonts w:ascii="宋体" w:hAnsi="宋体" w:cs="宋体" w:eastAsia="宋体" w:hint="default"/>
                <w:spacing w:val="-24"/>
                <w:sz w:val="18"/>
                <w:szCs w:val="18"/>
              </w:rPr>
              <w:t>了</w:t>
            </w:r>
            <w:r>
              <w:rPr>
                <w:rFonts w:ascii="宋体" w:hAnsi="宋体" w:cs="宋体" w:eastAsia="宋体" w:hint="default"/>
                <w:sz w:val="18"/>
                <w:szCs w:val="18"/>
              </w:rPr>
              <w:t>《关于使用部分超募资金永久补充流动资金的议案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同意公司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使用部分超募资金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万元永久补充流动资金；会议还通过了《审议增加投资</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电子支付技术苏州研发基地项</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4"/>
                <w:sz w:val="18"/>
                <w:szCs w:val="18"/>
              </w:rPr>
              <w:t>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的议案》同意公司使用人民币</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万元对</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电子支付技术苏州研发基地项目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增加投资，其中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12,184.61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由上市超募资金解决，</w:t>
            </w:r>
            <w:r>
              <w:rPr>
                <w:rFonts w:ascii="Times New Roman" w:hAnsi="Times New Roman" w:cs="Times New Roman" w:eastAsia="Times New Roman" w:hint="default"/>
                <w:sz w:val="18"/>
                <w:szCs w:val="18"/>
              </w:rPr>
              <w:t>815.39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万元由企业自筹解决，全部投资将以增资形式投入苏州新国都。</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日，公司发布《关于注销部分募集资金专户的公告》（公告编号：</w:t>
            </w:r>
            <w:r>
              <w:rPr>
                <w:rFonts w:ascii="Times New Roman" w:hAnsi="Times New Roman" w:cs="Times New Roman" w:eastAsia="Times New Roman" w:hint="default"/>
                <w:spacing w:val="-4"/>
                <w:sz w:val="18"/>
                <w:szCs w:val="18"/>
              </w:rPr>
              <w:t>2015-007</w:t>
            </w:r>
            <w:r>
              <w:rPr>
                <w:rFonts w:ascii="宋体" w:hAnsi="宋体" w:cs="宋体" w:eastAsia="宋体" w:hint="default"/>
                <w:spacing w:val="-4"/>
                <w:sz w:val="18"/>
                <w:szCs w:val="18"/>
              </w:rPr>
              <w:t>），截止至公告披露日期，超募资金专</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户</w:t>
            </w:r>
            <w:r>
              <w:rPr>
                <w:rFonts w:ascii="Times New Roman" w:hAnsi="Times New Roman" w:cs="Times New Roman" w:eastAsia="Times New Roman" w:hint="default"/>
                <w:sz w:val="18"/>
                <w:szCs w:val="18"/>
              </w:rPr>
              <w:t>—</w:t>
            </w:r>
            <w:r>
              <w:rPr>
                <w:rFonts w:ascii="宋体" w:hAnsi="宋体" w:cs="宋体" w:eastAsia="宋体" w:hint="default"/>
                <w:sz w:val="18"/>
                <w:szCs w:val="18"/>
              </w:rPr>
              <w:t>中信银行深圳市市民中心支行（账号：</w:t>
            </w:r>
            <w:r>
              <w:rPr>
                <w:rFonts w:ascii="Times New Roman" w:hAnsi="Times New Roman" w:cs="Times New Roman" w:eastAsia="Times New Roman" w:hint="default"/>
                <w:sz w:val="18"/>
                <w:szCs w:val="18"/>
              </w:rPr>
              <w:t>7442410182600061107</w:t>
            </w:r>
            <w:r>
              <w:rPr>
                <w:rFonts w:ascii="宋体" w:hAnsi="宋体" w:cs="宋体" w:eastAsia="宋体" w:hint="default"/>
                <w:sz w:val="18"/>
                <w:szCs w:val="18"/>
              </w:rPr>
              <w:t>）余额为零，公司将其予以注销，注销后公司 与相关银行及公司保荐机构中信证券股份有限公司签订的《募集资金三方监管协议》终止。</w:t>
            </w:r>
          </w:p>
        </w:tc>
      </w:tr>
      <w:tr>
        <w:trPr>
          <w:trHeight w:val="403" w:hRule="exact"/>
        </w:trPr>
        <w:tc>
          <w:tcPr>
            <w:tcW w:w="72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6"/>
              <w:ind w:left="22" w:right="146"/>
              <w:jc w:val="left"/>
              <w:rPr>
                <w:rFonts w:ascii="宋体" w:hAnsi="宋体" w:cs="宋体" w:eastAsia="宋体" w:hint="default"/>
                <w:sz w:val="18"/>
                <w:szCs w:val="18"/>
              </w:rPr>
            </w:pPr>
            <w:r>
              <w:rPr>
                <w:rFonts w:ascii="宋体" w:hAnsi="宋体" w:cs="宋体" w:eastAsia="宋体" w:hint="default"/>
                <w:sz w:val="18"/>
                <w:szCs w:val="18"/>
              </w:rPr>
              <w:t>募集资 金投资</w:t>
            </w:r>
          </w:p>
        </w:tc>
        <w:tc>
          <w:tcPr>
            <w:tcW w:w="884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4" w:hRule="exact"/>
        </w:trPr>
        <w:tc>
          <w:tcPr>
            <w:tcW w:w="721"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1"/>
        <w:gridCol w:w="8848"/>
      </w:tblGrid>
      <w:tr>
        <w:trPr>
          <w:trHeight w:val="3210"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46"/>
              <w:jc w:val="both"/>
              <w:rPr>
                <w:rFonts w:ascii="宋体" w:hAnsi="宋体" w:cs="宋体" w:eastAsia="宋体" w:hint="default"/>
                <w:sz w:val="18"/>
                <w:szCs w:val="18"/>
              </w:rPr>
            </w:pPr>
            <w:r>
              <w:rPr>
                <w:rFonts w:ascii="宋体" w:hAnsi="宋体" w:cs="宋体" w:eastAsia="宋体" w:hint="default"/>
                <w:sz w:val="18"/>
                <w:szCs w:val="18"/>
              </w:rPr>
              <w:t>项目实 施地点 变更情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年度股东大会，审议通过了《关于审议变更募投项目电子支付技术产研基 </w:t>
            </w:r>
            <w:r>
              <w:rPr>
                <w:rFonts w:ascii="宋体" w:hAnsi="宋体" w:cs="宋体" w:eastAsia="宋体" w:hint="default"/>
                <w:spacing w:val="-2"/>
                <w:w w:val="100"/>
                <w:sz w:val="18"/>
                <w:szCs w:val="18"/>
              </w:rPr>
              <w:t>地建设项目实施地址及部分实施方式的议案》。同意将原位于南京的</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电子支付技术产研基地项目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中规划的研发</w:t>
            </w:r>
            <w:r>
              <w:rPr>
                <w:rFonts w:ascii="宋体" w:hAnsi="宋体" w:cs="宋体" w:eastAsia="宋体" w:hint="default"/>
                <w:spacing w:val="-82"/>
                <w:w w:val="100"/>
                <w:sz w:val="18"/>
                <w:szCs w:val="18"/>
              </w:rPr>
              <w:t> </w:t>
            </w:r>
            <w:r>
              <w:rPr>
                <w:rFonts w:ascii="宋体" w:hAnsi="宋体" w:cs="宋体" w:eastAsia="宋体" w:hint="default"/>
                <w:spacing w:val="-1"/>
                <w:sz w:val="18"/>
                <w:szCs w:val="18"/>
              </w:rPr>
              <w:t>中心、客服中心迁移到苏州实施，项目规划的生产中心迁移到深圳宝安区以租赁房屋的方式实施。原投入南京的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总投资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15,306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万元，扣除投入深圳生产中心的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万元，剩余的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12,806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万元全部</w:t>
            </w:r>
          </w:p>
          <w:p>
            <w:pPr>
              <w:pStyle w:val="TableParagraph"/>
              <w:spacing w:line="304" w:lineRule="auto" w:before="7"/>
              <w:ind w:left="24" w:right="20"/>
              <w:jc w:val="left"/>
              <w:rPr>
                <w:rFonts w:ascii="宋体" w:hAnsi="宋体" w:cs="宋体" w:eastAsia="宋体" w:hint="default"/>
                <w:sz w:val="18"/>
                <w:szCs w:val="18"/>
              </w:rPr>
            </w:pPr>
            <w:r>
              <w:rPr>
                <w:rFonts w:ascii="宋体" w:hAnsi="宋体" w:cs="宋体" w:eastAsia="宋体" w:hint="default"/>
                <w:sz w:val="18"/>
                <w:szCs w:val="18"/>
              </w:rPr>
              <w:t>投入苏州新国都，由苏州新国都继续推进电子支付技术产研基地建设项目。</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日，深圳市新国 都技术股份有限公司第四届董事会第六次会议决议（公告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2017-125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为提高募集资金投资项目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 </w:t>
            </w:r>
            <w:r>
              <w:rPr>
                <w:rFonts w:ascii="宋体" w:hAnsi="宋体" w:cs="宋体" w:eastAsia="宋体" w:hint="default"/>
                <w:spacing w:val="-2"/>
                <w:sz w:val="18"/>
                <w:szCs w:val="18"/>
              </w:rPr>
              <w:t>研基地建设项目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电子支付技术苏州研发基地项目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整体的经济收益，经慎重研究，公司拟将募集资金投资项目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的实施地点由苏州市变更为深圳市。</w:t>
            </w:r>
            <w:r>
              <w:rPr>
                <w:rFonts w:ascii="宋体" w:hAnsi="宋体" w:cs="宋体" w:eastAsia="宋体" w:hint="default"/>
                <w:spacing w:val="1"/>
                <w:sz w:val="18"/>
                <w:szCs w:val="18"/>
              </w:rPr>
              <w:t> </w:t>
            </w:r>
            <w:r>
              <w:rPr>
                <w:rFonts w:ascii="宋体" w:hAnsi="宋体" w:cs="宋体" w:eastAsia="宋体" w:hint="default"/>
                <w:sz w:val="18"/>
                <w:szCs w:val="18"/>
              </w:rPr>
              <w:t>公司变更部分募集资金投资项目的实施地点是公司经营管理和经济效益的</w:t>
            </w:r>
            <w:r>
              <w:rPr>
                <w:rFonts w:ascii="宋体" w:hAnsi="宋体" w:cs="宋体" w:eastAsia="宋体" w:hint="default"/>
                <w:sz w:val="18"/>
                <w:szCs w:val="18"/>
              </w:rPr>
              <w:t> </w:t>
            </w:r>
            <w:r>
              <w:rPr>
                <w:rFonts w:ascii="宋体" w:hAnsi="宋体" w:cs="宋体" w:eastAsia="宋体" w:hint="default"/>
                <w:spacing w:val="-2"/>
                <w:sz w:val="18"/>
                <w:szCs w:val="18"/>
              </w:rPr>
              <w:t>需要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本次变更部分募集资金投资项目实施地点对项目实施方案和实施计划并未产生重大影响，不会导致募集资金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投资项目发生实质性变更。</w:t>
            </w:r>
          </w:p>
        </w:tc>
      </w:tr>
      <w:tr>
        <w:trPr>
          <w:trHeight w:val="403" w:hRule="exact"/>
        </w:trPr>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3"/>
              <w:ind w:left="22" w:right="146"/>
              <w:jc w:val="both"/>
              <w:rPr>
                <w:rFonts w:ascii="宋体" w:hAnsi="宋体" w:cs="宋体" w:eastAsia="宋体" w:hint="default"/>
                <w:sz w:val="18"/>
                <w:szCs w:val="18"/>
              </w:rPr>
            </w:pPr>
            <w:r>
              <w:rPr>
                <w:rFonts w:ascii="宋体" w:hAnsi="宋体" w:cs="宋体" w:eastAsia="宋体" w:hint="default"/>
                <w:sz w:val="18"/>
                <w:szCs w:val="18"/>
              </w:rPr>
              <w:t>募集资 金投资 项目实 施方式 调整情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721"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588" w:hRule="exact"/>
        </w:trPr>
        <w:tc>
          <w:tcPr>
            <w:tcW w:w="721"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8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年度股东大会，审议通过了《关于审议变更募投项目电子支付技术产研 </w:t>
            </w:r>
            <w:r>
              <w:rPr>
                <w:rFonts w:ascii="宋体" w:hAnsi="宋体" w:cs="宋体" w:eastAsia="宋体" w:hint="default"/>
                <w:spacing w:val="-2"/>
                <w:w w:val="100"/>
                <w:sz w:val="18"/>
                <w:szCs w:val="18"/>
              </w:rPr>
              <w:t>基地建设项目实施地址及部分实施方式的议案》。同意将原位于南京的</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电子支付技术产研基地项目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中规划的研</w:t>
            </w:r>
            <w:r>
              <w:rPr>
                <w:rFonts w:ascii="宋体" w:hAnsi="宋体" w:cs="宋体" w:eastAsia="宋体" w:hint="default"/>
                <w:spacing w:val="-82"/>
                <w:w w:val="100"/>
                <w:sz w:val="18"/>
                <w:szCs w:val="18"/>
              </w:rPr>
              <w:t> </w:t>
            </w:r>
            <w:r>
              <w:rPr>
                <w:rFonts w:ascii="宋体" w:hAnsi="宋体" w:cs="宋体" w:eastAsia="宋体" w:hint="default"/>
                <w:sz w:val="18"/>
                <w:szCs w:val="18"/>
              </w:rPr>
              <w:t>发中心、客服中心迁移到苏州实施，项目规划的生产中心迁移到深圳宝安区以租赁房屋的方式实施。由于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年募集资金投入南京新国都土地使用权</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1,475.71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万元，本次变更募投项目实施地点，本公司将投入南京新国都的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土地使用权金额为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1,475.71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万元转为公司自筹资金投入，并用自有资金归还募集资金，公司于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p>
            <w:pPr>
              <w:pStyle w:val="TableParagraph"/>
              <w:spacing w:line="309" w:lineRule="auto" w:before="63"/>
              <w:ind w:left="24" w:right="81"/>
              <w:jc w:val="both"/>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日办理银行资金归还手续。</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日，第二届董事会第八次会议审议通过了《关于 </w:t>
            </w:r>
            <w:r>
              <w:rPr>
                <w:rFonts w:ascii="宋体" w:hAnsi="宋体" w:cs="宋体" w:eastAsia="宋体" w:hint="default"/>
                <w:spacing w:val="-2"/>
                <w:sz w:val="18"/>
                <w:szCs w:val="18"/>
              </w:rPr>
              <w:t>变更运营销售服务网络建设项目部分实施方式的公告》，决定将项目中原计划在一类办事处北京、上海、广州、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青岛购置办公用房作为办工场所改为租赁实施（公告编号</w:t>
            </w:r>
            <w:r>
              <w:rPr>
                <w:rFonts w:ascii="宋体" w:hAnsi="宋体" w:cs="宋体" w:eastAsia="宋体" w:hint="default"/>
                <w:spacing w:val="-39"/>
                <w:sz w:val="18"/>
                <w:szCs w:val="18"/>
              </w:rPr>
              <w:t> </w:t>
            </w:r>
            <w:r>
              <w:rPr>
                <w:rFonts w:ascii="Times New Roman" w:hAnsi="Times New Roman" w:cs="Times New Roman" w:eastAsia="Times New Roman" w:hint="default"/>
                <w:spacing w:val="-21"/>
                <w:sz w:val="18"/>
                <w:szCs w:val="18"/>
              </w:rPr>
              <w:t>2012-28</w:t>
            </w:r>
            <w:r>
              <w:rPr>
                <w:rFonts w:ascii="宋体" w:hAnsi="宋体" w:cs="宋体" w:eastAsia="宋体" w:hint="default"/>
                <w:spacing w:val="-21"/>
                <w:sz w:val="18"/>
                <w:szCs w:val="18"/>
              </w:rPr>
              <w:t>）。</w:t>
            </w:r>
            <w:r>
              <w:rPr>
                <w:rFonts w:ascii="宋体" w:hAnsi="宋体" w:cs="宋体" w:eastAsia="宋体" w:hint="default"/>
                <w:sz w:val="18"/>
                <w:szCs w:val="18"/>
              </w:rPr>
            </w:r>
          </w:p>
        </w:tc>
      </w:tr>
      <w:tr>
        <w:trPr>
          <w:trHeight w:val="401" w:hRule="exact"/>
        </w:trPr>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46"/>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836" w:hRule="exact"/>
        </w:trPr>
        <w:tc>
          <w:tcPr>
            <w:tcW w:w="721" w:type="dxa"/>
            <w:vMerge/>
            <w:tcBorders>
              <w:left w:val="single" w:sz="4" w:space="0" w:color="000000"/>
              <w:bottom w:val="single" w:sz="4" w:space="0" w:color="FFFFFF"/>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FFFFFF"/>
              <w:right w:val="single" w:sz="4" w:space="0" w:color="000000"/>
            </w:tcBorders>
          </w:tcPr>
          <w:p>
            <w:pPr>
              <w:pStyle w:val="TableParagraph"/>
              <w:spacing w:line="300" w:lineRule="auto" w:before="51"/>
              <w:ind w:left="24"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、电子支付技术产研基地建设项目，截止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日公司已利用自筹资金先行投入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万元，业经立 信大华会计师事务所有限公司出具的立信大华核字</w:t>
            </w:r>
            <w:r>
              <w:rPr>
                <w:rFonts w:ascii="Times New Roman" w:hAnsi="Times New Roman" w:cs="Times New Roman" w:eastAsia="Times New Roman" w:hint="default"/>
                <w:sz w:val="18"/>
                <w:szCs w:val="18"/>
              </w:rPr>
              <w:t>[2010]2404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号《首次公开发行股票募集资金投资项目实际自筹</w:t>
            </w:r>
            <w:r>
              <w:rPr>
                <w:rFonts w:ascii="宋体" w:hAnsi="宋体" w:cs="宋体" w:eastAsia="宋体" w:hint="default"/>
                <w:sz w:val="18"/>
                <w:szCs w:val="18"/>
              </w:rPr>
              <w:t> 资金使用情况专项审核报告》确认，经本公司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日第一届董事会第十四次会议决议通过，使用募集</w:t>
            </w:r>
          </w:p>
          <w:p>
            <w:pPr>
              <w:pStyle w:val="TableParagraph"/>
              <w:spacing w:line="300" w:lineRule="auto" w:before="13"/>
              <w:ind w:left="2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资金置换公司预先投入募集资金项目建设的自筹资金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1,293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日办理了银行资金置换 手续。</w:t>
            </w:r>
            <w:r>
              <w:rPr>
                <w:rFonts w:ascii="Times New Roman" w:hAnsi="Times New Roman" w:cs="Times New Roman" w:eastAsia="Times New Roman" w:hint="default"/>
                <w:sz w:val="18"/>
                <w:szCs w:val="18"/>
              </w:rPr>
              <w:t>2</w:t>
            </w:r>
            <w:r>
              <w:rPr>
                <w:rFonts w:ascii="宋体" w:hAnsi="宋体" w:cs="宋体" w:eastAsia="宋体" w:hint="default"/>
                <w:sz w:val="18"/>
                <w:szCs w:val="18"/>
              </w:rPr>
              <w:t>、在本次非公开发行股份募集资金到位之前，公司已根据募投项目进度的实际情况，使用自筹资金投入 </w:t>
            </w:r>
            <w:r>
              <w:rPr>
                <w:rFonts w:ascii="Times New Roman" w:hAnsi="Times New Roman" w:cs="Times New Roman" w:eastAsia="Times New Roman" w:hint="default"/>
                <w:sz w:val="18"/>
                <w:szCs w:val="18"/>
              </w:rPr>
              <w:t>350,000,000 </w:t>
            </w:r>
            <w:r>
              <w:rPr>
                <w:rFonts w:ascii="宋体" w:hAnsi="宋体" w:cs="宋体" w:eastAsia="宋体" w:hint="default"/>
                <w:sz w:val="18"/>
                <w:szCs w:val="18"/>
              </w:rPr>
              <w:t>元先行用于支付收购长沙公信诚丰信息技术服务有限公司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股权项目，大华会计师事务所（普通 特殊合伙）对公司以自筹资金预先投入募集资金投资项目的情况进行了核验和确认</w:t>
            </w:r>
            <w:r>
              <w:rPr>
                <w:rFonts w:ascii="Times New Roman" w:hAnsi="Times New Roman" w:cs="Times New Roman" w:eastAsia="Times New Roman" w:hint="default"/>
                <w:sz w:val="18"/>
                <w:szCs w:val="18"/>
              </w:rPr>
              <w:t>,</w:t>
            </w:r>
            <w:r>
              <w:rPr>
                <w:rFonts w:ascii="宋体" w:hAnsi="宋体" w:cs="宋体" w:eastAsia="宋体" w:hint="default"/>
                <w:sz w:val="18"/>
                <w:szCs w:val="18"/>
              </w:rPr>
              <w:t>并出具了大华核字</w:t>
            </w: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1"/>
                <w:sz w:val="18"/>
                <w:szCs w:val="18"/>
              </w:rPr>
              <w:t>003808</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号《深圳市新国都技术股份有限公司以自筹资金预先投入募集资金投资项目的鉴证报告》。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7"/>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r>
          </w:p>
          <w:p>
            <w:pPr>
              <w:pStyle w:val="TableParagraph"/>
              <w:spacing w:line="300" w:lineRule="auto" w:before="13"/>
              <w:ind w:left="24"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日，公司第四届董事会第五次会议及第四届监事会第五次会议，审议通过了《关于使用募集资金置换预先 </w:t>
            </w:r>
            <w:r>
              <w:rPr>
                <w:rFonts w:ascii="宋体" w:hAnsi="宋体" w:cs="宋体" w:eastAsia="宋体" w:hint="default"/>
                <w:spacing w:val="-4"/>
                <w:sz w:val="18"/>
                <w:szCs w:val="18"/>
              </w:rPr>
              <w:t>投入募投项目自筹资金的议案》，公司以自筹资金预先投入收购长沙公信诚丰信息技术服务有限公司</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股权项</w:t>
            </w:r>
            <w:r>
              <w:rPr>
                <w:rFonts w:ascii="宋体" w:hAnsi="宋体" w:cs="宋体" w:eastAsia="宋体" w:hint="default"/>
                <w:spacing w:val="-84"/>
                <w:sz w:val="18"/>
                <w:szCs w:val="18"/>
              </w:rPr>
              <w:t> </w:t>
            </w:r>
            <w:r>
              <w:rPr>
                <w:rFonts w:ascii="宋体" w:hAnsi="宋体" w:cs="宋体" w:eastAsia="宋体" w:hint="default"/>
                <w:sz w:val="18"/>
                <w:szCs w:val="18"/>
              </w:rPr>
              <w:t>目的实际投资额为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日，从募集户将预先投入自筹资金金额为人民币</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元转入公司基本</w:t>
            </w:r>
            <w:r>
              <w:rPr>
                <w:rFonts w:ascii="宋体" w:hAnsi="宋体" w:cs="宋体" w:eastAsia="宋体" w:hint="default"/>
                <w:spacing w:val="-3"/>
                <w:sz w:val="18"/>
                <w:szCs w:val="18"/>
              </w:rPr>
              <w:t>户</w:t>
            </w:r>
            <w:r>
              <w:rPr>
                <w:rFonts w:ascii="宋体" w:hAnsi="宋体" w:cs="宋体" w:eastAsia="宋体" w:hint="default"/>
                <w:sz w:val="18"/>
                <w:szCs w:val="18"/>
              </w:rPr>
              <w:t>，完成置换（公告</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18</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401" w:hRule="exact"/>
        </w:trPr>
        <w:tc>
          <w:tcPr>
            <w:tcW w:w="72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46"/>
              <w:jc w:val="both"/>
              <w:rPr>
                <w:rFonts w:ascii="宋体" w:hAnsi="宋体" w:cs="宋体" w:eastAsia="宋体" w:hint="default"/>
                <w:sz w:val="18"/>
                <w:szCs w:val="18"/>
              </w:rPr>
            </w:pPr>
            <w:r>
              <w:rPr>
                <w:rFonts w:ascii="宋体" w:hAnsi="宋体" w:cs="宋体" w:eastAsia="宋体" w:hint="default"/>
                <w:sz w:val="18"/>
                <w:szCs w:val="18"/>
              </w:rPr>
              <w:t>用闲置 募集资 金暂时 补充流 动资金 情况</w:t>
            </w:r>
          </w:p>
        </w:tc>
        <w:tc>
          <w:tcPr>
            <w:tcW w:w="884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2" w:hRule="exact"/>
        </w:trPr>
        <w:tc>
          <w:tcPr>
            <w:tcW w:w="721"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日召开第三届董事会第三十一次会议以及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w:t>
            </w:r>
            <w:r>
              <w:rPr>
                <w:rFonts w:ascii="宋体" w:hAnsi="宋体" w:cs="宋体" w:eastAsia="宋体" w:hint="default"/>
                <w:spacing w:val="-2"/>
                <w:sz w:val="18"/>
                <w:szCs w:val="18"/>
              </w:rPr>
              <w:t>股东大会审议通过《关于拟使用超募资金暂时补充流动性资金的议案》，同意公司终止超募资金项目（收购瑞柏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泰公司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股权项目）并使用超募资金暂时补充公司流动资金，资金使用期间不超过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个月。截止至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7"/>
              <w:ind w:left="24"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日，公司收到瑞柏泰回购股权款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2,360 </w:t>
            </w:r>
            <w:r>
              <w:rPr>
                <w:rFonts w:ascii="宋体" w:hAnsi="宋体" w:cs="宋体" w:eastAsia="宋体" w:hint="default"/>
                <w:sz w:val="18"/>
                <w:szCs w:val="18"/>
              </w:rPr>
              <w:t>万元，并于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日将实际用于暂时补充流动资金人民币</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万元归还至公司募集资金专用账户。</w:t>
            </w:r>
          </w:p>
        </w:tc>
      </w:tr>
      <w:tr>
        <w:trPr>
          <w:trHeight w:val="403"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项目实</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pStyle w:val="BodyText"/>
        <w:spacing w:line="240" w:lineRule="auto"/>
        <w:ind w:left="0" w:right="1136"/>
        <w:jc w:val="right"/>
      </w:pPr>
      <w:r>
        <w:rPr/>
        <w:pict>
          <v:shape style="position:absolute;margin-left:56.484001pt;margin-top:-2.948259pt;width:479.2pt;height:593.3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1"/>
                    <w:gridCol w:w="8848"/>
                  </w:tblGrid>
                  <w:tr>
                    <w:trPr>
                      <w:trHeight w:val="6018"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46"/>
                          <w:jc w:val="both"/>
                          <w:rPr>
                            <w:rFonts w:ascii="宋体" w:hAnsi="宋体" w:cs="宋体" w:eastAsia="宋体" w:hint="default"/>
                            <w:sz w:val="18"/>
                            <w:szCs w:val="18"/>
                          </w:rPr>
                        </w:pPr>
                        <w:r>
                          <w:rPr>
                            <w:rFonts w:ascii="宋体" w:hAnsi="宋体" w:cs="宋体" w:eastAsia="宋体" w:hint="default"/>
                            <w:sz w:val="18"/>
                            <w:szCs w:val="18"/>
                          </w:rPr>
                          <w:t>施出现 募集资 金结余 的金额 及原因</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3"/>
                            <w:w w:val="100"/>
                            <w:sz w:val="18"/>
                            <w:szCs w:val="18"/>
                          </w:rPr>
                          <w:t>1</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运营销售服务网络建设项目</w:t>
                        </w:r>
                        <w:r>
                          <w:rPr>
                            <w:rFonts w:ascii="Times New Roman" w:hAnsi="Times New Roman" w:cs="Times New Roman" w:eastAsia="Times New Roman" w:hint="default"/>
                            <w:spacing w:val="-3"/>
                            <w:w w:val="100"/>
                            <w:sz w:val="18"/>
                            <w:szCs w:val="18"/>
                          </w:rPr>
                          <w:t>”</w:t>
                        </w:r>
                        <w:r>
                          <w:rPr>
                            <w:rFonts w:ascii="Times New Roman" w:hAnsi="Times New Roman" w:cs="Times New Roman" w:eastAsia="Times New Roman" w:hint="default"/>
                            <w:spacing w:val="8"/>
                            <w:w w:val="100"/>
                            <w:sz w:val="18"/>
                            <w:szCs w:val="18"/>
                          </w:rPr>
                          <w:t> </w:t>
                        </w:r>
                        <w:r>
                          <w:rPr>
                            <w:rFonts w:ascii="宋体" w:hAnsi="宋体" w:cs="宋体" w:eastAsia="宋体" w:hint="default"/>
                            <w:spacing w:val="-3"/>
                            <w:sz w:val="18"/>
                            <w:szCs w:val="18"/>
                          </w:rPr>
                          <w:t>已完成项目建设，节余资金</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829.6</w:t>
                        </w:r>
                        <w:r>
                          <w:rPr>
                            <w:rFonts w:ascii="Times New Roman" w:hAnsi="Times New Roman" w:cs="Times New Roman" w:eastAsia="Times New Roman" w:hint="default"/>
                            <w:spacing w:val="6"/>
                            <w:sz w:val="18"/>
                            <w:szCs w:val="18"/>
                          </w:rPr>
                          <w:t> </w:t>
                        </w:r>
                        <w:r>
                          <w:rPr>
                            <w:rFonts w:ascii="宋体" w:hAnsi="宋体" w:cs="宋体" w:eastAsia="宋体" w:hint="default"/>
                            <w:spacing w:val="-9"/>
                            <w:sz w:val="18"/>
                            <w:szCs w:val="18"/>
                          </w:rPr>
                          <w:t>万（含利息）。项目原计划在一类办事处北京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上海、青岛、广州购置办公用房作为办公场地使用，现由于实际经营需要，将原计划购置房产的实施方式改为通</w:t>
                        </w:r>
                        <w:r>
                          <w:rPr>
                            <w:rFonts w:ascii="宋体" w:hAnsi="宋体" w:cs="宋体" w:eastAsia="宋体" w:hint="default"/>
                            <w:sz w:val="18"/>
                            <w:szCs w:val="18"/>
                          </w:rPr>
                          <w:t> 过租赁房产来实施，因此节约了项目成本。</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电子支付终端设备运营项目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该项目公司原计划投资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7" w:lineRule="auto" w:before="5"/>
                          <w:ind w:left="24" w:right="10"/>
                          <w:jc w:val="left"/>
                          <w:rPr>
                            <w:rFonts w:ascii="宋体" w:hAnsi="宋体" w:cs="宋体" w:eastAsia="宋体" w:hint="default"/>
                            <w:sz w:val="18"/>
                            <w:szCs w:val="18"/>
                          </w:rPr>
                        </w:pPr>
                        <w:r>
                          <w:rPr>
                            <w:rFonts w:ascii="宋体" w:hAnsi="宋体" w:cs="宋体" w:eastAsia="宋体" w:hint="default"/>
                            <w:sz w:val="18"/>
                            <w:szCs w:val="18"/>
                          </w:rPr>
                          <w:t>原计划完成时间为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月，中国人民银行发布中国人民银行令【</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 </w:t>
                        </w:r>
                        <w:r>
                          <w:rPr>
                            <w:rFonts w:ascii="宋体" w:hAnsi="宋体" w:cs="宋体" w:eastAsia="宋体" w:hint="default"/>
                            <w:spacing w:val="-4"/>
                            <w:w w:val="100"/>
                            <w:sz w:val="18"/>
                            <w:szCs w:val="18"/>
                          </w:rPr>
                          <w:t>文件《非金融机构支付服务管理办法》（以下简称</w:t>
                        </w:r>
                        <w:r>
                          <w:rPr>
                            <w:rFonts w:ascii="Times New Roman" w:hAnsi="Times New Roman" w:cs="Times New Roman" w:eastAsia="Times New Roman" w:hint="default"/>
                            <w:spacing w:val="-4"/>
                            <w:w w:val="100"/>
                            <w:sz w:val="18"/>
                            <w:szCs w:val="18"/>
                          </w:rPr>
                          <w:t>“2</w:t>
                        </w:r>
                        <w:r>
                          <w:rPr>
                            <w:rFonts w:ascii="Times New Roman" w:hAnsi="Times New Roman" w:cs="Times New Roman" w:eastAsia="Times New Roman" w:hint="default"/>
                            <w:spacing w:val="19"/>
                            <w:w w:val="100"/>
                            <w:sz w:val="18"/>
                            <w:szCs w:val="18"/>
                          </w:rPr>
                          <w:t> </w:t>
                        </w:r>
                        <w:r>
                          <w:rPr>
                            <w:rFonts w:ascii="宋体" w:hAnsi="宋体" w:cs="宋体" w:eastAsia="宋体" w:hint="default"/>
                            <w:spacing w:val="-4"/>
                            <w:w w:val="100"/>
                            <w:sz w:val="18"/>
                            <w:szCs w:val="18"/>
                          </w:rPr>
                          <w:t>号令</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），根据该办法规定，国内非金融机构从事网上支付、</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pacing w:val="-1"/>
                            <w:sz w:val="18"/>
                            <w:szCs w:val="18"/>
                          </w:rPr>
                          <w:t>预付卡的发行与受理、银行卡收单服务等业务的，必须通过中国人民银行审批，并获得相关业务许可证书。电子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支付终端设备运营项目的运营内容主要为与广州羊城通有限公司合作开展基于</w:t>
                        </w:r>
                        <w:r>
                          <w:rPr>
                            <w:rFonts w:ascii="Times New Roman" w:hAnsi="Times New Roman" w:cs="Times New Roman" w:eastAsia="Times New Roman" w:hint="default"/>
                            <w:sz w:val="18"/>
                            <w:szCs w:val="18"/>
                          </w:rPr>
                          <w:t>“</w:t>
                        </w:r>
                        <w:r>
                          <w:rPr>
                            <w:rFonts w:ascii="宋体" w:hAnsi="宋体" w:cs="宋体" w:eastAsia="宋体" w:hint="default"/>
                            <w:sz w:val="18"/>
                            <w:szCs w:val="18"/>
                          </w:rPr>
                          <w:t>羊城通</w:t>
                        </w:r>
                        <w:r>
                          <w:rPr>
                            <w:rFonts w:ascii="Times New Roman" w:hAnsi="Times New Roman" w:cs="Times New Roman" w:eastAsia="Times New Roman" w:hint="default"/>
                            <w:sz w:val="18"/>
                            <w:szCs w:val="18"/>
                          </w:rPr>
                          <w:t>”</w:t>
                        </w:r>
                        <w:r>
                          <w:rPr>
                            <w:rFonts w:ascii="宋体" w:hAnsi="宋体" w:cs="宋体" w:eastAsia="宋体" w:hint="default"/>
                            <w:sz w:val="18"/>
                            <w:szCs w:val="18"/>
                          </w:rPr>
                          <w:t>公交卡的小额支付合作 运营业务，以及为商业银行、第三方提供设备租赁服务。由于受到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号令实施和审批进度的影响，以及广州羊城 </w:t>
                        </w:r>
                        <w:r>
                          <w:rPr>
                            <w:rFonts w:ascii="宋体" w:hAnsi="宋体" w:cs="宋体" w:eastAsia="宋体" w:hint="default"/>
                            <w:spacing w:val="-1"/>
                            <w:sz w:val="18"/>
                            <w:szCs w:val="18"/>
                          </w:rPr>
                          <w:t>通有限公司在申领预付卡发行与受理牌照的进度限制，本项目的实施进度缓慢，项目一直未能达到预计收益。截</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止至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日，广州羊城通有限公司仍未能取得预付卡发行与受理牌照，对公司电子支付终端设备运营</w:t>
                        </w:r>
                      </w:p>
                      <w:p>
                        <w:pPr>
                          <w:pStyle w:val="TableParagraph"/>
                          <w:spacing w:line="300" w:lineRule="auto" w:before="7"/>
                          <w:ind w:left="24" w:right="17"/>
                          <w:jc w:val="left"/>
                          <w:rPr>
                            <w:rFonts w:ascii="宋体" w:hAnsi="宋体" w:cs="宋体" w:eastAsia="宋体" w:hint="default"/>
                            <w:sz w:val="18"/>
                            <w:szCs w:val="18"/>
                          </w:rPr>
                        </w:pPr>
                        <w:r>
                          <w:rPr>
                            <w:rFonts w:ascii="宋体" w:hAnsi="宋体" w:cs="宋体" w:eastAsia="宋体" w:hint="default"/>
                            <w:sz w:val="18"/>
                            <w:szCs w:val="18"/>
                          </w:rPr>
                          <w:t>项目产生直接影响。鉴于上述情况，公司于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日召开第三届董事会第七次会议，审议通过了《关于 </w:t>
                        </w:r>
                        <w:r>
                          <w:rPr>
                            <w:rFonts w:ascii="宋体" w:hAnsi="宋体" w:cs="宋体" w:eastAsia="宋体" w:hint="default"/>
                            <w:spacing w:val="-2"/>
                            <w:sz w:val="18"/>
                            <w:szCs w:val="18"/>
                          </w:rPr>
                          <w:t>终止部分募投项目并将剩余募集资金永久补充流动资金的议案》，同意终止募投项目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电子支付终端设备运营项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的实施，并将该项目剩余资金（含利息收入）（资金转出当日银行结息余额为</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3,123.16</w:t>
                        </w:r>
                        <w:r>
                          <w:rPr>
                            <w:rFonts w:ascii="Times New Roman" w:hAnsi="Times New Roman" w:cs="Times New Roman" w:eastAsia="Times New Roman" w:hint="default"/>
                            <w:spacing w:val="8"/>
                            <w:sz w:val="18"/>
                            <w:szCs w:val="18"/>
                          </w:rPr>
                          <w:t> </w:t>
                        </w:r>
                        <w:r>
                          <w:rPr>
                            <w:rFonts w:ascii="宋体" w:hAnsi="宋体" w:cs="宋体" w:eastAsia="宋体" w:hint="default"/>
                            <w:spacing w:val="-10"/>
                            <w:sz w:val="18"/>
                            <w:szCs w:val="18"/>
                          </w:rPr>
                          <w:t>万元（含利息））永久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补充流动资金。</w:t>
                        </w:r>
                        <w:r>
                          <w:rPr>
                            <w:rFonts w:ascii="Times New Roman" w:hAnsi="Times New Roman" w:cs="Times New Roman" w:eastAsia="Times New Roman" w:hint="default"/>
                            <w:sz w:val="18"/>
                            <w:szCs w:val="18"/>
                          </w:rPr>
                          <w:t>3</w:t>
                        </w:r>
                        <w:r>
                          <w:rPr>
                            <w:rFonts w:ascii="宋体" w:hAnsi="宋体" w:cs="宋体" w:eastAsia="宋体" w:hint="default"/>
                            <w:sz w:val="18"/>
                            <w:szCs w:val="18"/>
                          </w:rPr>
                          <w:t>、经中国证券监督管理委员会证监发行字</w:t>
                        </w:r>
                        <w:r>
                          <w:rPr>
                            <w:rFonts w:ascii="Times New Roman" w:hAnsi="Times New Roman" w:cs="Times New Roman" w:eastAsia="Times New Roman" w:hint="default"/>
                            <w:sz w:val="18"/>
                            <w:szCs w:val="18"/>
                          </w:rPr>
                          <w:t>[2017]1146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号《关于核准深圳市新国都技术股份有限 公司非公开发行</w:t>
                        </w:r>
                        <w:r>
                          <w:rPr>
                            <w:rFonts w:ascii="宋体" w:hAnsi="宋体" w:cs="宋体" w:eastAsia="宋体" w:hint="default"/>
                            <w:spacing w:val="-44"/>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4"/>
                            <w:sz w:val="18"/>
                            <w:szCs w:val="18"/>
                          </w:rPr>
                          <w:t>股的批复》文件核准，本公司由主承销商中信证券股份有限公司向泰达宏利基金管理有限公司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鹏华资产管理有限公司、财通证券资产管理有限公司共</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位对象非公开发行普通股（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2500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万股，每股发行</w:t>
                        </w:r>
                        <w:r>
                          <w:rPr>
                            <w:rFonts w:ascii="宋体" w:hAnsi="宋体" w:cs="宋体" w:eastAsia="宋体" w:hint="default"/>
                            <w:sz w:val="18"/>
                            <w:szCs w:val="18"/>
                          </w:rPr>
                          <w:t> 价格为人民币</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18.22</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元，股款共计人民币</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455,500,000</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元，扣除与发行有关的费用总额</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10,880,000</w:t>
                        </w:r>
                        <w:r>
                          <w:rPr>
                            <w:rFonts w:ascii="Times New Roman" w:hAnsi="Times New Roman" w:cs="Times New Roman" w:eastAsia="Times New Roman" w:hint="default"/>
                            <w:spacing w:val="9"/>
                            <w:sz w:val="18"/>
                            <w:szCs w:val="18"/>
                          </w:rPr>
                          <w:t> </w:t>
                        </w:r>
                        <w:r>
                          <w:rPr>
                            <w:rFonts w:ascii="宋体" w:hAnsi="宋体" w:cs="宋体" w:eastAsia="宋体" w:hint="default"/>
                            <w:spacing w:val="-14"/>
                            <w:sz w:val="18"/>
                            <w:szCs w:val="18"/>
                          </w:rPr>
                          <w:t>元（含税），募</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444,620,000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日，募集资金账户利息净收入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641,731.93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元，累计支出</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445,261,731.93 </w:t>
                        </w:r>
                        <w:r>
                          <w:rPr>
                            <w:rFonts w:ascii="宋体" w:hAnsi="宋体" w:cs="宋体" w:eastAsia="宋体" w:hint="default"/>
                            <w:sz w:val="18"/>
                            <w:szCs w:val="18"/>
                          </w:rPr>
                          <w:t>元，结余为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r>
                    <w:trPr>
                      <w:trHeight w:val="3565"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22" w:right="146"/>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8"/>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日召开第四届董事会第三十一次会议、于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 </w:t>
                        </w:r>
                        <w:r>
                          <w:rPr>
                            <w:rFonts w:ascii="宋体" w:hAnsi="宋体" w:cs="宋体" w:eastAsia="宋体" w:hint="default"/>
                            <w:spacing w:val="-2"/>
                            <w:sz w:val="18"/>
                            <w:szCs w:val="18"/>
                          </w:rPr>
                          <w:t>议通过了《关于募集资金投资项目结项并使用节余募集资金永久补充流动资金的议案》，同意将募集资金投资项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目结项并将节余募集资金永久性补充流动资金。截止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日，募集资金投资项目的节余募集资金及募</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集资金利息合计 </w:t>
                        </w:r>
                        <w:r>
                          <w:rPr>
                            <w:rFonts w:ascii="Times New Roman" w:hAnsi="Times New Roman" w:cs="Times New Roman" w:eastAsia="Times New Roman" w:hint="default"/>
                            <w:sz w:val="18"/>
                            <w:szCs w:val="18"/>
                          </w:rPr>
                          <w:t>36,640,351.89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元已全部用于永久补充流动资金，募集资金已全部使用完毕，募集资金账户已全部</w:t>
                        </w:r>
                      </w:p>
                      <w:p>
                        <w:pPr>
                          <w:pStyle w:val="TableParagraph"/>
                          <w:spacing w:line="309" w:lineRule="auto" w:before="63"/>
                          <w:ind w:left="24" w:right="19"/>
                          <w:jc w:val="left"/>
                          <w:rPr>
                            <w:rFonts w:ascii="宋体" w:hAnsi="宋体" w:cs="宋体" w:eastAsia="宋体" w:hint="default"/>
                            <w:sz w:val="18"/>
                            <w:szCs w:val="18"/>
                          </w:rPr>
                        </w:pPr>
                        <w:r>
                          <w:rPr>
                            <w:rFonts w:ascii="宋体" w:hAnsi="宋体" w:cs="宋体" w:eastAsia="宋体" w:hint="default"/>
                            <w:spacing w:val="-6"/>
                            <w:sz w:val="18"/>
                            <w:szCs w:val="18"/>
                          </w:rPr>
                          <w:t>注销。</w:t>
                        </w:r>
                        <w:r>
                          <w:rPr>
                            <w:rFonts w:ascii="Times New Roman" w:hAnsi="Times New Roman" w:cs="Times New Roman" w:eastAsia="Times New Roman" w:hint="default"/>
                            <w:spacing w:val="-6"/>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日第四届董事会第三十一次会议审议通过了《关于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年非公开发发行股份购买资产募集 </w:t>
                        </w:r>
                        <w:r>
                          <w:rPr>
                            <w:rFonts w:ascii="宋体" w:hAnsi="宋体" w:cs="宋体" w:eastAsia="宋体" w:hint="default"/>
                            <w:spacing w:val="-2"/>
                            <w:sz w:val="18"/>
                            <w:szCs w:val="18"/>
                          </w:rPr>
                          <w:t>资金投资项目结项并使用节余募集资金永久补充流动资金的议案》，同意将募集资金投资项目结项并将节余募集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资金永久性补充流动资金。截止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日，募集资金投资项目的节余募集资金及募集资金利息合计</w:t>
                        </w:r>
                      </w:p>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94,790.33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元已全部用于永久补充流动资金，募集资金已全部使用完毕，募集资金账户已全部注销。</w:t>
                        </w: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经公司第四届董事会第三十五次会议、第四届监事会第三十二次会议及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年第三次临时股东大会审议，同意</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本次非公开发行债券募集资金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亿元用于偿还金融机构借款，剩余资金用于补充营运资金。截止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日，已提取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亿元用于偿还金融机构借款，剩余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万元存放于募集资金专户。</w:t>
                        </w:r>
                      </w:p>
                    </w:tc>
                  </w:tr>
                  <w:tr>
                    <w:trPr>
                      <w:trHeight w:val="2273"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6"/>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0" w:right="113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1"/>
        <w:jc w:val="right"/>
      </w:pPr>
      <w:r>
        <w:rPr/>
        <w:t>单位：万元</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84" w:right="21"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0"/>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38" w:lineRule="auto"/>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电子支付 技术产研基 地建设项目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电子支付技 术产研基地 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16,001.82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电子支付 技术苏州研 发基地项目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电子支付技 术苏州研发 基地项目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25,684.61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26,425.04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102.88%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1,178.74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该项目转 让</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收购瑞柏泰 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 权</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该项目终 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增资易联技 术开展电子 支付服务项 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40,990.61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44,426.86</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w w:val="95"/>
                <w:sz w:val="18"/>
              </w:rPr>
              <w:t>1,881.18</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84001pt;margin-top:71.999985pt;width:479.35pt;height:676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700"/>
                  </w:tblGrid>
                  <w:tr>
                    <w:trPr>
                      <w:trHeight w:val="13510"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日，经第二届董事会第五次会议、第二届监事会第四</w:t>
                        </w:r>
                      </w:p>
                      <w:p>
                        <w:pPr>
                          <w:pStyle w:val="TableParagraph"/>
                          <w:spacing w:line="309" w:lineRule="auto" w:before="63"/>
                          <w:ind w:left="23"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次会议审议通过，于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年度股东大会，审议通过了《关于 审议变更募投项目电子支付技术产研基地建设项目实施地址及部分实施方式的议 </w:t>
                        </w:r>
                        <w:r>
                          <w:rPr>
                            <w:rFonts w:ascii="宋体" w:hAnsi="宋体" w:cs="宋体" w:eastAsia="宋体" w:hint="default"/>
                            <w:spacing w:val="-5"/>
                            <w:w w:val="100"/>
                            <w:sz w:val="18"/>
                            <w:szCs w:val="18"/>
                          </w:rPr>
                          <w:t>案》，决定将原计划投入南京的</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电子支付技术产研基地项目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中规划的研发中心、客服</w:t>
                        </w:r>
                        <w:r>
                          <w:rPr>
                            <w:rFonts w:ascii="宋体" w:hAnsi="宋体" w:cs="宋体" w:eastAsia="宋体" w:hint="default"/>
                            <w:spacing w:val="-76"/>
                            <w:w w:val="100"/>
                            <w:sz w:val="18"/>
                            <w:szCs w:val="18"/>
                          </w:rPr>
                          <w:t> </w:t>
                        </w:r>
                        <w:r>
                          <w:rPr>
                            <w:rFonts w:ascii="宋体" w:hAnsi="宋体" w:cs="宋体" w:eastAsia="宋体" w:hint="default"/>
                            <w:spacing w:val="-76"/>
                            <w:w w:val="100"/>
                            <w:sz w:val="18"/>
                            <w:szCs w:val="18"/>
                          </w:rPr>
                        </w:r>
                        <w:r>
                          <w:rPr>
                            <w:rFonts w:ascii="宋体" w:hAnsi="宋体" w:cs="宋体" w:eastAsia="宋体" w:hint="default"/>
                            <w:spacing w:val="-1"/>
                            <w:sz w:val="18"/>
                            <w:szCs w:val="18"/>
                          </w:rPr>
                          <w:t>中心迁移到苏州实施，项目规划的生产中心迁移到深圳宝安区实施。其中，公司目前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未在深圳获得自有土地使用权，项目规划的生产中心由自建变更为租赁房屋建设。同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意将原位于南京的</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中规划的研发中心、客服中心迁移到 </w:t>
                        </w:r>
                        <w:r>
                          <w:rPr>
                            <w:rFonts w:ascii="宋体" w:hAnsi="宋体" w:cs="宋体" w:eastAsia="宋体" w:hint="default"/>
                            <w:spacing w:val="-1"/>
                            <w:sz w:val="18"/>
                            <w:szCs w:val="18"/>
                          </w:rPr>
                          <w:t>苏州实施，项目规划的生产中心迁移到深圳宝安区以租赁房屋的方式实施。原投入南</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w w:val="100"/>
                            <w:sz w:val="18"/>
                            <w:szCs w:val="18"/>
                          </w:rPr>
                          <w:t>京的</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电子支付技术产研基地项目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总投资</w:t>
                        </w:r>
                        <w:r>
                          <w:rPr>
                            <w:rFonts w:ascii="宋体" w:hAnsi="宋体" w:cs="宋体" w:eastAsia="宋体" w:hint="default"/>
                            <w:spacing w:val="-50"/>
                            <w:w w:val="100"/>
                            <w:sz w:val="18"/>
                            <w:szCs w:val="18"/>
                          </w:rPr>
                          <w:t> </w:t>
                        </w:r>
                        <w:r>
                          <w:rPr>
                            <w:rFonts w:ascii="Times New Roman" w:hAnsi="Times New Roman" w:cs="Times New Roman" w:eastAsia="Times New Roman" w:hint="default"/>
                            <w:spacing w:val="-1"/>
                            <w:sz w:val="18"/>
                            <w:szCs w:val="18"/>
                          </w:rPr>
                          <w:t>15,306</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万元，扣除投入深圳生产中心的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2,500</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万元，剩余的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12,806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万元全部投入苏州项目。公司通过募集资金专户向原募投项目支</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付的人民币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1,475.71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万元（主要用于土地使用权出让金、土地交易税费、建筑方案设</w:t>
                        </w:r>
                      </w:p>
                      <w:p>
                        <w:pPr>
                          <w:pStyle w:val="TableParagraph"/>
                          <w:spacing w:line="307" w:lineRule="auto" w:before="63"/>
                          <w:ind w:left="23" w:right="3"/>
                          <w:jc w:val="left"/>
                          <w:rPr>
                            <w:rFonts w:ascii="宋体" w:hAnsi="宋体" w:cs="宋体" w:eastAsia="宋体" w:hint="default"/>
                            <w:sz w:val="18"/>
                            <w:szCs w:val="18"/>
                          </w:rPr>
                        </w:pPr>
                        <w:r>
                          <w:rPr>
                            <w:rFonts w:ascii="宋体" w:hAnsi="宋体" w:cs="宋体" w:eastAsia="宋体" w:hint="default"/>
                            <w:spacing w:val="-6"/>
                            <w:sz w:val="18"/>
                            <w:szCs w:val="18"/>
                          </w:rPr>
                          <w:t>计费），已全部用公司自有资金予以置换。</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日，深圳市新国都技术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股份有限公司第四届董事会第六次会议决议（公告</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2017-125</w:t>
                        </w:r>
                        <w:r>
                          <w:rPr>
                            <w:rFonts w:ascii="宋体" w:hAnsi="宋体" w:cs="宋体" w:eastAsia="宋体" w:hint="default"/>
                            <w:spacing w:val="-5"/>
                            <w:sz w:val="18"/>
                            <w:szCs w:val="18"/>
                          </w:rPr>
                          <w:t>），为提高募集资金投资</w:t>
                        </w:r>
                        <w:r>
                          <w:rPr>
                            <w:rFonts w:ascii="宋体" w:hAnsi="宋体" w:cs="宋体" w:eastAsia="宋体" w:hint="default"/>
                            <w:sz w:val="18"/>
                            <w:szCs w:val="18"/>
                          </w:rPr>
                          <w:t> 项目</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电子支付技术苏州研发基地项目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整体的经 </w:t>
                        </w:r>
                        <w:r>
                          <w:rPr>
                            <w:rFonts w:ascii="宋体" w:hAnsi="宋体" w:cs="宋体" w:eastAsia="宋体" w:hint="default"/>
                            <w:spacing w:val="-3"/>
                            <w:sz w:val="18"/>
                            <w:szCs w:val="18"/>
                          </w:rPr>
                          <w:t>济收益，经慎重研究，公司拟将募集资金投资项目的实施地点由苏州市变更为深圳市</w:t>
                        </w:r>
                        <w:r>
                          <w:rPr>
                            <w:rFonts w:ascii="宋体" w:hAnsi="宋体" w:cs="宋体" w:eastAsia="宋体" w:hint="default"/>
                            <w:sz w:val="18"/>
                            <w:szCs w:val="18"/>
                          </w:rPr>
                          <w:t> 公司变更部分募集资金投资项目的实施地点是公司经营管理和经济效益的需要</w:t>
                        </w:r>
                        <w:r>
                          <w:rPr>
                            <w:rFonts w:ascii="Times New Roman" w:hAnsi="Times New Roman" w:cs="Times New Roman" w:eastAsia="Times New Roman" w:hint="default"/>
                            <w:sz w:val="18"/>
                            <w:szCs w:val="18"/>
                          </w:rPr>
                          <w:t>,</w:t>
                        </w:r>
                        <w:r>
                          <w:rPr>
                            <w:rFonts w:ascii="宋体" w:hAnsi="宋体" w:cs="宋体" w:eastAsia="宋体" w:hint="default"/>
                            <w:sz w:val="18"/>
                            <w:szCs w:val="18"/>
                          </w:rPr>
                          <w:t>本次 变更部分募集资金投资项目实施地点对项目实施方案和实施计划并未产生重大影响， 不会导致募集资金投资项目发生实质性变更。</w:t>
                        </w:r>
                        <w:r>
                          <w:rPr>
                            <w:rFonts w:ascii="Times New Roman" w:hAnsi="Times New Roman" w:cs="Times New Roman" w:eastAsia="Times New Roman" w:hint="default"/>
                            <w:sz w:val="18"/>
                            <w:szCs w:val="18"/>
                          </w:rPr>
                          <w:t>3</w:t>
                        </w:r>
                        <w:r>
                          <w:rPr>
                            <w:rFonts w:ascii="宋体" w:hAnsi="宋体" w:cs="宋体" w:eastAsia="宋体" w:hint="default"/>
                            <w:sz w:val="18"/>
                            <w:szCs w:val="18"/>
                          </w:rPr>
                          <w:t>、收购瑞柏泰公司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股权项目变更 情况：</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日公司与深圳市瑞柏泰电子有限公司股东签署《深圳市新国都 技术股份有限公司与蔡敏及深圳市柏士泰科技有限公司关于深圳市瑞柏泰电子有限 </w:t>
                        </w:r>
                        <w:r>
                          <w:rPr>
                            <w:rFonts w:ascii="宋体" w:hAnsi="宋体" w:cs="宋体" w:eastAsia="宋体" w:hint="default"/>
                            <w:spacing w:val="-3"/>
                            <w:sz w:val="18"/>
                            <w:szCs w:val="18"/>
                          </w:rPr>
                          <w:t>公司之股权回购协议》，该事项已经公司第三届监事会第二十九次会议及第三届董事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会第三十次会议审议通过，考虑到自公司受让瑞柏泰</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股权后，公司和瑞柏泰的业 务合作、团队整合等方面未达预期，同时公司和瑞柏泰的业务模式和未来发展战略存 在差异，经公司、蔡敏女士及柏士泰友好协商，各方一致同意，由柏士泰受让公司持 有瑞柏泰的全部股权，包括公司根据《股权受让合同》受让的瑞柏泰</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的股权及柏 士泰依据相关合同及协议应无偿转让给公司的瑞柏泰的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股权，终止此超募资金项 </w:t>
                        </w:r>
                        <w:r>
                          <w:rPr>
                            <w:rFonts w:ascii="宋体" w:hAnsi="宋体" w:cs="宋体" w:eastAsia="宋体" w:hint="default"/>
                            <w:spacing w:val="-4"/>
                            <w:sz w:val="18"/>
                            <w:szCs w:val="18"/>
                          </w:rPr>
                          <w:t>目，股权转让价格为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2,860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万元，本次股权转让已于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日办理完成工商变 更手续。根据《股权回购协议》约定：柏士泰应于本次股权转让事项工商手续变更完 </w:t>
                        </w:r>
                        <w:r>
                          <w:rPr>
                            <w:rFonts w:ascii="宋体" w:hAnsi="宋体" w:cs="宋体" w:eastAsia="宋体" w:hint="default"/>
                            <w:spacing w:val="-2"/>
                            <w:sz w:val="18"/>
                            <w:szCs w:val="18"/>
                          </w:rPr>
                          <w:t>毕之日起三个自然月内，向新国都支付回购款</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2,360</w:t>
                        </w:r>
                        <w:r>
                          <w:rPr>
                            <w:rFonts w:ascii="Times New Roman" w:hAnsi="Times New Roman" w:cs="Times New Roman" w:eastAsia="Times New Roman" w:hint="default"/>
                            <w:spacing w:val="9"/>
                            <w:sz w:val="18"/>
                            <w:szCs w:val="18"/>
                          </w:rPr>
                          <w:t> </w:t>
                        </w:r>
                        <w:r>
                          <w:rPr>
                            <w:rFonts w:ascii="宋体" w:hAnsi="宋体" w:cs="宋体" w:eastAsia="宋体" w:hint="default"/>
                            <w:spacing w:val="-9"/>
                            <w:sz w:val="18"/>
                            <w:szCs w:val="18"/>
                          </w:rPr>
                          <w:t>万元；《股权回购协议》之补充协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议（二）将上述支付条款变更为：本次股权转让的工商变更手续办理完毕之日起七个</w:t>
                        </w:r>
                        <w:r>
                          <w:rPr>
                            <w:rFonts w:ascii="宋体" w:hAnsi="宋体" w:cs="宋体" w:eastAsia="宋体" w:hint="default"/>
                            <w:sz w:val="18"/>
                            <w:szCs w:val="18"/>
                          </w:rPr>
                          <w:t> 自然月内，丙方向甲方指定银行账户支付回购款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万元。经本公司第三届董事会</w:t>
                        </w:r>
                      </w:p>
                      <w:p>
                        <w:pPr>
                          <w:pStyle w:val="TableParagraph"/>
                          <w:spacing w:line="309" w:lineRule="auto" w:before="7"/>
                          <w:ind w:left="23" w:right="22"/>
                          <w:jc w:val="left"/>
                          <w:rPr>
                            <w:rFonts w:ascii="宋体" w:hAnsi="宋体" w:cs="宋体" w:eastAsia="宋体" w:hint="default"/>
                            <w:sz w:val="18"/>
                            <w:szCs w:val="18"/>
                          </w:rPr>
                        </w:pPr>
                        <w:r>
                          <w:rPr>
                            <w:rFonts w:ascii="宋体" w:hAnsi="宋体" w:cs="宋体" w:eastAsia="宋体" w:hint="default"/>
                            <w:sz w:val="18"/>
                            <w:szCs w:val="18"/>
                          </w:rPr>
                          <w:t>第三十一次会议和第三届监事会第三十次会议审议通过，及公司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w:t>
                        </w:r>
                        <w:r>
                          <w:rPr>
                            <w:rFonts w:ascii="宋体" w:hAnsi="宋体" w:cs="宋体" w:eastAsia="宋体" w:hint="default"/>
                            <w:spacing w:val="-1"/>
                            <w:sz w:val="18"/>
                            <w:szCs w:val="18"/>
                          </w:rPr>
                          <w:t>股东大会批准，本次股权转让交易所得款项将用于暂时性补充流动资金。本公司招商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银行车公庙支行账户于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日分别收到瑞柏泰回购股</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权款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360 </w:t>
                        </w:r>
                        <w:r>
                          <w:rPr>
                            <w:rFonts w:ascii="宋体" w:hAnsi="宋体" w:cs="宋体" w:eastAsia="宋体" w:hint="default"/>
                            <w:sz w:val="18"/>
                            <w:szCs w:val="18"/>
                          </w:rPr>
                          <w:t>万元，并于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日将实际用于暂时补充流动资金人</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民币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万元归还至公司募集资金专用账户。</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、增资易联技术开展电子支付服务项</w:t>
                        </w:r>
                      </w:p>
                      <w:p>
                        <w:pPr>
                          <w:pStyle w:val="TableParagraph"/>
                          <w:spacing w:line="314" w:lineRule="auto" w:before="63"/>
                          <w:ind w:left="23" w:right="4"/>
                          <w:jc w:val="both"/>
                          <w:rPr>
                            <w:rFonts w:ascii="宋体" w:hAnsi="宋体" w:cs="宋体" w:eastAsia="宋体" w:hint="default"/>
                            <w:sz w:val="18"/>
                            <w:szCs w:val="18"/>
                          </w:rPr>
                        </w:pPr>
                        <w:r>
                          <w:rPr>
                            <w:rFonts w:ascii="宋体" w:hAnsi="宋体" w:cs="宋体" w:eastAsia="宋体" w:hint="default"/>
                            <w:sz w:val="18"/>
                            <w:szCs w:val="18"/>
                          </w:rPr>
                          <w:t>目，项目可行性发生重大变化，具体情况为：随着</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号令的推行，国内第三方支付市 场发生重大变化，且市场竞争不断加剧。易联技术开展电子支付服务项目，主要是为 了推进小额支付运营业务的进展，计划申领预付卡发行和受理业务。由于公司的小额 支付运营业务受到阻碍，导致本项目无法实际开展，造成项目可行性发生重大变化。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pacing w:val="-11"/>
                            <w:sz w:val="18"/>
                            <w:szCs w:val="18"/>
                          </w:rPr>
                          <w:t>日，经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年第一次临时股东大会审议通过了《审议终止深圳市易联</w:t>
                        </w:r>
                      </w:p>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122.34%</w:t>
                        </w:r>
                        <w:r>
                          <w:rPr>
                            <w:rFonts w:ascii="宋体" w:hAnsi="宋体" w:cs="宋体" w:eastAsia="宋体" w:hint="default"/>
                            <w:sz w:val="18"/>
                            <w:szCs w:val="18"/>
                          </w:rPr>
                          <w:t>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并退回其他与主营业务相关的营运资金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亿元的议案</w:t>
                        </w:r>
                        <w:r>
                          <w:rPr>
                            <w:rFonts w:ascii="宋体" w:hAnsi="宋体" w:cs="宋体" w:eastAsia="宋体" w:hint="default"/>
                            <w:spacing w:val="-92"/>
                            <w:sz w:val="18"/>
                            <w:szCs w:val="18"/>
                          </w:rPr>
                          <w:t>》</w:t>
                        </w:r>
                        <w:r>
                          <w:rPr>
                            <w:rFonts w:ascii="宋体" w:hAnsi="宋体" w:cs="宋体" w:eastAsia="宋体" w:hint="default"/>
                            <w:sz w:val="18"/>
                            <w:szCs w:val="18"/>
                          </w:rPr>
                          <w:t>，终止该项目的</w:t>
                        </w:r>
                        <w:r>
                          <w:rPr>
                            <w:rFonts w:ascii="宋体" w:hAnsi="宋体" w:cs="宋体" w:eastAsia="宋体" w:hint="default"/>
                            <w:spacing w:val="2"/>
                            <w:sz w:val="18"/>
                            <w:szCs w:val="18"/>
                          </w:rPr>
                          <w:t>实</w:t>
                        </w:r>
                        <w:r>
                          <w:rPr>
                            <w:rFonts w:ascii="宋体" w:hAnsi="宋体" w:cs="宋体" w:eastAsia="宋体" w:hint="default"/>
                            <w:sz w:val="18"/>
                            <w:szCs w:val="18"/>
                          </w:rPr>
                          <w:t>施，以提高超募资金的使用效率。</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pStyle w:val="BodyText"/>
        <w:spacing w:line="240" w:lineRule="auto"/>
        <w:ind w:left="0" w:right="1137"/>
        <w:jc w:val="right"/>
      </w:pP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60"/>
        <w:gridCol w:w="6712"/>
      </w:tblGrid>
      <w:tr>
        <w:trPr>
          <w:trHeight w:val="713" w:hRule="exact"/>
        </w:trPr>
        <w:tc>
          <w:tcPr>
            <w:tcW w:w="2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4"/>
        <w:spacing w:line="367" w:lineRule="exact"/>
        <w:ind w:right="1033"/>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7"/>
        <w:gridCol w:w="641"/>
        <w:gridCol w:w="641"/>
        <w:gridCol w:w="639"/>
        <w:gridCol w:w="641"/>
        <w:gridCol w:w="638"/>
        <w:gridCol w:w="639"/>
        <w:gridCol w:w="638"/>
        <w:gridCol w:w="638"/>
        <w:gridCol w:w="638"/>
        <w:gridCol w:w="639"/>
        <w:gridCol w:w="638"/>
        <w:gridCol w:w="636"/>
        <w:gridCol w:w="639"/>
        <w:gridCol w:w="631"/>
      </w:tblGrid>
      <w:tr>
        <w:trPr>
          <w:trHeight w:val="3834" w:hRule="exact"/>
        </w:trPr>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4" w:right="4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34" w:right="43" w:hanging="89"/>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45" w:right="41"/>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1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w:t>
            </w:r>
          </w:p>
          <w:p>
            <w:pPr>
              <w:pStyle w:val="TableParagraph"/>
              <w:spacing w:line="319" w:lineRule="auto" w:before="19"/>
              <w:ind w:left="45" w:right="41" w:hanging="166"/>
              <w:jc w:val="both"/>
              <w:rPr>
                <w:rFonts w:ascii="宋体" w:hAnsi="宋体" w:cs="宋体" w:eastAsia="宋体" w:hint="default"/>
                <w:sz w:val="18"/>
                <w:szCs w:val="18"/>
              </w:rPr>
            </w:pPr>
            <w:r>
              <w:rPr>
                <w:rFonts w:ascii="宋体" w:hAnsi="宋体" w:cs="宋体" w:eastAsia="宋体" w:hint="default"/>
                <w:spacing w:val="-4"/>
                <w:sz w:val="18"/>
                <w:szCs w:val="18"/>
              </w:rPr>
              <w:t>）占净利</w:t>
            </w:r>
            <w:r>
              <w:rPr>
                <w:rFonts w:ascii="宋体" w:hAnsi="宋体" w:cs="宋体" w:eastAsia="宋体" w:hint="default"/>
                <w:sz w:val="18"/>
                <w:szCs w:val="18"/>
              </w:rPr>
              <w:t> 润总额 的比例</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45" w:right="4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1"/>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38"/>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8" w:right="3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35.634705pt;margin-top:806.72052pt;width:59.493346pt;height:26.794713pt;mso-position-horizontal-relative:page;mso-position-vertical-relative:page;z-index:1288" type="#_x0000_t75" stroked="false">
            <v:imagedata r:id="rId15" o:titl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38"/>
        <w:gridCol w:w="641"/>
        <w:gridCol w:w="641"/>
        <w:gridCol w:w="639"/>
        <w:gridCol w:w="641"/>
        <w:gridCol w:w="638"/>
        <w:gridCol w:w="639"/>
        <w:gridCol w:w="638"/>
        <w:gridCol w:w="638"/>
        <w:gridCol w:w="638"/>
        <w:gridCol w:w="639"/>
        <w:gridCol w:w="638"/>
        <w:gridCol w:w="636"/>
        <w:gridCol w:w="639"/>
        <w:gridCol w:w="631"/>
      </w:tblGrid>
      <w:tr>
        <w:trPr>
          <w:trHeight w:val="11325"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24" w:right="62"/>
              <w:jc w:val="both"/>
              <w:rPr>
                <w:rFonts w:ascii="宋体" w:hAnsi="宋体" w:cs="宋体" w:eastAsia="宋体" w:hint="default"/>
                <w:sz w:val="18"/>
                <w:szCs w:val="18"/>
              </w:rPr>
            </w:pPr>
            <w:r>
              <w:rPr>
                <w:rFonts w:ascii="宋体" w:hAnsi="宋体" w:cs="宋体" w:eastAsia="宋体" w:hint="default"/>
                <w:sz w:val="18"/>
                <w:szCs w:val="18"/>
              </w:rPr>
              <w:t>昆山银 桥控股 集团有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3" w:right="47"/>
              <w:jc w:val="both"/>
              <w:rPr>
                <w:rFonts w:ascii="宋体" w:hAnsi="宋体" w:cs="宋体" w:eastAsia="宋体" w:hint="default"/>
                <w:sz w:val="18"/>
                <w:szCs w:val="18"/>
              </w:rPr>
            </w:pPr>
            <w:r>
              <w:rPr>
                <w:rFonts w:ascii="宋体" w:hAnsi="宋体" w:cs="宋体" w:eastAsia="宋体" w:hint="default"/>
                <w:sz w:val="18"/>
                <w:szCs w:val="18"/>
              </w:rPr>
              <w:t>苏州新 国都电 子技术 有限公 司</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96.32%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49,554.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-793.26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7"/>
              <w:jc w:val="left"/>
              <w:rPr>
                <w:rFonts w:ascii="宋体" w:hAnsi="宋体" w:cs="宋体" w:eastAsia="宋体" w:hint="default"/>
                <w:sz w:val="18"/>
                <w:szCs w:val="18"/>
              </w:rPr>
            </w:pPr>
            <w:r>
              <w:rPr>
                <w:rFonts w:ascii="宋体" w:hAnsi="宋体" w:cs="宋体" w:eastAsia="宋体" w:hint="default"/>
                <w:sz w:val="18"/>
                <w:szCs w:val="18"/>
              </w:rPr>
              <w:t>处置处 于空置 状态的 子公司 股权， 可以降 低管理 成本及 固定费 用，提 高公司 整体研 发、运 营的经 济收 益，降 低经营 风险， 有利于 公司的 长远发 展和持 续经 营。昆 山银桥 支付股 权转让 款增加 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38" w:lineRule="auto"/>
              <w:ind w:left="24"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度净利 润 </w:t>
            </w:r>
            <w:r>
              <w:rPr>
                <w:rFonts w:ascii="Times New Roman" w:hAnsi="Times New Roman" w:cs="Times New Roman" w:eastAsia="Times New Roman" w:hint="default"/>
                <w:sz w:val="18"/>
                <w:szCs w:val="18"/>
              </w:rPr>
              <w:t>89,128,</w:t>
            </w:r>
          </w:p>
          <w:p>
            <w:pPr>
              <w:pStyle w:val="TableParagraph"/>
              <w:spacing w:line="240" w:lineRule="auto" w:before="23"/>
              <w:ind w:left="24" w:right="0"/>
              <w:jc w:val="left"/>
              <w:rPr>
                <w:rFonts w:ascii="Times New Roman" w:hAnsi="Times New Roman" w:cs="Times New Roman" w:eastAsia="Times New Roman" w:hint="default"/>
                <w:sz w:val="18"/>
                <w:szCs w:val="18"/>
              </w:rPr>
            </w:pPr>
            <w:r>
              <w:rPr>
                <w:rFonts w:ascii="Times New Roman"/>
                <w:sz w:val="18"/>
              </w:rPr>
              <w:t>993.45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36.76%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参考评 估结 果，经 交易各 方协商 确定</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按计划 实行</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4" w:right="5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4" w:right="21"/>
              <w:jc w:val="left"/>
              <w:rPr>
                <w:rFonts w:ascii="宋体" w:hAnsi="宋体" w:cs="宋体" w:eastAsia="宋体" w:hint="default"/>
                <w:sz w:val="18"/>
                <w:szCs w:val="18"/>
              </w:rPr>
            </w:pPr>
            <w:r>
              <w:rPr>
                <w:rFonts w:ascii="宋体" w:hAnsi="宋体" w:cs="宋体" w:eastAsia="宋体" w:hint="default"/>
                <w:sz w:val="18"/>
                <w:szCs w:val="18"/>
              </w:rPr>
              <w:t>《关于 转让控 股子公 司股权 的公 </w:t>
            </w:r>
            <w:r>
              <w:rPr>
                <w:rFonts w:ascii="宋体" w:hAnsi="宋体" w:cs="宋体" w:eastAsia="宋体" w:hint="default"/>
                <w:spacing w:val="-37"/>
                <w:sz w:val="18"/>
                <w:szCs w:val="18"/>
              </w:rPr>
              <w:t>告》（公</w:t>
            </w:r>
            <w:r>
              <w:rPr>
                <w:rFonts w:ascii="宋体" w:hAnsi="宋体" w:cs="宋体" w:eastAsia="宋体" w:hint="default"/>
                <w:sz w:val="18"/>
                <w:szCs w:val="18"/>
              </w:rPr>
              <w:t> 告编 号：</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2019-1</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footerReference w:type="default" r:id="rId14"/>
          <w:pgSz w:w="11910" w:h="16840"/>
          <w:pgMar w:footer="0" w:header="745" w:top="1060" w:bottom="0" w:left="980" w:right="0"/>
        </w:sectPr>
      </w:pPr>
    </w:p>
    <w:p>
      <w:pPr>
        <w:spacing w:line="240" w:lineRule="auto" w:before="2"/>
        <w:rPr>
          <w:rFonts w:ascii="Times New Roman" w:hAnsi="Times New Roman" w:cs="Times New Roman" w:eastAsia="Times New Roman" w:hint="default"/>
          <w:sz w:val="3"/>
          <w:szCs w:val="3"/>
        </w:rPr>
      </w:pPr>
      <w:r>
        <w:rPr/>
        <w:pict>
          <v:shape style="position:absolute;margin-left:504.23999pt;margin-top:700.559998pt;width:31.1pt;height:141.4pt;mso-position-horizontal-relative:page;mso-position-vertical-relative:page;z-index:-1259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5"/>
                      <w:szCs w:val="15"/>
                    </w:rPr>
                  </w:pPr>
                </w:p>
                <w:p>
                  <w:pPr>
                    <w:pStyle w:val="BodyText"/>
                    <w:spacing w:line="240" w:lineRule="auto"/>
                    <w:ind w:left="0" w:right="19"/>
                    <w:jc w:val="right"/>
                    <w:rPr>
                      <w:rFonts w:ascii="Times New Roman" w:hAnsi="Times New Roman" w:cs="Times New Roman" w:eastAsia="Times New Roman" w:hint="default"/>
                    </w:rPr>
                  </w:pPr>
                  <w:r>
                    <w:rPr>
                      <w:rFonts w:ascii="Times New Roman"/>
                      <w:spacing w:val="1"/>
                    </w:rPr>
                    <w:t>4</w:t>
                  </w:r>
                  <w:r>
                    <w:rPr>
                      <w:rFonts w:ascii="Times New Roman"/>
                    </w:rPr>
                  </w:r>
                </w:p>
              </w:txbxContent>
            </v:textbox>
            <w10:wrap type="none"/>
          </v:shape>
        </w:pict>
      </w:r>
      <w:r>
        <w:rPr/>
        <w:pict>
          <v:group style="position:absolute;margin-left:504.23999pt;margin-top:700.559998pt;width:90.9pt;height:141.4pt;mso-position-horizontal-relative:page;mso-position-vertical-relative:page;z-index:-1259248" coordorigin="10085,14011" coordsize="1818,2828">
            <v:group style="position:absolute;left:10085;top:14011;width:622;height:2828" coordorigin="10085,14011" coordsize="622,2828">
              <v:shape style="position:absolute;left:10085;top:14011;width:622;height:2828" coordorigin="10085,14011" coordsize="622,2828" path="m10706,16838l10706,14011,10085,14011,10085,16838,10706,16838xe" filled="true" fillcolor="#ffffff" stroked="false">
                <v:path arrowok="t"/>
                <v:fill type="solid"/>
              </v:shape>
              <v:shape style="position:absolute;left:10713;top:16134;width:1190;height:536" type="#_x0000_t75" stroked="false">
                <v:imagedata r:id="rId15" o:title=""/>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638"/>
        <w:gridCol w:w="641"/>
        <w:gridCol w:w="641"/>
        <w:gridCol w:w="639"/>
        <w:gridCol w:w="641"/>
        <w:gridCol w:w="638"/>
        <w:gridCol w:w="639"/>
        <w:gridCol w:w="638"/>
        <w:gridCol w:w="638"/>
        <w:gridCol w:w="638"/>
        <w:gridCol w:w="639"/>
        <w:gridCol w:w="638"/>
        <w:gridCol w:w="636"/>
        <w:gridCol w:w="639"/>
        <w:gridCol w:w="631"/>
      </w:tblGrid>
      <w:tr>
        <w:trPr>
          <w:trHeight w:val="334" w:hRule="exact"/>
        </w:trPr>
        <w:tc>
          <w:tcPr>
            <w:tcW w:w="638" w:type="dxa"/>
            <w:tcBorders>
              <w:top w:val="single" w:sz="6" w:space="0" w:color="000000"/>
              <w:left w:val="nil" w:sz="6" w:space="0" w:color="auto"/>
              <w:bottom w:val="single" w:sz="4" w:space="0" w:color="000000"/>
              <w:right w:val="nil" w:sz="6" w:space="0" w:color="auto"/>
            </w:tcBorders>
          </w:tcPr>
          <w:p>
            <w:pPr/>
          </w:p>
        </w:tc>
        <w:tc>
          <w:tcPr>
            <w:tcW w:w="641" w:type="dxa"/>
            <w:tcBorders>
              <w:top w:val="single" w:sz="6" w:space="0" w:color="000000"/>
              <w:left w:val="nil" w:sz="6" w:space="0" w:color="auto"/>
              <w:bottom w:val="single" w:sz="4" w:space="0" w:color="000000"/>
              <w:right w:val="nil" w:sz="6" w:space="0" w:color="auto"/>
            </w:tcBorders>
          </w:tcPr>
          <w:p>
            <w:pPr/>
          </w:p>
        </w:tc>
        <w:tc>
          <w:tcPr>
            <w:tcW w:w="641" w:type="dxa"/>
            <w:tcBorders>
              <w:top w:val="single" w:sz="6" w:space="0" w:color="000000"/>
              <w:left w:val="nil" w:sz="6" w:space="0" w:color="auto"/>
              <w:bottom w:val="single" w:sz="4" w:space="0" w:color="000000"/>
              <w:right w:val="nil" w:sz="6" w:space="0" w:color="auto"/>
            </w:tcBorders>
          </w:tcPr>
          <w:p>
            <w:pPr/>
          </w:p>
        </w:tc>
        <w:tc>
          <w:tcPr>
            <w:tcW w:w="639" w:type="dxa"/>
            <w:tcBorders>
              <w:top w:val="single" w:sz="6" w:space="0" w:color="000000"/>
              <w:left w:val="nil" w:sz="6" w:space="0" w:color="auto"/>
              <w:bottom w:val="single" w:sz="4" w:space="0" w:color="000000"/>
              <w:right w:val="nil" w:sz="6" w:space="0" w:color="auto"/>
            </w:tcBorders>
          </w:tcPr>
          <w:p>
            <w:pPr/>
          </w:p>
        </w:tc>
        <w:tc>
          <w:tcPr>
            <w:tcW w:w="641" w:type="dxa"/>
            <w:tcBorders>
              <w:top w:val="single" w:sz="6" w:space="0" w:color="000000"/>
              <w:left w:val="nil" w:sz="6" w:space="0" w:color="auto"/>
              <w:bottom w:val="single" w:sz="4" w:space="0" w:color="000000"/>
              <w:right w:val="nil" w:sz="6" w:space="0" w:color="auto"/>
            </w:tcBorders>
          </w:tcPr>
          <w:p>
            <w:pPr/>
          </w:p>
        </w:tc>
        <w:tc>
          <w:tcPr>
            <w:tcW w:w="638" w:type="dxa"/>
            <w:tcBorders>
              <w:top w:val="single" w:sz="6" w:space="0" w:color="000000"/>
              <w:left w:val="nil" w:sz="6" w:space="0" w:color="auto"/>
              <w:bottom w:val="single" w:sz="4" w:space="0" w:color="000000"/>
              <w:right w:val="nil" w:sz="6" w:space="0" w:color="auto"/>
            </w:tcBorders>
          </w:tcPr>
          <w:p>
            <w:pPr/>
          </w:p>
        </w:tc>
        <w:tc>
          <w:tcPr>
            <w:tcW w:w="639" w:type="dxa"/>
            <w:tcBorders>
              <w:top w:val="single" w:sz="6" w:space="0" w:color="000000"/>
              <w:left w:val="nil" w:sz="6" w:space="0" w:color="auto"/>
              <w:bottom w:val="single" w:sz="4" w:space="0" w:color="000000"/>
              <w:right w:val="nil" w:sz="6" w:space="0" w:color="auto"/>
            </w:tcBorders>
          </w:tcPr>
          <w:p>
            <w:pPr/>
          </w:p>
        </w:tc>
        <w:tc>
          <w:tcPr>
            <w:tcW w:w="638" w:type="dxa"/>
            <w:tcBorders>
              <w:top w:val="single" w:sz="6" w:space="0" w:color="000000"/>
              <w:left w:val="nil" w:sz="6" w:space="0" w:color="auto"/>
              <w:bottom w:val="single" w:sz="4" w:space="0" w:color="000000"/>
              <w:right w:val="nil" w:sz="6" w:space="0" w:color="auto"/>
            </w:tcBorders>
          </w:tcPr>
          <w:p>
            <w:pPr/>
          </w:p>
        </w:tc>
        <w:tc>
          <w:tcPr>
            <w:tcW w:w="638" w:type="dxa"/>
            <w:tcBorders>
              <w:top w:val="single" w:sz="6" w:space="0" w:color="000000"/>
              <w:left w:val="nil" w:sz="6" w:space="0" w:color="auto"/>
              <w:bottom w:val="single" w:sz="4" w:space="0" w:color="000000"/>
              <w:right w:val="nil" w:sz="6" w:space="0" w:color="auto"/>
            </w:tcBorders>
          </w:tcPr>
          <w:p>
            <w:pPr/>
          </w:p>
        </w:tc>
        <w:tc>
          <w:tcPr>
            <w:tcW w:w="638" w:type="dxa"/>
            <w:tcBorders>
              <w:top w:val="single" w:sz="6" w:space="0" w:color="000000"/>
              <w:left w:val="nil" w:sz="6" w:space="0" w:color="auto"/>
              <w:bottom w:val="single" w:sz="4" w:space="0" w:color="000000"/>
              <w:right w:val="nil" w:sz="6" w:space="0" w:color="auto"/>
            </w:tcBorders>
          </w:tcPr>
          <w:p>
            <w:pPr/>
          </w:p>
        </w:tc>
        <w:tc>
          <w:tcPr>
            <w:tcW w:w="639" w:type="dxa"/>
            <w:tcBorders>
              <w:top w:val="single" w:sz="6" w:space="0" w:color="000000"/>
              <w:left w:val="nil" w:sz="6" w:space="0" w:color="auto"/>
              <w:bottom w:val="single" w:sz="4" w:space="0" w:color="000000"/>
              <w:right w:val="nil" w:sz="6" w:space="0" w:color="auto"/>
            </w:tcBorders>
          </w:tcPr>
          <w:p>
            <w:pPr/>
          </w:p>
        </w:tc>
        <w:tc>
          <w:tcPr>
            <w:tcW w:w="638" w:type="dxa"/>
            <w:tcBorders>
              <w:top w:val="single" w:sz="6" w:space="0" w:color="000000"/>
              <w:left w:val="nil" w:sz="6" w:space="0" w:color="auto"/>
              <w:bottom w:val="single" w:sz="4" w:space="0" w:color="000000"/>
              <w:right w:val="nil" w:sz="6" w:space="0" w:color="auto"/>
            </w:tcBorders>
          </w:tcPr>
          <w:p>
            <w:pPr/>
          </w:p>
        </w:tc>
        <w:tc>
          <w:tcPr>
            <w:tcW w:w="636" w:type="dxa"/>
            <w:tcBorders>
              <w:top w:val="single" w:sz="6" w:space="0" w:color="000000"/>
              <w:left w:val="nil" w:sz="6" w:space="0" w:color="auto"/>
              <w:bottom w:val="single" w:sz="4" w:space="0" w:color="000000"/>
              <w:right w:val="nil" w:sz="6" w:space="0" w:color="auto"/>
            </w:tcBorders>
          </w:tcPr>
          <w:p>
            <w:pPr/>
          </w:p>
        </w:tc>
        <w:tc>
          <w:tcPr>
            <w:tcW w:w="639" w:type="dxa"/>
            <w:tcBorders>
              <w:top w:val="single" w:sz="6" w:space="0" w:color="000000"/>
              <w:left w:val="nil" w:sz="6" w:space="0" w:color="auto"/>
              <w:bottom w:val="single" w:sz="4" w:space="0" w:color="000000"/>
              <w:right w:val="nil" w:sz="6" w:space="0" w:color="auto"/>
            </w:tcBorders>
          </w:tcPr>
          <w:p>
            <w:pPr/>
          </w:p>
        </w:tc>
        <w:tc>
          <w:tcPr>
            <w:tcW w:w="631" w:type="dxa"/>
            <w:tcBorders>
              <w:top w:val="single" w:sz="6" w:space="0" w:color="000000"/>
              <w:left w:val="nil" w:sz="6" w:space="0" w:color="auto"/>
              <w:bottom w:val="single" w:sz="4" w:space="0" w:color="000000"/>
              <w:right w:val="nil" w:sz="6" w:space="0" w:color="auto"/>
            </w:tcBorders>
          </w:tcPr>
          <w:p>
            <w:pPr/>
          </w:p>
        </w:tc>
      </w:tr>
      <w:tr>
        <w:trPr>
          <w:trHeight w:val="15394" w:hRule="exact"/>
        </w:trPr>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4" w:right="22"/>
              <w:jc w:val="left"/>
              <w:rPr>
                <w:rFonts w:ascii="宋体" w:hAnsi="宋体" w:cs="宋体" w:eastAsia="宋体" w:hint="default"/>
                <w:sz w:val="18"/>
                <w:szCs w:val="18"/>
              </w:rPr>
            </w:pPr>
            <w:r>
              <w:rPr>
                <w:rFonts w:ascii="宋体" w:hAnsi="宋体" w:cs="宋体" w:eastAsia="宋体" w:hint="default"/>
                <w:sz w:val="18"/>
                <w:szCs w:val="18"/>
              </w:rPr>
              <w:t>江汉、 宁波梅 山保税 港区雄 腾煜富 投资中 心（有 限合 </w:t>
            </w:r>
            <w:r>
              <w:rPr>
                <w:rFonts w:ascii="宋体" w:hAnsi="宋体" w:cs="宋体" w:eastAsia="宋体" w:hint="default"/>
                <w:spacing w:val="-36"/>
                <w:sz w:val="18"/>
                <w:szCs w:val="18"/>
              </w:rPr>
              <w:t>伙）、深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圳市信 链投资 咨询合 伙企业</w:t>
            </w:r>
          </w:p>
          <w:p>
            <w:pPr>
              <w:pStyle w:val="TableParagraph"/>
              <w:spacing w:line="319" w:lineRule="auto" w:before="19"/>
              <w:ind w:left="24" w:right="62"/>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3" w:right="65"/>
              <w:jc w:val="left"/>
              <w:rPr>
                <w:rFonts w:ascii="宋体" w:hAnsi="宋体" w:cs="宋体" w:eastAsia="宋体" w:hint="default"/>
                <w:sz w:val="18"/>
                <w:szCs w:val="18"/>
              </w:rPr>
            </w:pPr>
            <w:r>
              <w:rPr>
                <w:rFonts w:ascii="宋体" w:hAnsi="宋体" w:cs="宋体" w:eastAsia="宋体" w:hint="default"/>
                <w:sz w:val="18"/>
                <w:szCs w:val="18"/>
              </w:rPr>
              <w:t>深圳市 新国都 金服技 术有限 公司 </w:t>
            </w:r>
            <w:r>
              <w:rPr>
                <w:rFonts w:ascii="Times New Roman" w:hAnsi="Times New Roman" w:cs="Times New Roman" w:eastAsia="Times New Roman" w:hint="default"/>
                <w:sz w:val="18"/>
                <w:szCs w:val="18"/>
              </w:rPr>
              <w:t>72%</w:t>
            </w:r>
            <w:r>
              <w:rPr>
                <w:rFonts w:ascii="宋体" w:hAnsi="宋体" w:cs="宋体" w:eastAsia="宋体" w:hint="default"/>
                <w:sz w:val="18"/>
                <w:szCs w:val="18"/>
              </w:rPr>
              <w:t>股</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5,760</w:t>
            </w: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-379.84</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2"/>
              <w:ind w:left="24" w:right="62"/>
              <w:jc w:val="both"/>
              <w:rPr>
                <w:rFonts w:ascii="宋体" w:hAnsi="宋体" w:cs="宋体" w:eastAsia="宋体" w:hint="default"/>
                <w:sz w:val="18"/>
                <w:szCs w:val="18"/>
              </w:rPr>
            </w:pPr>
            <w:r>
              <w:rPr>
                <w:rFonts w:ascii="宋体" w:hAnsi="宋体" w:cs="宋体" w:eastAsia="宋体" w:hint="default"/>
                <w:sz w:val="18"/>
                <w:szCs w:val="18"/>
              </w:rPr>
              <w:t>金服技 术及其 子公司 的主要 业务为 征信业 务，公 司通过 转让金 服技术 部分股 权，促 进公司 进一步 聚焦电 子支付 主业， 减轻对 金服技 术的资 金投入 压力， 对公司 的正常 经营不 产生重 大影响</w:t>
            </w: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18.57%</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参考评 估结 果，经 交易各 方协商 确定</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交易对 手方之 一江汉 先生为 持有公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以上股 份的股 东，时 任公司 董事、 副总经 理，担 任金服 技术执 行董 事、信 联征信 执行董 事</w:t>
            </w: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49"/>
              <w:ind w:left="23" w:right="14"/>
              <w:jc w:val="left"/>
              <w:rPr>
                <w:rFonts w:ascii="宋体" w:hAnsi="宋体" w:cs="宋体" w:eastAsia="宋体" w:hint="default"/>
                <w:sz w:val="18"/>
                <w:szCs w:val="18"/>
              </w:rPr>
            </w:pPr>
            <w:r>
              <w:rPr>
                <w:rFonts w:ascii="宋体" w:hAnsi="宋体" w:cs="宋体" w:eastAsia="宋体" w:hint="default"/>
                <w:sz w:val="18"/>
                <w:szCs w:val="18"/>
              </w:rPr>
              <w:t>未按计 划实 施。受 行业及 经济环 境影 响，信 链投资 主要出 资人资 金周转 受到一 定短期 影响， 从而影 响了信 链投资 第二期 股权转 让款的 支付， 公司与 信链投 资签署 了《股 权转让 协议之 补充协 </w:t>
            </w:r>
            <w:r>
              <w:rPr>
                <w:rFonts w:ascii="宋体" w:hAnsi="宋体" w:cs="宋体" w:eastAsia="宋体" w:hint="default"/>
                <w:spacing w:val="-36"/>
                <w:sz w:val="18"/>
                <w:szCs w:val="18"/>
              </w:rPr>
              <w:t>议》，同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意信链 投资延 期至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p>
          <w:p>
            <w:pPr>
              <w:pStyle w:val="TableParagraph"/>
              <w:spacing w:line="316" w:lineRule="auto" w:before="63"/>
              <w:ind w:left="23" w:right="60"/>
              <w:jc w:val="left"/>
              <w:rPr>
                <w:rFonts w:ascii="宋体" w:hAnsi="宋体" w:cs="宋体" w:eastAsia="宋体" w:hint="default"/>
                <w:sz w:val="18"/>
                <w:szCs w:val="18"/>
              </w:rPr>
            </w:pPr>
            <w:r>
              <w:rPr>
                <w:rFonts w:ascii="宋体" w:hAnsi="宋体" w:cs="宋体" w:eastAsia="宋体" w:hint="default"/>
                <w:sz w:val="18"/>
                <w:szCs w:val="18"/>
              </w:rPr>
              <w:t>日支付 第二期 股权转 让款 </w:t>
            </w:r>
            <w:r>
              <w:rPr>
                <w:rFonts w:ascii="Times New Roman" w:hAnsi="Times New Roman" w:cs="Times New Roman" w:eastAsia="Times New Roman" w:hint="default"/>
                <w:sz w:val="18"/>
                <w:szCs w:val="18"/>
              </w:rPr>
              <w:t>519 </w:t>
            </w:r>
            <w:r>
              <w:rPr>
                <w:rFonts w:ascii="宋体" w:hAnsi="宋体" w:cs="宋体" w:eastAsia="宋体" w:hint="default"/>
                <w:sz w:val="18"/>
                <w:szCs w:val="18"/>
              </w:rPr>
              <w:t>万</w:t>
            </w:r>
          </w:p>
          <w:p>
            <w:pPr>
              <w:pStyle w:val="TableParagraph"/>
              <w:spacing w:line="316" w:lineRule="auto"/>
              <w:ind w:left="23" w:right="60"/>
              <w:jc w:val="both"/>
              <w:rPr>
                <w:rFonts w:ascii="宋体" w:hAnsi="宋体" w:cs="宋体" w:eastAsia="宋体" w:hint="default"/>
                <w:sz w:val="18"/>
                <w:szCs w:val="18"/>
              </w:rPr>
            </w:pPr>
            <w:r>
              <w:rPr>
                <w:rFonts w:ascii="宋体" w:hAnsi="宋体" w:cs="宋体" w:eastAsia="宋体" w:hint="default"/>
                <w:sz w:val="18"/>
                <w:szCs w:val="18"/>
              </w:rPr>
              <w:t>元，同 时支付 资金占 用费约</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16.47</w:t>
            </w:r>
          </w:p>
          <w:p>
            <w:pPr>
              <w:pStyle w:val="TableParagraph"/>
              <w:spacing w:line="316" w:lineRule="auto" w:before="63"/>
              <w:ind w:left="23" w:right="14"/>
              <w:jc w:val="left"/>
              <w:rPr>
                <w:rFonts w:ascii="宋体" w:hAnsi="宋体" w:cs="宋体" w:eastAsia="宋体" w:hint="default"/>
                <w:sz w:val="18"/>
                <w:szCs w:val="18"/>
              </w:rPr>
            </w:pPr>
            <w:r>
              <w:rPr>
                <w:rFonts w:ascii="宋体" w:hAnsi="宋体" w:cs="宋体" w:eastAsia="宋体" w:hint="default"/>
                <w:sz w:val="18"/>
                <w:szCs w:val="18"/>
              </w:rPr>
              <w:t>万元。 详情请 查看公 司于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3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4" w:right="5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4" w:right="55"/>
              <w:jc w:val="both"/>
              <w:rPr>
                <w:rFonts w:ascii="宋体" w:hAnsi="宋体" w:cs="宋体" w:eastAsia="宋体" w:hint="default"/>
                <w:sz w:val="18"/>
                <w:szCs w:val="18"/>
              </w:rPr>
            </w:pPr>
            <w:r>
              <w:rPr>
                <w:rFonts w:ascii="宋体" w:hAnsi="宋体" w:cs="宋体" w:eastAsia="宋体" w:hint="default"/>
                <w:sz w:val="18"/>
                <w:szCs w:val="18"/>
              </w:rPr>
              <w:t>《关于 转让金 服技术 </w:t>
            </w:r>
            <w:r>
              <w:rPr>
                <w:rFonts w:ascii="Times New Roman" w:hAnsi="Times New Roman" w:cs="Times New Roman" w:eastAsia="Times New Roman" w:hint="default"/>
                <w:sz w:val="18"/>
                <w:szCs w:val="18"/>
              </w:rPr>
              <w:t>72%</w:t>
            </w:r>
            <w:r>
              <w:rPr>
                <w:rFonts w:ascii="宋体" w:hAnsi="宋体" w:cs="宋体" w:eastAsia="宋体" w:hint="default"/>
                <w:sz w:val="18"/>
                <w:szCs w:val="18"/>
              </w:rPr>
              <w:t>股</w:t>
            </w: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z w:val="18"/>
                <w:szCs w:val="18"/>
              </w:rPr>
              <w:t>份暨关 联交易 的公 </w:t>
            </w:r>
            <w:r>
              <w:rPr>
                <w:rFonts w:ascii="宋体" w:hAnsi="宋体" w:cs="宋体" w:eastAsia="宋体" w:hint="default"/>
                <w:spacing w:val="-37"/>
                <w:sz w:val="18"/>
                <w:szCs w:val="18"/>
              </w:rPr>
              <w:t>告》（公</w:t>
            </w:r>
            <w:r>
              <w:rPr>
                <w:rFonts w:ascii="宋体" w:hAnsi="宋体" w:cs="宋体" w:eastAsia="宋体" w:hint="default"/>
                <w:sz w:val="18"/>
                <w:szCs w:val="18"/>
              </w:rPr>
              <w:t> 告编 号：</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footerReference w:type="default" r:id="rId16"/>
          <w:pgSz w:w="11910" w:h="16840"/>
          <w:pgMar w:footer="0" w:header="745" w:top="1060" w:bottom="0" w:left="1020" w:right="0"/>
        </w:sectPr>
      </w:pPr>
    </w:p>
    <w:p>
      <w:pPr>
        <w:spacing w:line="240" w:lineRule="auto" w:before="2"/>
        <w:rPr>
          <w:rFonts w:ascii="Times New Roman" w:hAnsi="Times New Roman" w:cs="Times New Roman" w:eastAsia="Times New Roman" w:hint="default"/>
          <w:sz w:val="3"/>
          <w:szCs w:val="3"/>
        </w:rPr>
      </w:pPr>
      <w:r>
        <w:rPr/>
        <w:pict>
          <v:shape style="position:absolute;margin-left:535.634705pt;margin-top:806.72052pt;width:59.493346pt;height:26.794713pt;mso-position-horizontal-relative:page;mso-position-vertical-relative:page;z-index:1384" type="#_x0000_t75" stroked="false">
            <v:imagedata r:id="rId15" o:title=""/>
          </v:shape>
        </w:pict>
      </w:r>
    </w:p>
    <w:p>
      <w:pPr>
        <w:spacing w:line="20" w:lineRule="exact"/>
        <w:ind w:left="11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23"/>
          <w:szCs w:val="23"/>
        </w:rPr>
      </w:pPr>
    </w:p>
    <w:p>
      <w:pPr>
        <w:pStyle w:val="Heading5"/>
        <w:spacing w:line="335" w:lineRule="exact"/>
        <w:ind w:right="10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0"/>
        <w:gridCol w:w="682"/>
        <w:gridCol w:w="684"/>
        <w:gridCol w:w="685"/>
        <w:gridCol w:w="684"/>
        <w:gridCol w:w="684"/>
        <w:gridCol w:w="682"/>
        <w:gridCol w:w="686"/>
        <w:gridCol w:w="684"/>
        <w:gridCol w:w="685"/>
        <w:gridCol w:w="684"/>
        <w:gridCol w:w="684"/>
        <w:gridCol w:w="684"/>
        <w:gridCol w:w="677"/>
      </w:tblGrid>
      <w:tr>
        <w:trPr>
          <w:trHeight w:val="3836" w:hRule="exact"/>
        </w:trPr>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5" w:right="62"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3"/>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9"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footerReference w:type="default" r:id="rId17"/>
          <w:pgSz w:w="11910" w:h="16840"/>
          <w:pgMar w:footer="0" w:header="745"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97.190002pt;margin-top:72.47998pt;width:66.850pt;height:265.25pt;mso-position-horizontal-relative:page;mso-position-vertical-relative:page;z-index:-1259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4"/>
                      <w:szCs w:val="24"/>
                    </w:rPr>
                  </w:pPr>
                </w:p>
                <w:p>
                  <w:pPr>
                    <w:pStyle w:val="BodyText"/>
                    <w:spacing w:line="240" w:lineRule="auto"/>
                    <w:ind w:left="0" w:right="0"/>
                    <w:jc w:val="left"/>
                  </w:pPr>
                  <w:r>
                    <w:rPr/>
                    <w:t>估结果，</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5"/>
        <w:gridCol w:w="684"/>
        <w:gridCol w:w="684"/>
        <w:gridCol w:w="682"/>
        <w:gridCol w:w="686"/>
        <w:gridCol w:w="684"/>
        <w:gridCol w:w="685"/>
        <w:gridCol w:w="684"/>
        <w:gridCol w:w="684"/>
        <w:gridCol w:w="684"/>
        <w:gridCol w:w="677"/>
      </w:tblGrid>
      <w:tr>
        <w:trPr>
          <w:trHeight w:val="1101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24" w:right="107"/>
              <w:jc w:val="both"/>
              <w:rPr>
                <w:rFonts w:ascii="宋体" w:hAnsi="宋体" w:cs="宋体" w:eastAsia="宋体" w:hint="default"/>
                <w:sz w:val="18"/>
                <w:szCs w:val="18"/>
              </w:rPr>
            </w:pPr>
            <w:r>
              <w:rPr>
                <w:rFonts w:ascii="宋体" w:hAnsi="宋体" w:cs="宋体" w:eastAsia="宋体" w:hint="default"/>
                <w:sz w:val="18"/>
                <w:szCs w:val="18"/>
              </w:rPr>
              <w:t>昆山银 桥控股 集团有 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312" w:lineRule="exact"/>
              <w:ind w:left="23" w:right="88"/>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苏州新 国都电 子技术 有限公 司 </w:t>
            </w:r>
            <w:r>
              <w:rPr>
                <w:rFonts w:ascii="Times New Roman" w:hAnsi="Times New Roman" w:cs="Times New Roman" w:eastAsia="Times New Roman" w:hint="default"/>
                <w:sz w:val="18"/>
                <w:szCs w:val="18"/>
              </w:rPr>
              <w:t>96.32%</w:t>
            </w:r>
          </w:p>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49,554.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-793.26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处置处 于空置 状态的 子公司 股权， 可以降 低管理 成本及 固定费 用，提 高公司 整体研 发、运 营的经 济收 益，降 低经营 风险， 有利于 公司的 长远发 展和持 续经 营。昆 山银桥 支付股 权转让 款增加 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38" w:lineRule="auto"/>
              <w:ind w:left="23" w:right="107"/>
              <w:jc w:val="left"/>
              <w:rPr>
                <w:rFonts w:ascii="Times New Roman" w:hAnsi="Times New Roman" w:cs="Times New Roman" w:eastAsia="Times New Roman" w:hint="default"/>
                <w:sz w:val="18"/>
                <w:szCs w:val="18"/>
              </w:rPr>
            </w:pPr>
            <w:r>
              <w:rPr>
                <w:rFonts w:ascii="宋体" w:hAnsi="宋体" w:cs="宋体" w:eastAsia="宋体" w:hint="default"/>
                <w:sz w:val="18"/>
                <w:szCs w:val="18"/>
              </w:rPr>
              <w:t>度净利 润 </w:t>
            </w:r>
            <w:r>
              <w:rPr>
                <w:rFonts w:ascii="Times New Roman" w:hAnsi="Times New Roman" w:cs="Times New Roman" w:eastAsia="Times New Roman" w:hint="default"/>
                <w:sz w:val="18"/>
                <w:szCs w:val="18"/>
              </w:rPr>
              <w:t>89,128,</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993.45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36.76%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参考评</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23" w:right="110"/>
              <w:jc w:val="both"/>
              <w:rPr>
                <w:rFonts w:ascii="宋体" w:hAnsi="宋体" w:cs="宋体" w:eastAsia="宋体" w:hint="default"/>
                <w:sz w:val="18"/>
                <w:szCs w:val="18"/>
              </w:rPr>
            </w:pPr>
            <w:r>
              <w:rPr>
                <w:rFonts w:ascii="宋体" w:hAnsi="宋体" w:cs="宋体" w:eastAsia="宋体" w:hint="default"/>
                <w:sz w:val="18"/>
                <w:szCs w:val="18"/>
              </w:rPr>
              <w:t>经交易 各方协 商确定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5305"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5"/>
                <w:sz w:val="20"/>
                <w:szCs w:val="20"/>
              </w:rPr>
              <w:pict>
                <v:group style="width:33.6pt;height:265.25pt;mso-position-horizontal-relative:char;mso-position-vertical-relative:line" coordorigin="0,0" coordsize="672,5305">
                  <v:group style="position:absolute;left:0;top:0;width:672;height:5305" coordorigin="0,0" coordsize="672,5305">
                    <v:shape style="position:absolute;left:0;top:0;width:672;height:5305" coordorigin="0,0" coordsize="672,5305" path="m0,5305l672,5305,672,0,0,0,0,5305xe" filled="true" fillcolor="#ffffff" stroked="false">
                      <v:path arrowok="t"/>
                      <v:fill type="solid"/>
                    </v:shape>
                  </v:group>
                </v:group>
              </w:pict>
            </w:r>
            <w:r>
              <w:rPr>
                <w:rFonts w:ascii="Times New Roman" w:hAnsi="Times New Roman" w:cs="Times New Roman" w:eastAsia="Times New Roman" w:hint="default"/>
                <w:position w:val="-10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按计划 实行</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3" w:right="101"/>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3" w:right="23"/>
              <w:jc w:val="left"/>
              <w:rPr>
                <w:rFonts w:ascii="宋体" w:hAnsi="宋体" w:cs="宋体" w:eastAsia="宋体" w:hint="default"/>
                <w:sz w:val="18"/>
                <w:szCs w:val="18"/>
              </w:rPr>
            </w:pPr>
            <w:r>
              <w:rPr>
                <w:rFonts w:ascii="宋体" w:hAnsi="宋体" w:cs="宋体" w:eastAsia="宋体" w:hint="default"/>
                <w:sz w:val="18"/>
                <w:szCs w:val="18"/>
              </w:rPr>
              <w:t>《关于 转让控 股子公 司股权 的公 </w:t>
            </w:r>
            <w:r>
              <w:rPr>
                <w:rFonts w:ascii="宋体" w:hAnsi="宋体" w:cs="宋体" w:eastAsia="宋体" w:hint="default"/>
                <w:spacing w:val="-26"/>
                <w:sz w:val="18"/>
                <w:szCs w:val="18"/>
              </w:rPr>
              <w:t>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2019-15</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footerReference w:type="default" r:id="rId18"/>
          <w:pgSz w:w="11910" w:h="16840"/>
          <w:pgMar w:footer="979" w:header="745" w:top="1060" w:bottom="1160" w:left="980" w:right="0"/>
        </w:sectPr>
      </w:pPr>
    </w:p>
    <w:p>
      <w:pPr>
        <w:spacing w:line="240" w:lineRule="auto" w:before="10"/>
        <w:rPr>
          <w:rFonts w:ascii="Times New Roman" w:hAnsi="Times New Roman" w:cs="Times New Roman" w:eastAsia="Times New Roman" w:hint="default"/>
          <w:sz w:val="3"/>
          <w:szCs w:val="3"/>
        </w:rPr>
      </w:pPr>
      <w:r>
        <w:rPr/>
        <w:pict>
          <v:shape style="position:absolute;margin-left:297.190002pt;margin-top:72.47998pt;width:66.850pt;height:499.3pt;mso-position-horizontal-relative:page;mso-position-vertical-relative:page;z-index:-1259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7"/>
                      <w:szCs w:val="17"/>
                    </w:rPr>
                  </w:pPr>
                </w:p>
                <w:p>
                  <w:pPr>
                    <w:pStyle w:val="BodyText"/>
                    <w:spacing w:line="240" w:lineRule="auto"/>
                    <w:ind w:left="0" w:right="0"/>
                    <w:jc w:val="left"/>
                  </w:pPr>
                  <w:r>
                    <w:rPr/>
                    <w:t>估结果，</w:t>
                  </w:r>
                </w:p>
              </w:txbxContent>
            </v:textbox>
            <w10:wrap type="none"/>
          </v:shape>
        </w:pict>
      </w:r>
      <w:r>
        <w:rPr/>
        <w:pict>
          <v:shape style="position:absolute;margin-left:501.480011pt;margin-top:692.76001pt;width:33.25pt;height:149.2pt;mso-position-horizontal-relative:page;mso-position-vertical-relative:page;z-index:-12591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5"/>
                    <w:ind w:left="0" w:right="7"/>
                    <w:jc w:val="right"/>
                    <w:rPr>
                      <w:rFonts w:ascii="Times New Roman" w:hAnsi="Times New Roman" w:cs="Times New Roman" w:eastAsia="Times New Roman" w:hint="default"/>
                    </w:rPr>
                  </w:pPr>
                  <w:r>
                    <w:rPr>
                      <w:rFonts w:ascii="Times New Roman"/>
                      <w:spacing w:val="1"/>
                    </w:rPr>
                    <w:t>4</w:t>
                  </w:r>
                  <w:r>
                    <w:rPr>
                      <w:rFonts w:ascii="Times New Roman"/>
                    </w:rPr>
                  </w:r>
                </w:p>
              </w:txbxContent>
            </v:textbox>
            <w10:wrap type="none"/>
          </v:shape>
        </w:pict>
      </w:r>
      <w:r>
        <w:rPr/>
        <w:pict>
          <v:group style="position:absolute;margin-left:55.223999pt;margin-top:55.559982pt;width:484.9pt;height:.1pt;mso-position-horizontal-relative:page;mso-position-vertical-relative:page;z-index:-12590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group style="position:absolute;margin-left:329.829987pt;margin-top:71.759979pt;width:34.2pt;height:770.4pt;mso-position-horizontal-relative:page;mso-position-vertical-relative:page;z-index:-1259056" coordorigin="6597,1435" coordsize="684,15408">
            <v:group style="position:absolute;left:6609;top:1450;width:672;height:9986" coordorigin="6609,1450" coordsize="672,9986">
              <v:shape style="position:absolute;left:6609;top:1450;width:672;height:9986" coordorigin="6609,1450" coordsize="672,9986" path="m6609,11436l7281,11436,7281,1450,6609,1450,6609,11436xe" filled="true" fillcolor="#ffffff" stroked="false">
                <v:path arrowok="t"/>
                <v:fill type="solid"/>
              </v:shape>
            </v:group>
            <v:group style="position:absolute;left:6601;top:1440;width:2;height:15399" coordorigin="6601,1440" coordsize="2,15399">
              <v:shape style="position:absolute;left:6601;top:1440;width:2;height:15399" coordorigin="6601,1440" coordsize="0,15399" path="m6601,1440l6601,16838e" filled="false" stroked="true" strokeweight=".48001pt" strokecolor="#000000">
                <v:path arrowok="t"/>
              </v:shape>
            </v:group>
            <w10:wrap type="none"/>
          </v:group>
        </w:pict>
      </w:r>
      <w:r>
        <w:rPr/>
        <w:pict>
          <v:group style="position:absolute;margin-left:501.480011pt;margin-top:692.76001pt;width:93.65pt;height:149.2pt;mso-position-horizontal-relative:page;mso-position-vertical-relative:page;z-index:-1259032" coordorigin="10030,13855" coordsize="1873,2984">
            <v:group style="position:absolute;left:10030;top:13855;width:665;height:2984" coordorigin="10030,13855" coordsize="665,2984">
              <v:shape style="position:absolute;left:10030;top:13855;width:665;height:2984" coordorigin="10030,13855" coordsize="665,2984" path="m10694,16838l10694,13855,10030,13855,10030,16838,10694,16838xe" filled="true" fillcolor="#ffffff" stroked="false">
                <v:path arrowok="t"/>
                <v:fill type="solid"/>
              </v:shape>
              <v:shape style="position:absolute;left:10713;top:16134;width:1190;height:536" type="#_x0000_t75" stroked="false">
                <v:imagedata r:id="rId15" o:title=""/>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5"/>
        <w:gridCol w:w="684"/>
        <w:gridCol w:w="684"/>
        <w:gridCol w:w="682"/>
        <w:gridCol w:w="732"/>
        <w:gridCol w:w="638"/>
        <w:gridCol w:w="685"/>
        <w:gridCol w:w="684"/>
        <w:gridCol w:w="684"/>
        <w:gridCol w:w="684"/>
        <w:gridCol w:w="677"/>
      </w:tblGrid>
      <w:tr>
        <w:trPr>
          <w:trHeight w:val="334" w:hRule="exact"/>
        </w:trPr>
        <w:tc>
          <w:tcPr>
            <w:tcW w:w="682" w:type="dxa"/>
            <w:tcBorders>
              <w:top w:val="nil" w:sz="6" w:space="0" w:color="auto"/>
              <w:left w:val="nil" w:sz="6" w:space="0" w:color="auto"/>
              <w:bottom w:val="single" w:sz="4" w:space="0" w:color="000000"/>
              <w:right w:val="nil" w:sz="6" w:space="0" w:color="auto"/>
            </w:tcBorders>
          </w:tcPr>
          <w:p>
            <w:pPr/>
          </w:p>
        </w:tc>
        <w:tc>
          <w:tcPr>
            <w:tcW w:w="682" w:type="dxa"/>
            <w:tcBorders>
              <w:top w:val="nil" w:sz="6" w:space="0" w:color="auto"/>
              <w:left w:val="nil" w:sz="6" w:space="0" w:color="auto"/>
              <w:bottom w:val="single" w:sz="4" w:space="0" w:color="000000"/>
              <w:right w:val="nil" w:sz="6" w:space="0" w:color="auto"/>
            </w:tcBorders>
          </w:tcPr>
          <w:p>
            <w:pPr/>
          </w:p>
        </w:tc>
        <w:tc>
          <w:tcPr>
            <w:tcW w:w="684" w:type="dxa"/>
            <w:tcBorders>
              <w:top w:val="nil" w:sz="6" w:space="0" w:color="auto"/>
              <w:left w:val="nil" w:sz="6" w:space="0" w:color="auto"/>
              <w:bottom w:val="single" w:sz="4" w:space="0" w:color="000000"/>
              <w:right w:val="nil" w:sz="6" w:space="0" w:color="auto"/>
            </w:tcBorders>
          </w:tcPr>
          <w:p>
            <w:pPr/>
          </w:p>
        </w:tc>
        <w:tc>
          <w:tcPr>
            <w:tcW w:w="685" w:type="dxa"/>
            <w:tcBorders>
              <w:top w:val="nil" w:sz="6" w:space="0" w:color="auto"/>
              <w:left w:val="nil" w:sz="6" w:space="0" w:color="auto"/>
              <w:bottom w:val="single" w:sz="4" w:space="0" w:color="000000"/>
              <w:right w:val="nil" w:sz="6" w:space="0" w:color="auto"/>
            </w:tcBorders>
          </w:tcPr>
          <w:p>
            <w:pPr/>
          </w:p>
        </w:tc>
        <w:tc>
          <w:tcPr>
            <w:tcW w:w="684" w:type="dxa"/>
            <w:tcBorders>
              <w:top w:val="nil" w:sz="6" w:space="0" w:color="auto"/>
              <w:left w:val="nil" w:sz="6" w:space="0" w:color="auto"/>
              <w:bottom w:val="single" w:sz="4" w:space="0" w:color="000000"/>
              <w:right w:val="nil" w:sz="6" w:space="0" w:color="auto"/>
            </w:tcBorders>
          </w:tcPr>
          <w:p>
            <w:pPr/>
          </w:p>
        </w:tc>
        <w:tc>
          <w:tcPr>
            <w:tcW w:w="684" w:type="dxa"/>
            <w:tcBorders>
              <w:top w:val="nil" w:sz="6" w:space="0" w:color="auto"/>
              <w:left w:val="nil" w:sz="6" w:space="0" w:color="auto"/>
              <w:bottom w:val="single" w:sz="4" w:space="0" w:color="000000"/>
              <w:right w:val="nil" w:sz="6" w:space="0" w:color="auto"/>
            </w:tcBorders>
          </w:tcPr>
          <w:p>
            <w:pPr/>
          </w:p>
        </w:tc>
        <w:tc>
          <w:tcPr>
            <w:tcW w:w="682" w:type="dxa"/>
            <w:tcBorders>
              <w:top w:val="nil" w:sz="6" w:space="0" w:color="auto"/>
              <w:left w:val="nil" w:sz="6" w:space="0" w:color="auto"/>
              <w:bottom w:val="single" w:sz="4" w:space="0" w:color="000000"/>
              <w:right w:val="nil" w:sz="6" w:space="0" w:color="auto"/>
            </w:tcBorders>
          </w:tcPr>
          <w:p>
            <w:pPr/>
          </w:p>
        </w:tc>
        <w:tc>
          <w:tcPr>
            <w:tcW w:w="732" w:type="dxa"/>
            <w:tcBorders>
              <w:top w:val="nil" w:sz="6" w:space="0" w:color="auto"/>
              <w:left w:val="nil" w:sz="6" w:space="0" w:color="auto"/>
              <w:bottom w:val="single" w:sz="4" w:space="0" w:color="000000"/>
              <w:right w:val="nil" w:sz="6" w:space="0" w:color="auto"/>
            </w:tcBorders>
          </w:tcPr>
          <w:p>
            <w:pPr/>
          </w:p>
        </w:tc>
        <w:tc>
          <w:tcPr>
            <w:tcW w:w="638" w:type="dxa"/>
            <w:tcBorders>
              <w:top w:val="nil" w:sz="6" w:space="0" w:color="auto"/>
              <w:left w:val="nil" w:sz="6" w:space="0" w:color="auto"/>
              <w:bottom w:val="single" w:sz="4" w:space="0" w:color="000000"/>
              <w:right w:val="nil" w:sz="6" w:space="0" w:color="auto"/>
            </w:tcBorders>
          </w:tcPr>
          <w:p>
            <w:pPr/>
          </w:p>
        </w:tc>
        <w:tc>
          <w:tcPr>
            <w:tcW w:w="685" w:type="dxa"/>
            <w:tcBorders>
              <w:top w:val="nil" w:sz="6" w:space="0" w:color="auto"/>
              <w:left w:val="nil" w:sz="6" w:space="0" w:color="auto"/>
              <w:bottom w:val="single" w:sz="4" w:space="0" w:color="000000"/>
              <w:right w:val="nil" w:sz="6" w:space="0" w:color="auto"/>
            </w:tcBorders>
          </w:tcPr>
          <w:p>
            <w:pPr/>
          </w:p>
        </w:tc>
        <w:tc>
          <w:tcPr>
            <w:tcW w:w="684" w:type="dxa"/>
            <w:tcBorders>
              <w:top w:val="nil" w:sz="6" w:space="0" w:color="auto"/>
              <w:left w:val="nil" w:sz="6" w:space="0" w:color="auto"/>
              <w:bottom w:val="single" w:sz="4" w:space="0" w:color="000000"/>
              <w:right w:val="nil" w:sz="6" w:space="0" w:color="auto"/>
            </w:tcBorders>
          </w:tcPr>
          <w:p>
            <w:pPr/>
          </w:p>
        </w:tc>
        <w:tc>
          <w:tcPr>
            <w:tcW w:w="684" w:type="dxa"/>
            <w:tcBorders>
              <w:top w:val="nil" w:sz="6" w:space="0" w:color="auto"/>
              <w:left w:val="nil" w:sz="6" w:space="0" w:color="auto"/>
              <w:bottom w:val="single" w:sz="4" w:space="0" w:color="000000"/>
              <w:right w:val="nil" w:sz="6" w:space="0" w:color="auto"/>
            </w:tcBorders>
          </w:tcPr>
          <w:p>
            <w:pPr/>
          </w:p>
        </w:tc>
        <w:tc>
          <w:tcPr>
            <w:tcW w:w="684" w:type="dxa"/>
            <w:tcBorders>
              <w:top w:val="nil" w:sz="6" w:space="0" w:color="auto"/>
              <w:left w:val="nil" w:sz="6" w:space="0" w:color="auto"/>
              <w:bottom w:val="single" w:sz="4" w:space="0" w:color="000000"/>
              <w:right w:val="nil" w:sz="6" w:space="0" w:color="auto"/>
            </w:tcBorders>
          </w:tcPr>
          <w:p>
            <w:pPr/>
          </w:p>
        </w:tc>
        <w:tc>
          <w:tcPr>
            <w:tcW w:w="677" w:type="dxa"/>
            <w:tcBorders>
              <w:top w:val="nil" w:sz="6" w:space="0" w:color="auto"/>
              <w:left w:val="nil" w:sz="6" w:space="0" w:color="auto"/>
              <w:bottom w:val="single" w:sz="4" w:space="0" w:color="000000"/>
              <w:right w:val="nil" w:sz="6" w:space="0" w:color="auto"/>
            </w:tcBorders>
          </w:tcPr>
          <w:p>
            <w:pPr/>
          </w:p>
        </w:tc>
      </w:tr>
      <w:tr>
        <w:trPr>
          <w:trHeight w:val="15394" w:hRule="exact"/>
        </w:trPr>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江汉、 宁波梅 山保税 港区雄 腾煜富 投资中 心（有 限合 </w:t>
            </w:r>
            <w:r>
              <w:rPr>
                <w:rFonts w:ascii="宋体" w:hAnsi="宋体" w:cs="宋体" w:eastAsia="宋体" w:hint="default"/>
                <w:spacing w:val="-25"/>
                <w:sz w:val="18"/>
                <w:szCs w:val="18"/>
              </w:rPr>
              <w:t>伙）、深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圳市信 链投资 咨询合 伙企业</w:t>
            </w:r>
          </w:p>
          <w:p>
            <w:pPr>
              <w:pStyle w:val="TableParagraph"/>
              <w:spacing w:line="319" w:lineRule="auto" w:before="19"/>
              <w:ind w:left="24" w:right="107"/>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9" w:lineRule="auto"/>
              <w:ind w:left="23" w:right="105"/>
              <w:jc w:val="left"/>
              <w:rPr>
                <w:rFonts w:ascii="宋体" w:hAnsi="宋体" w:cs="宋体" w:eastAsia="宋体" w:hint="default"/>
                <w:sz w:val="18"/>
                <w:szCs w:val="18"/>
              </w:rPr>
            </w:pPr>
            <w:r>
              <w:rPr>
                <w:rFonts w:ascii="宋体" w:hAnsi="宋体" w:cs="宋体" w:eastAsia="宋体" w:hint="default"/>
                <w:sz w:val="18"/>
                <w:szCs w:val="18"/>
              </w:rPr>
              <w:t>深圳市 新国都 金服技 术有限 公司 </w:t>
            </w:r>
            <w:r>
              <w:rPr>
                <w:rFonts w:ascii="Times New Roman" w:hAnsi="Times New Roman" w:cs="Times New Roman" w:eastAsia="Times New Roman" w:hint="default"/>
                <w:sz w:val="18"/>
                <w:szCs w:val="18"/>
              </w:rPr>
              <w:t>72%</w:t>
            </w:r>
            <w:r>
              <w:rPr>
                <w:rFonts w:ascii="宋体" w:hAnsi="宋体" w:cs="宋体" w:eastAsia="宋体" w:hint="default"/>
                <w:sz w:val="18"/>
                <w:szCs w:val="18"/>
              </w:rPr>
              <w:t>股</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47" w:right="0"/>
              <w:jc w:val="left"/>
              <w:rPr>
                <w:rFonts w:ascii="Times New Roman" w:hAnsi="Times New Roman" w:cs="Times New Roman" w:eastAsia="Times New Roman" w:hint="default"/>
                <w:sz w:val="18"/>
                <w:szCs w:val="18"/>
              </w:rPr>
            </w:pPr>
            <w:r>
              <w:rPr>
                <w:rFonts w:ascii="Times New Roman"/>
                <w:sz w:val="18"/>
              </w:rPr>
              <w:t>5,760</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95" w:right="0"/>
              <w:jc w:val="left"/>
              <w:rPr>
                <w:rFonts w:ascii="Times New Roman" w:hAnsi="Times New Roman" w:cs="Times New Roman" w:eastAsia="Times New Roman" w:hint="default"/>
                <w:sz w:val="18"/>
                <w:szCs w:val="18"/>
              </w:rPr>
            </w:pPr>
            <w:r>
              <w:rPr>
                <w:rFonts w:ascii="Times New Roman"/>
                <w:sz w:val="18"/>
              </w:rPr>
              <w:t>-379.84</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金服技 术及其 子公司 的主要 业务为 征信业 务，公 司通过 转让金 服技术 部分股 权，促 进公司 进一步 聚焦电 子支付 主业， 减轻对 金服技 术的资 金投入 压力， 对公司 的正常 经营不 产生重 大影响</w:t>
            </w: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95" w:right="0"/>
              <w:jc w:val="left"/>
              <w:rPr>
                <w:rFonts w:ascii="Times New Roman" w:hAnsi="Times New Roman" w:cs="Times New Roman" w:eastAsia="Times New Roman" w:hint="default"/>
                <w:sz w:val="18"/>
                <w:szCs w:val="18"/>
              </w:rPr>
            </w:pPr>
            <w:r>
              <w:rPr>
                <w:rFonts w:ascii="Times New Roman"/>
                <w:sz w:val="18"/>
              </w:rPr>
              <w:t>18.57%</w:t>
            </w:r>
          </w:p>
        </w:tc>
        <w:tc>
          <w:tcPr>
            <w:tcW w:w="732"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参考评</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经交易 各方协 商确定</w:t>
            </w:r>
          </w:p>
        </w:tc>
        <w:tc>
          <w:tcPr>
            <w:tcW w:w="638"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交易对 手方之 一江汉 先生为 持有公 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上股份 的股 东，时 任公司 董事、 副总经 理，担 任金服 技术执 行董 事、信 联征信 执行董 事</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未按计 划实 施。受 行业及 经济环 境影 响，信 链投资 主要出 资人资 金周转 受到一 定短期 影响， 从而影 响了信 链投资 第二期 股权转 让款的 支付， 公司与 信链投 资签署 了《股 权转让 协议之 补充协 </w:t>
            </w:r>
            <w:r>
              <w:rPr>
                <w:rFonts w:ascii="宋体" w:hAnsi="宋体" w:cs="宋体" w:eastAsia="宋体" w:hint="default"/>
                <w:spacing w:val="-24"/>
                <w:sz w:val="18"/>
                <w:szCs w:val="18"/>
              </w:rPr>
              <w:t>议》，同</w:t>
            </w:r>
            <w:r>
              <w:rPr>
                <w:rFonts w:ascii="宋体" w:hAnsi="宋体" w:cs="宋体" w:eastAsia="宋体" w:hint="default"/>
                <w:sz w:val="18"/>
                <w:szCs w:val="18"/>
              </w:rPr>
              <w:t> 意信链 投资延 期至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p>
          <w:p>
            <w:pPr>
              <w:pStyle w:val="TableParagraph"/>
              <w:spacing w:line="316" w:lineRule="auto" w:before="63"/>
              <w:ind w:left="23" w:right="108"/>
              <w:jc w:val="left"/>
              <w:rPr>
                <w:rFonts w:ascii="宋体" w:hAnsi="宋体" w:cs="宋体" w:eastAsia="宋体" w:hint="default"/>
                <w:sz w:val="18"/>
                <w:szCs w:val="18"/>
              </w:rPr>
            </w:pPr>
            <w:r>
              <w:rPr>
                <w:rFonts w:ascii="宋体" w:hAnsi="宋体" w:cs="宋体" w:eastAsia="宋体" w:hint="default"/>
                <w:sz w:val="18"/>
                <w:szCs w:val="18"/>
              </w:rPr>
              <w:t>日支付 第二期 股权转 让款 </w:t>
            </w:r>
            <w:r>
              <w:rPr>
                <w:rFonts w:ascii="Times New Roman" w:hAnsi="Times New Roman" w:cs="Times New Roman" w:eastAsia="Times New Roman" w:hint="default"/>
                <w:sz w:val="18"/>
                <w:szCs w:val="18"/>
              </w:rPr>
              <w:t>519 </w:t>
            </w:r>
            <w:r>
              <w:rPr>
                <w:rFonts w:ascii="宋体" w:hAnsi="宋体" w:cs="宋体" w:eastAsia="宋体" w:hint="default"/>
                <w:sz w:val="18"/>
                <w:szCs w:val="18"/>
              </w:rPr>
              <w:t>万</w:t>
            </w: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元，同 时支付 资金占 用费约</w:t>
            </w:r>
          </w:p>
          <w:p>
            <w:pPr>
              <w:pStyle w:val="TableParagraph"/>
              <w:spacing w:line="312" w:lineRule="auto" w:before="1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16.47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元。详 情请查 看公司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101"/>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3" w:right="101"/>
              <w:jc w:val="both"/>
              <w:rPr>
                <w:rFonts w:ascii="宋体" w:hAnsi="宋体" w:cs="宋体" w:eastAsia="宋体" w:hint="default"/>
                <w:sz w:val="18"/>
                <w:szCs w:val="18"/>
              </w:rPr>
            </w:pPr>
            <w:r>
              <w:rPr>
                <w:rFonts w:ascii="宋体" w:hAnsi="宋体" w:cs="宋体" w:eastAsia="宋体" w:hint="default"/>
                <w:sz w:val="18"/>
                <w:szCs w:val="18"/>
              </w:rPr>
              <w:t>《关于 转让金 服技术 </w:t>
            </w:r>
            <w:r>
              <w:rPr>
                <w:rFonts w:ascii="Times New Roman" w:hAnsi="Times New Roman" w:cs="Times New Roman" w:eastAsia="Times New Roman" w:hint="default"/>
                <w:sz w:val="18"/>
                <w:szCs w:val="18"/>
              </w:rPr>
              <w:t>72%</w:t>
            </w:r>
            <w:r>
              <w:rPr>
                <w:rFonts w:ascii="宋体" w:hAnsi="宋体" w:cs="宋体" w:eastAsia="宋体" w:hint="default"/>
                <w:sz w:val="18"/>
                <w:szCs w:val="18"/>
              </w:rPr>
              <w:t>股</w:t>
            </w: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份暨关 联交易 的公 </w:t>
            </w:r>
            <w:r>
              <w:rPr>
                <w:rFonts w:ascii="宋体" w:hAnsi="宋体" w:cs="宋体" w:eastAsia="宋体" w:hint="default"/>
                <w:spacing w:val="-26"/>
                <w:sz w:val="18"/>
                <w:szCs w:val="18"/>
              </w:rPr>
              <w:t>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2019-06</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footerReference w:type="default" r:id="rId19"/>
          <w:pgSz w:w="11910" w:h="16840"/>
          <w:pgMar w:footer="0" w:header="745" w:top="1060" w:bottom="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21"/>
          <w:szCs w:val="21"/>
        </w:rPr>
      </w:pPr>
    </w:p>
    <w:p>
      <w:pPr>
        <w:pStyle w:val="Heading4"/>
        <w:spacing w:line="367" w:lineRule="exact"/>
        <w:ind w:right="1033"/>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footerReference w:type="default" r:id="rId20"/>
          <w:pgSz w:w="11910" w:h="16840"/>
          <w:pgMar w:footer="0" w:header="745" w:top="1060" w:bottom="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r>
        <w:rPr/>
        <w:pict>
          <v:shape style="position:absolute;margin-left:535.634705pt;margin-top:806.72052pt;width:59.493346pt;height:26.794713pt;mso-position-horizontal-relative:page;mso-position-vertical-relative:page;z-index:1624"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90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深圳市新国 都支付技术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both"/>
              <w:rPr>
                <w:rFonts w:ascii="宋体" w:hAnsi="宋体" w:cs="宋体" w:eastAsia="宋体" w:hint="default"/>
                <w:sz w:val="18"/>
                <w:szCs w:val="18"/>
              </w:rPr>
            </w:pPr>
            <w:r>
              <w:rPr>
                <w:rFonts w:ascii="Times New Roman" w:hAnsi="Times New Roman" w:cs="Times New Roman" w:eastAsia="Times New Roman" w:hint="default"/>
                <w:sz w:val="18"/>
                <w:szCs w:val="18"/>
              </w:rPr>
              <w:t>POS </w:t>
            </w:r>
            <w:r>
              <w:rPr>
                <w:rFonts w:ascii="宋体" w:hAnsi="宋体" w:cs="宋体" w:eastAsia="宋体" w:hint="default"/>
                <w:sz w:val="18"/>
                <w:szCs w:val="18"/>
              </w:rPr>
              <w:t>终端、 固定无线电 话机、电子 支付设备、 计算机软硬 件、电子产 品的技术开 发、生产、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602,718,186.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1,010,939,24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9.13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805,203,285.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917,680,998.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113,144,055.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124,178,217.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61</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嘉联支付有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银行卡收单 及增值服务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687,950,492.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457,750,582.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1,735,196,55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3.48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256,293,219.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244,131,905.</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w:t>
            </w:r>
          </w:p>
        </w:tc>
      </w:tr>
      <w:tr>
        <w:trPr>
          <w:trHeight w:val="134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长沙公信诚 丰信息技术 服务有限公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08"/>
              <w:jc w:val="both"/>
              <w:rPr>
                <w:rFonts w:ascii="宋体" w:hAnsi="宋体" w:cs="宋体" w:eastAsia="宋体" w:hint="default"/>
                <w:sz w:val="18"/>
                <w:szCs w:val="18"/>
              </w:rPr>
            </w:pPr>
            <w:r>
              <w:rPr>
                <w:rFonts w:ascii="宋体" w:hAnsi="宋体" w:cs="宋体" w:eastAsia="宋体" w:hint="default"/>
                <w:sz w:val="18"/>
                <w:szCs w:val="18"/>
              </w:rPr>
              <w:t>信息技术咨 询服务、软 件开发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129,442,448.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120,533,393.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85,899,146.2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50,326,505.7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43,047,159.3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深圳市新国 都商服有限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计算机技术 </w:t>
            </w:r>
            <w:r>
              <w:rPr>
                <w:rFonts w:ascii="宋体" w:hAnsi="宋体" w:cs="宋体" w:eastAsia="宋体" w:hint="default"/>
                <w:spacing w:val="-6"/>
                <w:sz w:val="18"/>
                <w:szCs w:val="18"/>
              </w:rPr>
              <w:t>开发、转让、</w:t>
            </w:r>
            <w:r>
              <w:rPr>
                <w:rFonts w:ascii="宋体" w:hAnsi="宋体" w:cs="宋体" w:eastAsia="宋体" w:hint="default"/>
                <w:spacing w:val="-36"/>
                <w:sz w:val="18"/>
                <w:szCs w:val="18"/>
              </w:rPr>
              <w:t> </w:t>
            </w:r>
            <w:r>
              <w:rPr>
                <w:rFonts w:ascii="宋体" w:hAnsi="宋体" w:cs="宋体" w:eastAsia="宋体" w:hint="default"/>
                <w:spacing w:val="-6"/>
                <w:sz w:val="18"/>
                <w:szCs w:val="18"/>
              </w:rPr>
              <w:t>咨询、服务、</w:t>
            </w:r>
            <w:r>
              <w:rPr>
                <w:rFonts w:ascii="宋体" w:hAnsi="宋体" w:cs="宋体" w:eastAsia="宋体" w:hint="default"/>
                <w:spacing w:val="-36"/>
                <w:sz w:val="18"/>
                <w:szCs w:val="18"/>
              </w:rPr>
              <w:t> </w:t>
            </w:r>
            <w:r>
              <w:rPr>
                <w:rFonts w:ascii="宋体" w:hAnsi="宋体" w:cs="宋体" w:eastAsia="宋体" w:hint="default"/>
                <w:sz w:val="18"/>
                <w:szCs w:val="18"/>
              </w:rPr>
              <w:t>技术推广</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363,768,513.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1,368,486.74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378,676,569.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-54,937,858.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-38,728,437.</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w:t>
            </w:r>
          </w:p>
        </w:tc>
      </w:tr>
    </w:tbl>
    <w:p>
      <w:pPr>
        <w:pStyle w:val="BodyText"/>
        <w:spacing w:line="240" w:lineRule="auto" w:before="49"/>
        <w:ind w:right="1033"/>
        <w:jc w:val="left"/>
      </w:pPr>
      <w:r>
        <w:rPr/>
        <w:pict>
          <v:group style="position:absolute;margin-left:221.690002pt;margin-top:-51.838268pt;width:50.65pt;height:36.4pt;mso-position-horizontal-relative:page;mso-position-vertical-relative:paragraph;z-index:-1258984" coordorigin="4434,-1037" coordsize="1013,728">
            <v:group style="position:absolute;left:4446;top:-1025;width:2;height:704" coordorigin="4446,-1025" coordsize="2,704">
              <v:shape style="position:absolute;left:4446;top:-1025;width:2;height:704" coordorigin="4446,-1025" coordsize="0,704" path="m4446,-1025l4446,-322e" filled="false" stroked="true" strokeweight="1.2pt" strokecolor="#ffffff">
                <v:path arrowok="t"/>
              </v:shape>
            </v:group>
            <v:group style="position:absolute;left:4458;top:-1025;width:989;height:351" coordorigin="4458,-1025" coordsize="989,351">
              <v:shape style="position:absolute;left:4458;top:-1025;width:989;height:351" coordorigin="4458,-1025" coordsize="989,351" path="m4458,-674l5447,-674,5447,-1025,4458,-1025,4458,-674xe" filled="true" fillcolor="#ffffff" stroked="false">
                <v:path arrowok="t"/>
                <v:fill type="solid"/>
              </v:shape>
            </v:group>
            <v:group style="position:absolute;left:4458;top:-674;width:989;height:353" coordorigin="4458,-674" coordsize="989,353">
              <v:shape style="position:absolute;left:4458;top:-674;width:989;height:353" coordorigin="4458,-674" coordsize="989,353" path="m4458,-322l5447,-322,5447,-674,4458,-674,4458,-322xe" filled="true" fillcolor="#ffffff" stroked="false">
                <v:path arrowok="t"/>
                <v:fill type="solid"/>
              </v:shape>
            </v:group>
            <w10:wrap type="none"/>
          </v:group>
        </w:pict>
      </w:r>
      <w:r>
        <w:rPr/>
        <w:t>报告期内取得和处置子公司的情况</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0" w:right="1136"/>
        <w:jc w:val="right"/>
      </w:pPr>
      <w:r>
        <w:rPr/>
        <w:pict>
          <v:shape style="position:absolute;margin-left:56.424pt;margin-top:-163.415329pt;width:479.3pt;height:181.1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2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Nexgo India Private</w:t>
                        </w:r>
                        <w:r>
                          <w:rPr>
                            <w:rFonts w:ascii="Times New Roman"/>
                            <w:spacing w:val="-8"/>
                            <w:sz w:val="18"/>
                          </w:rPr>
                          <w:t> </w:t>
                        </w:r>
                        <w:r>
                          <w:rPr>
                            <w:rFonts w:ascii="Times New Roman"/>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5"/>
                          <w:jc w:val="left"/>
                          <w:rPr>
                            <w:rFonts w:ascii="宋体" w:hAnsi="宋体" w:cs="宋体" w:eastAsia="宋体" w:hint="default"/>
                            <w:sz w:val="18"/>
                            <w:szCs w:val="18"/>
                          </w:rPr>
                        </w:pPr>
                        <w:r>
                          <w:rPr>
                            <w:rFonts w:ascii="宋体" w:hAnsi="宋体" w:cs="宋体" w:eastAsia="宋体" w:hint="default"/>
                            <w:sz w:val="18"/>
                            <w:szCs w:val="18"/>
                          </w:rPr>
                          <w:t>报告期内，公司一级全资子公司新国都 国际与新国都支付因业务需要共同出资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万美元在印度孟买设立合资公司新国 都印度有限公司，其中，新国都国际持 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w:t>
                        </w:r>
                        <w:r>
                          <w:rPr>
                            <w:rFonts w:ascii="宋体" w:hAnsi="宋体" w:cs="宋体" w:eastAsia="宋体" w:hint="default"/>
                            <w:sz w:val="18"/>
                            <w:szCs w:val="18"/>
                          </w:rPr>
                          <w:t>股权，新国都支付持有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股权。 公司在印度设立二级子公司积极推动公 司电子支付产品与服务进入海外市场， 有利于拓展海外业务，加快公司的国际 化进程，符合公司整体战略规划与长远 发展需要，符合公司及全体股东的利益</w:t>
                        </w:r>
                      </w:p>
                    </w:tc>
                  </w:tr>
                </w:tbl>
                <w:p>
                  <w:pPr/>
                </w:p>
              </w:txbxContent>
            </v:textbox>
            <w10:wrap type="none"/>
          </v:shape>
        </w:pict>
      </w:r>
      <w:r>
        <w:rPr/>
        <w:t>。</w:t>
      </w:r>
    </w:p>
    <w:p>
      <w:pPr>
        <w:spacing w:after="0" w:line="240" w:lineRule="auto"/>
        <w:jc w:val="right"/>
        <w:sectPr>
          <w:type w:val="continuous"/>
          <w:pgSz w:w="11910" w:h="16840"/>
          <w:pgMar w:top="1060" w:bottom="1160" w:left="980" w:right="0"/>
        </w:sectPr>
      </w:pPr>
    </w:p>
    <w:p>
      <w:pPr>
        <w:spacing w:line="240" w:lineRule="auto" w:before="0"/>
        <w:rPr>
          <w:rFonts w:ascii="宋体" w:hAnsi="宋体" w:cs="宋体" w:eastAsia="宋体" w:hint="default"/>
          <w:sz w:val="20"/>
          <w:szCs w:val="20"/>
        </w:rPr>
      </w:pPr>
      <w:r>
        <w:rPr/>
        <w:pict>
          <v:shape style="position:absolute;margin-left:56.424pt;margin-top:71.999985pt;width:479.3pt;height:678.4pt;mso-position-horizontal-relative:page;mso-position-vertical-relative:page;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2"/>
                    <w:gridCol w:w="3191"/>
                  </w:tblGrid>
                  <w:tr>
                    <w:trPr>
                      <w:trHeight w:val="32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XGD Europe</w:t>
                        </w:r>
                        <w:r>
                          <w:rPr>
                            <w:rFonts w:ascii="Times New Roman"/>
                            <w:spacing w:val="-6"/>
                            <w:sz w:val="18"/>
                          </w:rPr>
                          <w:t> </w:t>
                        </w:r>
                        <w:r>
                          <w:rPr>
                            <w:rFonts w:ascii="Times New Roman"/>
                            <w:sz w:val="18"/>
                          </w:rPr>
                          <w:t>S.A.</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报告期内，出于战略布局及业务拓展的 需求，公司以自有资金向一级全资子公 司新国都国际增资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万欧元用于在卢 森堡投资设立二级全资子公司新国都欧 洲股份有限公司。新设子公司将积极推 动公司电子支付产品与服务进入欧洲市 场，有利于拓展海外业务，加快公司的 国际化进程，符合公司整体战略规划与 长远发展需要，符合公司及全体股东的 利益。</w:t>
                        </w:r>
                      </w:p>
                    </w:tc>
                  </w:tr>
                  <w:tr>
                    <w:trPr>
                      <w:trHeight w:val="321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深圳市新国都通信技术有限公司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报告期内，公司一级全资子公司嘉联支 付以自有资金出资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万元设立全资子 公司新国都通信。新国都通信是根据公 司战略的安排，为加快公司业务布局和 拓展落地、增强公司技术实力和核心竞 争力而设立，符合公司整体战略规划与 长远发展的需要，符合公司及全体股东 的利益，不存在法律限制或禁止的风险 不存在损害公司及全体股东利益的情 形。</w:t>
                        </w:r>
                      </w:p>
                    </w:tc>
                  </w:tr>
                  <w:tr>
                    <w:trPr>
                      <w:trHeight w:val="383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4" w:right="0"/>
                          <w:jc w:val="left"/>
                          <w:rPr>
                            <w:rFonts w:ascii="Times New Roman" w:hAnsi="Times New Roman" w:cs="Times New Roman" w:eastAsia="Times New Roman" w:hint="default"/>
                            <w:sz w:val="18"/>
                            <w:szCs w:val="18"/>
                          </w:rPr>
                        </w:pPr>
                        <w:r>
                          <w:rPr>
                            <w:rFonts w:ascii="Times New Roman"/>
                            <w:sz w:val="18"/>
                          </w:rPr>
                          <w:t>XGD MACAU</w:t>
                        </w:r>
                        <w:r>
                          <w:rPr>
                            <w:rFonts w:ascii="Times New Roman"/>
                            <w:spacing w:val="-7"/>
                            <w:sz w:val="18"/>
                          </w:rPr>
                          <w:t> </w:t>
                        </w:r>
                        <w:r>
                          <w:rPr>
                            <w:rFonts w:ascii="Times New Roman"/>
                            <w:sz w:val="18"/>
                          </w:rPr>
                          <w:t>LIMITED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报告期内，公司一级全资子公司新国都 国际与自然人冯嘉荣因业务需要共同出 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万澳门币设立新国都澳门有限公司</w:t>
                        </w:r>
                      </w:p>
                      <w:p>
                        <w:pPr>
                          <w:pStyle w:val="TableParagraph"/>
                          <w:spacing w:line="314" w:lineRule="auto"/>
                          <w:ind w:left="23" w:right="-10"/>
                          <w:jc w:val="left"/>
                          <w:rPr>
                            <w:rFonts w:ascii="宋体" w:hAnsi="宋体" w:cs="宋体" w:eastAsia="宋体" w:hint="default"/>
                            <w:sz w:val="18"/>
                            <w:szCs w:val="18"/>
                          </w:rPr>
                        </w:pPr>
                        <w:r>
                          <w:rPr>
                            <w:rFonts w:ascii="宋体" w:hAnsi="宋体" w:cs="宋体" w:eastAsia="宋体" w:hint="default"/>
                            <w:sz w:val="18"/>
                            <w:szCs w:val="18"/>
                          </w:rPr>
                          <w:t>其中，新国都国际持有澳门子公司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股权。冯嘉荣持有澳门子公司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股权。 公司在澳门设立二级控股子公司作为公 司与海外市场的联络窗口，能及时获取 国际市场的最新信息，推动公司电子支 付产品与服务进入海外市场，有利于拓 展海外业务，加快公司的国际化进程， 符合公司整体战略规划与长远发展需 要，符合公司及全体股东的利益。</w:t>
                        </w:r>
                      </w:p>
                    </w:tc>
                  </w:tr>
                  <w:tr>
                    <w:trPr>
                      <w:trHeight w:val="102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信小样（深圳）传媒有限公司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both"/>
                          <w:rPr>
                            <w:rFonts w:ascii="宋体" w:hAnsi="宋体" w:cs="宋体" w:eastAsia="宋体" w:hint="default"/>
                            <w:sz w:val="18"/>
                            <w:szCs w:val="18"/>
                          </w:rPr>
                        </w:pPr>
                        <w:r>
                          <w:rPr>
                            <w:rFonts w:ascii="宋体" w:hAnsi="宋体" w:cs="宋体" w:eastAsia="宋体" w:hint="default"/>
                            <w:sz w:val="18"/>
                            <w:szCs w:val="18"/>
                          </w:rPr>
                          <w:t>公司设立信小样是根据公司战略调整及 整合优化组织架构的需要，有利于提升 公司管理效率。</w:t>
                        </w:r>
                      </w:p>
                    </w:tc>
                  </w:tr>
                  <w:tr>
                    <w:trPr>
                      <w:trHeight w:val="227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深圳市新国都腾云软件有限公司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报告期内，因业务需要，公司全资子公 司新国都支付以自有资金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 立其全资子公司新国都腾云。设立新国 都腾云有利于增强公司技术实力和核心 竞争力，符合公司整体战略规划与长远 发展需要，符合公司及全体股东的利益 不存在法律限制或禁止的风险。</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44"/>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before="44"/>
        <w:ind w:left="0" w:right="113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44"/>
        <w:ind w:left="0" w:right="1136"/>
        <w:jc w:val="right"/>
      </w:pPr>
      <w:r>
        <w:rPr/>
        <w:t>，</w:t>
      </w:r>
    </w:p>
    <w:p>
      <w:pPr>
        <w:spacing w:after="0" w:line="240" w:lineRule="auto"/>
        <w:jc w:val="right"/>
        <w:sectPr>
          <w:footerReference w:type="default" r:id="rId21"/>
          <w:pgSz w:w="11910" w:h="16840"/>
          <w:pgMar w:footer="979" w:header="745" w:top="1060" w:bottom="1160" w:left="980" w:right="0"/>
          <w:pgNumType w:start="4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44"/>
        <w:ind w:left="0" w:right="1136"/>
        <w:jc w:val="right"/>
      </w:pPr>
      <w:r>
        <w:rPr/>
        <w:pict>
          <v:shape style="position:absolute;margin-left:56.424pt;margin-top:-217.138275pt;width:479.3pt;height:511.2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2"/>
                    <w:gridCol w:w="3191"/>
                  </w:tblGrid>
                  <w:tr>
                    <w:trPr>
                      <w:trHeight w:val="227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深圳市新国都金服技术有限公司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报告期内，公司转让持有金服技术的部 </w:t>
                        </w:r>
                        <w:r>
                          <w:rPr>
                            <w:rFonts w:ascii="宋体" w:hAnsi="宋体" w:cs="宋体" w:eastAsia="宋体" w:hint="default"/>
                            <w:spacing w:val="-5"/>
                            <w:sz w:val="18"/>
                            <w:szCs w:val="18"/>
                          </w:rPr>
                          <w:t>分股权（</w:t>
                        </w:r>
                        <w:r>
                          <w:rPr>
                            <w:rFonts w:ascii="Times New Roman" w:hAnsi="Times New Roman" w:cs="Times New Roman" w:eastAsia="Times New Roman" w:hint="default"/>
                            <w:spacing w:val="-5"/>
                            <w:sz w:val="18"/>
                            <w:szCs w:val="18"/>
                          </w:rPr>
                          <w:t>72%</w:t>
                        </w:r>
                        <w:r>
                          <w:rPr>
                            <w:rFonts w:ascii="宋体" w:hAnsi="宋体" w:cs="宋体" w:eastAsia="宋体" w:hint="default"/>
                            <w:spacing w:val="-5"/>
                            <w:sz w:val="18"/>
                            <w:szCs w:val="18"/>
                          </w:rPr>
                          <w:t>），进一步聚焦电子支付主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业，优化产业结构和资源配置效率，提 升公司核心竞争力，符合公司未来战略 规划要求；也有助于减轻公司对金服技 术的资金投入压力，改善财务状况和盈 利能力，促进公司健康长远的发展。</w:t>
                        </w:r>
                      </w:p>
                    </w:tc>
                  </w:tr>
                  <w:tr>
                    <w:trPr>
                      <w:trHeight w:val="10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惠州市惠信资信评级有限公司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79"/>
                          <w:jc w:val="both"/>
                          <w:rPr>
                            <w:rFonts w:ascii="宋体" w:hAnsi="宋体" w:cs="宋体" w:eastAsia="宋体" w:hint="default"/>
                            <w:sz w:val="18"/>
                            <w:szCs w:val="18"/>
                          </w:rPr>
                        </w:pPr>
                        <w:r>
                          <w:rPr>
                            <w:rFonts w:ascii="宋体" w:hAnsi="宋体" w:cs="宋体" w:eastAsia="宋体" w:hint="default"/>
                            <w:sz w:val="18"/>
                            <w:szCs w:val="18"/>
                          </w:rPr>
                          <w:t>惠信评级作为金服技术的全资子公司， 因公司转让金服技术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w:t>
                        </w:r>
                        <w:r>
                          <w:rPr>
                            <w:rFonts w:ascii="宋体" w:hAnsi="宋体" w:cs="宋体" w:eastAsia="宋体" w:hint="default"/>
                            <w:sz w:val="18"/>
                            <w:szCs w:val="18"/>
                          </w:rPr>
                          <w:t>股权而不再纳 入公司合并报表。</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深圳市信联征信有限公司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9"/>
                          <w:jc w:val="both"/>
                          <w:rPr>
                            <w:rFonts w:ascii="宋体" w:hAnsi="宋体" w:cs="宋体" w:eastAsia="宋体" w:hint="default"/>
                            <w:sz w:val="18"/>
                            <w:szCs w:val="18"/>
                          </w:rPr>
                        </w:pPr>
                        <w:r>
                          <w:rPr>
                            <w:rFonts w:ascii="宋体" w:hAnsi="宋体" w:cs="宋体" w:eastAsia="宋体" w:hint="default"/>
                            <w:sz w:val="18"/>
                            <w:szCs w:val="18"/>
                          </w:rPr>
                          <w:t>信联征信作为金服技术的全资子公司， 因公司转让金服技术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w:t>
                        </w:r>
                        <w:r>
                          <w:rPr>
                            <w:rFonts w:ascii="宋体" w:hAnsi="宋体" w:cs="宋体" w:eastAsia="宋体" w:hint="default"/>
                            <w:sz w:val="18"/>
                            <w:szCs w:val="18"/>
                          </w:rPr>
                          <w:t>股权而不再纳 入公司合并报表。</w:t>
                        </w:r>
                      </w:p>
                    </w:tc>
                  </w:tr>
                  <w:tr>
                    <w:trPr>
                      <w:trHeight w:val="290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为提高公司运营、研发体系的管理效率 降低管理成本及固定费用，优化公司整 体资产结构，降低经营风险，公司拟转 让持有苏州新国都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96.32%</w:t>
                        </w:r>
                        <w:r>
                          <w:rPr>
                            <w:rFonts w:ascii="宋体" w:hAnsi="宋体" w:cs="宋体" w:eastAsia="宋体" w:hint="default"/>
                            <w:sz w:val="18"/>
                            <w:szCs w:val="18"/>
                          </w:rPr>
                          <w:t>的股权。本次 交易增加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年度净利润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89,128,993.45 </w:t>
                        </w:r>
                        <w:r>
                          <w:rPr>
                            <w:rFonts w:ascii="宋体" w:hAnsi="宋体" w:cs="宋体" w:eastAsia="宋体" w:hint="default"/>
                            <w:spacing w:val="-6"/>
                            <w:sz w:val="18"/>
                            <w:szCs w:val="18"/>
                          </w:rPr>
                          <w:t>元。本次交易完成后</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苏州新国都不再纳 入公司合并报表范围。本次股权转让有 利于公司的长远发展和持续经营</w:t>
                        </w:r>
                        <w:r>
                          <w:rPr>
                            <w:rFonts w:ascii="Times New Roman" w:hAnsi="Times New Roman" w:cs="Times New Roman" w:eastAsia="Times New Roman" w:hint="default"/>
                            <w:sz w:val="18"/>
                            <w:szCs w:val="18"/>
                          </w:rPr>
                          <w:t>,</w:t>
                        </w:r>
                        <w:r>
                          <w:rPr>
                            <w:rFonts w:ascii="宋体" w:hAnsi="宋体" w:cs="宋体" w:eastAsia="宋体" w:hint="default"/>
                            <w:sz w:val="18"/>
                            <w:szCs w:val="18"/>
                          </w:rPr>
                          <w:t>符合全 体股东的利益。</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信小样（深圳）传媒有限公司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9"/>
                          <w:jc w:val="both"/>
                          <w:rPr>
                            <w:rFonts w:ascii="宋体" w:hAnsi="宋体" w:cs="宋体" w:eastAsia="宋体" w:hint="default"/>
                            <w:sz w:val="18"/>
                            <w:szCs w:val="18"/>
                          </w:rPr>
                        </w:pPr>
                        <w:r>
                          <w:rPr>
                            <w:rFonts w:ascii="宋体" w:hAnsi="宋体" w:cs="宋体" w:eastAsia="宋体" w:hint="default"/>
                            <w:sz w:val="18"/>
                            <w:szCs w:val="18"/>
                          </w:rPr>
                          <w:t>信小样作为金服技术的全资子公司，因 公司转让金服技术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w:t>
                        </w:r>
                        <w:r>
                          <w:rPr>
                            <w:rFonts w:ascii="宋体" w:hAnsi="宋体" w:cs="宋体" w:eastAsia="宋体" w:hint="default"/>
                            <w:sz w:val="18"/>
                            <w:szCs w:val="18"/>
                          </w:rPr>
                          <w:t>股权而不再纳入 公司合并报表。</w:t>
                        </w:r>
                      </w:p>
                    </w:tc>
                  </w:tr>
                  <w:tr>
                    <w:trPr>
                      <w:trHeight w:val="19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杭州中宗电子有限公司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both"/>
                          <w:rPr>
                            <w:rFonts w:ascii="宋体" w:hAnsi="宋体" w:cs="宋体" w:eastAsia="宋体" w:hint="default"/>
                            <w:sz w:val="18"/>
                            <w:szCs w:val="18"/>
                          </w:rPr>
                        </w:pPr>
                        <w:r>
                          <w:rPr>
                            <w:rFonts w:ascii="宋体" w:hAnsi="宋体" w:cs="宋体" w:eastAsia="宋体" w:hint="default"/>
                            <w:sz w:val="18"/>
                            <w:szCs w:val="18"/>
                          </w:rPr>
                          <w:t>报告期内，根据战略发展需要，公司进 行业务模块及供应链整合。注销前，中 宗电子的业务已转移至一级全资子公司 中正智能，本次注销子公司有利于提高 公司管理效益，不会对公司的正常经营 产生影响。</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338" w:lineRule="auto" w:before="44"/>
        <w:ind w:right="1033"/>
        <w:jc w:val="left"/>
      </w:pPr>
      <w:r>
        <w:rPr/>
        <w:t>主要控股参股公司情况说明 </w:t>
      </w:r>
      <w:r>
        <w:rPr>
          <w:spacing w:val="-2"/>
        </w:rPr>
        <w:t>深圳市新国都支付技术有限公司：本期营业收入与去年同期基本持平，净利润增长</w:t>
      </w:r>
      <w:r>
        <w:rPr>
          <w:rFonts w:ascii="宋体" w:hAnsi="宋体" w:cs="宋体" w:eastAsia="宋体" w:hint="default"/>
          <w:spacing w:val="-2"/>
        </w:rPr>
        <w:t>69.14%</w:t>
      </w:r>
      <w:r>
        <w:rPr>
          <w:spacing w:val="-2"/>
        </w:rPr>
        <w:t>，主要系海外销售额增加，毛利率</w:t>
      </w:r>
      <w:r>
        <w:rPr>
          <w:spacing w:val="-59"/>
        </w:rPr>
        <w:t> </w:t>
      </w:r>
      <w:r>
        <w:rPr>
          <w:spacing w:val="-59"/>
        </w:rPr>
      </w:r>
      <w:r>
        <w:rPr/>
        <w:t>增加所致。</w:t>
      </w:r>
    </w:p>
    <w:p>
      <w:pPr>
        <w:pStyle w:val="BodyText"/>
        <w:spacing w:line="316" w:lineRule="auto" w:before="2"/>
        <w:ind w:right="1033"/>
        <w:jc w:val="left"/>
      </w:pPr>
      <w:r>
        <w:rPr>
          <w:spacing w:val="-2"/>
        </w:rPr>
        <w:t>嘉联支付有限公司：本期营业收入较上年增长</w:t>
      </w:r>
      <w:r>
        <w:rPr>
          <w:rFonts w:ascii="宋体" w:hAnsi="宋体" w:cs="宋体" w:eastAsia="宋体" w:hint="default"/>
          <w:spacing w:val="-2"/>
        </w:rPr>
        <w:t>54.01%</w:t>
      </w:r>
      <w:r>
        <w:rPr>
          <w:spacing w:val="-2"/>
        </w:rPr>
        <w:t>，净利润增长</w:t>
      </w:r>
      <w:r>
        <w:rPr>
          <w:rFonts w:ascii="宋体" w:hAnsi="宋体" w:cs="宋体" w:eastAsia="宋体" w:hint="default"/>
          <w:spacing w:val="-2"/>
        </w:rPr>
        <w:t>74.08%</w:t>
      </w:r>
      <w:r>
        <w:rPr>
          <w:spacing w:val="-2"/>
        </w:rPr>
        <w:t>，主要系上年度纳入合并期数不同导致，该子公司</w:t>
      </w:r>
      <w:r>
        <w:rPr>
          <w:spacing w:val="-57"/>
        </w:rPr>
        <w:t> </w:t>
      </w:r>
      <w:r>
        <w:rPr>
          <w:spacing w:val="-57"/>
        </w:rPr>
      </w:r>
      <w:r>
        <w:rPr>
          <w:rFonts w:ascii="宋体" w:hAnsi="宋体" w:cs="宋体" w:eastAsia="宋体" w:hint="default"/>
        </w:rPr>
        <w:t>2018</w:t>
      </w:r>
      <w:r>
        <w:rPr/>
        <w:t>年</w:t>
      </w:r>
      <w:r>
        <w:rPr>
          <w:rFonts w:ascii="宋体" w:hAnsi="宋体" w:cs="宋体" w:eastAsia="宋体" w:hint="default"/>
        </w:rPr>
        <w:t>5</w:t>
      </w:r>
      <w:r>
        <w:rPr/>
        <w:t>月通过非同一控制纳入合并范围。 </w:t>
      </w:r>
      <w:r>
        <w:rPr>
          <w:spacing w:val="-2"/>
        </w:rPr>
        <w:t>长沙公信诚丰信息技术服务有限公司：本期实现净利润</w:t>
      </w:r>
      <w:r>
        <w:rPr>
          <w:rFonts w:ascii="宋体" w:hAnsi="宋体" w:cs="宋体" w:eastAsia="宋体" w:hint="default"/>
          <w:spacing w:val="-2"/>
        </w:rPr>
        <w:t>43,04.72</w:t>
      </w:r>
      <w:r>
        <w:rPr>
          <w:spacing w:val="-2"/>
        </w:rPr>
        <w:t>万元，相比去年同期下降</w:t>
      </w:r>
      <w:r>
        <w:rPr>
          <w:rFonts w:ascii="宋体" w:hAnsi="宋体" w:cs="宋体" w:eastAsia="宋体" w:hint="default"/>
          <w:spacing w:val="-2"/>
        </w:rPr>
        <w:t>32.59%</w:t>
      </w:r>
      <w:r>
        <w:rPr>
          <w:spacing w:val="-2"/>
        </w:rPr>
        <w:t>，主要系审核收入、项目集</w:t>
      </w:r>
      <w:r>
        <w:rPr>
          <w:spacing w:val="-57"/>
        </w:rPr>
        <w:t> </w:t>
      </w:r>
      <w:r>
        <w:rPr>
          <w:spacing w:val="-57"/>
        </w:rPr>
      </w:r>
      <w:r>
        <w:rPr/>
        <w:t>成和软件收入下降所致。</w:t>
      </w:r>
    </w:p>
    <w:p>
      <w:pPr>
        <w:pStyle w:val="BodyText"/>
        <w:spacing w:line="316" w:lineRule="auto" w:before="19"/>
        <w:ind w:right="1126"/>
        <w:jc w:val="left"/>
      </w:pPr>
      <w:r>
        <w:rPr/>
        <w:t>深圳市新国都商服有限公司</w:t>
      </w:r>
      <w:r>
        <w:rPr>
          <w:spacing w:val="11"/>
        </w:rPr>
        <w:t> </w:t>
      </w:r>
      <w:r>
        <w:rPr>
          <w:rFonts w:ascii="宋体" w:hAnsi="宋体" w:cs="宋体" w:eastAsia="宋体" w:hint="default"/>
          <w:spacing w:val="-2"/>
        </w:rPr>
        <w:t>:</w:t>
      </w:r>
      <w:r>
        <w:rPr>
          <w:spacing w:val="-2"/>
        </w:rPr>
        <w:t>本期实现净利润</w:t>
      </w:r>
      <w:r>
        <w:rPr>
          <w:rFonts w:ascii="宋体" w:hAnsi="宋体" w:cs="宋体" w:eastAsia="宋体" w:hint="default"/>
          <w:spacing w:val="-2"/>
        </w:rPr>
        <w:t>-3,872.84</w:t>
      </w:r>
      <w:r>
        <w:rPr>
          <w:spacing w:val="-2"/>
        </w:rPr>
        <w:t>万元，相比去年同期负增长</w:t>
      </w:r>
      <w:r>
        <w:rPr>
          <w:rFonts w:ascii="宋体" w:hAnsi="宋体" w:cs="宋体" w:eastAsia="宋体" w:hint="default"/>
          <w:spacing w:val="-2"/>
        </w:rPr>
        <w:t>291.07%</w:t>
      </w:r>
      <w:r>
        <w:rPr>
          <w:spacing w:val="-2"/>
        </w:rPr>
        <w:t>，主要系公司</w:t>
      </w:r>
      <w:r>
        <w:rPr>
          <w:rFonts w:ascii="宋体" w:hAnsi="宋体" w:cs="宋体" w:eastAsia="宋体" w:hint="default"/>
          <w:spacing w:val="-2"/>
        </w:rPr>
        <w:t>2019</w:t>
      </w:r>
      <w:r>
        <w:rPr>
          <w:spacing w:val="-2"/>
        </w:rPr>
        <w:t>年为拓展市场</w:t>
      </w:r>
      <w:r>
        <w:rPr/>
        <w:t> 进行营销补贴，前期投入增加所致。</w:t>
      </w:r>
    </w:p>
    <w:p>
      <w:pPr>
        <w:spacing w:after="0" w:line="316"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4"/>
        <w:spacing w:line="367" w:lineRule="exact"/>
        <w:ind w:right="1033"/>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4"/>
        <w:spacing w:line="240" w:lineRule="auto"/>
        <w:ind w:right="1033"/>
        <w:jc w:val="left"/>
        <w:rPr>
          <w:b w:val="0"/>
          <w:bCs w:val="0"/>
        </w:rPr>
      </w:pPr>
      <w:r>
        <w:rPr/>
        <w:t>九、公司未来发展的展望</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240" w:lineRule="auto"/>
        <w:ind w:right="1033"/>
        <w:jc w:val="left"/>
      </w:pPr>
      <w:r>
        <w:rPr/>
        <w:t>（一）行业介绍</w:t>
      </w:r>
    </w:p>
    <w:p>
      <w:pPr>
        <w:spacing w:line="240" w:lineRule="auto" w:before="10"/>
        <w:rPr>
          <w:rFonts w:ascii="宋体" w:hAnsi="宋体" w:cs="宋体" w:eastAsia="宋体" w:hint="default"/>
          <w:sz w:val="17"/>
          <w:szCs w:val="17"/>
        </w:rPr>
      </w:pPr>
    </w:p>
    <w:p>
      <w:pPr>
        <w:pStyle w:val="BodyText"/>
        <w:spacing w:line="451" w:lineRule="auto"/>
        <w:ind w:left="573" w:right="1033" w:hanging="420"/>
        <w:jc w:val="left"/>
      </w:pPr>
      <w:r>
        <w:rPr>
          <w:rFonts w:ascii="Times New Roman" w:hAnsi="Times New Roman" w:cs="Times New Roman" w:eastAsia="Times New Roman" w:hint="default"/>
        </w:rPr>
        <w:t>1</w:t>
      </w:r>
      <w:r>
        <w:rPr/>
        <w:t>、电子支付行业的核心参与方 据中国人民银行发布的《中国支付体系发展报告</w:t>
      </w:r>
      <w:r>
        <w:rPr>
          <w:rFonts w:ascii="Times New Roman" w:hAnsi="Times New Roman" w:cs="Times New Roman" w:eastAsia="Times New Roman" w:hint="default"/>
        </w:rPr>
        <w:t>2015</w:t>
      </w:r>
      <w:r>
        <w:rPr/>
        <w:t>》描述，我国以中国人民银行为核心、银行业金融机构为基础、</w:t>
      </w:r>
    </w:p>
    <w:p>
      <w:pPr>
        <w:pStyle w:val="BodyText"/>
        <w:spacing w:line="477" w:lineRule="auto" w:before="44"/>
        <w:ind w:right="1033"/>
        <w:jc w:val="left"/>
      </w:pPr>
      <w:r>
        <w:rPr>
          <w:spacing w:val="-2"/>
        </w:rPr>
        <w:t>特许清算机构和支付机构为补充的多元化服务组织不断丰富，支付服务市场的专业化分工不断细化，支付服务的能力、效率</w:t>
      </w:r>
      <w:r>
        <w:rPr>
          <w:spacing w:val="-65"/>
        </w:rPr>
        <w:t> </w:t>
      </w:r>
      <w:r>
        <w:rPr>
          <w:spacing w:val="-65"/>
        </w:rPr>
      </w:r>
      <w:r>
        <w:rPr/>
        <w:t>和质量不断提升。</w:t>
      </w:r>
    </w:p>
    <w:p>
      <w:pPr>
        <w:pStyle w:val="BodyText"/>
        <w:spacing w:line="458" w:lineRule="auto" w:before="54"/>
        <w:ind w:right="1128" w:firstLine="420"/>
        <w:jc w:val="both"/>
      </w:pPr>
      <w:r>
        <w:rPr>
          <w:spacing w:val="-1"/>
        </w:rPr>
        <w:t>中国人民银行：中国人民银行作为中国支付体系建设的组织者、推动者、监督者，中国人民银行肩负</w:t>
      </w:r>
      <w:r>
        <w:rPr>
          <w:rFonts w:ascii="Times New Roman" w:hAnsi="Times New Roman" w:cs="Times New Roman" w:eastAsia="Times New Roman" w:hint="default"/>
          <w:spacing w:val="-1"/>
        </w:rPr>
        <w:t>“</w:t>
      </w:r>
      <w:r>
        <w:rPr>
          <w:spacing w:val="-1"/>
        </w:rPr>
        <w:t>维护支付、清算</w:t>
      </w:r>
      <w:r>
        <w:rPr/>
        <w:t> 系统正常运行</w:t>
      </w:r>
      <w:r>
        <w:rPr>
          <w:rFonts w:ascii="Times New Roman" w:hAnsi="Times New Roman" w:cs="Times New Roman" w:eastAsia="Times New Roman" w:hint="default"/>
        </w:rPr>
        <w:t>”</w:t>
      </w:r>
      <w:r>
        <w:rPr/>
        <w:t>等法定职责，建设运行了第二代支付系统、中央银行会计核算数据集中系统、全国支票影像交换系统、境内</w:t>
      </w:r>
      <w:r>
        <w:rPr>
          <w:spacing w:val="-77"/>
        </w:rPr>
        <w:t> </w:t>
      </w:r>
      <w:r>
        <w:rPr>
          <w:spacing w:val="-77"/>
        </w:rPr>
      </w:r>
      <w:r>
        <w:rPr>
          <w:spacing w:val="-2"/>
        </w:rPr>
        <w:t>外币支付系统等重要业务系统，为金融机构和金融市场提供低成本、高效率的公共清算平台，加速了社会资金周转，推动了</w:t>
      </w:r>
      <w:r>
        <w:rPr>
          <w:spacing w:val="-64"/>
        </w:rPr>
        <w:t> </w:t>
      </w:r>
      <w:r>
        <w:rPr>
          <w:spacing w:val="-64"/>
        </w:rPr>
      </w:r>
      <w:r>
        <w:rPr/>
        <w:t>经济金融较快发展。</w:t>
      </w:r>
    </w:p>
    <w:p>
      <w:pPr>
        <w:pStyle w:val="BodyText"/>
        <w:spacing w:line="477" w:lineRule="auto" w:before="69"/>
        <w:ind w:right="1133" w:firstLine="420"/>
        <w:jc w:val="both"/>
      </w:pPr>
      <w:r>
        <w:rPr/>
        <w:t>银行业金融机构：银行业金融机构（以下简称银行）是支付服务的提供主体。银行大力推进金融服务创新，不断提高 </w:t>
      </w:r>
      <w:r>
        <w:rPr>
          <w:spacing w:val="-2"/>
        </w:rPr>
        <w:t>支付服务水平，在服务实体经济、守住风险底线、深化改革开放等方面取得明显成效。我国形成了多种类、广覆盖的银行机</w:t>
      </w:r>
      <w:r>
        <w:rPr>
          <w:spacing w:val="-67"/>
        </w:rPr>
        <w:t> </w:t>
      </w:r>
      <w:r>
        <w:rPr>
          <w:spacing w:val="-67"/>
        </w:rPr>
      </w:r>
      <w:r>
        <w:rPr>
          <w:spacing w:val="-2"/>
        </w:rPr>
        <w:t>构体系，它们通过后台完善业务系统、前台提供和受理各种支付工具（或支付工具受理机具）的形式，向广大单位和个人提</w:t>
      </w:r>
      <w:r>
        <w:rPr>
          <w:spacing w:val="-66"/>
        </w:rPr>
        <w:t> </w:t>
      </w:r>
      <w:r>
        <w:rPr>
          <w:spacing w:val="-66"/>
        </w:rPr>
      </w:r>
      <w:r>
        <w:rPr/>
        <w:t>供多层次、差异化、个性化的支付服务。</w:t>
      </w:r>
    </w:p>
    <w:p>
      <w:pPr>
        <w:pStyle w:val="BodyText"/>
        <w:spacing w:line="472" w:lineRule="auto" w:before="54"/>
        <w:ind w:right="1128" w:firstLine="420"/>
        <w:jc w:val="left"/>
      </w:pPr>
      <w:r>
        <w:rPr/>
        <w:t>特许清算机构：清算机构积极参与中国支付服务市场，在特定领域提供专项支付服务。中国银联股份有限公司（以下 </w:t>
      </w:r>
      <w:r>
        <w:rPr>
          <w:spacing w:val="-2"/>
        </w:rPr>
        <w:t>简称中国银联）是中国银行卡联合组织，通过银联跨行交易清算系统，实现商业银行系统间的互联互通和资源共享，保证银</w:t>
      </w:r>
      <w:r>
        <w:rPr>
          <w:spacing w:val="-65"/>
        </w:rPr>
        <w:t> </w:t>
      </w:r>
      <w:r>
        <w:rPr>
          <w:spacing w:val="-65"/>
        </w:rPr>
      </w:r>
      <w:r>
        <w:rPr>
          <w:spacing w:val="-1"/>
        </w:rPr>
        <w:t>行卡跨行、跨地区和跨境的使用。网联清算有限公司（简称</w:t>
      </w:r>
      <w:r>
        <w:rPr>
          <w:rFonts w:ascii="Times New Roman" w:hAnsi="Times New Roman" w:cs="Times New Roman" w:eastAsia="Times New Roman" w:hint="default"/>
          <w:spacing w:val="-1"/>
        </w:rPr>
        <w:t>NUCC</w:t>
      </w:r>
      <w:r>
        <w:rPr>
          <w:spacing w:val="-1"/>
        </w:rPr>
        <w:t>）是经中国人民银行批准成立的非银行支付机构网络支付</w:t>
      </w:r>
      <w:r>
        <w:rPr>
          <w:spacing w:val="-80"/>
        </w:rPr>
        <w:t> </w:t>
      </w:r>
      <w:r>
        <w:rPr>
          <w:spacing w:val="-80"/>
        </w:rPr>
      </w:r>
      <w:r>
        <w:rPr>
          <w:spacing w:val="-2"/>
        </w:rPr>
        <w:t>清算平台的运营机构，作为全国统一的清算系统，主要处理非银行支付机构发起的涉及银行账户的网络支付业务，实现非银</w:t>
      </w:r>
      <w:r>
        <w:rPr>
          <w:spacing w:val="-64"/>
        </w:rPr>
        <w:t> </w:t>
      </w:r>
      <w:r>
        <w:rPr>
          <w:spacing w:val="-64"/>
        </w:rPr>
      </w:r>
      <w:r>
        <w:rPr>
          <w:spacing w:val="-2"/>
        </w:rPr>
        <w:t>行支付机构及商业银行一点接入，提供公共、安全、高效、经济的交易信息转接和资金清算服务，组织制定并推行平台系统</w:t>
      </w:r>
      <w:r>
        <w:rPr>
          <w:spacing w:val="-67"/>
        </w:rPr>
        <w:t> </w:t>
      </w:r>
      <w:r>
        <w:rPr>
          <w:spacing w:val="-67"/>
        </w:rPr>
      </w:r>
      <w:r>
        <w:rPr/>
        <w:t>及网络支付市场相关的统一标准规范，协调和仲裁业务纠纷，并将提供风险防控等专业化的配套及延展服务。</w:t>
      </w:r>
      <w:r>
        <w:rPr>
          <w:w w:val="99"/>
        </w:rPr>
        <w:t> </w:t>
      </w:r>
      <w:r>
        <w:rPr>
          <w:spacing w:val="-2"/>
        </w:rPr>
        <w:t>支付机构：支付机构在中国零售支付中发挥着重要作用。近年来，借助电子商务的兴起，支付机构运用互联网、移动通信等</w:t>
      </w:r>
      <w:r>
        <w:rPr>
          <w:spacing w:val="-68"/>
        </w:rPr>
        <w:t> </w:t>
      </w:r>
      <w:r>
        <w:rPr>
          <w:spacing w:val="-68"/>
        </w:rPr>
      </w:r>
      <w:r>
        <w:rPr>
          <w:spacing w:val="-2"/>
        </w:rPr>
        <w:t>新型信息技术，充分发挥自身机制灵活的优势，为社会公众提供小额、快捷、便民的零售支付服务。支付机构从事的支付业</w:t>
      </w:r>
      <w:r>
        <w:rPr>
          <w:spacing w:val="-68"/>
        </w:rPr>
        <w:t> </w:t>
      </w:r>
      <w:r>
        <w:rPr>
          <w:spacing w:val="-68"/>
        </w:rPr>
      </w:r>
      <w:r>
        <w:rPr/>
        <w:t>务模式又分为网络支付业务、预付卡发行与受理业务、银行卡收单业务。</w:t>
      </w:r>
    </w:p>
    <w:p>
      <w:pPr>
        <w:pStyle w:val="BodyText"/>
        <w:spacing w:line="468" w:lineRule="auto" w:before="58"/>
        <w:ind w:right="1025" w:firstLine="420"/>
        <w:jc w:val="left"/>
      </w:pPr>
      <w:r>
        <w:rPr>
          <w:spacing w:val="-1"/>
        </w:rPr>
        <w:t>在支付体系中除以上支付服务主体外，支付软硬件提供商和收单渠道服务机构是电子支付产业中起到辅助作用的主体。</w:t>
      </w:r>
      <w:r>
        <w:rPr/>
        <w:t> 新国都从事以金融</w:t>
      </w:r>
      <w:r>
        <w:rPr>
          <w:rFonts w:ascii="Times New Roman" w:hAnsi="Times New Roman" w:cs="Times New Roman" w:eastAsia="Times New Roman" w:hint="default"/>
        </w:rPr>
        <w:t>POS</w:t>
      </w:r>
      <w:r>
        <w:rPr/>
        <w:t>机为主的电子支付受理终端设备软硬件的生产、研发、销售和租赁，并新增了银行卡收单及增值服务 等业务，该业务均是电子支付产业链中的重要环节，公司定位于成为优质的电子支付综合服务商。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年的电子支付体系整体运营状况</w:t>
      </w:r>
    </w:p>
    <w:p>
      <w:pPr>
        <w:spacing w:after="0" w:line="46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29" w:firstLine="420"/>
        <w:jc w:val="both"/>
      </w:pPr>
      <w:r>
        <w:rPr>
          <w:spacing w:val="-2"/>
        </w:rPr>
        <w:t>根据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日中国人民银行发布的《</w:t>
      </w:r>
      <w:r>
        <w:rPr>
          <w:rFonts w:ascii="Times New Roman" w:hAnsi="Times New Roman" w:cs="Times New Roman" w:eastAsia="Times New Roman" w:hint="default"/>
          <w:spacing w:val="-2"/>
        </w:rPr>
        <w:t>2019</w:t>
      </w:r>
      <w:r>
        <w:rPr>
          <w:spacing w:val="-2"/>
        </w:rPr>
        <w:t>年支付体系运行总体情况》显示，全国支付体系运行平稳，社会资金交</w:t>
      </w:r>
      <w:r>
        <w:rPr/>
        <w:t> 易规模不断扩大，支付业务量稳步增长，我们主要关注到：</w:t>
      </w:r>
    </w:p>
    <w:p>
      <w:pPr>
        <w:pStyle w:val="BodyText"/>
        <w:spacing w:line="451" w:lineRule="auto" w:before="74"/>
        <w:ind w:left="573" w:right="1033" w:hanging="420"/>
        <w:jc w:val="left"/>
      </w:pPr>
      <w:r>
        <w:rPr/>
        <w:t>（</w:t>
      </w:r>
      <w:r>
        <w:rPr>
          <w:rFonts w:ascii="Times New Roman" w:hAnsi="Times New Roman" w:cs="Times New Roman" w:eastAsia="Times New Roman" w:hint="default"/>
        </w:rPr>
        <w:t>1</w:t>
      </w:r>
      <w:r>
        <w:rPr/>
        <w:t>）银行卡发卡量保持稳步增长 </w:t>
      </w:r>
      <w:r>
        <w:rPr>
          <w:spacing w:val="-2"/>
        </w:rPr>
        <w:t>截至</w:t>
      </w:r>
      <w:r>
        <w:rPr>
          <w:rFonts w:ascii="Times New Roman" w:hAnsi="Times New Roman" w:cs="Times New Roman" w:eastAsia="Times New Roman" w:hint="default"/>
          <w:spacing w:val="-2"/>
        </w:rPr>
        <w:t>2019</w:t>
      </w:r>
      <w:r>
        <w:rPr>
          <w:spacing w:val="-2"/>
        </w:rPr>
        <w:t>年末，全国银行卡在用发卡数量</w:t>
      </w:r>
      <w:r>
        <w:rPr>
          <w:rFonts w:ascii="Times New Roman" w:hAnsi="Times New Roman" w:cs="Times New Roman" w:eastAsia="Times New Roman" w:hint="default"/>
          <w:spacing w:val="-2"/>
        </w:rPr>
        <w:t>84.19</w:t>
      </w:r>
      <w:r>
        <w:rPr>
          <w:spacing w:val="-2"/>
        </w:rPr>
        <w:t>亿张，同比增长</w:t>
      </w:r>
      <w:r>
        <w:rPr>
          <w:rFonts w:ascii="Times New Roman" w:hAnsi="Times New Roman" w:cs="Times New Roman" w:eastAsia="Times New Roman" w:hint="default"/>
          <w:spacing w:val="-2"/>
        </w:rPr>
        <w:t>10.82%</w:t>
      </w:r>
      <w:r>
        <w:rPr>
          <w:spacing w:val="-2"/>
        </w:rPr>
        <w:t>。其中，借记卡在用发卡数量</w:t>
      </w:r>
      <w:r>
        <w:rPr>
          <w:rFonts w:ascii="Times New Roman" w:hAnsi="Times New Roman" w:cs="Times New Roman" w:eastAsia="Times New Roman" w:hint="default"/>
          <w:spacing w:val="-2"/>
        </w:rPr>
        <w:t>76.73</w:t>
      </w:r>
      <w:r>
        <w:rPr>
          <w:spacing w:val="-2"/>
        </w:rPr>
        <w:t>亿张，同比增</w:t>
      </w:r>
    </w:p>
    <w:p>
      <w:pPr>
        <w:pStyle w:val="BodyText"/>
        <w:spacing w:line="451" w:lineRule="auto" w:before="43"/>
        <w:ind w:right="1033"/>
        <w:jc w:val="left"/>
      </w:pPr>
      <w:r>
        <w:rPr/>
        <w:t>长</w:t>
      </w:r>
      <w:r>
        <w:rPr>
          <w:rFonts w:ascii="Times New Roman" w:hAnsi="Times New Roman" w:cs="Times New Roman" w:eastAsia="Times New Roman" w:hint="default"/>
        </w:rPr>
        <w:t>11.02%</w:t>
      </w:r>
      <w:r>
        <w:rPr/>
        <w:t>；信用卡和借贷合一卡在用发卡数量共计</w:t>
      </w:r>
      <w:r>
        <w:rPr>
          <w:rFonts w:ascii="Times New Roman" w:hAnsi="Times New Roman" w:cs="Times New Roman" w:eastAsia="Times New Roman" w:hint="default"/>
        </w:rPr>
        <w:t>7.46</w:t>
      </w:r>
      <w:r>
        <w:rPr/>
        <w:t>亿张，同比增长</w:t>
      </w:r>
      <w:r>
        <w:rPr>
          <w:rFonts w:ascii="Times New Roman" w:hAnsi="Times New Roman" w:cs="Times New Roman" w:eastAsia="Times New Roman" w:hint="default"/>
        </w:rPr>
        <w:t>8.78%</w:t>
      </w:r>
      <w:r>
        <w:rPr/>
        <w:t>。借记卡在用发卡数量占银行卡在用发卡数量</w:t>
      </w:r>
      <w:r>
        <w:rPr>
          <w:spacing w:val="-70"/>
        </w:rPr>
        <w:t> </w:t>
      </w:r>
      <w:r>
        <w:rPr>
          <w:spacing w:val="-70"/>
        </w:rPr>
      </w:r>
      <w:r>
        <w:rPr>
          <w:spacing w:val="-2"/>
        </w:rPr>
        <w:t>的</w:t>
      </w:r>
      <w:r>
        <w:rPr>
          <w:rFonts w:ascii="Times New Roman" w:hAnsi="Times New Roman" w:cs="Times New Roman" w:eastAsia="Times New Roman" w:hint="default"/>
          <w:spacing w:val="-2"/>
        </w:rPr>
        <w:t>91.14%</w:t>
      </w:r>
      <w:r>
        <w:rPr>
          <w:spacing w:val="-2"/>
        </w:rPr>
        <w:t>，较上年末有所上升。全国人均持有银行卡</w:t>
      </w:r>
      <w:r>
        <w:rPr>
          <w:rFonts w:ascii="Times New Roman" w:hAnsi="Times New Roman" w:cs="Times New Roman" w:eastAsia="Times New Roman" w:hint="default"/>
          <w:spacing w:val="-2"/>
        </w:rPr>
        <w:t>6.03</w:t>
      </w:r>
      <w:r>
        <w:rPr>
          <w:spacing w:val="-2"/>
        </w:rPr>
        <w:t>张，同比增长</w:t>
      </w:r>
      <w:r>
        <w:rPr>
          <w:rFonts w:ascii="Times New Roman" w:hAnsi="Times New Roman" w:cs="Times New Roman" w:eastAsia="Times New Roman" w:hint="default"/>
          <w:spacing w:val="-2"/>
        </w:rPr>
        <w:t>10.40%</w:t>
      </w:r>
      <w:r>
        <w:rPr>
          <w:spacing w:val="-2"/>
        </w:rPr>
        <w:t>。其中，人均持有信用卡和借贷合一卡</w:t>
      </w:r>
      <w:r>
        <w:rPr>
          <w:rFonts w:ascii="Times New Roman" w:hAnsi="Times New Roman" w:cs="Times New Roman" w:eastAsia="Times New Roman" w:hint="default"/>
          <w:spacing w:val="-2"/>
        </w:rPr>
        <w:t>0.53</w:t>
      </w:r>
      <w:r>
        <w:rPr>
          <w:spacing w:val="-2"/>
        </w:rPr>
        <w:t>张，</w:t>
      </w:r>
      <w:r>
        <w:rPr>
          <w:spacing w:val="-78"/>
        </w:rPr>
        <w:t> </w:t>
      </w:r>
      <w:r>
        <w:rPr/>
        <w:t>同比增长</w:t>
      </w:r>
      <w:r>
        <w:rPr>
          <w:rFonts w:ascii="Times New Roman" w:hAnsi="Times New Roman" w:cs="Times New Roman" w:eastAsia="Times New Roman" w:hint="default"/>
        </w:rPr>
        <w:t>8.36%</w:t>
      </w:r>
      <w:r>
        <w:rPr/>
        <w:t>。</w:t>
      </w:r>
    </w:p>
    <w:p>
      <w:pPr>
        <w:pStyle w:val="BodyText"/>
        <w:spacing w:line="477" w:lineRule="auto" w:before="44"/>
        <w:ind w:right="1130" w:firstLine="420"/>
        <w:jc w:val="both"/>
      </w:pPr>
      <w:r>
        <w:rPr/>
        <w:t>从银行卡的发卡总量以及增长率数据来看，全国的发卡量仍保持稳步增长，目前信用卡发卡数量与人均持有信用卡数 </w:t>
      </w:r>
      <w:r>
        <w:rPr>
          <w:spacing w:val="-2"/>
        </w:rPr>
        <w:t>量都远远低于借记卡相应数量，我们认为未来信用卡增长空间依然很大，并且相关应用增值服务也会越来越丰富。随着国内</w:t>
      </w:r>
      <w:r>
        <w:rPr>
          <w:spacing w:val="-64"/>
        </w:rPr>
        <w:t> </w:t>
      </w:r>
      <w:r>
        <w:rPr>
          <w:spacing w:val="-64"/>
        </w:rPr>
      </w:r>
      <w:r>
        <w:rPr>
          <w:spacing w:val="-2"/>
        </w:rPr>
        <w:t>个人信用体系的建立和完善，借助大数据、人工智能等前沿技术可以逐步消除主体间的信息不对称问题以及提升金融机构风</w:t>
      </w:r>
      <w:r>
        <w:rPr>
          <w:spacing w:val="-64"/>
        </w:rPr>
        <w:t> </w:t>
      </w:r>
      <w:r>
        <w:rPr>
          <w:spacing w:val="-64"/>
        </w:rPr>
      </w:r>
      <w:r>
        <w:rPr/>
        <w:t>控效率，我们可以预见基于银行卡的电子支付业务以及其他增值服务在未来几年内仍将保持较好的发展趋势。</w:t>
      </w:r>
    </w:p>
    <w:p>
      <w:pPr>
        <w:pStyle w:val="BodyText"/>
        <w:spacing w:line="451" w:lineRule="auto" w:before="54"/>
        <w:ind w:left="573" w:right="1033" w:hanging="420"/>
        <w:jc w:val="left"/>
      </w:pPr>
      <w:r>
        <w:rPr/>
        <w:t>（</w:t>
      </w:r>
      <w:r>
        <w:rPr>
          <w:rFonts w:ascii="Times New Roman" w:hAnsi="Times New Roman" w:cs="Times New Roman" w:eastAsia="Times New Roman" w:hint="default"/>
        </w:rPr>
        <w:t>2</w:t>
      </w:r>
      <w:r>
        <w:rPr/>
        <w:t>）银行卡受理终端数量有所下降 截至</w:t>
      </w:r>
      <w:r>
        <w:rPr>
          <w:rFonts w:ascii="Times New Roman" w:hAnsi="Times New Roman" w:cs="Times New Roman" w:eastAsia="Times New Roman" w:hint="default"/>
        </w:rPr>
        <w:t>2019</w:t>
      </w:r>
      <w:r>
        <w:rPr/>
        <w:t>年末，银行卡跨行支付系统联网特约商户</w:t>
      </w:r>
      <w:r>
        <w:rPr>
          <w:rFonts w:ascii="Times New Roman" w:hAnsi="Times New Roman" w:cs="Times New Roman" w:eastAsia="Times New Roman" w:hint="default"/>
        </w:rPr>
        <w:t>2,362.96</w:t>
      </w:r>
      <w:r>
        <w:rPr/>
        <w:t>万户，联网</w:t>
      </w:r>
      <w:r>
        <w:rPr>
          <w:rFonts w:ascii="Times New Roman" w:hAnsi="Times New Roman" w:cs="Times New Roman" w:eastAsia="Times New Roman" w:hint="default"/>
        </w:rPr>
        <w:t>POS</w:t>
      </w:r>
      <w:r>
        <w:rPr/>
        <w:t>机具</w:t>
      </w:r>
      <w:r>
        <w:rPr>
          <w:rFonts w:ascii="Times New Roman" w:hAnsi="Times New Roman" w:cs="Times New Roman" w:eastAsia="Times New Roman" w:hint="default"/>
        </w:rPr>
        <w:t>3,089.28</w:t>
      </w:r>
      <w:r>
        <w:rPr/>
        <w:t>万台，</w:t>
      </w:r>
      <w:r>
        <w:rPr>
          <w:rFonts w:ascii="Times New Roman" w:hAnsi="Times New Roman" w:cs="Times New Roman" w:eastAsia="Times New Roman" w:hint="default"/>
        </w:rPr>
        <w:t>ATM</w:t>
      </w:r>
      <w:r>
        <w:rPr/>
        <w:t>机具</w:t>
      </w:r>
      <w:r>
        <w:rPr>
          <w:rFonts w:ascii="Times New Roman" w:hAnsi="Times New Roman" w:cs="Times New Roman" w:eastAsia="Times New Roman" w:hint="default"/>
        </w:rPr>
        <w:t>109.77</w:t>
      </w:r>
      <w:r>
        <w:rPr/>
        <w:t>万台，</w:t>
      </w:r>
    </w:p>
    <w:p>
      <w:pPr>
        <w:pStyle w:val="BodyText"/>
        <w:spacing w:line="458" w:lineRule="auto" w:before="44"/>
        <w:ind w:right="1080"/>
        <w:jc w:val="both"/>
      </w:pPr>
      <w:r>
        <w:rPr/>
        <w:t>较上年末分别减少</w:t>
      </w:r>
      <w:r>
        <w:rPr>
          <w:rFonts w:ascii="Times New Roman" w:hAnsi="Times New Roman" w:cs="Times New Roman" w:eastAsia="Times New Roman" w:hint="default"/>
        </w:rPr>
        <w:t>370.04</w:t>
      </w:r>
      <w:r>
        <w:rPr/>
        <w:t>万户、</w:t>
      </w:r>
      <w:r>
        <w:rPr>
          <w:rFonts w:ascii="Times New Roman" w:hAnsi="Times New Roman" w:cs="Times New Roman" w:eastAsia="Times New Roman" w:hint="default"/>
        </w:rPr>
        <w:t>325.54</w:t>
      </w:r>
      <w:r>
        <w:rPr/>
        <w:t>万台和</w:t>
      </w:r>
      <w:r>
        <w:rPr>
          <w:rFonts w:ascii="Times New Roman" w:hAnsi="Times New Roman" w:cs="Times New Roman" w:eastAsia="Times New Roman" w:hint="default"/>
        </w:rPr>
        <w:t>1.31</w:t>
      </w:r>
      <w:r>
        <w:rPr/>
        <w:t>万台。全国每万人对应的</w:t>
      </w:r>
      <w:r>
        <w:rPr>
          <w:rFonts w:ascii="Times New Roman" w:hAnsi="Times New Roman" w:cs="Times New Roman" w:eastAsia="Times New Roman" w:hint="default"/>
        </w:rPr>
        <w:t>POS</w:t>
      </w:r>
      <w:r>
        <w:rPr/>
        <w:t>机具数量</w:t>
      </w:r>
      <w:r>
        <w:rPr>
          <w:rFonts w:ascii="Times New Roman" w:hAnsi="Times New Roman" w:cs="Times New Roman" w:eastAsia="Times New Roman" w:hint="default"/>
        </w:rPr>
        <w:t>221.39</w:t>
      </w:r>
      <w:r>
        <w:rPr/>
        <w:t>台，同比下降</w:t>
      </w:r>
      <w:r>
        <w:rPr>
          <w:rFonts w:ascii="Times New Roman" w:hAnsi="Times New Roman" w:cs="Times New Roman" w:eastAsia="Times New Roman" w:hint="default"/>
        </w:rPr>
        <w:t>9.88%</w:t>
      </w:r>
      <w:r>
        <w:rPr/>
        <w:t>，每万人</w:t>
      </w:r>
      <w:r>
        <w:rPr>
          <w:spacing w:val="-77"/>
        </w:rPr>
        <w:t> </w:t>
      </w:r>
      <w:r>
        <w:rPr/>
        <w:t>对应的</w:t>
      </w:r>
      <w:r>
        <w:rPr>
          <w:rFonts w:ascii="Times New Roman" w:hAnsi="Times New Roman" w:cs="Times New Roman" w:eastAsia="Times New Roman" w:hint="default"/>
        </w:rPr>
        <w:t>ATM</w:t>
      </w:r>
      <w:r>
        <w:rPr/>
        <w:t>数量</w:t>
      </w:r>
      <w:r>
        <w:rPr>
          <w:rFonts w:ascii="Times New Roman" w:hAnsi="Times New Roman" w:cs="Times New Roman" w:eastAsia="Times New Roman" w:hint="default"/>
        </w:rPr>
        <w:t>7.87</w:t>
      </w:r>
      <w:r>
        <w:rPr/>
        <w:t>台，同比下降</w:t>
      </w:r>
      <w:r>
        <w:rPr>
          <w:rFonts w:ascii="Times New Roman" w:hAnsi="Times New Roman" w:cs="Times New Roman" w:eastAsia="Times New Roman" w:hint="default"/>
        </w:rPr>
        <w:t>1.56%</w:t>
      </w:r>
      <w:r>
        <w:rPr/>
        <w:t>。随着我国移动支付等新兴方式的普及，支付受理终端</w:t>
      </w:r>
      <w:r>
        <w:rPr>
          <w:rFonts w:ascii="Times New Roman" w:hAnsi="Times New Roman" w:cs="Times New Roman" w:eastAsia="Times New Roman" w:hint="default"/>
        </w:rPr>
        <w:t>POS</w:t>
      </w:r>
      <w:r>
        <w:rPr/>
        <w:t>机具形态和功能也越来</w:t>
      </w:r>
      <w:r>
        <w:rPr>
          <w:spacing w:val="-67"/>
        </w:rPr>
        <w:t> </w:t>
      </w:r>
      <w:r>
        <w:rPr>
          <w:spacing w:val="-67"/>
        </w:rPr>
      </w:r>
      <w:r>
        <w:rPr/>
        <w:t>越丰富，借助移动支付的兴起和二维码支付的广泛应用，</w:t>
      </w:r>
      <w:r>
        <w:rPr>
          <w:rFonts w:ascii="Times New Roman" w:hAnsi="Times New Roman" w:cs="Times New Roman" w:eastAsia="Times New Roman" w:hint="default"/>
        </w:rPr>
        <w:t>POS</w:t>
      </w:r>
      <w:r>
        <w:rPr/>
        <w:t>机具行业也发生了积极变化，</w:t>
      </w:r>
      <w:r>
        <w:rPr>
          <w:rFonts w:ascii="Times New Roman" w:hAnsi="Times New Roman" w:cs="Times New Roman" w:eastAsia="Times New Roman" w:hint="default"/>
        </w:rPr>
        <w:t>POS</w:t>
      </w:r>
      <w:r>
        <w:rPr/>
        <w:t>机具从过去只能受理银行卡 </w:t>
      </w:r>
      <w:r>
        <w:rPr>
          <w:spacing w:val="-2"/>
        </w:rPr>
        <w:t>物理刷卡的支付方式升级为接受码付及闪付等全渠道支付方式。由于二维码支付更加方便、快捷且成本更低，特别适用于用</w:t>
      </w:r>
      <w:r>
        <w:rPr>
          <w:spacing w:val="-66"/>
        </w:rPr>
        <w:t> </w:t>
      </w:r>
      <w:r>
        <w:rPr>
          <w:spacing w:val="-66"/>
        </w:rPr>
      </w:r>
      <w:r>
        <w:rPr/>
        <w:t>户规模不断攀升的小微商户。</w:t>
      </w:r>
      <w:r>
        <w:rPr>
          <w:rFonts w:ascii="Times New Roman" w:hAnsi="Times New Roman" w:cs="Times New Roman" w:eastAsia="Times New Roman" w:hint="default"/>
        </w:rPr>
        <w:t>POS</w:t>
      </w:r>
      <w:r>
        <w:rPr/>
        <w:t>机具的生产商顺应趋势，逐渐调整产品形态以符合不同类别商户的需求，推出扫码盒子， </w:t>
      </w:r>
      <w:r>
        <w:rPr>
          <w:spacing w:val="-2"/>
        </w:rPr>
        <w:t>收款音箱等新型支付终端产品。未来随着相关技术的应用以及支付产品的更新迭代，支付终端行业将朝着为新增小微商户提</w:t>
      </w:r>
      <w:r>
        <w:rPr>
          <w:spacing w:val="-64"/>
        </w:rPr>
        <w:t> </w:t>
      </w:r>
      <w:r>
        <w:rPr>
          <w:spacing w:val="-64"/>
        </w:rPr>
      </w:r>
      <w:r>
        <w:rPr/>
        <w:t>供轻质化的产品及为存量市场提供智能化升级改造服务的方向增长。</w:t>
      </w:r>
    </w:p>
    <w:p>
      <w:pPr>
        <w:pStyle w:val="BodyText"/>
        <w:spacing w:line="240" w:lineRule="auto" w:before="69"/>
        <w:ind w:right="1033"/>
        <w:jc w:val="left"/>
      </w:pPr>
      <w:r>
        <w:rPr/>
        <w:t>（</w:t>
      </w:r>
      <w:r>
        <w:rPr>
          <w:rFonts w:ascii="Times New Roman" w:hAnsi="Times New Roman" w:cs="Times New Roman" w:eastAsia="Times New Roman" w:hint="default"/>
        </w:rPr>
        <w:t>3</w:t>
      </w:r>
      <w:r>
        <w:rPr/>
        <w:t>）银行卡交易量继续增长</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2019</w:t>
      </w:r>
      <w:r>
        <w:rPr/>
        <w:t>年，全国共发生银行卡交易</w:t>
      </w:r>
      <w:r>
        <w:rPr>
          <w:rFonts w:ascii="Times New Roman" w:hAnsi="Times New Roman" w:cs="Times New Roman" w:eastAsia="Times New Roman" w:hint="default"/>
        </w:rPr>
        <w:t>3,219.89</w:t>
      </w:r>
      <w:r>
        <w:rPr/>
        <w:t>亿笔，金额</w:t>
      </w:r>
      <w:r>
        <w:rPr>
          <w:rFonts w:ascii="Times New Roman" w:hAnsi="Times New Roman" w:cs="Times New Roman" w:eastAsia="Times New Roman" w:hint="default"/>
        </w:rPr>
        <w:t>886.39</w:t>
      </w:r>
      <w:r>
        <w:rPr/>
        <w:t>万亿元，同比分别增长</w:t>
      </w:r>
      <w:r>
        <w:rPr>
          <w:rFonts w:ascii="Times New Roman" w:hAnsi="Times New Roman" w:cs="Times New Roman" w:eastAsia="Times New Roman" w:hint="default"/>
        </w:rPr>
        <w:t>53.07%</w:t>
      </w:r>
      <w:r>
        <w:rPr/>
        <w:t>和</w:t>
      </w:r>
      <w:r>
        <w:rPr>
          <w:rFonts w:ascii="Times New Roman" w:hAnsi="Times New Roman" w:cs="Times New Roman" w:eastAsia="Times New Roman" w:hint="default"/>
        </w:rPr>
        <w:t>2.82%</w:t>
      </w:r>
      <w:r>
        <w:rPr/>
        <w:t>，日均</w:t>
      </w:r>
      <w:r>
        <w:rPr>
          <w:rFonts w:ascii="Times New Roman" w:hAnsi="Times New Roman" w:cs="Times New Roman" w:eastAsia="Times New Roman" w:hint="default"/>
        </w:rPr>
        <w:t>8.82</w:t>
      </w:r>
      <w:r>
        <w:rPr/>
        <w:t>亿笔，金额</w:t>
      </w:r>
    </w:p>
    <w:p>
      <w:pPr>
        <w:spacing w:line="240" w:lineRule="auto" w:before="9"/>
        <w:rPr>
          <w:rFonts w:ascii="宋体" w:hAnsi="宋体" w:cs="宋体" w:eastAsia="宋体" w:hint="default"/>
          <w:sz w:val="16"/>
          <w:szCs w:val="16"/>
        </w:rPr>
      </w:pPr>
    </w:p>
    <w:p>
      <w:pPr>
        <w:pStyle w:val="BodyText"/>
        <w:spacing w:line="451" w:lineRule="auto"/>
        <w:ind w:right="1033"/>
        <w:jc w:val="left"/>
      </w:pPr>
      <w:r>
        <w:rPr>
          <w:rFonts w:ascii="Times New Roman" w:hAnsi="Times New Roman" w:cs="Times New Roman" w:eastAsia="Times New Roman" w:hint="default"/>
        </w:rPr>
        <w:t>2.43</w:t>
      </w:r>
      <w:r>
        <w:rPr/>
        <w:t>万亿元。其中，银行卡存现业务</w:t>
      </w:r>
      <w:r>
        <w:rPr>
          <w:rFonts w:ascii="Times New Roman" w:hAnsi="Times New Roman" w:cs="Times New Roman" w:eastAsia="Times New Roman" w:hint="default"/>
        </w:rPr>
        <w:t>70.85</w:t>
      </w:r>
      <w:r>
        <w:rPr/>
        <w:t>亿笔，金额</w:t>
      </w:r>
      <w:r>
        <w:rPr>
          <w:rFonts w:ascii="Times New Roman" w:hAnsi="Times New Roman" w:cs="Times New Roman" w:eastAsia="Times New Roman" w:hint="default"/>
        </w:rPr>
        <w:t>52.88</w:t>
      </w:r>
      <w:r>
        <w:rPr/>
        <w:t>万亿元，同比分别下降</w:t>
      </w:r>
      <w:r>
        <w:rPr>
          <w:rFonts w:ascii="Times New Roman" w:hAnsi="Times New Roman" w:cs="Times New Roman" w:eastAsia="Times New Roman" w:hint="default"/>
        </w:rPr>
        <w:t>9.90%</w:t>
      </w:r>
      <w:r>
        <w:rPr/>
        <w:t>和</w:t>
      </w:r>
      <w:r>
        <w:rPr>
          <w:rFonts w:ascii="Times New Roman" w:hAnsi="Times New Roman" w:cs="Times New Roman" w:eastAsia="Times New Roman" w:hint="default"/>
        </w:rPr>
        <w:t>11.90%</w:t>
      </w:r>
      <w:r>
        <w:rPr/>
        <w:t>；取现业务</w:t>
      </w:r>
      <w:r>
        <w:rPr>
          <w:rFonts w:ascii="Times New Roman" w:hAnsi="Times New Roman" w:cs="Times New Roman" w:eastAsia="Times New Roman" w:hint="default"/>
        </w:rPr>
        <w:t>113.85</w:t>
      </w:r>
      <w:r>
        <w:rPr/>
        <w:t>亿笔，金 </w:t>
      </w:r>
      <w:r>
        <w:rPr>
          <w:spacing w:val="-1"/>
        </w:rPr>
        <w:t>额</w:t>
      </w:r>
      <w:r>
        <w:rPr>
          <w:rFonts w:ascii="Times New Roman" w:hAnsi="Times New Roman" w:cs="Times New Roman" w:eastAsia="Times New Roman" w:hint="default"/>
          <w:spacing w:val="-1"/>
        </w:rPr>
        <w:t>51.65</w:t>
      </w:r>
      <w:r>
        <w:rPr>
          <w:spacing w:val="-1"/>
        </w:rPr>
        <w:t>万亿元，同比分别下降</w:t>
      </w:r>
      <w:r>
        <w:rPr>
          <w:rFonts w:ascii="Times New Roman" w:hAnsi="Times New Roman" w:cs="Times New Roman" w:eastAsia="Times New Roman" w:hint="default"/>
          <w:spacing w:val="-1"/>
        </w:rPr>
        <w:t>19.18%</w:t>
      </w:r>
      <w:r>
        <w:rPr>
          <w:spacing w:val="-1"/>
        </w:rPr>
        <w:t>和</w:t>
      </w:r>
      <w:r>
        <w:rPr>
          <w:rFonts w:ascii="Times New Roman" w:hAnsi="Times New Roman" w:cs="Times New Roman" w:eastAsia="Times New Roman" w:hint="default"/>
          <w:spacing w:val="-1"/>
        </w:rPr>
        <w:t>12.31%</w:t>
      </w:r>
      <w:r>
        <w:rPr>
          <w:spacing w:val="-1"/>
        </w:rPr>
        <w:t>；转账业务</w:t>
      </w:r>
      <w:r>
        <w:rPr>
          <w:rFonts w:ascii="Times New Roman" w:hAnsi="Times New Roman" w:cs="Times New Roman" w:eastAsia="Times New Roman" w:hint="default"/>
          <w:spacing w:val="-1"/>
        </w:rPr>
        <w:t>1447.26</w:t>
      </w:r>
      <w:r>
        <w:rPr>
          <w:spacing w:val="-1"/>
        </w:rPr>
        <w:t>亿笔，金额</w:t>
      </w:r>
      <w:r>
        <w:rPr>
          <w:rFonts w:ascii="Times New Roman" w:hAnsi="Times New Roman" w:cs="Times New Roman" w:eastAsia="Times New Roman" w:hint="default"/>
          <w:spacing w:val="-1"/>
        </w:rPr>
        <w:t>664.71</w:t>
      </w:r>
      <w:r>
        <w:rPr>
          <w:spacing w:val="-1"/>
        </w:rPr>
        <w:t>万亿元，同比分别增长</w:t>
      </w:r>
      <w:r>
        <w:rPr>
          <w:rFonts w:ascii="Times New Roman" w:hAnsi="Times New Roman" w:cs="Times New Roman" w:eastAsia="Times New Roman" w:hint="default"/>
          <w:spacing w:val="-1"/>
        </w:rPr>
        <w:t>60.68%</w:t>
      </w:r>
      <w:r>
        <w:rPr>
          <w:spacing w:val="-1"/>
        </w:rPr>
        <w:t>和</w:t>
      </w:r>
      <w:r>
        <w:rPr>
          <w:rFonts w:ascii="Times New Roman" w:hAnsi="Times New Roman" w:cs="Times New Roman" w:eastAsia="Times New Roman" w:hint="default"/>
          <w:spacing w:val="-1"/>
        </w:rPr>
        <w:t>2.20%</w:t>
      </w:r>
      <w:r>
        <w:rPr>
          <w:spacing w:val="-1"/>
        </w:rPr>
        <w:t>。</w:t>
      </w:r>
      <w:r>
        <w:rPr>
          <w:spacing w:val="-39"/>
        </w:rPr>
        <w:t> </w:t>
      </w:r>
      <w:r>
        <w:rPr/>
        <w:t>消费业务</w:t>
      </w:r>
      <w:r>
        <w:rPr>
          <w:rFonts w:ascii="Times New Roman" w:hAnsi="Times New Roman" w:cs="Times New Roman" w:eastAsia="Times New Roman" w:hint="default"/>
        </w:rPr>
        <w:t>1587.92</w:t>
      </w:r>
      <w:r>
        <w:rPr/>
        <w:t>亿笔，金额</w:t>
      </w:r>
      <w:r>
        <w:rPr>
          <w:rFonts w:ascii="Times New Roman" w:hAnsi="Times New Roman" w:cs="Times New Roman" w:eastAsia="Times New Roman" w:hint="default"/>
        </w:rPr>
        <w:t>117.15</w:t>
      </w:r>
      <w:r>
        <w:rPr/>
        <w:t>万亿元，同比分别增长</w:t>
      </w:r>
      <w:r>
        <w:rPr>
          <w:rFonts w:ascii="Times New Roman" w:hAnsi="Times New Roman" w:cs="Times New Roman" w:eastAsia="Times New Roman" w:hint="default"/>
        </w:rPr>
        <w:t>61.48%</w:t>
      </w:r>
      <w:r>
        <w:rPr/>
        <w:t>和</w:t>
      </w:r>
      <w:r>
        <w:rPr>
          <w:rFonts w:ascii="Times New Roman" w:hAnsi="Times New Roman" w:cs="Times New Roman" w:eastAsia="Times New Roman" w:hint="default"/>
        </w:rPr>
        <w:t>26.30%</w:t>
      </w:r>
      <w:r>
        <w:rPr/>
        <w:t>；全年银行卡渗透率达</w:t>
      </w:r>
      <w:r>
        <w:rPr>
          <w:rFonts w:ascii="Times New Roman" w:hAnsi="Times New Roman" w:cs="Times New Roman" w:eastAsia="Times New Roman" w:hint="default"/>
        </w:rPr>
        <w:t>49.03%</w:t>
      </w:r>
      <w:r>
        <w:rPr/>
        <w:t>，比去年上升</w:t>
      </w:r>
      <w:r>
        <w:rPr>
          <w:rFonts w:ascii="Times New Roman" w:hAnsi="Times New Roman" w:cs="Times New Roman" w:eastAsia="Times New Roman" w:hint="default"/>
        </w:rPr>
        <w:t>0.06</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个百分点。银行卡卡均消费金额达</w:t>
      </w:r>
      <w:r>
        <w:rPr>
          <w:rFonts w:ascii="Times New Roman" w:hAnsi="Times New Roman" w:cs="Times New Roman" w:eastAsia="Times New Roman" w:hint="default"/>
        </w:rPr>
        <w:t>1.39</w:t>
      </w:r>
      <w:r>
        <w:rPr/>
        <w:t>万元，同比增长</w:t>
      </w:r>
      <w:r>
        <w:rPr>
          <w:rFonts w:ascii="Times New Roman" w:hAnsi="Times New Roman" w:cs="Times New Roman" w:eastAsia="Times New Roman" w:hint="default"/>
        </w:rPr>
        <w:t>13.97%</w:t>
      </w:r>
      <w:r>
        <w:rPr/>
        <w:t>；银行卡笔均消费金额</w:t>
      </w:r>
      <w:r>
        <w:rPr>
          <w:rFonts w:ascii="Times New Roman" w:hAnsi="Times New Roman" w:cs="Times New Roman" w:eastAsia="Times New Roman" w:hint="default"/>
        </w:rPr>
        <w:t>737.76</w:t>
      </w:r>
      <w:r>
        <w:rPr/>
        <w:t>元，同比下降</w:t>
      </w:r>
      <w:r>
        <w:rPr>
          <w:rFonts w:ascii="Times New Roman" w:hAnsi="Times New Roman" w:cs="Times New Roman" w:eastAsia="Times New Roman" w:hint="default"/>
        </w:rPr>
        <w:t>21.79%</w:t>
      </w:r>
      <w:r>
        <w:rPr/>
        <w:t>。</w:t>
      </w:r>
    </w:p>
    <w:p>
      <w:pPr>
        <w:pStyle w:val="BodyText"/>
        <w:spacing w:line="458" w:lineRule="auto" w:before="44"/>
        <w:ind w:right="1131" w:firstLine="420"/>
        <w:jc w:val="both"/>
      </w:pPr>
      <w:r>
        <w:rPr/>
        <w:t>上述数据显示，银行卡交易笔数依然保持较高增长速度，其中，与现金相关的存取业务笔数呈现下降趋势，然而转账 和消费业务笔数上升速度较快，体现出电子支付在人们日常生活、衣食住行中进一步的渗透。另外随着互联网移动及</w:t>
      </w:r>
      <w:r>
        <w:rPr>
          <w:rFonts w:ascii="Times New Roman" w:hAnsi="Times New Roman" w:cs="Times New Roman" w:eastAsia="Times New Roman" w:hint="default"/>
        </w:rPr>
        <w:t>AI</w:t>
      </w:r>
      <w:r>
        <w:rPr/>
        <w:t>、</w:t>
      </w:r>
      <w:r>
        <w:rPr>
          <w:spacing w:val="-10"/>
        </w:rPr>
        <w:t> </w:t>
      </w:r>
      <w:r>
        <w:rPr>
          <w:spacing w:val="-2"/>
        </w:rPr>
        <w:t>生物识别等新兴技术在金融领域的应用，</w:t>
      </w:r>
      <w:r>
        <w:rPr>
          <w:rFonts w:ascii="Times New Roman" w:hAnsi="Times New Roman" w:cs="Times New Roman" w:eastAsia="Times New Roman" w:hint="default"/>
          <w:spacing w:val="-2"/>
        </w:rPr>
        <w:t>“</w:t>
      </w:r>
      <w:r>
        <w:rPr>
          <w:spacing w:val="-2"/>
        </w:rPr>
        <w:t>无钱包、无纸币、虚拟化</w:t>
      </w:r>
      <w:r>
        <w:rPr>
          <w:rFonts w:ascii="Times New Roman" w:hAnsi="Times New Roman" w:cs="Times New Roman" w:eastAsia="Times New Roman" w:hint="default"/>
          <w:spacing w:val="-2"/>
        </w:rPr>
        <w:t>”</w:t>
      </w:r>
      <w:r>
        <w:rPr>
          <w:spacing w:val="-2"/>
        </w:rPr>
        <w:t>的支付时代已经到来，电子支付在人们日常消费中结算</w:t>
      </w:r>
      <w:r>
        <w:rPr>
          <w:spacing w:val="-43"/>
        </w:rPr>
        <w:t> </w:t>
      </w:r>
      <w:r>
        <w:rPr>
          <w:spacing w:val="-43"/>
        </w:rPr>
      </w:r>
      <w:r>
        <w:rPr/>
        <w:t>环节的使用也越来越频繁，从根本上颠覆了纸币交易的支付习惯，通过银行柜台或者</w:t>
      </w:r>
      <w:r>
        <w:rPr>
          <w:rFonts w:ascii="Times New Roman" w:hAnsi="Times New Roman" w:cs="Times New Roman" w:eastAsia="Times New Roman" w:hint="default"/>
        </w:rPr>
        <w:t>ATM</w:t>
      </w:r>
      <w:r>
        <w:rPr/>
        <w:t>机进行现金存取的情况也越来越</w:t>
      </w:r>
    </w:p>
    <w:p>
      <w:pPr>
        <w:spacing w:after="0" w:line="45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1"/>
        <w:jc w:val="both"/>
      </w:pPr>
      <w:r>
        <w:rPr>
          <w:spacing w:val="-2"/>
        </w:rPr>
        <w:t>少。近几年随着类似红包与支付相关的互联网产品在人们生活的流行，转账业务变得越来越活跃。另外，银行卡卡均消费金</w:t>
      </w:r>
      <w:r>
        <w:rPr>
          <w:spacing w:val="-64"/>
        </w:rPr>
        <w:t> </w:t>
      </w:r>
      <w:r>
        <w:rPr>
          <w:spacing w:val="-64"/>
        </w:rPr>
      </w:r>
      <w:r>
        <w:rPr/>
        <w:t>额上升、笔均消费金额下降，可以看出电子支付方式在消费中的使用量增长速度快且呈现出小额高频的态势。</w:t>
      </w:r>
    </w:p>
    <w:p>
      <w:pPr>
        <w:pStyle w:val="BodyText"/>
        <w:spacing w:line="240" w:lineRule="auto" w:before="54"/>
        <w:ind w:right="0"/>
        <w:jc w:val="both"/>
      </w:pPr>
      <w:r>
        <w:rPr/>
        <w:t>（</w:t>
      </w:r>
      <w:r>
        <w:rPr>
          <w:rFonts w:ascii="Times New Roman" w:hAnsi="Times New Roman" w:cs="Times New Roman" w:eastAsia="Times New Roman" w:hint="default"/>
        </w:rPr>
        <w:t>4</w:t>
      </w:r>
      <w:r>
        <w:rPr/>
        <w:t>）移动支付业务量增速相对较快</w:t>
      </w:r>
    </w:p>
    <w:p>
      <w:pPr>
        <w:spacing w:line="240" w:lineRule="auto" w:before="9"/>
        <w:rPr>
          <w:rFonts w:ascii="宋体" w:hAnsi="宋体" w:cs="宋体" w:eastAsia="宋体" w:hint="default"/>
          <w:sz w:val="16"/>
          <w:szCs w:val="16"/>
        </w:rPr>
      </w:pPr>
    </w:p>
    <w:p>
      <w:pPr>
        <w:pStyle w:val="BodyText"/>
        <w:spacing w:line="451" w:lineRule="auto"/>
        <w:ind w:right="1023" w:firstLine="420"/>
        <w:jc w:val="left"/>
      </w:pPr>
      <w:r>
        <w:rPr>
          <w:rFonts w:ascii="Times New Roman" w:hAnsi="Times New Roman" w:cs="Times New Roman" w:eastAsia="Times New Roman" w:hint="default"/>
          <w:spacing w:val="-2"/>
        </w:rPr>
        <w:t>2019</w:t>
      </w:r>
      <w:r>
        <w:rPr>
          <w:spacing w:val="-2"/>
        </w:rPr>
        <w:t>年，银行业金融机构共处理电子支付业务（注释：电子支付是指客户通过网上银行、电话银行、手机银行、</w:t>
      </w:r>
      <w:r>
        <w:rPr>
          <w:rFonts w:ascii="Times New Roman" w:hAnsi="Times New Roman" w:cs="Times New Roman" w:eastAsia="Times New Roman" w:hint="default"/>
          <w:spacing w:val="-2"/>
        </w:rPr>
        <w:t>ATM</w:t>
      </w:r>
      <w:r>
        <w:rPr>
          <w:spacing w:val="-2"/>
        </w:rPr>
        <w:t>、</w:t>
      </w:r>
      <w:r>
        <w:rPr/>
        <w:t> </w:t>
      </w:r>
      <w:r>
        <w:rPr>
          <w:rFonts w:ascii="Times New Roman" w:hAnsi="Times New Roman" w:cs="Times New Roman" w:eastAsia="Times New Roman" w:hint="default"/>
        </w:rPr>
        <w:t>POS</w:t>
      </w:r>
      <w:r>
        <w:rPr/>
        <w:t>和其他电子渠道，从结算类账户发起的账务变动类业务笔数和金额。包括网上支付、电话支付、移动支付、</w:t>
      </w:r>
      <w:r>
        <w:rPr>
          <w:rFonts w:ascii="Times New Roman" w:hAnsi="Times New Roman" w:cs="Times New Roman" w:eastAsia="Times New Roman" w:hint="default"/>
        </w:rPr>
        <w:t>ATM</w:t>
      </w:r>
      <w:r>
        <w:rPr/>
        <w:t>业务、 </w:t>
      </w:r>
      <w:r>
        <w:rPr>
          <w:rFonts w:ascii="Times New Roman" w:hAnsi="Times New Roman" w:cs="Times New Roman" w:eastAsia="Times New Roman" w:hint="default"/>
          <w:spacing w:val="-5"/>
        </w:rPr>
        <w:t>POS</w:t>
      </w:r>
      <w:r>
        <w:rPr>
          <w:spacing w:val="-5"/>
        </w:rPr>
        <w:t>业务和其他电子支付等六种业务类型。）</w:t>
      </w:r>
      <w:r>
        <w:rPr>
          <w:rFonts w:ascii="Times New Roman" w:hAnsi="Times New Roman" w:cs="Times New Roman" w:eastAsia="Times New Roman" w:hint="default"/>
          <w:spacing w:val="-5"/>
        </w:rPr>
        <w:t>2233.88</w:t>
      </w:r>
      <w:r>
        <w:rPr>
          <w:spacing w:val="-5"/>
        </w:rPr>
        <w:t>亿笔，金额</w:t>
      </w:r>
      <w:r>
        <w:rPr>
          <w:rFonts w:ascii="Times New Roman" w:hAnsi="Times New Roman" w:cs="Times New Roman" w:eastAsia="Times New Roman" w:hint="default"/>
          <w:spacing w:val="-5"/>
        </w:rPr>
        <w:t>2607.04</w:t>
      </w:r>
      <w:r>
        <w:rPr>
          <w:spacing w:val="-5"/>
        </w:rPr>
        <w:t>万亿元。其中，网上支付业务</w:t>
      </w:r>
      <w:r>
        <w:rPr>
          <w:rFonts w:ascii="Times New Roman" w:hAnsi="Times New Roman" w:cs="Times New Roman" w:eastAsia="Times New Roman" w:hint="default"/>
          <w:spacing w:val="-5"/>
        </w:rPr>
        <w:t>781.85</w:t>
      </w:r>
      <w:r>
        <w:rPr>
          <w:spacing w:val="-5"/>
        </w:rPr>
        <w:t>亿笔，金额</w:t>
      </w:r>
      <w:r>
        <w:rPr>
          <w:rFonts w:ascii="Times New Roman" w:hAnsi="Times New Roman" w:cs="Times New Roman" w:eastAsia="Times New Roman" w:hint="default"/>
          <w:spacing w:val="-5"/>
        </w:rPr>
        <w:t>2134.84</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4"/>
        </w:rPr>
        <w:t>万亿元，同比分别增长</w:t>
      </w:r>
      <w:r>
        <w:rPr>
          <w:rFonts w:ascii="Times New Roman" w:hAnsi="Times New Roman" w:cs="Times New Roman" w:eastAsia="Times New Roman" w:hint="default"/>
          <w:spacing w:val="-4"/>
        </w:rPr>
        <w:t>37.14%</w:t>
      </w:r>
      <w:r>
        <w:rPr>
          <w:spacing w:val="-4"/>
        </w:rPr>
        <w:t>和</w:t>
      </w:r>
      <w:r>
        <w:rPr>
          <w:rFonts w:ascii="Times New Roman" w:hAnsi="Times New Roman" w:cs="Times New Roman" w:eastAsia="Times New Roman" w:hint="default"/>
          <w:spacing w:val="-4"/>
        </w:rPr>
        <w:t>0.40%</w:t>
      </w:r>
      <w:r>
        <w:rPr>
          <w:spacing w:val="-4"/>
        </w:rPr>
        <w:t>；移动支付业务</w:t>
      </w:r>
      <w:r>
        <w:rPr>
          <w:rFonts w:ascii="Times New Roman" w:hAnsi="Times New Roman" w:cs="Times New Roman" w:eastAsia="Times New Roman" w:hint="default"/>
          <w:spacing w:val="-4"/>
        </w:rPr>
        <w:t>1014.31</w:t>
      </w:r>
      <w:r>
        <w:rPr>
          <w:spacing w:val="-4"/>
        </w:rPr>
        <w:t>亿笔，金额</w:t>
      </w:r>
      <w:r>
        <w:rPr>
          <w:rFonts w:ascii="Times New Roman" w:hAnsi="Times New Roman" w:cs="Times New Roman" w:eastAsia="Times New Roman" w:hint="default"/>
          <w:spacing w:val="-4"/>
        </w:rPr>
        <w:t>347.11</w:t>
      </w:r>
      <w:r>
        <w:rPr>
          <w:spacing w:val="-4"/>
        </w:rPr>
        <w:t>万亿元，同比分别增长</w:t>
      </w:r>
      <w:r>
        <w:rPr>
          <w:rFonts w:ascii="Times New Roman" w:hAnsi="Times New Roman" w:cs="Times New Roman" w:eastAsia="Times New Roman" w:hint="default"/>
          <w:spacing w:val="-4"/>
        </w:rPr>
        <w:t>67.57%</w:t>
      </w:r>
      <w:r>
        <w:rPr>
          <w:spacing w:val="-4"/>
        </w:rPr>
        <w:t>和</w:t>
      </w:r>
      <w:r>
        <w:rPr>
          <w:rFonts w:ascii="Times New Roman" w:hAnsi="Times New Roman" w:cs="Times New Roman" w:eastAsia="Times New Roman" w:hint="default"/>
          <w:spacing w:val="-4"/>
        </w:rPr>
        <w:t>25.13%</w:t>
      </w:r>
      <w:r>
        <w:rPr>
          <w:spacing w:val="-4"/>
        </w:rPr>
        <w:t>。</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年，非银行支付机构发生网络支付业务</w:t>
      </w:r>
      <w:r>
        <w:rPr>
          <w:rFonts w:ascii="Times New Roman" w:hAnsi="Times New Roman" w:cs="Times New Roman" w:eastAsia="Times New Roman" w:hint="default"/>
        </w:rPr>
        <w:t>7199.98</w:t>
      </w:r>
      <w:r>
        <w:rPr/>
        <w:t>亿笔，金额</w:t>
      </w:r>
      <w:r>
        <w:rPr>
          <w:rFonts w:ascii="Times New Roman" w:hAnsi="Times New Roman" w:cs="Times New Roman" w:eastAsia="Times New Roman" w:hint="default"/>
        </w:rPr>
        <w:t>249.88</w:t>
      </w:r>
      <w:r>
        <w:rPr/>
        <w:t>万亿元，同比分别增长</w:t>
      </w:r>
      <w:r>
        <w:rPr>
          <w:rFonts w:ascii="Times New Roman" w:hAnsi="Times New Roman" w:cs="Times New Roman" w:eastAsia="Times New Roman" w:hint="default"/>
        </w:rPr>
        <w:t>35.69%</w:t>
      </w:r>
      <w:r>
        <w:rPr/>
        <w:t>和</w:t>
      </w:r>
      <w:r>
        <w:rPr>
          <w:rFonts w:ascii="Times New Roman" w:hAnsi="Times New Roman" w:cs="Times New Roman" w:eastAsia="Times New Roman" w:hint="default"/>
        </w:rPr>
        <w:t>20.10%</w:t>
      </w:r>
      <w:r>
        <w:rPr/>
        <w:t>。</w:t>
      </w:r>
    </w:p>
    <w:p>
      <w:pPr>
        <w:pStyle w:val="BodyText"/>
        <w:spacing w:line="463" w:lineRule="auto" w:before="43"/>
        <w:ind w:right="1128" w:firstLine="420"/>
        <w:jc w:val="both"/>
      </w:pPr>
      <w:r>
        <w:rPr/>
        <w:t>上述数据显示，</w:t>
      </w:r>
      <w:r>
        <w:rPr>
          <w:rFonts w:ascii="Times New Roman" w:hAnsi="Times New Roman" w:cs="Times New Roman" w:eastAsia="Times New Roman" w:hint="default"/>
        </w:rPr>
        <w:t>2019</w:t>
      </w:r>
      <w:r>
        <w:rPr/>
        <w:t>年全年移动支付交易笔数和交易金额增长速度明显，这说明随着人们生活习惯的改变以及相应消 </w:t>
      </w:r>
      <w:r>
        <w:rPr>
          <w:spacing w:val="-2"/>
        </w:rPr>
        <w:t>费场景的转移，移动支付因其便捷性和安全性逐渐普及，承载着码付及闪付等多样化的移动支付模式，不仅带来消费便捷性</w:t>
      </w:r>
      <w:r>
        <w:rPr>
          <w:spacing w:val="-63"/>
        </w:rPr>
        <w:t> </w:t>
      </w:r>
      <w:r>
        <w:rPr>
          <w:spacing w:val="-63"/>
        </w:rPr>
      </w:r>
      <w:r>
        <w:rPr>
          <w:spacing w:val="-2"/>
        </w:rPr>
        <w:t>的升级，同时也催生出新的经济形态。</w:t>
      </w:r>
      <w:r>
        <w:rPr>
          <w:rFonts w:ascii="Times New Roman" w:hAnsi="Times New Roman" w:cs="Times New Roman" w:eastAsia="Times New Roman" w:hint="default"/>
          <w:spacing w:val="-2"/>
        </w:rPr>
        <w:t>2019</w:t>
      </w:r>
      <w:r>
        <w:rPr>
          <w:spacing w:val="-2"/>
        </w:rPr>
        <w:t>年移动支付笔数与网上支付笔数的差距逐渐缩小并实现反超，移动支付业务量增</w:t>
      </w:r>
      <w:r>
        <w:rPr>
          <w:spacing w:val="-59"/>
        </w:rPr>
        <w:t> </w:t>
      </w:r>
      <w:r>
        <w:rPr>
          <w:spacing w:val="-59"/>
        </w:rPr>
      </w:r>
      <w:r>
        <w:rPr>
          <w:spacing w:val="-2"/>
        </w:rPr>
        <w:t>速仍然相对较快，反映出移动支付的渗透率和用户粘性不断增长，移动支付笔数和金额同步增长，并且笔数增幅要远高于金</w:t>
      </w:r>
      <w:r>
        <w:rPr>
          <w:spacing w:val="-63"/>
        </w:rPr>
        <w:t> </w:t>
      </w:r>
      <w:r>
        <w:rPr>
          <w:spacing w:val="-63"/>
        </w:rPr>
      </w:r>
      <w:r>
        <w:rPr/>
        <w:t>额，说明线下小额移动支付场景拓宽，小额分散化趋势明显。</w:t>
      </w:r>
    </w:p>
    <w:p>
      <w:pPr>
        <w:pStyle w:val="BodyText"/>
        <w:spacing w:line="240" w:lineRule="auto" w:before="65"/>
        <w:ind w:right="0"/>
        <w:jc w:val="both"/>
      </w:pPr>
      <w:r>
        <w:rPr/>
        <w:t>（</w:t>
      </w:r>
      <w:r>
        <w:rPr>
          <w:rFonts w:ascii="Times New Roman" w:hAnsi="Times New Roman" w:cs="Times New Roman" w:eastAsia="Times New Roman" w:hint="default"/>
        </w:rPr>
        <w:t>5</w:t>
      </w:r>
      <w:r>
        <w:rPr/>
        <w:t>）人民币跨境支付系统业务量持续增长</w:t>
      </w:r>
    </w:p>
    <w:p>
      <w:pPr>
        <w:spacing w:line="240" w:lineRule="auto" w:before="9"/>
        <w:rPr>
          <w:rFonts w:ascii="宋体" w:hAnsi="宋体" w:cs="宋体" w:eastAsia="宋体" w:hint="default"/>
          <w:sz w:val="16"/>
          <w:szCs w:val="16"/>
        </w:rPr>
      </w:pPr>
    </w:p>
    <w:p>
      <w:pPr>
        <w:pStyle w:val="BodyText"/>
        <w:spacing w:line="240" w:lineRule="auto"/>
        <w:ind w:left="573" w:right="1033"/>
        <w:jc w:val="left"/>
      </w:pPr>
      <w:r>
        <w:rPr>
          <w:rFonts w:ascii="Times New Roman" w:hAnsi="Times New Roman" w:cs="Times New Roman" w:eastAsia="Times New Roman" w:hint="default"/>
        </w:rPr>
        <w:t>2019</w:t>
      </w:r>
      <w:r>
        <w:rPr/>
        <w:t>年，人民币跨境支付系统处理业务</w:t>
      </w:r>
      <w:r>
        <w:rPr>
          <w:rFonts w:ascii="Times New Roman" w:hAnsi="Times New Roman" w:cs="Times New Roman" w:eastAsia="Times New Roman" w:hint="default"/>
        </w:rPr>
        <w:t>188.43</w:t>
      </w:r>
      <w:r>
        <w:rPr/>
        <w:t>万笔，金额</w:t>
      </w:r>
      <w:r>
        <w:rPr>
          <w:rFonts w:ascii="Times New Roman" w:hAnsi="Times New Roman" w:cs="Times New Roman" w:eastAsia="Times New Roman" w:hint="default"/>
        </w:rPr>
        <w:t>33.93</w:t>
      </w:r>
      <w:r>
        <w:rPr/>
        <w:t>万亿元，同比分别增长</w:t>
      </w:r>
      <w:r>
        <w:rPr>
          <w:rFonts w:ascii="Times New Roman" w:hAnsi="Times New Roman" w:cs="Times New Roman" w:eastAsia="Times New Roman" w:hint="default"/>
        </w:rPr>
        <w:t>30.64%</w:t>
      </w:r>
      <w:r>
        <w:rPr/>
        <w:t>和</w:t>
      </w:r>
      <w:r>
        <w:rPr>
          <w:rFonts w:ascii="Times New Roman" w:hAnsi="Times New Roman" w:cs="Times New Roman" w:eastAsia="Times New Roman" w:hint="default"/>
        </w:rPr>
        <w:t>28.28%</w:t>
      </w:r>
      <w:r>
        <w:rPr/>
        <w:t>。日均处理业务</w:t>
      </w:r>
    </w:p>
    <w:p>
      <w:pPr>
        <w:spacing w:line="240" w:lineRule="auto" w:before="9"/>
        <w:rPr>
          <w:rFonts w:ascii="宋体" w:hAnsi="宋体" w:cs="宋体" w:eastAsia="宋体" w:hint="default"/>
          <w:sz w:val="16"/>
          <w:szCs w:val="16"/>
        </w:rPr>
      </w:pPr>
    </w:p>
    <w:p>
      <w:pPr>
        <w:pStyle w:val="BodyText"/>
        <w:spacing w:line="463" w:lineRule="auto"/>
        <w:ind w:right="1129"/>
        <w:jc w:val="both"/>
      </w:pPr>
      <w:r>
        <w:rPr>
          <w:rFonts w:ascii="Times New Roman" w:hAnsi="Times New Roman" w:cs="Times New Roman" w:eastAsia="Times New Roman" w:hint="default"/>
          <w:spacing w:val="-1"/>
        </w:rPr>
        <w:t>7537.15</w:t>
      </w:r>
      <w:r>
        <w:rPr>
          <w:spacing w:val="-1"/>
        </w:rPr>
        <w:t>笔，金额</w:t>
      </w:r>
      <w:r>
        <w:rPr>
          <w:rFonts w:ascii="Times New Roman" w:hAnsi="Times New Roman" w:cs="Times New Roman" w:eastAsia="Times New Roman" w:hint="default"/>
          <w:spacing w:val="-1"/>
        </w:rPr>
        <w:t>1357.02</w:t>
      </w:r>
      <w:r>
        <w:rPr>
          <w:spacing w:val="-1"/>
        </w:rPr>
        <w:t>亿元。人民币跨境支付系统由中国人民银行组织建设</w:t>
      </w:r>
      <w:r>
        <w:rPr>
          <w:rFonts w:ascii="Times New Roman" w:hAnsi="Times New Roman" w:cs="Times New Roman" w:eastAsia="Times New Roman" w:hint="default"/>
          <w:spacing w:val="-1"/>
        </w:rPr>
        <w:t>,</w:t>
      </w:r>
      <w:r>
        <w:rPr>
          <w:spacing w:val="-1"/>
        </w:rPr>
        <w:t>是为全球金融机构人民币跨境和离岸业务提供</w:t>
      </w:r>
      <w:r>
        <w:rPr>
          <w:spacing w:val="-71"/>
        </w:rPr>
        <w:t> </w:t>
      </w:r>
      <w:r>
        <w:rPr>
          <w:spacing w:val="-2"/>
        </w:rPr>
        <w:t>资金清算、结算服务的清算系统，对支付结算效率的提高与安全保障等各个方面提供了重要支撑。随着人民币国际化之路的</w:t>
      </w:r>
      <w:r>
        <w:rPr>
          <w:spacing w:val="-62"/>
        </w:rPr>
        <w:t> </w:t>
      </w:r>
      <w:r>
        <w:rPr>
          <w:spacing w:val="-62"/>
        </w:rPr>
      </w:r>
      <w:r>
        <w:rPr/>
        <w:t>进程，国际商贸及出行的频率增长，跨境人民币的流动和使用需求旺盛，跨境支付市场仍在高速发展。</w:t>
      </w:r>
    </w:p>
    <w:p>
      <w:pPr>
        <w:pStyle w:val="BodyText"/>
        <w:spacing w:line="451" w:lineRule="auto" w:before="65"/>
        <w:ind w:left="573" w:right="1108" w:hanging="420"/>
        <w:jc w:val="left"/>
      </w:pPr>
      <w:r>
        <w:rPr/>
        <w:t>（</w:t>
      </w:r>
      <w:r>
        <w:rPr>
          <w:rFonts w:ascii="Times New Roman" w:hAnsi="Times New Roman" w:cs="Times New Roman" w:eastAsia="Times New Roman" w:hint="default"/>
        </w:rPr>
        <w:t>6</w:t>
      </w:r>
      <w:r>
        <w:rPr/>
        <w:t>）网联清算平台运行平稳 截至</w:t>
      </w:r>
      <w:r>
        <w:rPr>
          <w:rFonts w:ascii="Times New Roman" w:hAnsi="Times New Roman" w:cs="Times New Roman" w:eastAsia="Times New Roman" w:hint="default"/>
        </w:rPr>
        <w:t>2019</w:t>
      </w:r>
      <w:r>
        <w:rPr/>
        <w:t>年末，共有</w:t>
      </w:r>
      <w:r>
        <w:rPr>
          <w:rFonts w:ascii="Times New Roman" w:hAnsi="Times New Roman" w:cs="Times New Roman" w:eastAsia="Times New Roman" w:hint="default"/>
        </w:rPr>
        <w:t>534</w:t>
      </w:r>
      <w:r>
        <w:rPr/>
        <w:t>家商业银行和</w:t>
      </w:r>
      <w:r>
        <w:rPr>
          <w:rFonts w:ascii="Times New Roman" w:hAnsi="Times New Roman" w:cs="Times New Roman" w:eastAsia="Times New Roman" w:hint="default"/>
        </w:rPr>
        <w:t>115</w:t>
      </w:r>
      <w:r>
        <w:rPr/>
        <w:t>家支付机构接入网联平台。</w:t>
      </w:r>
      <w:r>
        <w:rPr>
          <w:rFonts w:ascii="Times New Roman" w:hAnsi="Times New Roman" w:cs="Times New Roman" w:eastAsia="Times New Roman" w:hint="default"/>
        </w:rPr>
        <w:t>2019</w:t>
      </w:r>
      <w:r>
        <w:rPr/>
        <w:t>年，网联清算平台处理业务</w:t>
      </w:r>
      <w:r>
        <w:rPr>
          <w:rFonts w:ascii="Times New Roman" w:hAnsi="Times New Roman" w:cs="Times New Roman" w:eastAsia="Times New Roman" w:hint="default"/>
        </w:rPr>
        <w:t>3975.42</w:t>
      </w:r>
      <w:r>
        <w:rPr/>
        <w:t>亿笔，金</w:t>
      </w:r>
    </w:p>
    <w:p>
      <w:pPr>
        <w:pStyle w:val="BodyText"/>
        <w:spacing w:line="468" w:lineRule="auto" w:before="44"/>
        <w:ind w:right="1033"/>
        <w:jc w:val="left"/>
      </w:pPr>
      <w:r>
        <w:rPr/>
        <w:t>额</w:t>
      </w:r>
      <w:r>
        <w:rPr>
          <w:rFonts w:ascii="Times New Roman" w:hAnsi="Times New Roman" w:cs="Times New Roman" w:eastAsia="Times New Roman" w:hint="default"/>
        </w:rPr>
        <w:t>259.84</w:t>
      </w:r>
      <w:r>
        <w:rPr/>
        <w:t>万亿元。日均处理业务</w:t>
      </w:r>
      <w:r>
        <w:rPr>
          <w:rFonts w:ascii="Times New Roman" w:hAnsi="Times New Roman" w:cs="Times New Roman" w:eastAsia="Times New Roman" w:hint="default"/>
        </w:rPr>
        <w:t>10.89</w:t>
      </w:r>
      <w:r>
        <w:rPr/>
        <w:t>亿笔，金额</w:t>
      </w:r>
      <w:r>
        <w:rPr>
          <w:rFonts w:ascii="Times New Roman" w:hAnsi="Times New Roman" w:cs="Times New Roman" w:eastAsia="Times New Roman" w:hint="default"/>
        </w:rPr>
        <w:t>7118.97</w:t>
      </w:r>
      <w:r>
        <w:rPr/>
        <w:t>亿元。网联平台可以帮助第三方支付机构接入所有银行的接口，有</w:t>
      </w:r>
      <w:r>
        <w:rPr>
          <w:spacing w:val="-48"/>
        </w:rPr>
        <w:t> </w:t>
      </w:r>
      <w:r>
        <w:rPr>
          <w:spacing w:val="-48"/>
        </w:rPr>
      </w:r>
      <w:r>
        <w:rPr>
          <w:spacing w:val="-2"/>
        </w:rPr>
        <w:t>助于第三方支付市场持续稳定地发展以及打造更加健康的支付行业生态，所有第三方支付机构将在更加公平的竞争环境里将</w:t>
      </w:r>
      <w:r>
        <w:rPr>
          <w:spacing w:val="-63"/>
        </w:rPr>
        <w:t> </w:t>
      </w:r>
      <w:r>
        <w:rPr>
          <w:spacing w:val="-63"/>
        </w:rPr>
      </w:r>
      <w:r>
        <w:rPr/>
        <w:t>重心回归支付业务和相关增值服务，更注重可持续地发展核心竞争力，改善用户体验，提升支付效率。 </w:t>
      </w:r>
      <w:r>
        <w:rPr>
          <w:rFonts w:ascii="Times New Roman" w:hAnsi="Times New Roman" w:cs="Times New Roman" w:eastAsia="Times New Roman" w:hint="default"/>
        </w:rPr>
        <w:t>3</w:t>
      </w:r>
      <w:r>
        <w:rPr/>
        <w:t>、电子支付产业发展趋势</w:t>
      </w:r>
    </w:p>
    <w:p>
      <w:pPr>
        <w:pStyle w:val="BodyText"/>
        <w:spacing w:line="451" w:lineRule="auto" w:before="29"/>
        <w:ind w:left="573" w:right="1033"/>
        <w:jc w:val="left"/>
      </w:pPr>
      <w:r>
        <w:rPr/>
        <w:t>（</w:t>
      </w:r>
      <w:r>
        <w:rPr>
          <w:rFonts w:ascii="Times New Roman" w:hAnsi="Times New Roman" w:cs="Times New Roman" w:eastAsia="Times New Roman" w:hint="default"/>
        </w:rPr>
        <w:t>1</w:t>
      </w:r>
      <w:r>
        <w:rPr/>
        <w:t>）发展中国家市场是推动无现金支付的主动力 近年来，全球无现金支付（包含银行卡支付及移动支付等）取得高速发展。美国波士顿咨询公司在</w:t>
      </w:r>
      <w:r>
        <w:rPr>
          <w:rFonts w:ascii="Times New Roman" w:hAnsi="Times New Roman" w:cs="Times New Roman" w:eastAsia="Times New Roman" w:hint="default"/>
        </w:rPr>
        <w:t>2018</w:t>
      </w:r>
      <w:r>
        <w:rPr/>
        <w:t>年初发布的研</w:t>
      </w:r>
    </w:p>
    <w:p>
      <w:pPr>
        <w:pStyle w:val="BodyText"/>
        <w:spacing w:line="451" w:lineRule="auto" w:before="44"/>
        <w:ind w:right="1128"/>
        <w:jc w:val="both"/>
        <w:rPr>
          <w:rFonts w:ascii="Times New Roman" w:hAnsi="Times New Roman" w:cs="Times New Roman" w:eastAsia="Times New Roman" w:hint="default"/>
        </w:rPr>
      </w:pPr>
      <w:r>
        <w:rPr>
          <w:spacing w:val="-2"/>
        </w:rPr>
        <w:t>究成果认为，全球支付行业的发展在过去两年中已形成分水岭，预计到</w:t>
      </w:r>
      <w:r>
        <w:rPr>
          <w:rFonts w:ascii="Times New Roman" w:hAnsi="Times New Roman" w:cs="Times New Roman" w:eastAsia="Times New Roman" w:hint="default"/>
          <w:spacing w:val="-2"/>
        </w:rPr>
        <w:t>2020</w:t>
      </w:r>
      <w:r>
        <w:rPr>
          <w:spacing w:val="-2"/>
        </w:rPr>
        <w:t>年，以电子支付为代表的无现金支付方式将占全</w:t>
      </w:r>
      <w:r>
        <w:rPr>
          <w:spacing w:val="-63"/>
        </w:rPr>
        <w:t> </w:t>
      </w:r>
      <w:r>
        <w:rPr>
          <w:spacing w:val="-63"/>
        </w:rPr>
      </w:r>
      <w:r>
        <w:rPr/>
        <w:t>球交易总规模的</w:t>
      </w:r>
      <w:r>
        <w:rPr>
          <w:rFonts w:ascii="Times New Roman" w:hAnsi="Times New Roman" w:cs="Times New Roman" w:eastAsia="Times New Roman" w:hint="default"/>
        </w:rPr>
        <w:t>20%</w:t>
      </w:r>
      <w:r>
        <w:rPr/>
        <w:t>。根据凯捷咨询与巴黎银行编制发布的《</w:t>
      </w:r>
      <w:r>
        <w:rPr>
          <w:rFonts w:ascii="Times New Roman" w:hAnsi="Times New Roman" w:cs="Times New Roman" w:eastAsia="Times New Roman" w:hint="default"/>
        </w:rPr>
        <w:t>2018</w:t>
      </w:r>
      <w:r>
        <w:rPr/>
        <w:t>年全球支付报告》的预测，</w:t>
      </w:r>
      <w:r>
        <w:rPr>
          <w:rFonts w:ascii="Times New Roman" w:hAnsi="Times New Roman" w:cs="Times New Roman" w:eastAsia="Times New Roman" w:hint="default"/>
        </w:rPr>
        <w:t>2018-2021</w:t>
      </w:r>
      <w:r>
        <w:rPr/>
        <w:t>年全球无现金交易</w:t>
      </w:r>
      <w:r>
        <w:rPr>
          <w:spacing w:val="-35"/>
        </w:rPr>
        <w:t> </w:t>
      </w:r>
      <w:r>
        <w:rPr>
          <w:spacing w:val="-35"/>
        </w:rPr>
      </w:r>
      <w:r>
        <w:rPr>
          <w:spacing w:val="-1"/>
        </w:rPr>
        <w:t>量年复合增长率为</w:t>
      </w:r>
      <w:r>
        <w:rPr>
          <w:rFonts w:ascii="Times New Roman" w:hAnsi="Times New Roman" w:cs="Times New Roman" w:eastAsia="Times New Roman" w:hint="default"/>
          <w:spacing w:val="-1"/>
        </w:rPr>
        <w:t>13%</w:t>
      </w:r>
      <w:r>
        <w:rPr>
          <w:spacing w:val="-1"/>
        </w:rPr>
        <w:t>，</w:t>
      </w:r>
      <w:r>
        <w:rPr>
          <w:rFonts w:ascii="Times New Roman" w:hAnsi="Times New Roman" w:cs="Times New Roman" w:eastAsia="Times New Roman" w:hint="default"/>
          <w:spacing w:val="-1"/>
        </w:rPr>
        <w:t>2021</w:t>
      </w:r>
      <w:r>
        <w:rPr>
          <w:spacing w:val="-1"/>
        </w:rPr>
        <w:t>年将达到近</w:t>
      </w:r>
      <w:r>
        <w:rPr>
          <w:rFonts w:ascii="Times New Roman" w:hAnsi="Times New Roman" w:cs="Times New Roman" w:eastAsia="Times New Roman" w:hint="default"/>
          <w:spacing w:val="-1"/>
        </w:rPr>
        <w:t>8,764</w:t>
      </w:r>
      <w:r>
        <w:rPr>
          <w:spacing w:val="-1"/>
        </w:rPr>
        <w:t>亿笔。报告显示，发展中国家市场增速为</w:t>
      </w:r>
      <w:r>
        <w:rPr>
          <w:rFonts w:ascii="Times New Roman" w:hAnsi="Times New Roman" w:cs="Times New Roman" w:eastAsia="Times New Roman" w:hint="default"/>
          <w:spacing w:val="-1"/>
        </w:rPr>
        <w:t>16.5%</w:t>
      </w:r>
      <w:r>
        <w:rPr>
          <w:spacing w:val="-1"/>
        </w:rPr>
        <w:t>，已成为主要增长力量，其中</w:t>
      </w:r>
      <w:r>
        <w:rPr>
          <w:spacing w:val="-56"/>
        </w:rPr>
        <w:t> </w:t>
      </w:r>
      <w:r>
        <w:rPr>
          <w:spacing w:val="-56"/>
        </w:rPr>
      </w:r>
      <w:r>
        <w:rPr>
          <w:spacing w:val="-3"/>
        </w:rPr>
        <w:t>中国的年复合增长率达到</w:t>
      </w:r>
      <w:r>
        <w:rPr>
          <w:rFonts w:ascii="Times New Roman" w:hAnsi="Times New Roman" w:cs="Times New Roman" w:eastAsia="Times New Roman" w:hint="default"/>
          <w:spacing w:val="-3"/>
        </w:rPr>
        <w:t>25.8%</w:t>
      </w:r>
      <w:r>
        <w:rPr>
          <w:spacing w:val="-3"/>
        </w:rPr>
        <w:t>，而成熟市场的增长速度则保持在</w:t>
      </w:r>
      <w:r>
        <w:rPr>
          <w:rFonts w:ascii="Times New Roman" w:hAnsi="Times New Roman" w:cs="Times New Roman" w:eastAsia="Times New Roman" w:hint="default"/>
          <w:spacing w:val="-3"/>
        </w:rPr>
        <w:t>7%</w:t>
      </w:r>
      <w:r>
        <w:rPr>
          <w:spacing w:val="-3"/>
        </w:rPr>
        <w:t>左右。在统计期内的无现金支付总次数方面，中国以</w:t>
      </w:r>
      <w:r>
        <w:rPr>
          <w:rFonts w:ascii="Times New Roman" w:hAnsi="Times New Roman" w:cs="Times New Roman" w:eastAsia="Times New Roman" w:hint="default"/>
          <w:spacing w:val="-3"/>
        </w:rPr>
        <w:t>480</w:t>
      </w:r>
      <w:r>
        <w:rPr>
          <w:rFonts w:ascii="Times New Roman" w:hAnsi="Times New Roman" w:cs="Times New Roman" w:eastAsia="Times New Roman" w:hint="default"/>
        </w:rPr>
      </w:r>
    </w:p>
    <w:p>
      <w:pPr>
        <w:spacing w:after="0" w:line="451" w:lineRule="auto"/>
        <w:jc w:val="both"/>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451" w:lineRule="auto" w:before="44"/>
        <w:ind w:right="1078"/>
        <w:jc w:val="both"/>
      </w:pPr>
      <w:r>
        <w:rPr/>
        <w:t>亿次位居全球第三，仅次于美国及欧元区（</w:t>
      </w:r>
      <w:r>
        <w:rPr>
          <w:rFonts w:ascii="Times New Roman" w:hAnsi="Times New Roman" w:cs="Times New Roman" w:eastAsia="Times New Roman" w:hint="default"/>
        </w:rPr>
        <w:t>Eurozone</w:t>
      </w:r>
      <w:r>
        <w:rPr/>
        <w:t>）。在</w:t>
      </w:r>
      <w:r>
        <w:rPr>
          <w:rFonts w:ascii="Times New Roman" w:hAnsi="Times New Roman" w:cs="Times New Roman" w:eastAsia="Times New Roman" w:hint="default"/>
        </w:rPr>
        <w:t>2021</w:t>
      </w:r>
      <w:r>
        <w:rPr/>
        <w:t>年前，中国的无现金支付总量将超越美国，成为全球第一。 以上数据表明，中国的无现金支付仍处于高速发展时期，并且还有较大的增长空间。</w:t>
      </w:r>
    </w:p>
    <w:p>
      <w:pPr>
        <w:pStyle w:val="BodyText"/>
        <w:spacing w:line="240" w:lineRule="auto" w:before="74"/>
        <w:ind w:right="0"/>
        <w:jc w:val="both"/>
      </w:pPr>
      <w:r>
        <w:rPr/>
        <w:t>（</w:t>
      </w:r>
      <w:r>
        <w:rPr>
          <w:rFonts w:ascii="Times New Roman" w:hAnsi="Times New Roman" w:cs="Times New Roman" w:eastAsia="Times New Roman" w:hint="default"/>
        </w:rPr>
        <w:t>2</w:t>
      </w:r>
      <w:r>
        <w:rPr/>
        <w:t>）智能支付终端促进支付融合，存量终端升级改造市场巨大</w:t>
      </w:r>
    </w:p>
    <w:p>
      <w:pPr>
        <w:spacing w:line="240" w:lineRule="auto" w:before="9"/>
        <w:rPr>
          <w:rFonts w:ascii="宋体" w:hAnsi="宋体" w:cs="宋体" w:eastAsia="宋体" w:hint="default"/>
          <w:sz w:val="16"/>
          <w:szCs w:val="16"/>
        </w:rPr>
      </w:pPr>
    </w:p>
    <w:p>
      <w:pPr>
        <w:pStyle w:val="BodyText"/>
        <w:spacing w:line="465" w:lineRule="auto"/>
        <w:ind w:right="1033" w:firstLine="420"/>
        <w:jc w:val="left"/>
      </w:pPr>
      <w:r>
        <w:rPr>
          <w:rFonts w:ascii="Times New Roman" w:hAnsi="Times New Roman" w:cs="Times New Roman" w:eastAsia="Times New Roman" w:hint="default"/>
        </w:rPr>
        <w:t>2020</w:t>
      </w:r>
      <w:r>
        <w:rPr/>
        <w:t>年受疫情影响，人员流动降低到冰点，无人零售、自助收银及</w:t>
      </w:r>
      <w:r>
        <w:rPr>
          <w:rFonts w:ascii="Times New Roman" w:hAnsi="Times New Roman" w:cs="Times New Roman" w:eastAsia="Times New Roman" w:hint="default"/>
        </w:rPr>
        <w:t>“</w:t>
      </w:r>
      <w:r>
        <w:rPr/>
        <w:t>无接触</w:t>
      </w:r>
      <w:r>
        <w:rPr>
          <w:rFonts w:ascii="Times New Roman" w:hAnsi="Times New Roman" w:cs="Times New Roman" w:eastAsia="Times New Roman" w:hint="default"/>
        </w:rPr>
        <w:t>”</w:t>
      </w:r>
      <w:r>
        <w:rPr/>
        <w:t>支付成为新需求，线上线下互相融合的支 付方式已成趋势。智能支付终端作为线下商户数字化运营的载体，展现了其融合支付及多样化的</w:t>
      </w:r>
      <w:r>
        <w:rPr>
          <w:rFonts w:ascii="Times New Roman" w:hAnsi="Times New Roman" w:cs="Times New Roman" w:eastAsia="Times New Roman" w:hint="default"/>
        </w:rPr>
        <w:t>APP</w:t>
      </w:r>
      <w:r>
        <w:rPr/>
        <w:t>应用与场景结合的明细 </w:t>
      </w:r>
      <w:r>
        <w:rPr>
          <w:spacing w:val="-2"/>
        </w:rPr>
        <w:t>优势。智能支付终端是在传统支付终端的基础上的升级换代，当原本仅用于收单的传统支付终端升级为智能支付终端后，可</w:t>
      </w:r>
      <w:r>
        <w:rPr>
          <w:spacing w:val="-63"/>
        </w:rPr>
        <w:t> </w:t>
      </w:r>
      <w:r>
        <w:rPr>
          <w:spacing w:val="-63"/>
        </w:rPr>
      </w:r>
      <w:r>
        <w:rPr>
          <w:spacing w:val="-2"/>
        </w:rPr>
        <w:t>同时满足银行卡账户与移动支付账户的支付需求。智能支付终端丰富的产品形态，能满足多维度及不同规模的商户需求，成</w:t>
      </w:r>
      <w:r>
        <w:rPr>
          <w:spacing w:val="-63"/>
        </w:rPr>
        <w:t> </w:t>
      </w:r>
      <w:r>
        <w:rPr>
          <w:spacing w:val="-63"/>
        </w:rPr>
      </w:r>
      <w:r>
        <w:rPr>
          <w:spacing w:val="-2"/>
        </w:rPr>
        <w:t>为移动支付线下扩张中的良好助力，并为银行卡收单业务带来了新的机会，使收单业务与移动支付高度融合，并形成相互促</w:t>
      </w:r>
      <w:r>
        <w:rPr>
          <w:spacing w:val="-62"/>
        </w:rPr>
        <w:t> </w:t>
      </w:r>
      <w:r>
        <w:rPr>
          <w:spacing w:val="-62"/>
        </w:rPr>
      </w:r>
      <w:r>
        <w:rPr/>
        <w:t>进的态势。智能支付终端不仅整合兼容各种支付方式，并且已经升级成为集</w:t>
      </w:r>
      <w:r>
        <w:rPr>
          <w:rFonts w:ascii="Times New Roman" w:hAnsi="Times New Roman" w:cs="Times New Roman" w:eastAsia="Times New Roman" w:hint="default"/>
        </w:rPr>
        <w:t>“</w:t>
      </w:r>
      <w:r>
        <w:rPr/>
        <w:t>支付入口</w:t>
      </w:r>
      <w:r>
        <w:rPr>
          <w:rFonts w:ascii="Times New Roman" w:hAnsi="Times New Roman" w:cs="Times New Roman" w:eastAsia="Times New Roman" w:hint="default"/>
        </w:rPr>
        <w:t>+</w:t>
      </w:r>
      <w:r>
        <w:rPr/>
        <w:t>数据中心</w:t>
      </w:r>
      <w:r>
        <w:rPr>
          <w:rFonts w:ascii="Times New Roman" w:hAnsi="Times New Roman" w:cs="Times New Roman" w:eastAsia="Times New Roman" w:hint="default"/>
        </w:rPr>
        <w:t>+</w:t>
      </w:r>
      <w:r>
        <w:rPr/>
        <w:t>营销管理平台</w:t>
      </w:r>
      <w:r>
        <w:rPr>
          <w:rFonts w:ascii="Times New Roman" w:hAnsi="Times New Roman" w:cs="Times New Roman" w:eastAsia="Times New Roman" w:hint="default"/>
        </w:rPr>
        <w:t>+</w:t>
      </w:r>
      <w:r>
        <w:rPr/>
        <w:t>金融服务</w:t>
      </w:r>
      <w:r>
        <w:rPr>
          <w:spacing w:val="-24"/>
        </w:rPr>
        <w:t> </w:t>
      </w:r>
      <w:r>
        <w:rPr>
          <w:spacing w:val="-24"/>
        </w:rPr>
      </w:r>
      <w:r>
        <w:rPr/>
        <w:t>平台</w:t>
      </w:r>
      <w:r>
        <w:rPr>
          <w:rFonts w:ascii="Times New Roman" w:hAnsi="Times New Roman" w:cs="Times New Roman" w:eastAsia="Times New Roman" w:hint="default"/>
        </w:rPr>
        <w:t>”</w:t>
      </w:r>
      <w:r>
        <w:rPr/>
        <w:t>为一体的综合性管理平台，成为新的商业角色。在</w:t>
      </w:r>
      <w:r>
        <w:rPr>
          <w:rFonts w:ascii="Times New Roman" w:hAnsi="Times New Roman" w:cs="Times New Roman" w:eastAsia="Times New Roman" w:hint="default"/>
        </w:rPr>
        <w:t>5G</w:t>
      </w:r>
      <w:r>
        <w:rPr/>
        <w:t>高速发展的时代，主流支付终端生厂商持续加大对数字化及智能 </w:t>
      </w:r>
      <w:r>
        <w:rPr>
          <w:spacing w:val="-2"/>
        </w:rPr>
        <w:t>化程度更高的支付工具的研发投入，尝试将传统支付设备与二维码支付技术相结合，通过具备物联网能力以及人工智能语音</w:t>
      </w:r>
      <w:r>
        <w:rPr>
          <w:spacing w:val="-64"/>
        </w:rPr>
        <w:t> </w:t>
      </w:r>
      <w:r>
        <w:rPr>
          <w:spacing w:val="-64"/>
        </w:rPr>
      </w:r>
      <w:r>
        <w:rPr>
          <w:spacing w:val="2"/>
        </w:rPr>
        <w:t>提示功能的创新型智能支付产品，为用户及商户带来高度自助化的服务以及更好的体验。未来智能支付产品迭代传统</w:t>
      </w:r>
      <w:r>
        <w:rPr>
          <w:rFonts w:ascii="Times New Roman" w:hAnsi="Times New Roman" w:cs="Times New Roman" w:eastAsia="Times New Roman" w:hint="default"/>
          <w:spacing w:val="2"/>
        </w:rPr>
        <w:t>POS</w:t>
      </w:r>
      <w:r>
        <w:rPr>
          <w:rFonts w:ascii="Times New Roman" w:hAnsi="Times New Roman" w:cs="Times New Roman" w:eastAsia="Times New Roman" w:hint="default"/>
          <w:w w:val="99"/>
        </w:rPr>
        <w:t> </w:t>
      </w:r>
      <w:r>
        <w:rPr>
          <w:spacing w:val="-2"/>
        </w:rPr>
        <w:t>机的速度日益加快，多年深耕支付终端设备的厂商在技术和安全方面提供了支持和保障，支付终端通过系统介入交易、数据</w:t>
      </w:r>
      <w:r>
        <w:rPr>
          <w:spacing w:val="-63"/>
        </w:rPr>
        <w:t> </w:t>
      </w:r>
      <w:r>
        <w:rPr>
          <w:spacing w:val="-63"/>
        </w:rPr>
      </w:r>
      <w:r>
        <w:rPr>
          <w:spacing w:val="-4"/>
        </w:rPr>
        <w:t>和增值服务等环节，逐渐获取了更大的议价能力，并通过广泛的企业合作和并购的模式，拓展产业链条，提供整体解决方案，</w:t>
      </w:r>
      <w:r>
        <w:rPr>
          <w:spacing w:val="-46"/>
        </w:rPr>
        <w:t> </w:t>
      </w:r>
      <w:r>
        <w:rPr>
          <w:spacing w:val="-46"/>
        </w:rPr>
      </w:r>
      <w:r>
        <w:rPr/>
        <w:t>从而构建支付生态体系。</w:t>
      </w:r>
    </w:p>
    <w:p>
      <w:pPr>
        <w:pStyle w:val="BodyText"/>
        <w:spacing w:line="451" w:lineRule="auto" w:before="63"/>
        <w:ind w:left="573" w:right="1120" w:hanging="420"/>
        <w:jc w:val="left"/>
      </w:pPr>
      <w:r>
        <w:rPr/>
        <w:t>（</w:t>
      </w:r>
      <w:r>
        <w:rPr>
          <w:rFonts w:ascii="Times New Roman" w:hAnsi="Times New Roman" w:cs="Times New Roman" w:eastAsia="Times New Roman" w:hint="default"/>
        </w:rPr>
        <w:t>3</w:t>
      </w:r>
      <w:r>
        <w:rPr/>
        <w:t>）智能支付终端与</w:t>
      </w:r>
      <w:r>
        <w:rPr>
          <w:rFonts w:ascii="Times New Roman" w:hAnsi="Times New Roman" w:cs="Times New Roman" w:eastAsia="Times New Roman" w:hint="default"/>
        </w:rPr>
        <w:t>SaaS</w:t>
      </w:r>
      <w:r>
        <w:rPr/>
        <w:t>软件结合推动智慧运营，催生数字化支付与多元化场景深入融合 随着智能支付终端的普及，加之对大数据挖掘技术以及云计算技术的利用</w:t>
      </w:r>
      <w:r>
        <w:rPr>
          <w:spacing w:val="-57"/>
        </w:rPr>
        <w:t> </w:t>
      </w:r>
      <w:r>
        <w:rPr/>
        <w:t>，智能支付终端能从支付环节出发，作为通</w:t>
      </w:r>
    </w:p>
    <w:p>
      <w:pPr>
        <w:pStyle w:val="BodyText"/>
        <w:spacing w:line="470" w:lineRule="auto" w:before="74"/>
        <w:ind w:right="1129"/>
        <w:jc w:val="both"/>
      </w:pPr>
      <w:r>
        <w:rPr>
          <w:spacing w:val="-2"/>
        </w:rPr>
        <w:t>道和载体渗透进入衣食住行，已经覆盖和触达存在刚性需求的零售、交通出行等多样化生活场景。智慧零售的本质是提高商</w:t>
      </w:r>
      <w:r>
        <w:rPr>
          <w:spacing w:val="-63"/>
        </w:rPr>
        <w:t> </w:t>
      </w:r>
      <w:r>
        <w:rPr>
          <w:spacing w:val="-63"/>
        </w:rPr>
      </w:r>
      <w:r>
        <w:rPr>
          <w:spacing w:val="-2"/>
        </w:rPr>
        <w:t>户的运营效率，降低获客成本以及提升用户体验。智能支付终端搭载</w:t>
      </w:r>
      <w:r>
        <w:rPr>
          <w:rFonts w:ascii="Times New Roman" w:hAnsi="Times New Roman" w:cs="Times New Roman" w:eastAsia="Times New Roman" w:hint="default"/>
          <w:spacing w:val="-2"/>
        </w:rPr>
        <w:t>SaaS</w:t>
      </w:r>
      <w:r>
        <w:rPr>
          <w:spacing w:val="-2"/>
        </w:rPr>
        <w:t>软件为商户实现与消费者的多种互动，已应用到店</w:t>
      </w:r>
      <w:r>
        <w:rPr>
          <w:spacing w:val="-62"/>
        </w:rPr>
        <w:t> </w:t>
      </w:r>
      <w:r>
        <w:rPr>
          <w:spacing w:val="-62"/>
        </w:rPr>
      </w:r>
      <w:r>
        <w:rPr>
          <w:spacing w:val="-2"/>
        </w:rPr>
        <w:t>铺进销存管理、会员分析、营销服务等各个方面，通过对店铺的数字化管理，利用经营数据分析消费者行为，帮助商户更好</w:t>
      </w:r>
      <w:r>
        <w:rPr>
          <w:spacing w:val="-67"/>
        </w:rPr>
        <w:t> </w:t>
      </w:r>
      <w:r>
        <w:rPr>
          <w:spacing w:val="-67"/>
        </w:rPr>
      </w:r>
      <w:r>
        <w:rPr>
          <w:spacing w:val="-2"/>
        </w:rPr>
        <w:t>地了解消费者，针对其消费特征和偏好制定或改善营销策略，并实现再营销的工具平台，提高消费者粘性及忠诚度，开发消</w:t>
      </w:r>
      <w:r>
        <w:rPr>
          <w:spacing w:val="-64"/>
        </w:rPr>
        <w:t> </w:t>
      </w:r>
      <w:r>
        <w:rPr>
          <w:spacing w:val="-64"/>
        </w:rPr>
      </w:r>
      <w:r>
        <w:rPr>
          <w:spacing w:val="-2"/>
        </w:rPr>
        <w:t>费者的潜在消费需求，给商户带来利润上的提升。随着全面推进城市交通非现金支付方式，并鼓励在高速公路收费站和停车</w:t>
      </w:r>
      <w:r>
        <w:rPr>
          <w:spacing w:val="-63"/>
        </w:rPr>
        <w:t> </w:t>
      </w:r>
      <w:r>
        <w:rPr>
          <w:spacing w:val="-63"/>
        </w:rPr>
      </w:r>
      <w:r>
        <w:rPr>
          <w:spacing w:val="-2"/>
        </w:rPr>
        <w:t>场使用电子不停车收费系统（</w:t>
      </w:r>
      <w:r>
        <w:rPr>
          <w:rFonts w:ascii="Times New Roman" w:hAnsi="Times New Roman" w:cs="Times New Roman" w:eastAsia="Times New Roman" w:hint="default"/>
          <w:spacing w:val="-2"/>
        </w:rPr>
        <w:t>ETC</w:t>
      </w:r>
      <w:r>
        <w:rPr>
          <w:spacing w:val="-2"/>
        </w:rPr>
        <w:t>）、无感支付等支付手段，智慧交通是支付机构线下场景角力的重要战场，其背后是两亿</w:t>
      </w:r>
      <w:r>
        <w:rPr>
          <w:spacing w:val="-46"/>
        </w:rPr>
        <w:t> </w:t>
      </w:r>
      <w:r>
        <w:rPr>
          <w:spacing w:val="-46"/>
        </w:rPr>
      </w:r>
      <w:r>
        <w:rPr>
          <w:spacing w:val="-2"/>
        </w:rPr>
        <w:t>用户停车支付及用车服务的市场空间。第三方支付机构已不再局限于提供通道业务的单一利润模式，逐渐从仅提供基础支付</w:t>
      </w:r>
      <w:r>
        <w:rPr>
          <w:spacing w:val="-64"/>
        </w:rPr>
        <w:t> </w:t>
      </w:r>
      <w:r>
        <w:rPr>
          <w:spacing w:val="-64"/>
        </w:rPr>
      </w:r>
      <w:r>
        <w:rPr>
          <w:spacing w:val="-2"/>
        </w:rPr>
        <w:t>服务的商业模式转型为提供更有竞争力的智能化产品及增值服务模式，让支付平台化、信息化，为客户提供基于场景的无缝</w:t>
      </w:r>
      <w:r>
        <w:rPr>
          <w:spacing w:val="-66"/>
        </w:rPr>
        <w:t> </w:t>
      </w:r>
      <w:r>
        <w:rPr>
          <w:spacing w:val="-66"/>
        </w:rPr>
      </w:r>
      <w:r>
        <w:rPr>
          <w:spacing w:val="-2"/>
        </w:rPr>
        <w:t>高效交易服务体验，因此第三方支付机构在未来将根据支付场景输出更多的定制化的行业解决方案及增值服务，助力企业客</w:t>
      </w:r>
      <w:r>
        <w:rPr>
          <w:spacing w:val="-64"/>
        </w:rPr>
        <w:t> </w:t>
      </w:r>
      <w:r>
        <w:rPr>
          <w:spacing w:val="-64"/>
        </w:rPr>
      </w:r>
      <w:r>
        <w:rPr/>
        <w:t>户实现数字化转型，将支付全面融合于企业经营管理及产业链的智能化升级中。</w:t>
      </w:r>
    </w:p>
    <w:p>
      <w:pPr>
        <w:pStyle w:val="BodyText"/>
        <w:spacing w:line="240" w:lineRule="auto" w:before="59"/>
        <w:ind w:right="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5G+</w:t>
      </w:r>
      <w:r>
        <w:rPr/>
        <w:t>物联网时代将至，无感支付成为移动支付推进新方向</w:t>
      </w:r>
    </w:p>
    <w:p>
      <w:pPr>
        <w:spacing w:line="240" w:lineRule="auto" w:before="9"/>
        <w:rPr>
          <w:rFonts w:ascii="宋体" w:hAnsi="宋体" w:cs="宋体" w:eastAsia="宋体" w:hint="default"/>
          <w:sz w:val="16"/>
          <w:szCs w:val="16"/>
        </w:rPr>
      </w:pPr>
    </w:p>
    <w:p>
      <w:pPr>
        <w:pStyle w:val="BodyText"/>
        <w:spacing w:line="451" w:lineRule="auto"/>
        <w:ind w:right="1039" w:firstLine="420"/>
        <w:jc w:val="left"/>
      </w:pPr>
      <w:r>
        <w:rPr>
          <w:rFonts w:ascii="Times New Roman" w:hAnsi="Times New Roman" w:cs="Times New Roman" w:eastAsia="Times New Roman" w:hint="default"/>
          <w:spacing w:val="-2"/>
        </w:rPr>
        <w:t>5G</w:t>
      </w:r>
      <w:r>
        <w:rPr>
          <w:spacing w:val="-2"/>
        </w:rPr>
        <w:t>拥有着大容量、高速率、低延时性、及广连接等诸多优势，为物联网、云计算、大数据等相关应用提供坚实的基础，</w:t>
      </w:r>
      <w:r>
        <w:rPr/>
        <w:t> 让</w:t>
      </w:r>
      <w:r>
        <w:rPr>
          <w:rFonts w:ascii="Times New Roman" w:hAnsi="Times New Roman" w:cs="Times New Roman" w:eastAsia="Times New Roman" w:hint="default"/>
        </w:rPr>
        <w:t>“</w:t>
      </w:r>
      <w:r>
        <w:rPr/>
        <w:t>万物互联</w:t>
      </w:r>
      <w:r>
        <w:rPr>
          <w:rFonts w:ascii="Times New Roman" w:hAnsi="Times New Roman" w:cs="Times New Roman" w:eastAsia="Times New Roman" w:hint="default"/>
        </w:rPr>
        <w:t>”</w:t>
      </w:r>
      <w:r>
        <w:rPr/>
        <w:t>逐渐成为现实，移动支付的发展也因此具有了更为广阔的想象空间。物联网及人工智能结合形成的软硬件一体</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0" w:lineRule="auto"/>
        <w:ind w:right="1130"/>
        <w:jc w:val="both"/>
      </w:pPr>
      <w:r>
        <w:rPr/>
        <w:t>化系统，利用</w:t>
      </w:r>
      <w:r>
        <w:rPr>
          <w:rFonts w:ascii="Times New Roman" w:hAnsi="Times New Roman" w:cs="Times New Roman" w:eastAsia="Times New Roman" w:hint="default"/>
        </w:rPr>
        <w:t>RFID</w:t>
      </w:r>
      <w:r>
        <w:rPr/>
        <w:t>技术、红外技术、传感器技术及边缘计算等技术，将集中在软硬件与服务上的升级，不仅对无人超市、</w:t>
      </w:r>
      <w:r>
        <w:rPr>
          <w:spacing w:val="-49"/>
        </w:rPr>
        <w:t> </w:t>
      </w:r>
      <w:r>
        <w:rPr>
          <w:spacing w:val="-49"/>
        </w:rPr>
      </w:r>
      <w:r>
        <w:rPr>
          <w:spacing w:val="-2"/>
        </w:rPr>
        <w:t>智慧零售及无感停车等支付场景进行改造，未来还将诞生出应对公共事业、医疗等全新的无感支付场景，能更高效地完成用</w:t>
      </w:r>
      <w:r>
        <w:rPr>
          <w:spacing w:val="-63"/>
        </w:rPr>
        <w:t> </w:t>
      </w:r>
      <w:r>
        <w:rPr>
          <w:spacing w:val="-63"/>
        </w:rPr>
      </w:r>
      <w:r>
        <w:rPr>
          <w:spacing w:val="-2"/>
        </w:rPr>
        <w:t>户识别和资金转移，提升了用户的无感体验；物联网在提高支付便利的同时，还能够通过结合人工智能的深度学习，发现支</w:t>
      </w:r>
      <w:r>
        <w:rPr>
          <w:spacing w:val="-65"/>
        </w:rPr>
        <w:t> </w:t>
      </w:r>
      <w:r>
        <w:rPr>
          <w:spacing w:val="-65"/>
        </w:rPr>
      </w:r>
      <w:r>
        <w:rPr>
          <w:spacing w:val="-2"/>
        </w:rPr>
        <w:t>付规律并作出预判，从而提高风险评估和反欺诈能力。未来移动支付行业的商业化路径将更趋多元化，包括交互模式、支付</w:t>
      </w:r>
      <w:r>
        <w:rPr>
          <w:spacing w:val="-65"/>
        </w:rPr>
        <w:t> </w:t>
      </w:r>
      <w:r>
        <w:rPr>
          <w:spacing w:val="-65"/>
        </w:rPr>
      </w:r>
      <w:r>
        <w:rPr/>
        <w:t>场景、支付效率、商业化探索将实现全面升级。</w:t>
      </w:r>
    </w:p>
    <w:p>
      <w:pPr>
        <w:pStyle w:val="BodyText"/>
        <w:spacing w:line="451" w:lineRule="auto" w:before="59"/>
        <w:ind w:left="573" w:right="1033" w:hanging="420"/>
        <w:jc w:val="left"/>
      </w:pPr>
      <w:r>
        <w:rPr/>
        <w:t>（</w:t>
      </w:r>
      <w:r>
        <w:rPr>
          <w:rFonts w:ascii="Times New Roman" w:hAnsi="Times New Roman" w:cs="Times New Roman" w:eastAsia="Times New Roman" w:hint="default"/>
        </w:rPr>
        <w:t>5</w:t>
      </w:r>
      <w:r>
        <w:rPr/>
        <w:t>）支付机构齐聚海外支付市场，海外支付市场仍保持增长态势 国内移动支付业务发展迅猛，中国已成为全球第一大移动支付市场，相对国内市场发展增速趋于平稳，海外移动支付</w:t>
      </w:r>
    </w:p>
    <w:p>
      <w:pPr>
        <w:pStyle w:val="BodyText"/>
        <w:spacing w:line="470" w:lineRule="auto" w:before="74"/>
        <w:ind w:right="1033"/>
        <w:jc w:val="left"/>
      </w:pPr>
      <w:r>
        <w:rPr>
          <w:spacing w:val="-5"/>
        </w:rPr>
        <w:t>方兴未艾。随着近年来中国游客境外旅游的热潮，境外使用移动支付的需求同样高涨。尼尔森近日和支付宝联合发布的《</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2"/>
        </w:rPr>
        <w:t>年境外旅游市场中国移动支付发展与趋势白皮书》显示，中国游客海外移动支付使用活跃度持续提升，海外商家加速拥抱中</w:t>
      </w:r>
      <w:r>
        <w:rPr>
          <w:spacing w:val="-65"/>
        </w:rPr>
        <w:t> </w:t>
      </w:r>
      <w:r>
        <w:rPr>
          <w:spacing w:val="-65"/>
        </w:rPr>
      </w:r>
      <w:r>
        <w:rPr>
          <w:spacing w:val="-2"/>
        </w:rPr>
        <w:t>国移动支付，积极探索数字化运营。国内第三方支付企业纷纷把目光投向费率高、不打价格战的海外支付市场，开始向全球</w:t>
      </w:r>
      <w:r>
        <w:rPr>
          <w:spacing w:val="-65"/>
        </w:rPr>
        <w:t> </w:t>
      </w:r>
      <w:r>
        <w:rPr>
          <w:spacing w:val="-65"/>
        </w:rPr>
      </w:r>
      <w:r>
        <w:rPr>
          <w:spacing w:val="-2"/>
        </w:rPr>
        <w:t>扩张。支付宝与微信支付在海外的支付战场已硝烟弥漫，巨头们纷纷抢占风口，布局境外消费场景。中国移动支付业务的发</w:t>
      </w:r>
      <w:r>
        <w:rPr>
          <w:spacing w:val="-65"/>
        </w:rPr>
        <w:t> </w:t>
      </w:r>
      <w:r>
        <w:rPr>
          <w:spacing w:val="-65"/>
        </w:rPr>
      </w:r>
      <w:r>
        <w:rPr>
          <w:spacing w:val="-2"/>
        </w:rPr>
        <w:t>展速度已经快于欧美等发达国家市场，使得第三方支付企业的出海充满想象空间。第三方支付机构的强烈出海意愿也带来了</w:t>
      </w:r>
      <w:r>
        <w:rPr>
          <w:spacing w:val="-64"/>
        </w:rPr>
        <w:t> </w:t>
      </w:r>
      <w:r>
        <w:rPr>
          <w:spacing w:val="-64"/>
        </w:rPr>
      </w:r>
      <w:r>
        <w:rPr>
          <w:spacing w:val="-4"/>
        </w:rPr>
        <w:t>更为广阔的海外支付终端市场，由于在海外销售支付终端的毛利润更高，国内大型的支付终端生产厂商都积极拓展海外市场，</w:t>
      </w:r>
      <w:r>
        <w:rPr>
          <w:spacing w:val="-44"/>
        </w:rPr>
        <w:t> </w:t>
      </w:r>
      <w:r>
        <w:rPr>
          <w:spacing w:val="-44"/>
        </w:rPr>
      </w:r>
      <w:r>
        <w:rPr>
          <w:spacing w:val="-2"/>
        </w:rPr>
        <w:t>且都取得了不错的成绩。</w:t>
      </w:r>
      <w:r>
        <w:rPr>
          <w:rFonts w:ascii="Times New Roman" w:hAnsi="Times New Roman" w:cs="Times New Roman" w:eastAsia="Times New Roman" w:hint="default"/>
          <w:spacing w:val="-2"/>
        </w:rPr>
        <w:t>2020</w:t>
      </w:r>
      <w:r>
        <w:rPr>
          <w:spacing w:val="-2"/>
        </w:rPr>
        <w:t>年新冠疫情影响着全球的经济民生，海外移动支付的发展暂时趋缓，但非接触支付在此次疫情</w:t>
      </w:r>
      <w:r>
        <w:rPr>
          <w:spacing w:val="-59"/>
        </w:rPr>
        <w:t> </w:t>
      </w:r>
      <w:r>
        <w:rPr>
          <w:spacing w:val="-59"/>
        </w:rPr>
      </w:r>
      <w:r>
        <w:rPr>
          <w:spacing w:val="-2"/>
        </w:rPr>
        <w:t>中所表现出的便捷性及低风险性，将成为其未来高速发展的催化剂。在海外移动支付环境愈成熟、当地商户对中国移动支付</w:t>
      </w:r>
      <w:r>
        <w:rPr>
          <w:spacing w:val="-63"/>
        </w:rPr>
        <w:t> </w:t>
      </w:r>
      <w:r>
        <w:rPr>
          <w:spacing w:val="-63"/>
        </w:rPr>
      </w:r>
      <w:r>
        <w:rPr>
          <w:spacing w:val="-2"/>
        </w:rPr>
        <w:t>的了解及接受度深化的趋势下，海外商户对应用中国移动支付技术进行店铺数字化管理的意愿将逐步加深，海外支付市场仍</w:t>
      </w:r>
      <w:r>
        <w:rPr>
          <w:spacing w:val="-64"/>
        </w:rPr>
        <w:t> </w:t>
      </w:r>
      <w:r>
        <w:rPr>
          <w:spacing w:val="-64"/>
        </w:rPr>
      </w:r>
      <w:r>
        <w:rPr/>
        <w:t>将会保持增长态势。</w:t>
      </w:r>
    </w:p>
    <w:p>
      <w:pPr>
        <w:pStyle w:val="BodyText"/>
        <w:spacing w:line="451" w:lineRule="auto" w:before="59"/>
        <w:ind w:left="573" w:right="1033" w:hanging="420"/>
        <w:jc w:val="left"/>
      </w:pPr>
      <w:r>
        <w:rPr/>
        <w:t>（</w:t>
      </w:r>
      <w:r>
        <w:rPr>
          <w:rFonts w:ascii="Times New Roman" w:hAnsi="Times New Roman" w:cs="Times New Roman" w:eastAsia="Times New Roman" w:hint="default"/>
        </w:rPr>
        <w:t>6</w:t>
      </w:r>
      <w:r>
        <w:rPr/>
        <w:t>）生物识别支付有望成为下一代支付形态，刷脸支付成行业新焦点 中国无现金社会的推进过程中，移动设备、码付技术与大数据技术给行业带来的巨大变化，并逐步成为支付行业基础</w:t>
      </w:r>
    </w:p>
    <w:p>
      <w:pPr>
        <w:pStyle w:val="BodyText"/>
        <w:spacing w:line="472" w:lineRule="auto" w:before="74"/>
        <w:ind w:right="1033"/>
        <w:jc w:val="left"/>
      </w:pPr>
      <w:r>
        <w:rPr>
          <w:spacing w:val="-2"/>
        </w:rPr>
        <w:t>设施。与此同时，生物识别技术也在持续发展和变革中，其技术能加强用户身份识别，给支付交易提供安全保障，并且能实</w:t>
      </w:r>
      <w:r>
        <w:rPr>
          <w:spacing w:val="-67"/>
        </w:rPr>
        <w:t> </w:t>
      </w:r>
      <w:r>
        <w:rPr>
          <w:spacing w:val="-67"/>
        </w:rPr>
      </w:r>
      <w:r>
        <w:rPr>
          <w:spacing w:val="-2"/>
        </w:rPr>
        <w:t>现远程用户识别，使支付突破空间限制。生物识别中的指纹识别逐渐发展成为使用最为广泛的安全认证方式之一，已应用于</w:t>
      </w:r>
      <w:r>
        <w:rPr>
          <w:spacing w:val="-63"/>
        </w:rPr>
        <w:t> </w:t>
      </w:r>
      <w:r>
        <w:rPr>
          <w:spacing w:val="-63"/>
        </w:rPr>
      </w:r>
      <w:r>
        <w:rPr>
          <w:spacing w:val="-4"/>
        </w:rPr>
        <w:t>金融支付、安防门禁及刑侦等领域。人脸识别技术日渐成熟，开始进入行业应用阶段，目前已可在零售、餐饮、商超、医疗、</w:t>
      </w:r>
      <w:r>
        <w:rPr>
          <w:spacing w:val="-41"/>
        </w:rPr>
        <w:t> </w:t>
      </w:r>
      <w:r>
        <w:rPr>
          <w:spacing w:val="-41"/>
        </w:rPr>
      </w:r>
      <w:r>
        <w:rPr>
          <w:spacing w:val="-2"/>
        </w:rPr>
        <w:t>酒店旅游等支付场景中相继应用。至此，已有多个支付机构开始推动刷脸支付相关硬件在线下多个场景的落地、普及，争先</w:t>
      </w:r>
      <w:r>
        <w:rPr>
          <w:spacing w:val="-66"/>
        </w:rPr>
        <w:t> </w:t>
      </w:r>
      <w:r>
        <w:rPr>
          <w:spacing w:val="-66"/>
        </w:rPr>
      </w:r>
      <w:r>
        <w:rPr>
          <w:spacing w:val="-2"/>
        </w:rPr>
        <w:t>推出刷脸支付产品及补贴方案以获得市场份额。刷脸支付的兴起成为行业焦点，为规范刷脸支付的应用创新，防范其支付过</w:t>
      </w:r>
      <w:r>
        <w:rPr>
          <w:spacing w:val="-63"/>
        </w:rPr>
        <w:t> </w:t>
      </w:r>
      <w:r>
        <w:rPr>
          <w:spacing w:val="-63"/>
        </w:rPr>
      </w:r>
      <w:r>
        <w:rPr/>
        <w:t>程中的安全风险，中国支付清算协会于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日发布《人脸识别线下支付行业自律公约（试行）》，就人脸识别线下</w:t>
      </w:r>
      <w:r>
        <w:rPr>
          <w:spacing w:val="-86"/>
        </w:rPr>
        <w:t> </w:t>
      </w:r>
      <w:r>
        <w:rPr>
          <w:spacing w:val="-86"/>
        </w:rPr>
      </w:r>
      <w:r>
        <w:rPr>
          <w:spacing w:val="-2"/>
        </w:rPr>
        <w:t>支付相关单位的安全管理、终端管理、风险管理、用户权益保护等几大方面进行了相关规定，为刷脸支付平稳安全的运行打</w:t>
      </w:r>
      <w:r>
        <w:rPr>
          <w:spacing w:val="-64"/>
        </w:rPr>
        <w:t> </w:t>
      </w:r>
      <w:r>
        <w:rPr>
          <w:spacing w:val="-64"/>
        </w:rPr>
      </w:r>
      <w:r>
        <w:rPr>
          <w:spacing w:val="-2"/>
        </w:rPr>
        <w:t>造规范的基础。未来，刷脸支付将通过产品创新及技术融合的方式发挥其安全性、便捷性及场景优势，拓张多维场景及深入</w:t>
      </w:r>
      <w:r>
        <w:rPr>
          <w:spacing w:val="-64"/>
        </w:rPr>
        <w:t> </w:t>
      </w:r>
      <w:r>
        <w:rPr>
          <w:spacing w:val="-64"/>
        </w:rPr>
      </w:r>
      <w:r>
        <w:rPr/>
        <w:t>渗透行业领域，其技术的突破将会推动无现金社会进入一个新的发展阶段。</w:t>
      </w:r>
    </w:p>
    <w:p>
      <w:pPr>
        <w:pStyle w:val="BodyText"/>
        <w:spacing w:line="240" w:lineRule="auto" w:before="58"/>
        <w:ind w:right="1033"/>
        <w:jc w:val="left"/>
      </w:pPr>
      <w:r>
        <w:rPr>
          <w:rFonts w:ascii="Times New Roman" w:hAnsi="Times New Roman" w:cs="Times New Roman" w:eastAsia="Times New Roman" w:hint="default"/>
        </w:rPr>
        <w:t>4</w:t>
      </w:r>
      <w:r>
        <w:rPr/>
        <w:t>、竞争对手情况</w:t>
      </w:r>
    </w:p>
    <w:p>
      <w:pPr>
        <w:spacing w:line="240" w:lineRule="auto" w:before="9"/>
        <w:rPr>
          <w:rFonts w:ascii="宋体" w:hAnsi="宋体" w:cs="宋体" w:eastAsia="宋体" w:hint="default"/>
          <w:sz w:val="16"/>
          <w:szCs w:val="16"/>
        </w:rPr>
      </w:pPr>
    </w:p>
    <w:p>
      <w:pPr>
        <w:pStyle w:val="BodyText"/>
        <w:spacing w:line="240" w:lineRule="auto"/>
        <w:ind w:left="573" w:right="1033"/>
        <w:jc w:val="left"/>
      </w:pPr>
      <w:r>
        <w:rPr/>
        <w:t>在过去十年里，国内金融</w:t>
      </w:r>
      <w:r>
        <w:rPr>
          <w:rFonts w:ascii="Times New Roman" w:hAnsi="Times New Roman" w:cs="Times New Roman" w:eastAsia="Times New Roman" w:hint="default"/>
        </w:rPr>
        <w:t>POS</w:t>
      </w:r>
      <w:r>
        <w:rPr/>
        <w:t>细分行业市场竞争格局相对稳定，在该领域能与公司形成有效市场竞争的电子支付受理</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033"/>
        <w:jc w:val="left"/>
      </w:pPr>
      <w:r>
        <w:rPr>
          <w:spacing w:val="-1"/>
        </w:rPr>
        <w:t>终端设备的主要品牌有百富、联迪、新大陆等。</w:t>
      </w:r>
      <w:r>
        <w:rPr>
          <w:rFonts w:ascii="Times New Roman" w:hAnsi="Times New Roman" w:cs="Times New Roman" w:eastAsia="Times New Roman" w:hint="default"/>
          <w:spacing w:val="-1"/>
        </w:rPr>
        <w:t>2019</w:t>
      </w:r>
      <w:r>
        <w:rPr>
          <w:spacing w:val="-1"/>
        </w:rPr>
        <w:t>年国内市场各大</w:t>
      </w:r>
      <w:r>
        <w:rPr>
          <w:rFonts w:ascii="Times New Roman" w:hAnsi="Times New Roman" w:cs="Times New Roman" w:eastAsia="Times New Roman" w:hint="default"/>
          <w:spacing w:val="-1"/>
        </w:rPr>
        <w:t>POS</w:t>
      </w:r>
      <w:r>
        <w:rPr>
          <w:spacing w:val="-1"/>
        </w:rPr>
        <w:t>厂商竞争态势依然激烈且</w:t>
      </w:r>
      <w:r>
        <w:rPr>
          <w:rFonts w:ascii="Times New Roman" w:hAnsi="Times New Roman" w:cs="Times New Roman" w:eastAsia="Times New Roman" w:hint="default"/>
          <w:spacing w:val="-1"/>
        </w:rPr>
        <w:t>POS</w:t>
      </w:r>
      <w:r>
        <w:rPr>
          <w:spacing w:val="-1"/>
        </w:rPr>
        <w:t>机具及相关副产品毛</w:t>
      </w:r>
      <w:r>
        <w:rPr>
          <w:spacing w:val="-61"/>
        </w:rPr>
        <w:t> </w:t>
      </w:r>
      <w:r>
        <w:rPr>
          <w:spacing w:val="-61"/>
        </w:rPr>
      </w:r>
      <w:r>
        <w:rPr/>
        <w:t>利逐年下降，在国家</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的发展战略号召背景下，各大厂商逐渐把销售增长重点转向海外市场。</w:t>
      </w:r>
    </w:p>
    <w:p>
      <w:pPr>
        <w:pStyle w:val="BodyText"/>
        <w:spacing w:line="463" w:lineRule="auto" w:before="43"/>
        <w:ind w:right="1079" w:firstLine="420"/>
        <w:jc w:val="both"/>
      </w:pPr>
      <w:r>
        <w:rPr/>
        <w:t>电子支付是一个充满活力的行业，新技术、新产品的研发和创新、服务模式的革新，都将在主流设备厂商之间掀起新 </w:t>
      </w:r>
      <w:r>
        <w:rPr>
          <w:spacing w:val="-2"/>
        </w:rPr>
        <w:t>一轮的变革，支付行业的不断创新演变，使得电子支付产业链上下游以及相关行业、技术整合趋势加强，电子支付行业主要</w:t>
      </w:r>
      <w:r>
        <w:rPr>
          <w:spacing w:val="-65"/>
        </w:rPr>
        <w:t> </w:t>
      </w:r>
      <w:r>
        <w:rPr>
          <w:spacing w:val="-65"/>
        </w:rPr>
      </w:r>
      <w:r>
        <w:rPr>
          <w:spacing w:val="-2"/>
        </w:rPr>
        <w:t>参与者都开始通过不断的整合并购来完善产业链布局、增强自身的实力、提升抗风险的能力。随着移动支付不断向线下市场</w:t>
      </w:r>
      <w:r>
        <w:rPr>
          <w:spacing w:val="-63"/>
        </w:rPr>
        <w:t> </w:t>
      </w:r>
      <w:r>
        <w:rPr>
          <w:spacing w:val="-63"/>
        </w:rPr>
      </w:r>
      <w:r>
        <w:rPr>
          <w:spacing w:val="-1"/>
        </w:rPr>
        <w:t>渗透，过去以</w:t>
      </w:r>
      <w:r>
        <w:rPr>
          <w:rFonts w:ascii="Times New Roman" w:hAnsi="Times New Roman" w:cs="Times New Roman" w:eastAsia="Times New Roman" w:hint="default"/>
          <w:spacing w:val="-1"/>
        </w:rPr>
        <w:t>POS</w:t>
      </w:r>
      <w:r>
        <w:rPr>
          <w:spacing w:val="-1"/>
        </w:rPr>
        <w:t>刷卡为主的线下支付市场在近两年逐渐变得支付方式多样化，线下电子支付市场突破了刷银行卡单一支付</w:t>
      </w:r>
      <w:r>
        <w:rPr/>
        <w:t> 方式并且将</w:t>
      </w:r>
      <w:r>
        <w:rPr>
          <w:rFonts w:ascii="Times New Roman" w:hAnsi="Times New Roman" w:cs="Times New Roman" w:eastAsia="Times New Roman" w:hint="default"/>
        </w:rPr>
        <w:t>POS</w:t>
      </w:r>
      <w:r>
        <w:rPr/>
        <w:t>机从一个单纯的支付工具转化为一个综合商户服务平台，商户更加重视融合支付和增值服务的提供与质量。 </w:t>
      </w:r>
      <w:r>
        <w:rPr>
          <w:spacing w:val="-1"/>
        </w:rPr>
        <w:t>不断有</w:t>
      </w:r>
      <w:r>
        <w:rPr>
          <w:rFonts w:ascii="Times New Roman" w:hAnsi="Times New Roman" w:cs="Times New Roman" w:eastAsia="Times New Roman" w:hint="default"/>
          <w:spacing w:val="-1"/>
        </w:rPr>
        <w:t>POS</w:t>
      </w:r>
      <w:r>
        <w:rPr>
          <w:spacing w:val="-1"/>
        </w:rPr>
        <w:t>厂商收购支付机构切入进第三方支付收单市场，使其打通了支付产业链，并且能够享受第三方支付市场发展带来</w:t>
      </w:r>
      <w:r>
        <w:rPr/>
        <w:t> 的红利，从而提升其整体盈利能力和业务持续性。</w:t>
      </w:r>
    </w:p>
    <w:p>
      <w:pPr>
        <w:pStyle w:val="BodyText"/>
        <w:spacing w:line="472" w:lineRule="auto" w:before="65"/>
        <w:ind w:right="1032" w:firstLine="420"/>
        <w:jc w:val="left"/>
      </w:pPr>
      <w:r>
        <w:rPr>
          <w:rFonts w:ascii="Times New Roman" w:hAnsi="Times New Roman" w:cs="Times New Roman" w:eastAsia="Times New Roman" w:hint="default"/>
          <w:spacing w:val="-1"/>
        </w:rPr>
        <w:t>2017</w:t>
      </w:r>
      <w:r>
        <w:rPr>
          <w:spacing w:val="-1"/>
        </w:rPr>
        <w:t>年，公司着手收购嘉联支付；</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月，嘉联支付完成工商变更登记及备案手续；</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月正式并入上市公司。</w:t>
      </w:r>
      <w:r>
        <w:rPr/>
        <w:t> </w:t>
      </w:r>
      <w:r>
        <w:rPr>
          <w:spacing w:val="-2"/>
        </w:rPr>
        <w:t>该收购完成后，公司成功切入支付及运营业务，实现了产业链延伸，协同优势明显。在针对线下商户的收单服务领域，主要</w:t>
      </w:r>
      <w:r>
        <w:rPr>
          <w:spacing w:val="-68"/>
        </w:rPr>
        <w:t> </w:t>
      </w:r>
      <w:r>
        <w:rPr>
          <w:spacing w:val="-68"/>
        </w:rPr>
      </w:r>
      <w:r>
        <w:rPr>
          <w:spacing w:val="-2"/>
        </w:rPr>
        <w:t>竞争对手为银联商务、拉卡拉等头部机构。在提供安全、便捷、顺畅的支付体验基础上，收单机构都开始注重为商户提供更</w:t>
      </w:r>
      <w:r>
        <w:rPr>
          <w:spacing w:val="-67"/>
        </w:rPr>
        <w:t> </w:t>
      </w:r>
      <w:r>
        <w:rPr>
          <w:spacing w:val="-67"/>
        </w:rPr>
      </w:r>
      <w:r>
        <w:rPr>
          <w:spacing w:val="-2"/>
        </w:rPr>
        <w:t>加优良的增值运营服务，增强商户的粘性，为后续发展打开空间。对于收单机构而言，未来的竞争将会在经营模式、多元化</w:t>
      </w:r>
      <w:r>
        <w:rPr>
          <w:spacing w:val="-67"/>
        </w:rPr>
        <w:t> </w:t>
      </w:r>
      <w:r>
        <w:rPr>
          <w:spacing w:val="-67"/>
        </w:rPr>
      </w:r>
      <w:r>
        <w:rPr/>
        <w:t>推广渠道、大数据分析能力、细分行业综合服务能力等多方面展开；而收单机构的经营策略、创新响应速度、渠道掌控力、 管理能力将会成为核心竞争力。</w:t>
      </w:r>
    </w:p>
    <w:p>
      <w:pPr>
        <w:pStyle w:val="BodyText"/>
        <w:spacing w:line="458" w:lineRule="auto" w:before="58"/>
        <w:ind w:right="1128" w:firstLine="420"/>
        <w:jc w:val="both"/>
      </w:pPr>
      <w:r>
        <w:rPr>
          <w:spacing w:val="-2"/>
        </w:rPr>
        <w:t>至于</w:t>
      </w:r>
      <w:r>
        <w:rPr>
          <w:rFonts w:ascii="Times New Roman" w:hAnsi="Times New Roman" w:cs="Times New Roman" w:eastAsia="Times New Roman" w:hint="default"/>
          <w:spacing w:val="-2"/>
        </w:rPr>
        <w:t>POS</w:t>
      </w:r>
      <w:r>
        <w:rPr>
          <w:spacing w:val="-2"/>
        </w:rPr>
        <w:t>海外市场竞争格局，目前惠尔丰、安智世界两大</w:t>
      </w:r>
      <w:r>
        <w:rPr>
          <w:rFonts w:ascii="Times New Roman" w:hAnsi="Times New Roman" w:cs="Times New Roman" w:eastAsia="Times New Roman" w:hint="default"/>
          <w:spacing w:val="-2"/>
        </w:rPr>
        <w:t>POS</w:t>
      </w:r>
      <w:r>
        <w:rPr>
          <w:spacing w:val="-2"/>
        </w:rPr>
        <w:t>生产商巨头仍然占据绝对优势。由于其占据进入海外市场</w:t>
      </w:r>
      <w:r>
        <w:rPr/>
        <w:t> </w:t>
      </w:r>
      <w:r>
        <w:rPr>
          <w:spacing w:val="-1"/>
        </w:rPr>
        <w:t>之先机，且在</w:t>
      </w:r>
      <w:r>
        <w:rPr>
          <w:rFonts w:ascii="Times New Roman" w:hAnsi="Times New Roman" w:cs="Times New Roman" w:eastAsia="Times New Roman" w:hint="default"/>
          <w:spacing w:val="-1"/>
        </w:rPr>
        <w:t>POS</w:t>
      </w:r>
      <w:r>
        <w:rPr>
          <w:spacing w:val="-1"/>
        </w:rPr>
        <w:t>机产品之基础上叠加软件服务，以及为客户定制开发运行</w:t>
      </w:r>
      <w:r>
        <w:rPr>
          <w:rFonts w:ascii="Times New Roman" w:hAnsi="Times New Roman" w:cs="Times New Roman" w:eastAsia="Times New Roman" w:hint="default"/>
          <w:spacing w:val="-1"/>
        </w:rPr>
        <w:t>POS</w:t>
      </w:r>
      <w:r>
        <w:rPr>
          <w:spacing w:val="-1"/>
        </w:rPr>
        <w:t>、处理支付交易等一系列系统开发服务，不</w:t>
      </w:r>
      <w:r>
        <w:rPr>
          <w:spacing w:val="-61"/>
        </w:rPr>
        <w:t> </w:t>
      </w:r>
      <w:r>
        <w:rPr>
          <w:spacing w:val="-61"/>
        </w:rPr>
      </w:r>
      <w:r>
        <w:rPr>
          <w:spacing w:val="-2"/>
        </w:rPr>
        <w:t>断增强其与客户之间的粘性，从而牢牢巩固其在海外市场的地位。由于海外市场政治、经济以及商业文化的差异，以及海外</w:t>
      </w:r>
      <w:r>
        <w:rPr>
          <w:spacing w:val="-64"/>
        </w:rPr>
        <w:t> </w:t>
      </w:r>
      <w:r>
        <w:rPr>
          <w:spacing w:val="-64"/>
        </w:rPr>
      </w:r>
      <w:r>
        <w:rPr/>
        <w:t>客户对国内厂商的认知不足，成为了国内</w:t>
      </w:r>
      <w:r>
        <w:rPr>
          <w:rFonts w:ascii="Times New Roman" w:hAnsi="Times New Roman" w:cs="Times New Roman" w:eastAsia="Times New Roman" w:hint="default"/>
        </w:rPr>
        <w:t>POS</w:t>
      </w:r>
      <w:r>
        <w:rPr/>
        <w:t>厂商开拓海外市场的障碍。</w:t>
      </w:r>
    </w:p>
    <w:p>
      <w:pPr>
        <w:pStyle w:val="BodyText"/>
        <w:spacing w:line="458" w:lineRule="auto" w:before="37"/>
        <w:ind w:right="1033" w:firstLine="420"/>
        <w:jc w:val="left"/>
      </w:pPr>
      <w:r>
        <w:rPr>
          <w:spacing w:val="-3"/>
        </w:rPr>
        <w:t>继</w:t>
      </w:r>
      <w:r>
        <w:rPr>
          <w:rFonts w:ascii="Times New Roman" w:hAnsi="Times New Roman" w:cs="Times New Roman" w:eastAsia="Times New Roman" w:hint="default"/>
          <w:spacing w:val="-3"/>
        </w:rPr>
        <w:t>2014</w:t>
      </w:r>
      <w:r>
        <w:rPr>
          <w:spacing w:val="-3"/>
        </w:rPr>
        <w:t>年公司海外市场订单取得突破后，</w:t>
      </w:r>
      <w:r>
        <w:rPr>
          <w:rFonts w:ascii="Times New Roman" w:hAnsi="Times New Roman" w:cs="Times New Roman" w:eastAsia="Times New Roman" w:hint="default"/>
          <w:spacing w:val="-3"/>
        </w:rPr>
        <w:t>2015</w:t>
      </w:r>
      <w:r>
        <w:rPr>
          <w:spacing w:val="-3"/>
        </w:rPr>
        <w:t>年收购美国</w:t>
      </w:r>
      <w:r>
        <w:rPr>
          <w:rFonts w:ascii="Times New Roman" w:hAnsi="Times New Roman" w:cs="Times New Roman" w:eastAsia="Times New Roman" w:hint="default"/>
          <w:spacing w:val="-3"/>
        </w:rPr>
        <w:t>Nexgo,Inc.</w:t>
      </w:r>
      <w:r>
        <w:rPr>
          <w:spacing w:val="-3"/>
        </w:rPr>
        <w:t>，</w:t>
      </w:r>
      <w:r>
        <w:rPr>
          <w:rFonts w:ascii="Times New Roman" w:hAnsi="Times New Roman" w:cs="Times New Roman" w:eastAsia="Times New Roman" w:hint="default"/>
          <w:spacing w:val="-3"/>
        </w:rPr>
        <w:t>2016</w:t>
      </w:r>
      <w:r>
        <w:rPr>
          <w:spacing w:val="-3"/>
        </w:rPr>
        <w:t>年后陆续在巴西，迪拜，香港，澳门，印度，</w:t>
      </w:r>
      <w:r>
        <w:rPr/>
        <w:t> 卢森堡设立子公司，进一步加强境外</w:t>
      </w:r>
      <w:r>
        <w:rPr>
          <w:rFonts w:ascii="Times New Roman" w:hAnsi="Times New Roman" w:cs="Times New Roman" w:eastAsia="Times New Roman" w:hint="default"/>
        </w:rPr>
        <w:t>/</w:t>
      </w:r>
      <w:r>
        <w:rPr/>
        <w:t>海外市场的战略布局，而新国都完整的电子支付产业链布局和中国制造的成本优势，</w:t>
      </w:r>
      <w:r>
        <w:rPr>
          <w:spacing w:val="-49"/>
        </w:rPr>
        <w:t> </w:t>
      </w:r>
      <w:r>
        <w:rPr>
          <w:spacing w:val="-49"/>
        </w:rPr>
      </w:r>
      <w:r>
        <w:rPr>
          <w:spacing w:val="-2"/>
        </w:rPr>
        <w:t>将成为其在国际市场上的综合竞争力。终上所述，国内电子支付服务行业正面对机会和挑战共存的局面，无论是对于传统的</w:t>
      </w:r>
      <w:r>
        <w:rPr>
          <w:spacing w:val="-66"/>
        </w:rPr>
        <w:t> </w:t>
      </w:r>
      <w:r>
        <w:rPr>
          <w:spacing w:val="-66"/>
        </w:rPr>
      </w:r>
      <w:r>
        <w:rPr>
          <w:rFonts w:ascii="Times New Roman" w:hAnsi="Times New Roman" w:cs="Times New Roman" w:eastAsia="Times New Roman" w:hint="default"/>
        </w:rPr>
        <w:t>POS</w:t>
      </w:r>
      <w:r>
        <w:rPr/>
        <w:t>终端设备生产厂商，还是对于代表新型支付技术与设备的互联网移动支付参与者，如何把握住市场的变化，抓住未来市 场发展的主流趋势，是所有市场参与者共同面对的挑战与机会。</w:t>
      </w:r>
    </w:p>
    <w:p>
      <w:pPr>
        <w:pStyle w:val="Heading7"/>
        <w:spacing w:line="240" w:lineRule="auto" w:before="11"/>
        <w:ind w:right="1033"/>
        <w:jc w:val="left"/>
        <w:rPr>
          <w:b w:val="0"/>
          <w:bCs w:val="0"/>
        </w:rPr>
      </w:pPr>
      <w:r>
        <w:rPr/>
        <w:t>（二）公司的主要优势与困难</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BodyText"/>
        <w:spacing w:line="240" w:lineRule="auto"/>
        <w:ind w:right="1033"/>
        <w:jc w:val="left"/>
      </w:pPr>
      <w:r>
        <w:rPr>
          <w:rFonts w:ascii="Times New Roman" w:hAnsi="Times New Roman" w:cs="Times New Roman" w:eastAsia="Times New Roman" w:hint="default"/>
        </w:rPr>
        <w:t>1</w:t>
      </w:r>
      <w:r>
        <w:rPr/>
        <w:t>、公司的主要优势</w:t>
      </w:r>
    </w:p>
    <w:p>
      <w:pPr>
        <w:spacing w:line="240" w:lineRule="auto" w:before="10"/>
        <w:rPr>
          <w:rFonts w:ascii="宋体" w:hAnsi="宋体" w:cs="宋体" w:eastAsia="宋体" w:hint="default"/>
          <w:sz w:val="16"/>
          <w:szCs w:val="16"/>
        </w:rPr>
      </w:pPr>
    </w:p>
    <w:p>
      <w:pPr>
        <w:pStyle w:val="BodyText"/>
        <w:spacing w:line="477" w:lineRule="auto"/>
        <w:ind w:left="573" w:right="1033" w:hanging="420"/>
        <w:jc w:val="left"/>
      </w:pPr>
      <w:r>
        <w:rPr/>
        <w:t>（</w:t>
      </w:r>
      <w:r>
        <w:rPr>
          <w:rFonts w:ascii="宋体" w:hAnsi="宋体" w:cs="宋体" w:eastAsia="宋体" w:hint="default"/>
        </w:rPr>
        <w:t>1</w:t>
      </w:r>
      <w:r>
        <w:rPr/>
        <w:t>）核心业务布局和产业链优势 公司自</w:t>
      </w:r>
      <w:r>
        <w:rPr>
          <w:rFonts w:ascii="Times New Roman" w:hAnsi="Times New Roman" w:cs="Times New Roman" w:eastAsia="Times New Roman" w:hint="default"/>
        </w:rPr>
        <w:t>2001</w:t>
      </w:r>
      <w:r>
        <w:rPr/>
        <w:t>年成立起即专注于电子支付领域，拥有专业的电子支付技术综合解决方案提供能力。新国都传统优势领域</w:t>
      </w:r>
    </w:p>
    <w:p>
      <w:pPr>
        <w:pStyle w:val="BodyText"/>
        <w:spacing w:line="451" w:lineRule="auto" w:before="21"/>
        <w:ind w:right="1033"/>
        <w:jc w:val="left"/>
      </w:pPr>
      <w:r>
        <w:rPr>
          <w:rFonts w:ascii="Times New Roman" w:hAnsi="Times New Roman" w:cs="Times New Roman" w:eastAsia="Times New Roman" w:hint="default"/>
          <w:spacing w:val="-2"/>
        </w:rPr>
        <w:t>——</w:t>
      </w:r>
      <w:r>
        <w:rPr>
          <w:spacing w:val="-2"/>
        </w:rPr>
        <w:t>电子支付作为移动互联网和智能化时代下经济活动中的核心环节，在经济活动和商业生态圈里开始扮演越来越重要的角</w:t>
      </w:r>
      <w:r>
        <w:rPr>
          <w:spacing w:val="-64"/>
        </w:rPr>
        <w:t> </w:t>
      </w:r>
      <w:r>
        <w:rPr>
          <w:spacing w:val="-64"/>
        </w:rPr>
      </w:r>
      <w:r>
        <w:rPr>
          <w:spacing w:val="-2"/>
        </w:rPr>
        <w:t>色，它将成为线上线下结合的商业模式中核心的一环，电子支付受理终端设备日益成为抢占新商业机会的重要运营端口。新</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1130"/>
        <w:jc w:val="both"/>
      </w:pPr>
      <w:r>
        <w:rPr>
          <w:spacing w:val="-2"/>
        </w:rPr>
        <w:t>国都专注于电子支付领域十几年，积累了非常丰富的行业经验和商业资源。随着人工智能、物联网、大数据、云计算、区块</w:t>
      </w:r>
      <w:r>
        <w:rPr>
          <w:spacing w:val="-70"/>
        </w:rPr>
        <w:t> </w:t>
      </w:r>
      <w:r>
        <w:rPr>
          <w:spacing w:val="-70"/>
        </w:rPr>
      </w:r>
      <w:r>
        <w:rPr>
          <w:spacing w:val="-2"/>
        </w:rPr>
        <w:t>链技术等新一代信息技术的新应用，新国都将借助自身多年积累的行业经验，加上</w:t>
      </w:r>
      <w:r>
        <w:rPr>
          <w:rFonts w:ascii="Times New Roman" w:hAnsi="Times New Roman" w:cs="Times New Roman" w:eastAsia="Times New Roman" w:hint="default"/>
          <w:spacing w:val="-2"/>
        </w:rPr>
        <w:t>IT</w:t>
      </w:r>
      <w:r>
        <w:rPr>
          <w:spacing w:val="-2"/>
        </w:rPr>
        <w:t>软硬件综合能力、平台能力，基于金融</w:t>
      </w:r>
      <w:r>
        <w:rPr>
          <w:spacing w:val="-53"/>
        </w:rPr>
        <w:t> </w:t>
      </w:r>
      <w:r>
        <w:rPr>
          <w:spacing w:val="-53"/>
        </w:rPr>
      </w:r>
      <w:r>
        <w:rPr>
          <w:rFonts w:ascii="Times New Roman" w:hAnsi="Times New Roman" w:cs="Times New Roman" w:eastAsia="Times New Roman" w:hint="default"/>
          <w:spacing w:val="-1"/>
        </w:rPr>
        <w:t>POS</w:t>
      </w:r>
      <w:r>
        <w:rPr>
          <w:spacing w:val="-1"/>
        </w:rPr>
        <w:t>机的线上线下支付入口优势，增强数据分析处理能力和增值应用服务能力，在公司战略逐步推进落地和加强内控管理的</w:t>
      </w:r>
      <w:r>
        <w:rPr/>
        <w:t> </w:t>
      </w:r>
      <w:r>
        <w:rPr>
          <w:spacing w:val="-2"/>
        </w:rPr>
        <w:t>背景下，加大各业务板块之间的协同合作，突出产业链上下游整合优势，通过创新的服务和产品以及不断探索和吸收新的商</w:t>
      </w:r>
      <w:r>
        <w:rPr>
          <w:spacing w:val="-63"/>
        </w:rPr>
        <w:t> </w:t>
      </w:r>
      <w:r>
        <w:rPr>
          <w:spacing w:val="-63"/>
        </w:rPr>
      </w:r>
      <w:r>
        <w:rPr/>
        <w:t>业模式来提升公司整体盈利能力和抗风险能力。</w:t>
      </w:r>
    </w:p>
    <w:p>
      <w:pPr>
        <w:pStyle w:val="BodyText"/>
        <w:spacing w:line="451" w:lineRule="auto" w:before="65"/>
        <w:ind w:left="573" w:right="1025" w:hanging="420"/>
        <w:jc w:val="left"/>
      </w:pPr>
      <w:r>
        <w:rPr/>
        <w:t>（</w:t>
      </w:r>
      <w:r>
        <w:rPr>
          <w:rFonts w:ascii="Times New Roman" w:hAnsi="Times New Roman" w:cs="Times New Roman" w:eastAsia="Times New Roman" w:hint="default"/>
        </w:rPr>
        <w:t>2</w:t>
      </w:r>
      <w:r>
        <w:rPr/>
        <w:t>）较为完善的经营管理体系、人才团队建设优势 </w:t>
      </w:r>
      <w:r>
        <w:rPr>
          <w:spacing w:val="-1"/>
        </w:rPr>
        <w:t>经过多年的不断打造、变革升级，目前公司拥有完善的产品研发体系、市场营销体系、生产制造体系、质量管控体系、</w:t>
      </w:r>
    </w:p>
    <w:p>
      <w:pPr>
        <w:pStyle w:val="BodyText"/>
        <w:spacing w:line="470" w:lineRule="auto" w:before="74"/>
        <w:ind w:right="1128"/>
        <w:jc w:val="both"/>
      </w:pPr>
      <w:r>
        <w:rPr>
          <w:spacing w:val="-2"/>
        </w:rPr>
        <w:t>人力资源体系，有利于整合各个业务链之资源，实现核心资源的优化配置，控制生产成本和产品质量的同时进行产品和商业</w:t>
      </w:r>
      <w:r>
        <w:rPr>
          <w:spacing w:val="-63"/>
        </w:rPr>
        <w:t> </w:t>
      </w:r>
      <w:r>
        <w:rPr>
          <w:spacing w:val="-63"/>
        </w:rPr>
      </w:r>
      <w:r>
        <w:rPr>
          <w:spacing w:val="-2"/>
        </w:rPr>
        <w:t>模式创新。随着行业快速发展、公司战略重心和商业模式的变化，对公司管理团队的能力提出了新的要求，</w:t>
      </w:r>
      <w:r>
        <w:rPr>
          <w:rFonts w:ascii="Times New Roman" w:hAnsi="Times New Roman" w:cs="Times New Roman" w:eastAsia="Times New Roman" w:hint="default"/>
          <w:spacing w:val="-2"/>
        </w:rPr>
        <w:t>2019</w:t>
      </w:r>
      <w:r>
        <w:rPr>
          <w:spacing w:val="-2"/>
        </w:rPr>
        <w:t>年公司着手</w:t>
      </w:r>
      <w:r>
        <w:rPr>
          <w:spacing w:val="-60"/>
        </w:rPr>
        <w:t> </w:t>
      </w:r>
      <w:r>
        <w:rPr>
          <w:spacing w:val="-60"/>
        </w:rPr>
      </w:r>
      <w:r>
        <w:rPr>
          <w:spacing w:val="-2"/>
        </w:rPr>
        <w:t>管理架构的变革和重塑，引入新的高层管理人员，利用互联网思维改造传统管理模式和优化公司管理制度，提高公司管理效</w:t>
      </w:r>
      <w:r>
        <w:rPr>
          <w:spacing w:val="-63"/>
        </w:rPr>
        <w:t> </w:t>
      </w:r>
      <w:r>
        <w:rPr>
          <w:spacing w:val="-63"/>
        </w:rPr>
      </w:r>
      <w:r>
        <w:rPr>
          <w:spacing w:val="-2"/>
        </w:rPr>
        <w:t>率。同时，为了更好地满足公司战略转型对各类人才的需求，公司计划持续在相关领域培养和招募专业人才，优化调整组织</w:t>
      </w:r>
      <w:r>
        <w:rPr>
          <w:spacing w:val="-64"/>
        </w:rPr>
        <w:t> </w:t>
      </w:r>
      <w:r>
        <w:rPr>
          <w:spacing w:val="-64"/>
        </w:rPr>
      </w:r>
      <w:r>
        <w:rPr/>
        <w:t>架构，通过建立长效的人才引进、激励机制，以业绩为导向激励团队，激发各个板块协同性和全员积极性。</w:t>
      </w:r>
    </w:p>
    <w:p>
      <w:pPr>
        <w:pStyle w:val="BodyText"/>
        <w:spacing w:line="451" w:lineRule="auto" w:before="59"/>
        <w:ind w:left="573" w:right="1033" w:hanging="420"/>
        <w:jc w:val="left"/>
      </w:pPr>
      <w:r>
        <w:rPr/>
        <w:t>（</w:t>
      </w:r>
      <w:r>
        <w:rPr>
          <w:rFonts w:ascii="Times New Roman" w:hAnsi="Times New Roman" w:cs="Times New Roman" w:eastAsia="Times New Roman" w:hint="default"/>
        </w:rPr>
        <w:t>3</w:t>
      </w:r>
      <w:r>
        <w:rPr/>
        <w:t>）产品和服务的质量优势 自公司成立以来，对产品质量精益求精，以打造低成本、高质量、快速响应的供应链管理体系为核心价值，公司一方</w:t>
      </w:r>
    </w:p>
    <w:p>
      <w:pPr>
        <w:pStyle w:val="BodyText"/>
        <w:spacing w:line="477" w:lineRule="auto" w:before="74"/>
        <w:ind w:right="1130"/>
        <w:jc w:val="both"/>
      </w:pPr>
      <w:r>
        <w:rPr>
          <w:spacing w:val="-2"/>
        </w:rPr>
        <w:t>面通过生产效率提升、生产直通率提升、工艺优化等活动与项目，在保障产品高效安全的前提下，进一步提升整体工效与品</w:t>
      </w:r>
      <w:r>
        <w:rPr>
          <w:spacing w:val="-65"/>
        </w:rPr>
        <w:t> </w:t>
      </w:r>
      <w:r>
        <w:rPr>
          <w:spacing w:val="-65"/>
        </w:rPr>
      </w:r>
      <w:r>
        <w:rPr>
          <w:spacing w:val="-2"/>
        </w:rPr>
        <w:t>质；另一方面，公司通过不断推动研发创新，持续优化产品成本，确保产品开发能够如期高质量的实现交付；增值服务体系</w:t>
      </w:r>
      <w:r>
        <w:rPr>
          <w:spacing w:val="-67"/>
        </w:rPr>
        <w:t> </w:t>
      </w:r>
      <w:r>
        <w:rPr>
          <w:spacing w:val="-67"/>
        </w:rPr>
      </w:r>
      <w:r>
        <w:rPr>
          <w:spacing w:val="-2"/>
        </w:rPr>
        <w:t>进一步完善，在快速响应客户服务需求的同时，为创新业务延伸拓展提供了充分的资源保障。公司已在全国范围内设立多个</w:t>
      </w:r>
      <w:r>
        <w:rPr>
          <w:spacing w:val="-63"/>
        </w:rPr>
        <w:t> </w:t>
      </w:r>
      <w:r>
        <w:rPr>
          <w:spacing w:val="-63"/>
        </w:rPr>
      </w:r>
      <w:r>
        <w:rPr/>
        <w:t>服务点，覆盖全国</w:t>
      </w:r>
      <w:r>
        <w:rPr>
          <w:rFonts w:ascii="宋体" w:hAnsi="宋体" w:cs="宋体" w:eastAsia="宋体" w:hint="default"/>
        </w:rPr>
        <w:t>340</w:t>
      </w:r>
      <w:r>
        <w:rPr/>
        <w:t>个城市（含港澳台）及多个海外地区办事处，主要为响应客户对支付服务及增值服务的需求。同时，</w:t>
      </w:r>
      <w:r>
        <w:rPr>
          <w:spacing w:val="-85"/>
        </w:rPr>
        <w:t> </w:t>
      </w:r>
      <w:r>
        <w:rPr>
          <w:spacing w:val="-85"/>
        </w:rPr>
      </w:r>
      <w:r>
        <w:rPr>
          <w:spacing w:val="-2"/>
        </w:rPr>
        <w:t>公司积极运用技术手段推进服务创新，自主开发了服务管理及风控管理平台，人均服务效能不断提升。庞大的服务网络以及</w:t>
      </w:r>
      <w:r>
        <w:rPr>
          <w:spacing w:val="-63"/>
        </w:rPr>
        <w:t> </w:t>
      </w:r>
      <w:r>
        <w:rPr>
          <w:spacing w:val="-63"/>
        </w:rPr>
      </w:r>
      <w:r>
        <w:rPr>
          <w:spacing w:val="-2"/>
        </w:rPr>
        <w:t>智能化的服务管理和风控管理平台，不仅保障公司的终端机具维保服务、增值服务收入稳定增长，而且促进公司不断挖掘产</w:t>
      </w:r>
      <w:r>
        <w:rPr>
          <w:spacing w:val="-63"/>
        </w:rPr>
        <w:t> </w:t>
      </w:r>
      <w:r>
        <w:rPr>
          <w:spacing w:val="-63"/>
        </w:rPr>
      </w:r>
      <w:r>
        <w:rPr/>
        <w:t>业链价值、延伸拓展多领域创新业务。</w:t>
      </w:r>
    </w:p>
    <w:p>
      <w:pPr>
        <w:pStyle w:val="BodyText"/>
        <w:spacing w:line="451" w:lineRule="auto" w:before="54"/>
        <w:ind w:left="573" w:right="1033" w:hanging="420"/>
        <w:jc w:val="left"/>
      </w:pPr>
      <w:r>
        <w:rPr/>
        <w:t>（</w:t>
      </w:r>
      <w:r>
        <w:rPr>
          <w:rFonts w:ascii="Times New Roman" w:hAnsi="Times New Roman" w:cs="Times New Roman" w:eastAsia="Times New Roman" w:hint="default"/>
        </w:rPr>
        <w:t>4</w:t>
      </w:r>
      <w:r>
        <w:rPr/>
        <w:t>）知识产权及技术优势 公司始终坚持自主研发道路，在产品和技术研发方面持续加大投入。截至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日，公司取得专利、计算机软</w:t>
      </w:r>
    </w:p>
    <w:p>
      <w:pPr>
        <w:pStyle w:val="BodyText"/>
        <w:spacing w:line="451" w:lineRule="auto" w:before="43"/>
        <w:ind w:right="1130"/>
        <w:jc w:val="both"/>
      </w:pPr>
      <w:r>
        <w:rPr/>
        <w:t>件著作权及软件产品等研发成果如下：获得专利</w:t>
      </w:r>
      <w:r>
        <w:rPr>
          <w:rFonts w:ascii="Times New Roman" w:hAnsi="Times New Roman" w:cs="Times New Roman" w:eastAsia="Times New Roman" w:hint="default"/>
        </w:rPr>
        <w:t>226</w:t>
      </w:r>
      <w:r>
        <w:rPr/>
        <w:t>项，其中发明专利</w:t>
      </w:r>
      <w:r>
        <w:rPr>
          <w:rFonts w:ascii="Times New Roman" w:hAnsi="Times New Roman" w:cs="Times New Roman" w:eastAsia="Times New Roman" w:hint="default"/>
        </w:rPr>
        <w:t>63</w:t>
      </w:r>
      <w:r>
        <w:rPr/>
        <w:t>项，国际专利</w:t>
      </w:r>
      <w:r>
        <w:rPr>
          <w:rFonts w:ascii="Times New Roman" w:hAnsi="Times New Roman" w:cs="Times New Roman" w:eastAsia="Times New Roman" w:hint="default"/>
        </w:rPr>
        <w:t>4</w:t>
      </w:r>
      <w:r>
        <w:rPr/>
        <w:t>项；获得软件著作权证书</w:t>
      </w:r>
      <w:r>
        <w:rPr>
          <w:rFonts w:ascii="Times New Roman" w:hAnsi="Times New Roman" w:cs="Times New Roman" w:eastAsia="Times New Roman" w:hint="default"/>
        </w:rPr>
        <w:t>319</w:t>
      </w:r>
      <w:r>
        <w:rPr/>
        <w:t>项，拥</w:t>
      </w:r>
      <w:r>
        <w:rPr>
          <w:spacing w:val="-85"/>
        </w:rPr>
        <w:t> </w:t>
      </w:r>
      <w:r>
        <w:rPr/>
        <w:t>有商标</w:t>
      </w:r>
      <w:r>
        <w:rPr>
          <w:rFonts w:ascii="Times New Roman" w:hAnsi="Times New Roman" w:cs="Times New Roman" w:eastAsia="Times New Roman" w:hint="default"/>
        </w:rPr>
        <w:t>130</w:t>
      </w:r>
      <w:r>
        <w:rPr/>
        <w:t>项。上述科研成果为公司的持续发展保驾护航，成为公司的核心竞争力之一。</w:t>
      </w:r>
    </w:p>
    <w:p>
      <w:pPr>
        <w:pStyle w:val="BodyText"/>
        <w:spacing w:line="470" w:lineRule="auto" w:before="43"/>
        <w:ind w:right="1130" w:firstLine="420"/>
        <w:jc w:val="both"/>
      </w:pPr>
      <w:r>
        <w:rPr/>
        <w:t>公司自主开发独立架构的支付服务系统，面向多业务模式、高频交易的业务需求，基于分布式微服务架构体系的支付 </w:t>
      </w:r>
      <w:r>
        <w:rPr>
          <w:spacing w:val="-2"/>
        </w:rPr>
        <w:t>交易处理和服务平台，系统已完成跨城多活中心容灾体系建设来防范不可控风险，大大增强支付系统的容灾容错、可伸缩及</w:t>
      </w:r>
      <w:r>
        <w:rPr>
          <w:spacing w:val="-63"/>
        </w:rPr>
        <w:t> </w:t>
      </w:r>
      <w:r>
        <w:rPr>
          <w:spacing w:val="-63"/>
        </w:rPr>
      </w:r>
      <w:r>
        <w:rPr/>
        <w:t>高并发处理能力，实现系统</w:t>
      </w:r>
      <w:r>
        <w:rPr>
          <w:rFonts w:ascii="Times New Roman" w:hAnsi="Times New Roman" w:cs="Times New Roman" w:eastAsia="Times New Roman" w:hint="default"/>
        </w:rPr>
        <w:t>RTO</w:t>
      </w:r>
      <w:r>
        <w:rPr/>
        <w:t>于</w:t>
      </w:r>
      <w:r>
        <w:rPr>
          <w:rFonts w:ascii="Times New Roman" w:hAnsi="Times New Roman" w:cs="Times New Roman" w:eastAsia="Times New Roman" w:hint="default"/>
        </w:rPr>
        <w:t>60s</w:t>
      </w:r>
      <w:r>
        <w:rPr/>
        <w:t>以内，应用容器化率</w:t>
      </w:r>
      <w:r>
        <w:rPr>
          <w:rFonts w:ascii="Times New Roman" w:hAnsi="Times New Roman" w:cs="Times New Roman" w:eastAsia="Times New Roman" w:hint="default"/>
        </w:rPr>
        <w:t>96%</w:t>
      </w:r>
      <w:r>
        <w:rPr/>
        <w:t>以上，多维度保障平台的正常运转与数据安全可靠，具备为</w:t>
      </w:r>
      <w:r>
        <w:rPr>
          <w:spacing w:val="-42"/>
        </w:rPr>
        <w:t> </w:t>
      </w:r>
      <w:r>
        <w:rPr>
          <w:spacing w:val="-42"/>
        </w:rPr>
      </w:r>
      <w:r>
        <w:rPr>
          <w:spacing w:val="-2"/>
        </w:rPr>
        <w:t>千万级商户和亿级个人用户提供各种支付及增值服务的能力，满足公司现有及可预见未来的业务及发展需求。随着电子支付</w:t>
      </w:r>
      <w:r>
        <w:rPr>
          <w:spacing w:val="-64"/>
        </w:rPr>
        <w:t> </w:t>
      </w:r>
      <w:r>
        <w:rPr>
          <w:spacing w:val="-64"/>
        </w:rPr>
      </w:r>
      <w:r>
        <w:rPr>
          <w:spacing w:val="-2"/>
        </w:rPr>
        <w:t>服务行业的监管要求不断提升和变化，欺诈行为模式日益复杂，公司建设了基于大数据、实时流计算的风控系统，具备反欺</w:t>
      </w:r>
    </w:p>
    <w:p>
      <w:pPr>
        <w:spacing w:after="0" w:line="470"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033"/>
        <w:jc w:val="left"/>
      </w:pPr>
      <w:r>
        <w:rPr>
          <w:spacing w:val="-1"/>
        </w:rPr>
        <w:t>诈风控、反洗钱风控的能力。风控系统处理能力目前达到</w:t>
      </w:r>
      <w:r>
        <w:rPr>
          <w:rFonts w:ascii="Times New Roman" w:hAnsi="Times New Roman" w:cs="Times New Roman" w:eastAsia="Times New Roman" w:hint="default"/>
          <w:spacing w:val="-1"/>
        </w:rPr>
        <w:t>10000TPS</w:t>
      </w:r>
      <w:r>
        <w:rPr>
          <w:spacing w:val="-1"/>
        </w:rPr>
        <w:t>、实现高风险拦截</w:t>
      </w:r>
      <w:r>
        <w:rPr>
          <w:rFonts w:ascii="Times New Roman" w:hAnsi="Times New Roman" w:cs="Times New Roman" w:eastAsia="Times New Roman" w:hint="default"/>
          <w:spacing w:val="-1"/>
        </w:rPr>
        <w:t>100ms</w:t>
      </w:r>
      <w:r>
        <w:rPr>
          <w:spacing w:val="-1"/>
        </w:rPr>
        <w:t>以内，准实时规则能够在</w:t>
      </w:r>
      <w:r>
        <w:rPr>
          <w:rFonts w:ascii="Times New Roman" w:hAnsi="Times New Roman" w:cs="Times New Roman" w:eastAsia="Times New Roman" w:hint="default"/>
          <w:spacing w:val="-1"/>
        </w:rPr>
        <w:t>1s</w:t>
      </w:r>
      <w:r>
        <w:rPr>
          <w:spacing w:val="-1"/>
        </w:rPr>
        <w:t>以内</w:t>
      </w:r>
      <w:r>
        <w:rPr>
          <w:spacing w:val="-82"/>
        </w:rPr>
        <w:t> </w:t>
      </w:r>
      <w:r>
        <w:rPr/>
        <w:t>执行管控；对于伪卡、盗刷等主流作案手法监控覆盖率达</w:t>
      </w:r>
      <w:r>
        <w:rPr>
          <w:rFonts w:ascii="Times New Roman" w:hAnsi="Times New Roman" w:cs="Times New Roman" w:eastAsia="Times New Roman" w:hint="default"/>
        </w:rPr>
        <w:t>96%</w:t>
      </w:r>
      <w:r>
        <w:rPr/>
        <w:t>；业务欺诈损失率保持在百万分之一的水平。</w:t>
      </w:r>
    </w:p>
    <w:p>
      <w:pPr>
        <w:pStyle w:val="BodyText"/>
        <w:spacing w:line="451" w:lineRule="auto" w:before="43"/>
        <w:ind w:left="573" w:right="1033" w:hanging="420"/>
        <w:jc w:val="left"/>
      </w:pPr>
      <w:r>
        <w:rPr/>
        <w:t>（</w:t>
      </w:r>
      <w:r>
        <w:rPr>
          <w:rFonts w:ascii="Times New Roman" w:hAnsi="Times New Roman" w:cs="Times New Roman" w:eastAsia="Times New Roman" w:hint="default"/>
        </w:rPr>
        <w:t>5</w:t>
      </w:r>
      <w:r>
        <w:rPr/>
        <w:t>）支付服务牌照优势及出色的增值服务能力，具有支付产业链布局优势 公司于</w:t>
      </w:r>
      <w:r>
        <w:rPr>
          <w:rFonts w:ascii="Times New Roman" w:hAnsi="Times New Roman" w:cs="Times New Roman" w:eastAsia="Times New Roman" w:hint="default"/>
        </w:rPr>
        <w:t>2017</w:t>
      </w:r>
      <w:r>
        <w:rPr/>
        <w:t>年收购嘉联支付后，新国都和嘉联支付同在支付产业链上，具有天然的协同性，鉴于双方具有长期的合作</w:t>
      </w:r>
    </w:p>
    <w:p>
      <w:pPr>
        <w:pStyle w:val="BodyText"/>
        <w:spacing w:line="477" w:lineRule="auto" w:before="43"/>
        <w:ind w:right="1130"/>
        <w:jc w:val="both"/>
      </w:pPr>
      <w:r>
        <w:rPr>
          <w:spacing w:val="-2"/>
        </w:rPr>
        <w:t>基础，收购完成后整合快速有效，嘉联支付充分展现支付服务牌照优势和较为强大的增值服务、运营服务能力；其次，公司</w:t>
      </w:r>
      <w:r>
        <w:rPr>
          <w:spacing w:val="-65"/>
        </w:rPr>
        <w:t> </w:t>
      </w:r>
      <w:r>
        <w:rPr>
          <w:spacing w:val="-65"/>
        </w:rPr>
      </w:r>
      <w:r>
        <w:rPr>
          <w:spacing w:val="-2"/>
        </w:rPr>
        <w:t>可以利用多年的电子支付行业经验，使具备软硬件能力的子公司强强联合，从提供基础支付服务升级到支付综合服务，加强</w:t>
      </w:r>
      <w:r>
        <w:rPr>
          <w:spacing w:val="-64"/>
        </w:rPr>
        <w:t> </w:t>
      </w:r>
      <w:r>
        <w:rPr>
          <w:spacing w:val="-64"/>
        </w:rPr>
      </w:r>
      <w:r>
        <w:rPr>
          <w:spacing w:val="-2"/>
        </w:rPr>
        <w:t>商户服务投入，借助多年在电子支付行业积累的技术和客户资源，针对细分领域提供综合解决方案，建立行业壁垒，提升公</w:t>
      </w:r>
      <w:r>
        <w:rPr>
          <w:spacing w:val="-64"/>
        </w:rPr>
        <w:t> </w:t>
      </w:r>
      <w:r>
        <w:rPr>
          <w:spacing w:val="-64"/>
        </w:rPr>
      </w:r>
      <w:r>
        <w:rPr/>
        <w:t>司可持续盈利能力。</w:t>
      </w:r>
    </w:p>
    <w:p>
      <w:pPr>
        <w:pStyle w:val="BodyText"/>
        <w:spacing w:line="240" w:lineRule="auto" w:before="54"/>
        <w:ind w:right="1033"/>
        <w:jc w:val="left"/>
      </w:pPr>
      <w:r>
        <w:rPr>
          <w:rFonts w:ascii="Times New Roman" w:hAnsi="Times New Roman" w:cs="Times New Roman" w:eastAsia="Times New Roman" w:hint="default"/>
        </w:rPr>
        <w:t>2</w:t>
      </w:r>
      <w:r>
        <w:rPr/>
        <w:t>、公司的主要困难</w:t>
      </w:r>
    </w:p>
    <w:p>
      <w:pPr>
        <w:spacing w:line="240" w:lineRule="auto" w:before="9"/>
        <w:rPr>
          <w:rFonts w:ascii="宋体" w:hAnsi="宋体" w:cs="宋体" w:eastAsia="宋体" w:hint="default"/>
          <w:sz w:val="16"/>
          <w:szCs w:val="16"/>
        </w:rPr>
      </w:pPr>
    </w:p>
    <w:p>
      <w:pPr>
        <w:pStyle w:val="BodyText"/>
        <w:spacing w:line="468" w:lineRule="auto"/>
        <w:ind w:right="1129" w:firstLine="420"/>
        <w:jc w:val="both"/>
      </w:pPr>
      <w:r>
        <w:rPr>
          <w:spacing w:val="-1"/>
        </w:rPr>
        <w:t>（</w:t>
      </w:r>
      <w:r>
        <w:rPr>
          <w:rFonts w:ascii="Times New Roman" w:hAnsi="Times New Roman" w:cs="Times New Roman" w:eastAsia="Times New Roman" w:hint="default"/>
          <w:spacing w:val="-1"/>
        </w:rPr>
        <w:t>1</w:t>
      </w:r>
      <w:r>
        <w:rPr>
          <w:spacing w:val="-1"/>
        </w:rPr>
        <w:t>）资金相对紧缺，长期需储备资金以支持公司业务战略转型发展。公司在技术和产品研发投入、市场拓展、服务模</w:t>
      </w:r>
      <w:r>
        <w:rPr/>
        <w:t> </w:t>
      </w:r>
      <w:r>
        <w:rPr>
          <w:spacing w:val="-2"/>
        </w:rPr>
        <w:t>式创新、外延扩张并购等方面都需要加大资金投入，但公司账上自有资金不足以支撑公司快速发展，公司需要结合不同融资</w:t>
      </w:r>
      <w:r>
        <w:rPr>
          <w:spacing w:val="-63"/>
        </w:rPr>
        <w:t> </w:t>
      </w:r>
      <w:r>
        <w:rPr>
          <w:spacing w:val="-63"/>
        </w:rPr>
      </w:r>
      <w:r>
        <w:rPr>
          <w:spacing w:val="-2"/>
        </w:rPr>
        <w:t>手段、通过优化资本结构合理进行融资规划，以支持公司业务快速发展，唯有如此，才能使公司抓住市场机会，完成业务的</w:t>
      </w:r>
      <w:r>
        <w:rPr>
          <w:spacing w:val="-67"/>
        </w:rPr>
        <w:t> </w:t>
      </w:r>
      <w:r>
        <w:rPr>
          <w:spacing w:val="-67"/>
        </w:rPr>
      </w:r>
      <w:r>
        <w:rPr/>
        <w:t>跨越式大发展。</w:t>
      </w:r>
    </w:p>
    <w:p>
      <w:pPr>
        <w:pStyle w:val="BodyText"/>
        <w:spacing w:line="451" w:lineRule="auto" w:before="62"/>
        <w:ind w:right="1079" w:firstLine="420"/>
        <w:jc w:val="both"/>
      </w:pPr>
      <w:r>
        <w:rPr/>
        <w:t>（</w:t>
      </w:r>
      <w:r>
        <w:rPr>
          <w:rFonts w:ascii="Times New Roman" w:hAnsi="Times New Roman" w:cs="Times New Roman" w:eastAsia="Times New Roman" w:hint="default"/>
        </w:rPr>
        <w:t>2</w:t>
      </w:r>
      <w:r>
        <w:rPr/>
        <w:t>）海外市场资源不足，需要进一步加大海外市场的投入。公司由于长期专注于国内市场，开拓海外市场时间较晚， 海外市场业务的经验仍然是短板，公司将计划在未来两年加大海外市场的投入，建设相对完善的海外营销服务体系。</w:t>
      </w:r>
    </w:p>
    <w:p>
      <w:pPr>
        <w:pStyle w:val="BodyText"/>
        <w:spacing w:line="463" w:lineRule="auto" w:before="74"/>
        <w:ind w:right="1130" w:firstLine="420"/>
        <w:jc w:val="both"/>
      </w:pPr>
      <w:r>
        <w:rPr>
          <w:spacing w:val="-1"/>
        </w:rPr>
        <w:t>（</w:t>
      </w:r>
      <w:r>
        <w:rPr>
          <w:rFonts w:ascii="Times New Roman" w:hAnsi="Times New Roman" w:cs="Times New Roman" w:eastAsia="Times New Roman" w:hint="default"/>
          <w:spacing w:val="-1"/>
        </w:rPr>
        <w:t>3</w:t>
      </w:r>
      <w:r>
        <w:rPr>
          <w:spacing w:val="-1"/>
        </w:rPr>
        <w:t>）管理能力不足成为制约公司发展的重要因素。虽然公司一直非常关注企业管理升级，但随着电子支付行业与互联</w:t>
      </w:r>
      <w:r>
        <w:rPr/>
        <w:t> </w:t>
      </w:r>
      <w:r>
        <w:rPr>
          <w:spacing w:val="-2"/>
        </w:rPr>
        <w:t>网行业等其他行业的融合加快，电子支付技术更新换代的速度加快，新业务与传统生产制造业的业务流程存在明显差异，公</w:t>
      </w:r>
      <w:r>
        <w:rPr>
          <w:spacing w:val="-63"/>
        </w:rPr>
        <w:t> </w:t>
      </w:r>
      <w:r>
        <w:rPr>
          <w:spacing w:val="-63"/>
        </w:rPr>
      </w:r>
      <w:r>
        <w:rPr>
          <w:spacing w:val="-2"/>
        </w:rPr>
        <w:t>司需要深刻理解和把握行业变化趋势、互联网市场机会的技术、市场和管理人才团队，尤其是优秀的运营人才和团队，成为</w:t>
      </w:r>
      <w:r>
        <w:rPr>
          <w:spacing w:val="-64"/>
        </w:rPr>
        <w:t> </w:t>
      </w:r>
      <w:r>
        <w:rPr>
          <w:spacing w:val="-64"/>
        </w:rPr>
      </w:r>
      <w:r>
        <w:rPr>
          <w:spacing w:val="-2"/>
        </w:rPr>
        <w:t>制约公司市场创新、产品和技术创新、管理创新的关键因素。与从业者平均年龄低于</w:t>
      </w:r>
      <w:r>
        <w:rPr>
          <w:rFonts w:ascii="Times New Roman" w:hAnsi="Times New Roman" w:cs="Times New Roman" w:eastAsia="Times New Roman" w:hint="default"/>
          <w:spacing w:val="-2"/>
        </w:rPr>
        <w:t>30</w:t>
      </w:r>
      <w:r>
        <w:rPr>
          <w:spacing w:val="-2"/>
        </w:rPr>
        <w:t>岁的互联网公司相比，公司面临提高</w:t>
      </w:r>
      <w:r>
        <w:rPr>
          <w:spacing w:val="-61"/>
        </w:rPr>
        <w:t> </w:t>
      </w:r>
      <w:r>
        <w:rPr>
          <w:spacing w:val="-61"/>
        </w:rPr>
      </w:r>
      <w:r>
        <w:rPr/>
        <w:t>人均效能、压缩管理层级等管理课题。</w:t>
      </w:r>
    </w:p>
    <w:p>
      <w:pPr>
        <w:pStyle w:val="BodyText"/>
        <w:spacing w:line="463" w:lineRule="auto" w:before="65"/>
        <w:ind w:right="1044" w:firstLine="420"/>
        <w:jc w:val="both"/>
      </w:pPr>
      <w:r>
        <w:rPr/>
        <w:t>（</w:t>
      </w:r>
      <w:r>
        <w:rPr>
          <w:rFonts w:ascii="Times New Roman" w:hAnsi="Times New Roman" w:cs="Times New Roman" w:eastAsia="Times New Roman" w:hint="default"/>
        </w:rPr>
        <w:t>4</w:t>
      </w:r>
      <w:r>
        <w:rPr/>
        <w:t>）围绕企业发展和投融资服务的综合财务管理能力亟待升级。随着公司业务和战略落地，将增大对于资金的需求， </w:t>
      </w:r>
      <w:r>
        <w:rPr>
          <w:spacing w:val="-2"/>
        </w:rPr>
        <w:t>对新国都的财务管理和风险控制提出了全新的挑战。新国都会在合理安排自有资金基础上，利用多层次的资本市场，开展全</w:t>
      </w:r>
      <w:r>
        <w:rPr>
          <w:spacing w:val="-66"/>
        </w:rPr>
        <w:t> </w:t>
      </w:r>
      <w:r>
        <w:rPr>
          <w:spacing w:val="-66"/>
        </w:rPr>
      </w:r>
      <w:r>
        <w:rPr>
          <w:spacing w:val="-4"/>
        </w:rPr>
        <w:t>方位的融资规划，控制公司的财务风险，以确保公司未来发展资金需求，为公司的长远发展奠定基础，为股东创造最大效益。</w:t>
      </w:r>
    </w:p>
    <w:p>
      <w:pPr>
        <w:pStyle w:val="BodyText"/>
        <w:spacing w:line="403" w:lineRule="auto" w:before="7"/>
        <w:ind w:left="573" w:right="1033" w:hanging="420"/>
        <w:jc w:val="left"/>
      </w:pPr>
      <w:r>
        <w:rPr>
          <w:rFonts w:ascii="Microsoft JhengHei" w:hAnsi="Microsoft JhengHei" w:cs="Microsoft JhengHei" w:eastAsia="Microsoft JhengHei" w:hint="default"/>
          <w:b/>
          <w:bCs/>
        </w:rPr>
        <w:t>（三）公司未来发展战略</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t>公司未来发展战略是作为公司业务长远稳健发展以及核心资源布局的蓝图，公司未来几年的经营计划都将围绕着该战</w:t>
      </w:r>
    </w:p>
    <w:p>
      <w:pPr>
        <w:pStyle w:val="BodyText"/>
        <w:spacing w:line="463" w:lineRule="auto" w:before="110"/>
        <w:ind w:right="1033"/>
        <w:jc w:val="left"/>
      </w:pPr>
      <w:r>
        <w:rPr>
          <w:spacing w:val="-2"/>
        </w:rPr>
        <w:t>略来进行规划和实施。</w:t>
      </w:r>
      <w:r>
        <w:rPr>
          <w:rFonts w:ascii="Times New Roman" w:hAnsi="Times New Roman" w:cs="Times New Roman" w:eastAsia="Times New Roman" w:hint="default"/>
          <w:spacing w:val="-2"/>
        </w:rPr>
        <w:t>2017</w:t>
      </w:r>
      <w:r>
        <w:rPr>
          <w:spacing w:val="-2"/>
        </w:rPr>
        <w:t>年公司结合实际情况的变化，将公司战略框架深化为</w:t>
      </w:r>
      <w:r>
        <w:rPr>
          <w:rFonts w:ascii="Times New Roman" w:hAnsi="Times New Roman" w:cs="Times New Roman" w:eastAsia="Times New Roman" w:hint="default"/>
          <w:spacing w:val="-2"/>
        </w:rPr>
        <w:t>“</w:t>
      </w:r>
      <w:r>
        <w:rPr>
          <w:spacing w:val="-2"/>
        </w:rPr>
        <w:t>整合电子支付产业链，抓住行业变革潮流，</w:t>
      </w:r>
      <w:r>
        <w:rPr>
          <w:spacing w:val="-52"/>
        </w:rPr>
        <w:t> </w:t>
      </w:r>
      <w:r>
        <w:rPr>
          <w:spacing w:val="-52"/>
        </w:rPr>
      </w:r>
      <w:r>
        <w:rPr/>
        <w:t>开拓创新盈利模式</w:t>
      </w:r>
      <w:r>
        <w:rPr>
          <w:rFonts w:ascii="Times New Roman" w:hAnsi="Times New Roman" w:cs="Times New Roman" w:eastAsia="Times New Roman" w:hint="default"/>
        </w:rPr>
        <w:t>”</w:t>
      </w:r>
      <w:r>
        <w:rPr/>
        <w:t>，之后几年通过内生增长和外延并购，逐步将该战略落地夯实。</w:t>
      </w:r>
      <w:r>
        <w:rPr>
          <w:rFonts w:ascii="Times New Roman" w:hAnsi="Times New Roman" w:cs="Times New Roman" w:eastAsia="Times New Roman" w:hint="default"/>
        </w:rPr>
        <w:t>2019</w:t>
      </w:r>
      <w:r>
        <w:rPr/>
        <w:t>年，在公司战略逐步推进落地和加</w:t>
      </w:r>
      <w:r>
        <w:rPr>
          <w:spacing w:val="-76"/>
        </w:rPr>
        <w:t> </w:t>
      </w:r>
      <w:r>
        <w:rPr>
          <w:spacing w:val="-76"/>
        </w:rPr>
      </w:r>
      <w:r>
        <w:rPr>
          <w:spacing w:val="-2"/>
        </w:rPr>
        <w:t>强内控管理的背景下，加大各业务板块之间的协同合作，突出产业链上下游整合优势，积极把握市场新机会，通过创新的服</w:t>
      </w:r>
      <w:r>
        <w:rPr>
          <w:spacing w:val="-65"/>
        </w:rPr>
        <w:t> </w:t>
      </w:r>
      <w:r>
        <w:rPr>
          <w:spacing w:val="-65"/>
        </w:rPr>
      </w:r>
      <w:r>
        <w:rPr>
          <w:spacing w:val="-2"/>
        </w:rPr>
        <w:t>务和产品以及不断探索和吸收新的商业模式来提升公司整体盈利能力和抗风险能力，公司支付硬件的国内外市场开拓、支付</w:t>
      </w:r>
      <w:r>
        <w:rPr>
          <w:spacing w:val="-65"/>
        </w:rPr>
        <w:t> </w:t>
      </w:r>
      <w:r>
        <w:rPr>
          <w:spacing w:val="-65"/>
        </w:rPr>
      </w:r>
      <w:r>
        <w:rPr/>
        <w:t>收单业务和商户增值服务等领域保持积极拓展和稳定增长的态势。</w:t>
      </w:r>
    </w:p>
    <w:p>
      <w:pPr>
        <w:spacing w:after="0" w:line="463"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573" w:right="1033"/>
        <w:jc w:val="left"/>
      </w:pPr>
      <w:r>
        <w:rPr>
          <w:rFonts w:ascii="Times New Roman" w:hAnsi="Times New Roman" w:cs="Times New Roman" w:eastAsia="Times New Roman" w:hint="default"/>
        </w:rPr>
        <w:t>2019</w:t>
      </w:r>
      <w:r>
        <w:rPr/>
        <w:t>年，公司主要从以下几个方面贯彻实施了该战略框架： 促进公司核心资源转变为可持续盈利能力。电子支付行业近年来不断创新演变，仍然在高速发展变革时期，产业链上</w:t>
      </w:r>
    </w:p>
    <w:p>
      <w:pPr>
        <w:pStyle w:val="BodyText"/>
        <w:spacing w:line="477" w:lineRule="auto" w:before="74"/>
        <w:ind w:right="1128"/>
        <w:jc w:val="both"/>
      </w:pPr>
      <w:r>
        <w:rPr>
          <w:spacing w:val="-2"/>
        </w:rPr>
        <w:t>下游以及相关行业、软硬件技术的整合趋势不断加强。公司追求围绕产业并购后的整合效益，通过业务、财务、人员、技术</w:t>
      </w:r>
      <w:r>
        <w:rPr>
          <w:spacing w:val="-70"/>
        </w:rPr>
        <w:t> </w:t>
      </w:r>
      <w:r>
        <w:rPr>
          <w:spacing w:val="-70"/>
        </w:rPr>
      </w:r>
      <w:r>
        <w:rPr>
          <w:spacing w:val="-2"/>
        </w:rPr>
        <w:t>资源的持续整合，增强了公司多元化盈利能力和抗风险能力；利用公司多年的电子支付行业经验，具备软硬件能力的子公司</w:t>
      </w:r>
      <w:r>
        <w:rPr>
          <w:spacing w:val="-62"/>
        </w:rPr>
        <w:t> </w:t>
      </w:r>
      <w:r>
        <w:rPr>
          <w:spacing w:val="-62"/>
        </w:rPr>
      </w:r>
      <w:r>
        <w:rPr/>
        <w:t>强强联合，以融合支付为基础，继续挖掘产业链上下游新的商业机会，促进公司核心资源的盈利变现。</w:t>
      </w:r>
    </w:p>
    <w:p>
      <w:pPr>
        <w:pStyle w:val="BodyText"/>
        <w:spacing w:line="460" w:lineRule="auto" w:before="54"/>
        <w:ind w:right="1033" w:firstLine="420"/>
        <w:jc w:val="left"/>
      </w:pPr>
      <w:r>
        <w:rPr/>
        <w:t>拓展综合增值服务，追求商业模式转型。随着产业数字化转型的深入</w:t>
      </w:r>
      <w:r>
        <w:rPr>
          <w:rFonts w:ascii="Times New Roman" w:hAnsi="Times New Roman" w:cs="Times New Roman" w:eastAsia="Times New Roman" w:hint="default"/>
        </w:rPr>
        <w:t>,</w:t>
      </w:r>
      <w:r>
        <w:rPr/>
        <w:t>各行业对支付服务的要求更宽泛、更个性化</w:t>
      </w:r>
      <w:r>
        <w:rPr>
          <w:rFonts w:ascii="Times New Roman" w:hAnsi="Times New Roman" w:cs="Times New Roman" w:eastAsia="Times New Roman" w:hint="default"/>
        </w:rPr>
        <w:t>,</w:t>
      </w:r>
      <w:r>
        <w:rPr/>
        <w:t>围绕 </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战略提供全维度的企业经营所需的各类服务，而第三方支付机构在商户资源方面的竞争尤为激烈，公司从提供基础</w:t>
      </w:r>
      <w:r>
        <w:rPr>
          <w:spacing w:val="-75"/>
        </w:rPr>
        <w:t> </w:t>
      </w:r>
      <w:r>
        <w:rPr>
          <w:spacing w:val="-75"/>
        </w:rPr>
      </w:r>
      <w:r>
        <w:rPr>
          <w:spacing w:val="-4"/>
        </w:rPr>
        <w:t>支付服务升级到支付综合服务，弱化商户手续费概念，加强商户服务投入，借助多年在电子支付行业积累的技术和客户资源，</w:t>
      </w:r>
      <w:r>
        <w:rPr>
          <w:spacing w:val="-44"/>
        </w:rPr>
        <w:t> </w:t>
      </w:r>
      <w:r>
        <w:rPr>
          <w:spacing w:val="-44"/>
        </w:rPr>
      </w:r>
      <w:r>
        <w:rPr/>
        <w:t>针对细分领域提供综合解决方案，建立行业壁垒，提升公司可持续盈利能力。</w:t>
      </w:r>
    </w:p>
    <w:p>
      <w:pPr>
        <w:pStyle w:val="BodyText"/>
        <w:spacing w:line="470" w:lineRule="auto" w:before="67"/>
        <w:ind w:right="1129" w:firstLine="420"/>
        <w:jc w:val="both"/>
      </w:pPr>
      <w:r>
        <w:rPr/>
        <w:t>公司管理变革增效，加强公司资源整合协同。随着行业快速发展、公司战略重心和商业模式的变化，对公司管理团队 </w:t>
      </w:r>
      <w:r>
        <w:rPr>
          <w:spacing w:val="-2"/>
        </w:rPr>
        <w:t>的能力提出了新的要求，</w:t>
      </w:r>
      <w:r>
        <w:rPr>
          <w:rFonts w:ascii="Times New Roman" w:hAnsi="Times New Roman" w:cs="Times New Roman" w:eastAsia="Times New Roman" w:hint="default"/>
          <w:spacing w:val="-2"/>
        </w:rPr>
        <w:t>2019</w:t>
      </w:r>
      <w:r>
        <w:rPr>
          <w:spacing w:val="-2"/>
        </w:rPr>
        <w:t>年公司着手管理架构的变革和重塑，引入新的高层管理人员，利用互联网思维改造传统管理模</w:t>
      </w:r>
      <w:r>
        <w:rPr>
          <w:spacing w:val="-60"/>
        </w:rPr>
        <w:t> </w:t>
      </w:r>
      <w:r>
        <w:rPr>
          <w:spacing w:val="-60"/>
        </w:rPr>
      </w:r>
      <w:r>
        <w:rPr>
          <w:spacing w:val="-2"/>
        </w:rPr>
        <w:t>式和优化公司管理制度，提高公司管理效率。同时，为了更好地满足公司战略转型对各类人才的需求，公司计划持续在相关</w:t>
      </w:r>
      <w:r>
        <w:rPr>
          <w:spacing w:val="-64"/>
        </w:rPr>
        <w:t> </w:t>
      </w:r>
      <w:r>
        <w:rPr>
          <w:spacing w:val="-64"/>
        </w:rPr>
      </w:r>
      <w:r>
        <w:rPr>
          <w:spacing w:val="-2"/>
        </w:rPr>
        <w:t>领域培养和招募专业人才，优化调整组织架构，通过建立长效的人才引进、激励机制，以业绩为导向激励团队，激发各个板</w:t>
      </w:r>
      <w:r>
        <w:rPr>
          <w:spacing w:val="-67"/>
        </w:rPr>
        <w:t> </w:t>
      </w:r>
      <w:r>
        <w:rPr>
          <w:spacing w:val="-67"/>
        </w:rPr>
      </w:r>
      <w:r>
        <w:rPr/>
        <w:t>块协同性和全员积极性。</w:t>
      </w:r>
    </w:p>
    <w:p>
      <w:pPr>
        <w:pStyle w:val="BodyText"/>
        <w:spacing w:line="460" w:lineRule="auto" w:before="59"/>
        <w:ind w:right="1051" w:firstLine="420"/>
        <w:jc w:val="left"/>
      </w:pPr>
      <w:r>
        <w:rPr>
          <w:rFonts w:ascii="Times New Roman" w:hAnsi="Times New Roman" w:cs="Times New Roman" w:eastAsia="Times New Roman" w:hint="default"/>
        </w:rPr>
        <w:t>2020</w:t>
      </w:r>
      <w:r>
        <w:rPr/>
        <w:t>年，公司将继续耕耘电子支付行业和相关领域，在公司战略框架下，制定了</w:t>
      </w:r>
      <w:r>
        <w:rPr>
          <w:rFonts w:ascii="Times New Roman" w:hAnsi="Times New Roman" w:cs="Times New Roman" w:eastAsia="Times New Roman" w:hint="default"/>
        </w:rPr>
        <w:t>“</w:t>
      </w:r>
      <w:r>
        <w:rPr/>
        <w:t>科技赋能、刚柔并济，美好生活、内 外兼具</w:t>
      </w:r>
      <w:r>
        <w:rPr>
          <w:rFonts w:ascii="Times New Roman" w:hAnsi="Times New Roman" w:cs="Times New Roman" w:eastAsia="Times New Roman" w:hint="default"/>
        </w:rPr>
        <w:t>”</w:t>
      </w:r>
      <w:r>
        <w:rPr/>
        <w:t>的发展路线，依据此路线公司将积极把握市场新机会，不断探索和融合新的技术、商业模式来发挥金融科技赋能作</w:t>
      </w:r>
      <w:r>
        <w:rPr>
          <w:spacing w:val="-76"/>
        </w:rPr>
        <w:t> </w:t>
      </w:r>
      <w:r>
        <w:rPr>
          <w:spacing w:val="-76"/>
        </w:rPr>
      </w:r>
      <w:r>
        <w:rPr/>
        <w:t>用，通过创新软硬件结合的产品和服务成为实体商业生态中</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经营</w:t>
      </w:r>
      <w:r>
        <w:rPr>
          <w:rFonts w:ascii="Times New Roman" w:hAnsi="Times New Roman" w:cs="Times New Roman" w:eastAsia="Times New Roman" w:hint="default"/>
        </w:rPr>
        <w:t>”</w:t>
      </w:r>
      <w:r>
        <w:rPr/>
        <w:t>行业解决方案的优质提供商，促进实体商业生态有</w:t>
      </w:r>
      <w:r>
        <w:rPr>
          <w:spacing w:val="-76"/>
        </w:rPr>
        <w:t> </w:t>
      </w:r>
      <w:r>
        <w:rPr>
          <w:spacing w:val="-76"/>
        </w:rPr>
      </w:r>
      <w:r>
        <w:rPr/>
        <w:t>机发展，为</w:t>
      </w:r>
      <w:r>
        <w:rPr>
          <w:rFonts w:ascii="Times New Roman" w:hAnsi="Times New Roman" w:cs="Times New Roman" w:eastAsia="Times New Roman" w:hint="default"/>
        </w:rPr>
        <w:t>“</w:t>
      </w:r>
      <w:r>
        <w:rPr/>
        <w:t>满足人民对生活美好的向往</w:t>
      </w:r>
      <w:r>
        <w:rPr>
          <w:rFonts w:ascii="Times New Roman" w:hAnsi="Times New Roman" w:cs="Times New Roman" w:eastAsia="Times New Roman" w:hint="default"/>
        </w:rPr>
        <w:t>”</w:t>
      </w:r>
      <w:r>
        <w:rPr/>
        <w:t>的伟大目标作出自己的贡献。公司主要将从以下三个方面继续深化推进战略： 科技赋能，以技术创新为先导，加强产品服务体系。</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月《金融科技（</w:t>
      </w:r>
      <w:r>
        <w:rPr>
          <w:rFonts w:ascii="Times New Roman" w:hAnsi="Times New Roman" w:cs="Times New Roman" w:eastAsia="Times New Roman" w:hint="default"/>
        </w:rPr>
        <w:t>FinTech</w:t>
      </w:r>
      <w:r>
        <w:rPr/>
        <w:t>）发展规划（</w:t>
      </w:r>
      <w:r>
        <w:rPr>
          <w:rFonts w:ascii="Times New Roman" w:hAnsi="Times New Roman" w:cs="Times New Roman" w:eastAsia="Times New Roman" w:hint="default"/>
        </w:rPr>
        <w:t>2019-2021</w:t>
      </w:r>
      <w:r>
        <w:rPr/>
        <w:t>年）》正式披</w:t>
      </w:r>
      <w:r>
        <w:rPr>
          <w:spacing w:val="-32"/>
        </w:rPr>
        <w:t> </w:t>
      </w:r>
      <w:r>
        <w:rPr>
          <w:spacing w:val="-32"/>
        </w:rPr>
      </w:r>
      <w:r>
        <w:rPr>
          <w:spacing w:val="-2"/>
        </w:rPr>
        <w:t>露，明确提出未来三年金融科技工作的总体要求、重点任务和保障措施；为支付机构发展金融科技提出了要求，同时也提供</w:t>
      </w:r>
      <w:r>
        <w:rPr>
          <w:spacing w:val="-66"/>
        </w:rPr>
        <w:t> </w:t>
      </w:r>
      <w:r>
        <w:rPr>
          <w:spacing w:val="-66"/>
        </w:rPr>
      </w:r>
      <w:r>
        <w:rPr>
          <w:spacing w:val="-2"/>
        </w:rPr>
        <w:t>了政策保障；推动支付机构在未来进一步增加金融科技投入，加强自身金融科技力量，加大金融科技服务输出。公司将利用</w:t>
      </w:r>
      <w:r>
        <w:rPr>
          <w:spacing w:val="-64"/>
        </w:rPr>
        <w:t> </w:t>
      </w:r>
      <w:r>
        <w:rPr>
          <w:spacing w:val="-64"/>
        </w:rPr>
      </w:r>
      <w:r>
        <w:rPr/>
        <w:t>多年的电子支付行业经验，以技术创新为先导、融合支付为基础，打造数字化、网络化、智能化支付产品及商户服务体系， 助力客户和行业实现数字化转型。</w:t>
      </w:r>
    </w:p>
    <w:p>
      <w:pPr>
        <w:pStyle w:val="BodyText"/>
        <w:spacing w:line="463" w:lineRule="auto" w:before="67"/>
        <w:ind w:right="1023" w:firstLine="420"/>
        <w:jc w:val="left"/>
      </w:pPr>
      <w:r>
        <w:rPr/>
        <w:t>刚柔并济，软硬开发结合，打造综合解决方案。随着世界从</w:t>
      </w:r>
      <w:r>
        <w:rPr>
          <w:rFonts w:ascii="Times New Roman" w:hAnsi="Times New Roman" w:cs="Times New Roman" w:eastAsia="Times New Roman" w:hint="default"/>
        </w:rPr>
        <w:t>“</w:t>
      </w:r>
      <w:r>
        <w:rPr/>
        <w:t>万物互联</w:t>
      </w:r>
      <w:r>
        <w:rPr>
          <w:rFonts w:ascii="Times New Roman" w:hAnsi="Times New Roman" w:cs="Times New Roman" w:eastAsia="Times New Roman" w:hint="default"/>
        </w:rPr>
        <w:t>”</w:t>
      </w:r>
      <w:r>
        <w:rPr/>
        <w:t>进入到</w:t>
      </w:r>
      <w:r>
        <w:rPr>
          <w:rFonts w:ascii="Times New Roman" w:hAnsi="Times New Roman" w:cs="Times New Roman" w:eastAsia="Times New Roman" w:hint="default"/>
        </w:rPr>
        <w:t>“</w:t>
      </w:r>
      <w:r>
        <w:rPr/>
        <w:t>万物智联</w:t>
      </w:r>
      <w:r>
        <w:rPr>
          <w:rFonts w:ascii="Times New Roman" w:hAnsi="Times New Roman" w:cs="Times New Roman" w:eastAsia="Times New Roman" w:hint="default"/>
        </w:rPr>
        <w:t>”</w:t>
      </w:r>
      <w:r>
        <w:rPr/>
        <w:t>的时代，各种智能化新技术 </w:t>
      </w:r>
      <w:r>
        <w:rPr>
          <w:spacing w:val="-2"/>
        </w:rPr>
        <w:t>从兴起到成熟，部分走到了商用，市场不再满足于传统的硬件销售与服务支持体系割裂的形式，对于终端、平台、服务等领</w:t>
      </w:r>
      <w:r>
        <w:rPr>
          <w:spacing w:val="-65"/>
        </w:rPr>
        <w:t> </w:t>
      </w:r>
      <w:r>
        <w:rPr>
          <w:spacing w:val="-65"/>
        </w:rPr>
      </w:r>
      <w:r>
        <w:rPr>
          <w:spacing w:val="-2"/>
        </w:rPr>
        <w:t>域的软硬结合、智能交互、定制服务能力的要求逐步提升，需要匹配行业智能化解决方案和丰富完善的应用开发体系。在宏</w:t>
      </w:r>
      <w:r>
        <w:rPr>
          <w:spacing w:val="-64"/>
        </w:rPr>
        <w:t> </w:t>
      </w:r>
      <w:r>
        <w:rPr>
          <w:spacing w:val="-64"/>
        </w:rPr>
      </w:r>
      <w:r>
        <w:rPr/>
        <w:t>观经济环境复杂多变，市场竞争强烈的情况下，公司仍然需要着眼于未来进行布局，我们坚持在区块链技术、</w:t>
      </w:r>
      <w:r>
        <w:rPr>
          <w:rFonts w:ascii="Times New Roman" w:hAnsi="Times New Roman" w:cs="Times New Roman" w:eastAsia="Times New Roman" w:hint="default"/>
        </w:rPr>
        <w:t>AI</w:t>
      </w:r>
      <w:r>
        <w:rPr/>
        <w:t>识别技术、 </w:t>
      </w:r>
      <w:r>
        <w:rPr>
          <w:rFonts w:ascii="Times New Roman" w:hAnsi="Times New Roman" w:cs="Times New Roman" w:eastAsia="Times New Roman" w:hint="default"/>
          <w:spacing w:val="-1"/>
        </w:rPr>
        <w:t>5G</w:t>
      </w:r>
      <w:r>
        <w:rPr>
          <w:spacing w:val="-1"/>
        </w:rPr>
        <w:t>通讯模组等新领域进行战略性投入，对数字货币相关应用技术和服务场景进行持续优化，以及持续的创新商业模式探索。</w:t>
      </w:r>
      <w:r>
        <w:rPr>
          <w:spacing w:val="-69"/>
        </w:rPr>
        <w:t> </w:t>
      </w:r>
      <w:r>
        <w:rPr>
          <w:spacing w:val="-69"/>
        </w:rPr>
      </w:r>
      <w:r>
        <w:rPr>
          <w:spacing w:val="-2"/>
        </w:rPr>
        <w:t>内外兼具，国内挖掘细分行业需求，海外建立全球业务网络。由于支付硬件的国内市场趋于稳定、海外市场布局初步成型的</w:t>
      </w:r>
      <w:r>
        <w:rPr>
          <w:spacing w:val="-65"/>
        </w:rPr>
        <w:t> </w:t>
      </w:r>
      <w:r>
        <w:rPr>
          <w:spacing w:val="-65"/>
        </w:rPr>
      </w:r>
      <w:r>
        <w:rPr>
          <w:spacing w:val="-2"/>
        </w:rPr>
        <w:t>背景下，</w:t>
      </w:r>
      <w:r>
        <w:rPr>
          <w:rFonts w:ascii="Times New Roman" w:hAnsi="Times New Roman" w:cs="Times New Roman" w:eastAsia="Times New Roman" w:hint="default"/>
          <w:spacing w:val="-2"/>
        </w:rPr>
        <w:t>2020</w:t>
      </w:r>
      <w:r>
        <w:rPr>
          <w:spacing w:val="-2"/>
        </w:rPr>
        <w:t>年继续加大力度开拓海外市场和切入国内细分定制化市场成为了新国都在传统业务的战略方向。经过过去几年</w:t>
      </w:r>
    </w:p>
    <w:p>
      <w:pPr>
        <w:spacing w:after="0" w:line="463"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040"/>
        <w:jc w:val="both"/>
      </w:pPr>
      <w:r>
        <w:rPr>
          <w:spacing w:val="-3"/>
        </w:rPr>
        <w:t>的布局，新国都已初步成功打入国际市场，借助国家</w:t>
      </w:r>
      <w:r>
        <w:rPr>
          <w:rFonts w:ascii="Times New Roman" w:hAnsi="Times New Roman" w:cs="Times New Roman" w:eastAsia="Times New Roman" w:hint="default"/>
          <w:spacing w:val="-3"/>
        </w:rPr>
        <w:t>“</w:t>
      </w:r>
      <w:r>
        <w:rPr>
          <w:spacing w:val="-3"/>
        </w:rPr>
        <w:t>一带一路</w:t>
      </w:r>
      <w:r>
        <w:rPr>
          <w:rFonts w:ascii="Times New Roman" w:hAnsi="Times New Roman" w:cs="Times New Roman" w:eastAsia="Times New Roman" w:hint="default"/>
          <w:spacing w:val="-3"/>
        </w:rPr>
        <w:t>”</w:t>
      </w:r>
      <w:r>
        <w:rPr>
          <w:spacing w:val="-3"/>
        </w:rPr>
        <w:t>政策，通过在各大区域设立海外子公司，形成全球销售网络，</w:t>
      </w:r>
      <w:r>
        <w:rPr>
          <w:spacing w:val="-76"/>
        </w:rPr>
        <w:t> </w:t>
      </w:r>
      <w:r>
        <w:rPr>
          <w:spacing w:val="-76"/>
        </w:rPr>
      </w:r>
      <w:r>
        <w:rPr/>
        <w:t>将进一步深化当地业务、拓展服务类型；与此同时，公司也积极筹划向海外市场输出中国移动支付等先进技术和服务。</w:t>
      </w:r>
    </w:p>
    <w:p>
      <w:pPr>
        <w:pStyle w:val="BodyText"/>
        <w:spacing w:line="403" w:lineRule="auto" w:before="16"/>
        <w:ind w:left="573" w:right="1108" w:hanging="420"/>
        <w:jc w:val="left"/>
      </w:pPr>
      <w:r>
        <w:rPr>
          <w:rFonts w:ascii="Microsoft JhengHei" w:hAnsi="Microsoft JhengHei" w:cs="Microsoft JhengHei" w:eastAsia="Microsoft JhengHei" w:hint="default"/>
          <w:b/>
          <w:bCs/>
        </w:rPr>
        <w:t>（四）公司未来经营计划</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t>根据中国人民银行发布的《</w:t>
      </w:r>
      <w:r>
        <w:rPr>
          <w:rFonts w:ascii="Times New Roman" w:hAnsi="Times New Roman" w:cs="Times New Roman" w:eastAsia="Times New Roman" w:hint="default"/>
        </w:rPr>
        <w:t>2019</w:t>
      </w:r>
      <w:r>
        <w:rPr/>
        <w:t>年支付体系运行总体情况报告》，</w:t>
      </w:r>
      <w:r>
        <w:rPr>
          <w:rFonts w:ascii="Times New Roman" w:hAnsi="Times New Roman" w:cs="Times New Roman" w:eastAsia="Times New Roman" w:hint="default"/>
        </w:rPr>
        <w:t>2019</w:t>
      </w:r>
      <w:r>
        <w:rPr/>
        <w:t>年，全国银行共办理非现金支付业务</w:t>
      </w:r>
      <w:r>
        <w:rPr>
          <w:rFonts w:ascii="Times New Roman" w:hAnsi="Times New Roman" w:cs="Times New Roman" w:eastAsia="Times New Roman" w:hint="default"/>
        </w:rPr>
        <w:t>3310.19</w:t>
      </w:r>
      <w:r>
        <w:rPr/>
        <w:t>亿</w:t>
      </w:r>
    </w:p>
    <w:p>
      <w:pPr>
        <w:pStyle w:val="BodyText"/>
        <w:spacing w:line="463" w:lineRule="auto" w:before="83"/>
        <w:ind w:right="1129"/>
        <w:jc w:val="both"/>
      </w:pPr>
      <w:r>
        <w:rPr>
          <w:spacing w:val="-2"/>
        </w:rPr>
        <w:t>笔，金额</w:t>
      </w:r>
      <w:r>
        <w:rPr>
          <w:rFonts w:ascii="Times New Roman" w:hAnsi="Times New Roman" w:cs="Times New Roman" w:eastAsia="Times New Roman" w:hint="default"/>
          <w:spacing w:val="-2"/>
        </w:rPr>
        <w:t>3779.49</w:t>
      </w:r>
      <w:r>
        <w:rPr>
          <w:spacing w:val="-2"/>
        </w:rPr>
        <w:t>万亿元，同比分别增长</w:t>
      </w:r>
      <w:r>
        <w:rPr>
          <w:rFonts w:ascii="Times New Roman" w:hAnsi="Times New Roman" w:cs="Times New Roman" w:eastAsia="Times New Roman" w:hint="default"/>
          <w:spacing w:val="-2"/>
        </w:rPr>
        <w:t>50.25%</w:t>
      </w:r>
      <w:r>
        <w:rPr>
          <w:spacing w:val="-2"/>
        </w:rPr>
        <w:t>和</w:t>
      </w:r>
      <w:r>
        <w:rPr>
          <w:rFonts w:ascii="Times New Roman" w:hAnsi="Times New Roman" w:cs="Times New Roman" w:eastAsia="Times New Roman" w:hint="default"/>
          <w:spacing w:val="-2"/>
        </w:rPr>
        <w:t>0.29%</w:t>
      </w:r>
      <w:r>
        <w:rPr>
          <w:spacing w:val="-2"/>
        </w:rPr>
        <w:t>。银行卡发卡量保持稳步增长，银行卡受理终端数量有所下降，银行</w:t>
      </w:r>
      <w:r>
        <w:rPr>
          <w:spacing w:val="-36"/>
        </w:rPr>
        <w:t> </w:t>
      </w:r>
      <w:r>
        <w:rPr>
          <w:spacing w:val="-36"/>
        </w:rPr>
      </w:r>
      <w:r>
        <w:rPr>
          <w:spacing w:val="-2"/>
        </w:rPr>
        <w:t>卡交易量继续增长。电子支付行业会继续保持活跃性。随着生物识别技术的完善和精准度的提高、人工智能技术的成熟，支</w:t>
      </w:r>
      <w:r>
        <w:rPr>
          <w:spacing w:val="-64"/>
        </w:rPr>
        <w:t> </w:t>
      </w:r>
      <w:r>
        <w:rPr>
          <w:spacing w:val="-64"/>
        </w:rPr>
      </w:r>
      <w:r>
        <w:rPr/>
        <w:t>付行业未来仍具有较多的发展机遇与革新的可能。</w:t>
      </w:r>
    </w:p>
    <w:p>
      <w:pPr>
        <w:pStyle w:val="BodyText"/>
        <w:spacing w:line="463" w:lineRule="auto" w:before="65"/>
        <w:ind w:right="1033" w:firstLine="420"/>
        <w:jc w:val="left"/>
      </w:pPr>
      <w:r>
        <w:rPr/>
        <w:t>当前，全球正处于新一轮科技革命和产业变革的孕育期，从</w:t>
      </w:r>
      <w:r>
        <w:rPr>
          <w:rFonts w:ascii="Times New Roman" w:hAnsi="Times New Roman" w:cs="Times New Roman" w:eastAsia="Times New Roman" w:hint="default"/>
        </w:rPr>
        <w:t>“</w:t>
      </w:r>
      <w:r>
        <w:rPr/>
        <w:t>万物互联</w:t>
      </w:r>
      <w:r>
        <w:rPr>
          <w:rFonts w:ascii="Times New Roman" w:hAnsi="Times New Roman" w:cs="Times New Roman" w:eastAsia="Times New Roman" w:hint="default"/>
        </w:rPr>
        <w:t>”</w:t>
      </w:r>
      <w:r>
        <w:rPr/>
        <w:t>进入到</w:t>
      </w:r>
      <w:r>
        <w:rPr>
          <w:rFonts w:ascii="Times New Roman" w:hAnsi="Times New Roman" w:cs="Times New Roman" w:eastAsia="Times New Roman" w:hint="default"/>
        </w:rPr>
        <w:t>“</w:t>
      </w:r>
      <w:r>
        <w:rPr/>
        <w:t>万物智联</w:t>
      </w:r>
      <w:r>
        <w:rPr>
          <w:rFonts w:ascii="Times New Roman" w:hAnsi="Times New Roman" w:cs="Times New Roman" w:eastAsia="Times New Roman" w:hint="default"/>
        </w:rPr>
        <w:t>”</w:t>
      </w:r>
      <w:r>
        <w:rPr/>
        <w:t>的时代，各种智能化新技术 从兴起到成熟，部分走到了商用，公司、行业和社会的数字化、智能化转型徐徐展开。智能经济作为一种全新的经济形态， </w:t>
      </w:r>
      <w:r>
        <w:rPr>
          <w:spacing w:val="-2"/>
        </w:rPr>
        <w:t>将智能技术深度融入经济社会生活各领域，推动生产方式、生活方式和社会治理方式实现智能化革新，并将引领未来经济增</w:t>
      </w:r>
      <w:r>
        <w:rPr>
          <w:spacing w:val="-64"/>
        </w:rPr>
        <w:t> </w:t>
      </w:r>
      <w:r>
        <w:rPr>
          <w:spacing w:val="-64"/>
        </w:rPr>
      </w:r>
      <w:r>
        <w:rPr/>
        <w:t>长和产业发展。随着</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r>
        <w:rPr/>
        <w:t>战略的持续推进以及</w:t>
      </w:r>
      <w:r>
        <w:rPr>
          <w:rFonts w:ascii="Times New Roman" w:hAnsi="Times New Roman" w:cs="Times New Roman" w:eastAsia="Times New Roman" w:hint="default"/>
        </w:rPr>
        <w:t>5G</w:t>
      </w:r>
      <w:r>
        <w:rPr/>
        <w:t>时代的到来，电子支付产业与移动互联网将进一步深度融合，</w:t>
      </w:r>
      <w:r>
        <w:rPr>
          <w:spacing w:val="-26"/>
        </w:rPr>
        <w:t> </w:t>
      </w:r>
      <w:r>
        <w:rPr>
          <w:spacing w:val="-26"/>
        </w:rPr>
      </w:r>
      <w:r>
        <w:rPr/>
        <w:t>智能硬件、生物识别及区块链技术的应用领域将更为广泛。</w:t>
      </w:r>
    </w:p>
    <w:p>
      <w:pPr>
        <w:pStyle w:val="BodyText"/>
        <w:spacing w:line="463" w:lineRule="auto" w:before="65"/>
        <w:ind w:right="1128" w:firstLine="420"/>
        <w:jc w:val="both"/>
      </w:pPr>
      <w:r>
        <w:rPr/>
        <w:t>展望</w:t>
      </w:r>
      <w:r>
        <w:rPr>
          <w:rFonts w:ascii="Times New Roman" w:hAnsi="Times New Roman" w:cs="Times New Roman" w:eastAsia="Times New Roman" w:hint="default"/>
        </w:rPr>
        <w:t>2020</w:t>
      </w:r>
      <w:r>
        <w:rPr/>
        <w:t>年，公司将继续深耕电子支付行业的发展，在公司战略框架和</w:t>
      </w:r>
      <w:r>
        <w:rPr>
          <w:rFonts w:ascii="Times New Roman" w:hAnsi="Times New Roman" w:cs="Times New Roman" w:eastAsia="Times New Roman" w:hint="default"/>
        </w:rPr>
        <w:t>“</w:t>
      </w:r>
      <w:r>
        <w:rPr/>
        <w:t>科技赋能、刚柔并济，美好生活、内外兼具</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发展路线下，不断探索和融合新的技术发挥科技赋能作用形成创新型产品服务体系，加大各业务板块之间的协同合作，突出</w:t>
      </w:r>
      <w:r>
        <w:rPr>
          <w:spacing w:val="-63"/>
        </w:rPr>
        <w:t> </w:t>
      </w:r>
      <w:r>
        <w:rPr>
          <w:spacing w:val="-63"/>
        </w:rPr>
      </w:r>
      <w:r>
        <w:rPr>
          <w:spacing w:val="-2"/>
        </w:rPr>
        <w:t>产业链上下游整合优势，在网络协同和数据智能的基础上，致力于给每个商户、用户呈现更精准的选择和个性化服务，通过</w:t>
      </w:r>
      <w:r>
        <w:rPr>
          <w:spacing w:val="-62"/>
        </w:rPr>
        <w:t> </w:t>
      </w:r>
      <w:r>
        <w:rPr>
          <w:spacing w:val="-62"/>
        </w:rPr>
      </w:r>
      <w:r>
        <w:rPr/>
        <w:t>创新软硬件结合的产品和服务成为实体商业生态中</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经营</w:t>
      </w:r>
      <w:r>
        <w:rPr>
          <w:rFonts w:ascii="Times New Roman" w:hAnsi="Times New Roman" w:cs="Times New Roman" w:eastAsia="Times New Roman" w:hint="default"/>
        </w:rPr>
        <w:t>”</w:t>
      </w:r>
      <w:r>
        <w:rPr/>
        <w:t>行业解决方案的优质提供商，将公司业务的物理边界和数字</w:t>
      </w:r>
      <w:r>
        <w:rPr>
          <w:spacing w:val="-76"/>
        </w:rPr>
        <w:t> </w:t>
      </w:r>
      <w:r>
        <w:rPr>
          <w:spacing w:val="-76"/>
        </w:rPr>
      </w:r>
      <w:r>
        <w:rPr/>
        <w:t>边界不断拓展延伸。</w:t>
      </w:r>
    </w:p>
    <w:p>
      <w:pPr>
        <w:pStyle w:val="BodyText"/>
        <w:spacing w:line="240" w:lineRule="auto" w:before="65"/>
        <w:ind w:left="573" w:right="1033"/>
        <w:jc w:val="left"/>
      </w:pPr>
      <w:r>
        <w:rPr>
          <w:rFonts w:ascii="Times New Roman" w:hAnsi="Times New Roman" w:cs="Times New Roman" w:eastAsia="Times New Roman" w:hint="default"/>
        </w:rPr>
        <w:t>2020</w:t>
      </w:r>
      <w:r>
        <w:rPr/>
        <w:t>年，公司的经营管理工作将主要围绕以下几个方面展开：</w:t>
      </w:r>
    </w:p>
    <w:p>
      <w:pPr>
        <w:spacing w:line="240" w:lineRule="auto" w:before="9"/>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1</w:t>
      </w:r>
      <w:r>
        <w:rPr/>
        <w:t>、探索和融合新技术，发挥科技赋能作用，形成创新型产品服务体系</w:t>
      </w:r>
    </w:p>
    <w:p>
      <w:pPr>
        <w:spacing w:line="240" w:lineRule="auto" w:before="9"/>
        <w:rPr>
          <w:rFonts w:ascii="宋体" w:hAnsi="宋体" w:cs="宋体" w:eastAsia="宋体" w:hint="default"/>
          <w:sz w:val="16"/>
          <w:szCs w:val="16"/>
        </w:rPr>
      </w:pPr>
    </w:p>
    <w:p>
      <w:pPr>
        <w:pStyle w:val="BodyText"/>
        <w:spacing w:line="468" w:lineRule="auto"/>
        <w:ind w:right="1033" w:firstLine="420"/>
        <w:jc w:val="left"/>
      </w:pPr>
      <w:r>
        <w:rPr>
          <w:rFonts w:ascii="Times New Roman" w:hAnsi="Times New Roman" w:cs="Times New Roman" w:eastAsia="Times New Roman" w:hint="default"/>
        </w:rPr>
        <w:t>2020</w:t>
      </w:r>
      <w:r>
        <w:rPr/>
        <w:t>年，随着</w:t>
      </w:r>
      <w:r>
        <w:rPr>
          <w:rFonts w:ascii="Times New Roman" w:hAnsi="Times New Roman" w:cs="Times New Roman" w:eastAsia="Times New Roman" w:hint="default"/>
        </w:rPr>
        <w:t>5G</w:t>
      </w:r>
      <w:r>
        <w:rPr/>
        <w:t>商用的快速推进，以人工智能、物联网、大数据、云计算、区块链技术等新一代信息技术支撑的数字 </w:t>
      </w:r>
      <w:r>
        <w:rPr>
          <w:spacing w:val="-4"/>
        </w:rPr>
        <w:t>经济将迎来爆发式增长，公司将紧跟新技术趋势和浪潮，围绕支付服务运营业务探寻技术、资源以及商业模式变革的新机会，</w:t>
      </w:r>
      <w:r>
        <w:rPr>
          <w:spacing w:val="-44"/>
        </w:rPr>
        <w:t> </w:t>
      </w:r>
      <w:r>
        <w:rPr>
          <w:spacing w:val="-44"/>
        </w:rPr>
      </w:r>
      <w:r>
        <w:rPr>
          <w:spacing w:val="-2"/>
        </w:rPr>
        <w:t>利用已储备的生物识别、大数据分析及人工智能、区块链研究等技术与融合支付方案相结合相促进，在产业链整合基础上进</w:t>
      </w:r>
      <w:r>
        <w:rPr>
          <w:spacing w:val="-63"/>
        </w:rPr>
        <w:t> </w:t>
      </w:r>
      <w:r>
        <w:rPr>
          <w:spacing w:val="-63"/>
        </w:rPr>
      </w:r>
      <w:r>
        <w:rPr>
          <w:spacing w:val="-2"/>
        </w:rPr>
        <w:t>一步整合公司优质资源、技术，积极研发创新产品及服务满足市场不断更新的需求，从而实现公司各个业务板块共同发展之</w:t>
      </w:r>
      <w:r>
        <w:rPr>
          <w:spacing w:val="-63"/>
        </w:rPr>
        <w:t> </w:t>
      </w:r>
      <w:r>
        <w:rPr>
          <w:spacing w:val="-63"/>
        </w:rPr>
      </w:r>
      <w:r>
        <w:rPr/>
        <w:t>战略目的。随着</w:t>
      </w:r>
      <w:r>
        <w:rPr>
          <w:rFonts w:ascii="Times New Roman" w:hAnsi="Times New Roman" w:cs="Times New Roman" w:eastAsia="Times New Roman" w:hint="default"/>
        </w:rPr>
        <w:t>5G</w:t>
      </w:r>
      <w:r>
        <w:rPr/>
        <w:t>和边缘计算的发展，人工智能将大大节约成本，增加服务能力，公司将坚持在</w:t>
      </w:r>
      <w:r>
        <w:rPr>
          <w:rFonts w:ascii="Times New Roman" w:hAnsi="Times New Roman" w:cs="Times New Roman" w:eastAsia="Times New Roman" w:hint="default"/>
        </w:rPr>
        <w:t>AI</w:t>
      </w:r>
      <w:r>
        <w:rPr/>
        <w:t>识别技术、</w:t>
      </w:r>
      <w:r>
        <w:rPr>
          <w:rFonts w:ascii="Times New Roman" w:hAnsi="Times New Roman" w:cs="Times New Roman" w:eastAsia="Times New Roman" w:hint="default"/>
        </w:rPr>
        <w:t>5G</w:t>
      </w:r>
      <w:r>
        <w:rPr/>
        <w:t>通讯模组</w:t>
      </w:r>
      <w:r>
        <w:rPr>
          <w:spacing w:val="-83"/>
        </w:rPr>
        <w:t> </w:t>
      </w:r>
      <w:r>
        <w:rPr>
          <w:spacing w:val="-83"/>
        </w:rPr>
      </w:r>
      <w:r>
        <w:rPr/>
        <w:t>等领域进行投入，随着公司的产业布局逐步完善，公司未来提供的产品、服务及解决方案愈加丰富完善，应用更加广泛。 </w:t>
      </w:r>
      <w:r>
        <w:rPr>
          <w:rFonts w:ascii="Times New Roman" w:hAnsi="Times New Roman" w:cs="Times New Roman" w:eastAsia="Times New Roman" w:hint="default"/>
        </w:rPr>
        <w:t>2</w:t>
      </w:r>
      <w:r>
        <w:rPr/>
        <w:t>、通过创新软硬件结合的产品和服务，成为实体商业生态数字化转型的助力</w:t>
      </w:r>
    </w:p>
    <w:p>
      <w:pPr>
        <w:pStyle w:val="BodyText"/>
        <w:spacing w:line="477" w:lineRule="auto" w:before="30"/>
        <w:ind w:right="1051" w:firstLine="420"/>
        <w:jc w:val="both"/>
      </w:pPr>
      <w:r>
        <w:rPr/>
        <w:t>当前，国家正在大力推进智慧城市建设，建设内容涵盖智慧社区、智能零售等一系列新型产业和广泛互联的智能服务 </w:t>
      </w:r>
      <w:r>
        <w:rPr>
          <w:spacing w:val="-2"/>
        </w:rPr>
        <w:t>体系，为智能商业市场带来了重大的发展机遇。公司以电子支付服务为基础，积极整合产业链核心资源，将互联网企业的软</w:t>
      </w:r>
      <w:r>
        <w:rPr>
          <w:spacing w:val="-65"/>
        </w:rPr>
        <w:t> </w:t>
      </w:r>
      <w:r>
        <w:rPr>
          <w:spacing w:val="-65"/>
        </w:rPr>
      </w:r>
      <w:r>
        <w:rPr>
          <w:spacing w:val="-2"/>
        </w:rPr>
        <w:t>件和平台长处与传统制造业丰富的产品积累和行业经验有效结合、优势互补，融合大数据技术、自主研发边缘计算、物体识</w:t>
      </w:r>
      <w:r>
        <w:rPr>
          <w:spacing w:val="-66"/>
        </w:rPr>
        <w:t> </w:t>
      </w:r>
      <w:r>
        <w:rPr>
          <w:spacing w:val="-66"/>
        </w:rPr>
      </w:r>
      <w:r>
        <w:rPr/>
        <w:t>别技术，从上游更加深度介入商户经营，为智能商业、新零售提供全面的一站式解决方案，助力实体商业进行数字化转型。</w:t>
      </w:r>
    </w:p>
    <w:p>
      <w:pPr>
        <w:spacing w:after="0" w:line="477"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573" w:right="1033" w:hanging="420"/>
        <w:jc w:val="left"/>
      </w:pPr>
      <w:r>
        <w:rPr>
          <w:rFonts w:ascii="Times New Roman" w:hAnsi="Times New Roman" w:cs="Times New Roman" w:eastAsia="Times New Roman" w:hint="default"/>
        </w:rPr>
        <w:t>3</w:t>
      </w:r>
      <w:r>
        <w:rPr/>
        <w:t>、拓展国内外硬件及支付服务市场，实现公司业务的边界延伸 在支付受理终端业务发展方面，基于国内已经形成成熟市场和竞争格局的情形，公司会继续聚焦拓展海外市场，加大</w:t>
      </w:r>
    </w:p>
    <w:p>
      <w:pPr>
        <w:pStyle w:val="BodyText"/>
        <w:spacing w:line="477" w:lineRule="auto" w:before="74"/>
        <w:ind w:right="1033"/>
        <w:jc w:val="left"/>
      </w:pPr>
      <w:r>
        <w:rPr>
          <w:spacing w:val="-4"/>
        </w:rPr>
        <w:t>力度布局海外销售渠道，打造品牌知名度，凭借国内领先的支付技术和运营解决方案为海外客户提供综合性的电子支付服务，</w:t>
      </w:r>
      <w:r>
        <w:rPr>
          <w:spacing w:val="-44"/>
        </w:rPr>
        <w:t> </w:t>
      </w:r>
      <w:r>
        <w:rPr>
          <w:spacing w:val="-44"/>
        </w:rPr>
      </w:r>
      <w:r>
        <w:rPr>
          <w:spacing w:val="-2"/>
        </w:rPr>
        <w:t>从而优化收入区域结构、降低地域性风险、提升硬件产品综合盈利能力。与此同时，在支付服务领域，公司也积极筹划向海</w:t>
      </w:r>
      <w:r>
        <w:rPr>
          <w:spacing w:val="-67"/>
        </w:rPr>
        <w:t> </w:t>
      </w:r>
      <w:r>
        <w:rPr>
          <w:spacing w:val="-67"/>
        </w:rPr>
      </w:r>
      <w:r>
        <w:rPr/>
        <w:t>外市场输出中国移动支付等先进技术和服务。</w:t>
      </w:r>
    </w:p>
    <w:p>
      <w:pPr>
        <w:pStyle w:val="BodyText"/>
        <w:spacing w:line="451" w:lineRule="auto" w:before="54"/>
        <w:ind w:right="1033" w:firstLine="420"/>
        <w:jc w:val="left"/>
      </w:pPr>
      <w:r>
        <w:rPr>
          <w:rFonts w:ascii="Times New Roman" w:hAnsi="Times New Roman" w:cs="Times New Roman" w:eastAsia="Times New Roman" w:hint="default"/>
        </w:rPr>
        <w:t>2020</w:t>
      </w:r>
      <w:r>
        <w:rPr/>
        <w:t>年除了继续加大力度开拓海外市场外，也会更加重视国内细分市场数字化、智能化转型的需求和机会，协同优质 的支付服务平台能力，切入国内细分行业的定制化市场。</w:t>
      </w:r>
    </w:p>
    <w:p>
      <w:pPr>
        <w:pStyle w:val="BodyText"/>
        <w:spacing w:line="451" w:lineRule="auto" w:before="74"/>
        <w:ind w:left="573" w:right="1033" w:hanging="420"/>
        <w:jc w:val="left"/>
      </w:pPr>
      <w:r>
        <w:rPr>
          <w:rFonts w:ascii="Times New Roman" w:hAnsi="Times New Roman" w:cs="Times New Roman" w:eastAsia="Times New Roman" w:hint="default"/>
        </w:rPr>
        <w:t>4</w:t>
      </w:r>
      <w:r>
        <w:rPr/>
        <w:t>、积累公司品牌资产，增强企业竞争力 加强公司及各业务主体国际品牌建设，推动品牌管理专业化、一体化、多元化，实现从产品驱动到品牌驱动的转变。</w:t>
      </w:r>
    </w:p>
    <w:p>
      <w:pPr>
        <w:pStyle w:val="BodyText"/>
        <w:spacing w:line="477" w:lineRule="auto" w:before="74"/>
        <w:ind w:right="1130"/>
        <w:jc w:val="both"/>
      </w:pPr>
      <w:r>
        <w:rPr>
          <w:spacing w:val="-2"/>
        </w:rPr>
        <w:t>良好的品牌建设有助于增强员工的归属感、认同感，形成公司的凝聚力、发展力，进而加强企业核心竞争力；同时也提升公</w:t>
      </w:r>
      <w:r>
        <w:rPr>
          <w:spacing w:val="-67"/>
        </w:rPr>
        <w:t> </w:t>
      </w:r>
      <w:r>
        <w:rPr>
          <w:spacing w:val="-67"/>
        </w:rPr>
      </w:r>
      <w:r>
        <w:rPr>
          <w:spacing w:val="-2"/>
        </w:rPr>
        <w:t>司品牌资源的影响力和价值功能，进一步提升品牌的附加值和议价能力，综合提升客户黏性，从而转变为更高的企业盈利能</w:t>
      </w:r>
      <w:r>
        <w:rPr>
          <w:spacing w:val="-63"/>
        </w:rPr>
        <w:t> </w:t>
      </w:r>
      <w:r>
        <w:rPr>
          <w:spacing w:val="-63"/>
        </w:rPr>
      </w:r>
      <w:r>
        <w:rPr/>
        <w:t>力。</w:t>
      </w:r>
    </w:p>
    <w:p>
      <w:pPr>
        <w:pStyle w:val="Heading7"/>
        <w:spacing w:line="310" w:lineRule="exact"/>
        <w:ind w:right="1033"/>
        <w:jc w:val="left"/>
        <w:rPr>
          <w:b w:val="0"/>
          <w:bCs w:val="0"/>
        </w:rPr>
      </w:pPr>
      <w:r>
        <w:rPr/>
        <w:t>（五）公司可能面对的风险因素分析</w:t>
      </w:r>
      <w:r>
        <w:rPr>
          <w:b w:val="0"/>
          <w:bCs w:val="0"/>
        </w:rPr>
      </w:r>
    </w:p>
    <w:p>
      <w:pPr>
        <w:spacing w:line="240" w:lineRule="auto" w:before="4"/>
        <w:rPr>
          <w:rFonts w:ascii="Microsoft JhengHei" w:hAnsi="Microsoft JhengHei" w:cs="Microsoft JhengHei" w:eastAsia="Microsoft JhengHei" w:hint="default"/>
          <w:b/>
          <w:bCs/>
          <w:sz w:val="12"/>
          <w:szCs w:val="12"/>
        </w:rPr>
      </w:pPr>
    </w:p>
    <w:p>
      <w:pPr>
        <w:pStyle w:val="BodyText"/>
        <w:spacing w:line="451" w:lineRule="auto"/>
        <w:ind w:left="573" w:right="1033" w:hanging="420"/>
        <w:jc w:val="left"/>
      </w:pPr>
      <w:r>
        <w:rPr>
          <w:rFonts w:ascii="Times New Roman" w:hAnsi="Times New Roman" w:cs="Times New Roman" w:eastAsia="Times New Roman" w:hint="default"/>
        </w:rPr>
        <w:t>1</w:t>
      </w:r>
      <w:r>
        <w:rPr/>
        <w:t>、政策法规及行业风险 </w:t>
      </w:r>
      <w:r>
        <w:rPr>
          <w:spacing w:val="-2"/>
        </w:rPr>
        <w:t>随着信息技术在支付领域得到广泛的应用，支付基础设施建设取得了重大发展，非现金支付工具日益普及且创新不断，</w:t>
      </w:r>
    </w:p>
    <w:p>
      <w:pPr>
        <w:pStyle w:val="BodyText"/>
        <w:spacing w:line="477" w:lineRule="auto" w:before="74"/>
        <w:ind w:right="1129"/>
        <w:jc w:val="both"/>
      </w:pPr>
      <w:r>
        <w:rPr>
          <w:spacing w:val="-2"/>
        </w:rPr>
        <w:t>支付服务环境大幅改善，有效支持了实体经济的发展和满足了人民对美好生活的愿望。由于电子支付业务的类金融属性，其</w:t>
      </w:r>
      <w:r>
        <w:rPr>
          <w:spacing w:val="-63"/>
        </w:rPr>
        <w:t> </w:t>
      </w:r>
      <w:r>
        <w:rPr>
          <w:spacing w:val="-63"/>
        </w:rPr>
      </w:r>
      <w:r>
        <w:rPr>
          <w:spacing w:val="-2"/>
        </w:rPr>
        <w:t>合法合规开展，对我国金融体系的安全有着重要影响。因此，电子支付服务业务主体、业务全流程一直以来都是行业监管机</w:t>
      </w:r>
      <w:r>
        <w:rPr>
          <w:spacing w:val="-64"/>
        </w:rPr>
        <w:t> </w:t>
      </w:r>
      <w:r>
        <w:rPr>
          <w:spacing w:val="-64"/>
        </w:rPr>
      </w:r>
      <w:r>
        <w:rPr>
          <w:spacing w:val="-2"/>
        </w:rPr>
        <w:t>构重点监控的范围。近几年严监管成为支付市场的主旋律，对电子支付行业从参与主体、业务流程、交易权限等方面进行了</w:t>
      </w:r>
      <w:r>
        <w:rPr>
          <w:spacing w:val="-65"/>
        </w:rPr>
        <w:t> </w:t>
      </w:r>
      <w:r>
        <w:rPr>
          <w:spacing w:val="-65"/>
        </w:rPr>
      </w:r>
      <w:r>
        <w:rPr>
          <w:spacing w:val="-2"/>
        </w:rPr>
        <w:t>全方位的规定，对行业产生了深远影响。针对该风险，公司将积极学习跟进行业监管政策，研究行业发展趋势，坚持电子支</w:t>
      </w:r>
      <w:r>
        <w:rPr>
          <w:spacing w:val="-67"/>
        </w:rPr>
        <w:t> </w:t>
      </w:r>
      <w:r>
        <w:rPr>
          <w:spacing w:val="-67"/>
        </w:rPr>
      </w:r>
      <w:r>
        <w:rPr>
          <w:spacing w:val="-2"/>
        </w:rPr>
        <w:t>付安全、金融体系安全，加强公司相关业务的流程控制的合规管理，积极应对行业监管给行业发展带来的新变化、新机遇和</w:t>
      </w:r>
      <w:r>
        <w:rPr>
          <w:spacing w:val="-64"/>
        </w:rPr>
        <w:t> </w:t>
      </w:r>
      <w:r>
        <w:rPr>
          <w:spacing w:val="-64"/>
        </w:rPr>
      </w:r>
      <w:r>
        <w:rPr/>
        <w:t>新挑战。</w:t>
      </w:r>
    </w:p>
    <w:p>
      <w:pPr>
        <w:pStyle w:val="BodyText"/>
        <w:spacing w:line="451" w:lineRule="auto" w:before="54"/>
        <w:ind w:left="573" w:right="1033" w:hanging="420"/>
        <w:jc w:val="left"/>
      </w:pPr>
      <w:r>
        <w:rPr>
          <w:rFonts w:ascii="Times New Roman" w:hAnsi="Times New Roman" w:cs="Times New Roman" w:eastAsia="Times New Roman" w:hint="default"/>
        </w:rPr>
        <w:t>2</w:t>
      </w:r>
      <w:r>
        <w:rPr/>
        <w:t>、兼并收购带来的财务风险、商誉减值风险以及其它风险 基于战略发展需要，公司近几年来通过兼并收购等方式获得技术、资源和新市场，同时也增大了财务压力和增加了财</w:t>
      </w:r>
    </w:p>
    <w:p>
      <w:pPr>
        <w:pStyle w:val="BodyText"/>
        <w:spacing w:line="477" w:lineRule="auto" w:before="74"/>
        <w:ind w:right="1130"/>
        <w:jc w:val="both"/>
      </w:pPr>
      <w:r>
        <w:rPr>
          <w:spacing w:val="-2"/>
        </w:rPr>
        <w:t>务风险，这对公司财务管理、投后管理和风险控制提出了更高的要求。兼并收购带来的财务风险主要包括不限于对被并购企</w:t>
      </w:r>
      <w:r>
        <w:rPr>
          <w:spacing w:val="-65"/>
        </w:rPr>
        <w:t> </w:t>
      </w:r>
      <w:r>
        <w:rPr>
          <w:spacing w:val="-65"/>
        </w:rPr>
      </w:r>
      <w:r>
        <w:rPr>
          <w:spacing w:val="-2"/>
        </w:rPr>
        <w:t>业价值评估不当的定价风险、为支付并购资金的融资风险以及交易完成后对被并购企业的业务整合等其它风险。同时，在整</w:t>
      </w:r>
      <w:r>
        <w:rPr>
          <w:spacing w:val="-65"/>
        </w:rPr>
        <w:t> </w:t>
      </w:r>
      <w:r>
        <w:rPr>
          <w:spacing w:val="-65"/>
        </w:rPr>
      </w:r>
      <w:r>
        <w:rPr>
          <w:spacing w:val="-2"/>
        </w:rPr>
        <w:t>体经济增长压力较大的环境下，被并购企业经营及盈利状况不达预期风险也相应增大，兼并收购中产生的商誉也将面临计提</w:t>
      </w:r>
      <w:r>
        <w:rPr>
          <w:spacing w:val="-64"/>
        </w:rPr>
        <w:t> </w:t>
      </w:r>
      <w:r>
        <w:rPr>
          <w:spacing w:val="-64"/>
        </w:rPr>
      </w:r>
      <w:r>
        <w:rPr>
          <w:spacing w:val="-2"/>
        </w:rPr>
        <w:t>减值的压力，从而造成影响上市公司当期盈利业绩之风险。针对这些风险，公司将增强财务管理团队，建立更加严格的风险</w:t>
      </w:r>
      <w:r>
        <w:rPr>
          <w:spacing w:val="-65"/>
        </w:rPr>
        <w:t> </w:t>
      </w:r>
      <w:r>
        <w:rPr>
          <w:spacing w:val="-65"/>
        </w:rPr>
      </w:r>
      <w:r>
        <w:rPr>
          <w:spacing w:val="-2"/>
        </w:rPr>
        <w:t>控制体系；审慎选择并购标的，加强对其尽职调查降低定价风险；及时采取多种方式融资以获得所需资金，避免过度负债以</w:t>
      </w:r>
      <w:r>
        <w:rPr>
          <w:spacing w:val="-65"/>
        </w:rPr>
        <w:t> </w:t>
      </w:r>
      <w:r>
        <w:rPr>
          <w:spacing w:val="-65"/>
        </w:rPr>
      </w:r>
      <w:r>
        <w:rPr>
          <w:spacing w:val="-2"/>
        </w:rPr>
        <w:t>及期限错配等问题，根据实际情况选择自有资本、权益资本和债务资本，降低融资风险，合理选择支付方式、时间及数量降</w:t>
      </w:r>
      <w:r>
        <w:rPr>
          <w:spacing w:val="-67"/>
        </w:rPr>
        <w:t> </w:t>
      </w:r>
      <w:r>
        <w:rPr>
          <w:spacing w:val="-67"/>
        </w:rPr>
      </w:r>
      <w:r>
        <w:rPr>
          <w:spacing w:val="-2"/>
        </w:rPr>
        <w:t>低偿债风险；对于被并购企业实现战略整合、人力资源整合、文化整合和财务管理体系的整合，达到整合后企业价值最大化</w:t>
      </w:r>
    </w:p>
    <w:p>
      <w:pPr>
        <w:spacing w:after="0" w:line="477"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033"/>
        <w:jc w:val="left"/>
      </w:pPr>
      <w:r>
        <w:rPr/>
        <w:t>的目标。</w:t>
      </w:r>
    </w:p>
    <w:p>
      <w:pPr>
        <w:spacing w:line="240" w:lineRule="auto" w:before="10"/>
        <w:rPr>
          <w:rFonts w:ascii="宋体" w:hAnsi="宋体" w:cs="宋体" w:eastAsia="宋体" w:hint="default"/>
          <w:sz w:val="17"/>
          <w:szCs w:val="17"/>
        </w:rPr>
      </w:pPr>
    </w:p>
    <w:p>
      <w:pPr>
        <w:pStyle w:val="BodyText"/>
        <w:spacing w:line="451" w:lineRule="auto"/>
        <w:ind w:left="573" w:right="1033" w:hanging="420"/>
        <w:jc w:val="left"/>
      </w:pPr>
      <w:r>
        <w:rPr>
          <w:rFonts w:ascii="Times New Roman" w:hAnsi="Times New Roman" w:cs="Times New Roman" w:eastAsia="Times New Roman" w:hint="default"/>
        </w:rPr>
        <w:t>3</w:t>
      </w:r>
      <w:r>
        <w:rPr/>
        <w:t>、产品、技术和服务等不能满足市场需求的风险 公司已经积极开展基于移动互联网的产品、技术和服务的创新探索，但由于电子支付行业、数据服务以及生物识别产</w:t>
      </w:r>
    </w:p>
    <w:p>
      <w:pPr>
        <w:pStyle w:val="BodyText"/>
        <w:spacing w:line="472" w:lineRule="auto" w:before="74"/>
        <w:ind w:right="1033"/>
        <w:jc w:val="left"/>
      </w:pPr>
      <w:r>
        <w:rPr>
          <w:spacing w:val="-2"/>
        </w:rPr>
        <w:t>品应用等业务本身具备的复杂程度，以及行业高速发展带来的行业迭代加速，业务需求及发展的试错成本越来越高。加之这</w:t>
      </w:r>
      <w:r>
        <w:rPr>
          <w:spacing w:val="-63"/>
        </w:rPr>
        <w:t> </w:t>
      </w:r>
      <w:r>
        <w:rPr>
          <w:spacing w:val="-63"/>
        </w:rPr>
      </w:r>
      <w:r>
        <w:rPr/>
        <w:t>些业务目前都面临着商业模式上的创新，在数字经济和</w:t>
      </w:r>
      <w:r>
        <w:rPr>
          <w:rFonts w:ascii="Times New Roman" w:hAnsi="Times New Roman" w:cs="Times New Roman" w:eastAsia="Times New Roman" w:hint="default"/>
        </w:rPr>
        <w:t>5G</w:t>
      </w:r>
      <w:r>
        <w:rPr/>
        <w:t>通信新时代下，公司需要进行不断的探索和研究，这导致公司现</w:t>
      </w:r>
      <w:r>
        <w:rPr>
          <w:spacing w:val="-40"/>
        </w:rPr>
        <w:t> </w:t>
      </w:r>
      <w:r>
        <w:rPr>
          <w:spacing w:val="-40"/>
        </w:rPr>
      </w:r>
      <w:r>
        <w:rPr/>
        <w:t>有产品、技术和服务的创新速度可能跟不上市场的变化，无法满足市场需求，导致公司的盈利能力低于预期。针对该风险， 公司将采取积极引进高端人才的策略，尤其是引进有过行业经验和成功案例的优秀人才，加大在新兴技术领域的研发投入， </w:t>
      </w:r>
      <w:r>
        <w:rPr>
          <w:spacing w:val="-2"/>
        </w:rPr>
        <w:t>充分洞察行业发展趋势和调研市场需求，以及积极寻找在公司战略布局领域拥有较高市场份额和商业模式已获得市场验证的</w:t>
      </w:r>
      <w:r>
        <w:rPr>
          <w:spacing w:val="-64"/>
        </w:rPr>
        <w:t> </w:t>
      </w:r>
      <w:r>
        <w:rPr>
          <w:spacing w:val="-64"/>
        </w:rPr>
      </w:r>
      <w:r>
        <w:rPr/>
        <w:t>可并购标的，以提高公司对未来市场机会的把握能力。</w:t>
      </w:r>
    </w:p>
    <w:p>
      <w:pPr>
        <w:pStyle w:val="BodyText"/>
        <w:spacing w:line="451" w:lineRule="auto" w:before="58"/>
        <w:ind w:left="573" w:right="1033" w:hanging="420"/>
        <w:jc w:val="left"/>
      </w:pPr>
      <w:r>
        <w:rPr>
          <w:rFonts w:ascii="Times New Roman" w:hAnsi="Times New Roman" w:cs="Times New Roman" w:eastAsia="Times New Roman" w:hint="default"/>
        </w:rPr>
        <w:t>4</w:t>
      </w:r>
      <w:r>
        <w:rPr/>
        <w:t>、战略转型进度低于预期甚至失败的风险 公司原有业务是以电子支付终端研发、生产和销售业务为主，通过近几年的内生孵化和外延并购进行了产业链上下游</w:t>
      </w:r>
    </w:p>
    <w:p>
      <w:pPr>
        <w:pStyle w:val="BodyText"/>
        <w:spacing w:line="477" w:lineRule="auto" w:before="74"/>
        <w:ind w:right="1033"/>
        <w:jc w:val="left"/>
      </w:pPr>
      <w:r>
        <w:rPr/>
        <w:t>拓展和新兴技术储备。在各种因素影响下，公司存在战略落地速度、效率和质量可能低于预期，甚至战略转型失败的风险。 </w:t>
      </w:r>
      <w:r>
        <w:rPr>
          <w:spacing w:val="-2"/>
        </w:rPr>
        <w:t>对于传统企业而言，开拓创新盈利模式是一条切实可行但并不好走的转型路径，不仅需要管理层对行业发展和商业机会有较</w:t>
      </w:r>
      <w:r>
        <w:rPr>
          <w:spacing w:val="-64"/>
        </w:rPr>
        <w:t> </w:t>
      </w:r>
      <w:r>
        <w:rPr>
          <w:spacing w:val="-64"/>
        </w:rPr>
      </w:r>
      <w:r>
        <w:rPr>
          <w:spacing w:val="-2"/>
        </w:rPr>
        <w:t>敏锐的洞察力和积极的行动力，还需要做好多年持续为新兴业务发展提供的资金及资源投入的准备，然而这些资金和资源投</w:t>
      </w:r>
      <w:r>
        <w:rPr>
          <w:spacing w:val="-64"/>
        </w:rPr>
        <w:t> </w:t>
      </w:r>
      <w:r>
        <w:rPr>
          <w:spacing w:val="-64"/>
        </w:rPr>
      </w:r>
      <w:r>
        <w:rPr>
          <w:spacing w:val="-2"/>
        </w:rPr>
        <w:t>入不仅会影响当期利润而且最终公司可能也将面临新兴业务孵化不成功的结果。开创新盈利模式需要充分利用公司已积累的</w:t>
      </w:r>
      <w:r>
        <w:rPr>
          <w:spacing w:val="-64"/>
        </w:rPr>
        <w:t> </w:t>
      </w:r>
      <w:r>
        <w:rPr>
          <w:spacing w:val="-64"/>
        </w:rPr>
      </w:r>
      <w:r>
        <w:rPr>
          <w:spacing w:val="-2"/>
        </w:rPr>
        <w:t>行业经验和资源，围绕产业链相关环节与领域延伸布局。在产业发展革新的大环境中，只有通过积极研发且有效应用新兴技</w:t>
      </w:r>
      <w:r>
        <w:rPr>
          <w:spacing w:val="-63"/>
        </w:rPr>
        <w:t> </w:t>
      </w:r>
      <w:r>
        <w:rPr>
          <w:spacing w:val="-63"/>
        </w:rPr>
      </w:r>
      <w:r>
        <w:rPr>
          <w:spacing w:val="-2"/>
        </w:rPr>
        <w:t>术，公司才能抓住行业变革所带来的机会，提升商业模式，增加公司盈利能力。针对此风险，公司管理层深知战略转型并不</w:t>
      </w:r>
      <w:r>
        <w:rPr>
          <w:spacing w:val="-67"/>
        </w:rPr>
        <w:t> </w:t>
      </w:r>
      <w:r>
        <w:rPr>
          <w:spacing w:val="-67"/>
        </w:rPr>
      </w:r>
      <w:r>
        <w:rPr>
          <w:spacing w:val="-2"/>
        </w:rPr>
        <w:t>能一蹴而就，做好了长期的准备，根据业务重心和商业模式调整着手管理架构的变革和重塑，新经济新模式下相关人力资源</w:t>
      </w:r>
      <w:r>
        <w:rPr>
          <w:spacing w:val="-63"/>
        </w:rPr>
        <w:t> </w:t>
      </w:r>
      <w:r>
        <w:rPr>
          <w:spacing w:val="-63"/>
        </w:rPr>
      </w:r>
      <w:r>
        <w:rPr/>
        <w:t>的储备，保持适合自身情况的稳步战略布局节奏，以及进行相应资金、资源的储备。</w:t>
      </w:r>
      <w:r>
        <w:rPr/>
        <w:t> </w:t>
      </w:r>
      <w:r>
        <w:rPr>
          <w:rFonts w:ascii="Times New Roman" w:hAnsi="Times New Roman" w:cs="Times New Roman" w:eastAsia="Times New Roman" w:hint="default"/>
        </w:rPr>
        <w:t>5</w:t>
      </w:r>
      <w:r>
        <w:rPr/>
        <w:t>、管理团队不能适应公司发展需求的风险</w:t>
      </w:r>
    </w:p>
    <w:p>
      <w:pPr>
        <w:pStyle w:val="BodyText"/>
        <w:spacing w:line="477" w:lineRule="auto" w:before="22"/>
        <w:ind w:right="1129" w:firstLine="420"/>
        <w:jc w:val="both"/>
      </w:pPr>
      <w:r>
        <w:rPr/>
        <w:t>公司未来的战略规划和业务发展将主要围绕新业务、新服务和新技术及海外市场开展，但公司现有中高层管理人员、 </w:t>
      </w:r>
      <w:r>
        <w:rPr>
          <w:spacing w:val="-2"/>
        </w:rPr>
        <w:t>员工团队在这方面的储备和经验尚有不足，特别是在海外市场拓展中管理层将面临更多的风险和挑战，其中包括但不限于当</w:t>
      </w:r>
      <w:r>
        <w:rPr>
          <w:spacing w:val="-64"/>
        </w:rPr>
        <w:t> </w:t>
      </w:r>
      <w:r>
        <w:rPr>
          <w:spacing w:val="-64"/>
        </w:rPr>
      </w:r>
      <w:r>
        <w:rPr>
          <w:spacing w:val="-2"/>
        </w:rPr>
        <w:t>地政治经济局势稳定性、当地法律税务等监管政策要求、当地商业文化差异和客户信用及外汇波动等因素带来对业务及公司</w:t>
      </w:r>
      <w:r>
        <w:rPr>
          <w:spacing w:val="-64"/>
        </w:rPr>
        <w:t> </w:t>
      </w:r>
      <w:r>
        <w:rPr>
          <w:spacing w:val="-64"/>
        </w:rPr>
      </w:r>
      <w:r>
        <w:rPr>
          <w:spacing w:val="-2"/>
        </w:rPr>
        <w:t>利润的影响。人才是公司未来战略实施的核心要素，因此，公司如果不能迅速培养或成功引入更多优秀的管理人才，则有可</w:t>
      </w:r>
      <w:r>
        <w:rPr>
          <w:spacing w:val="-63"/>
        </w:rPr>
        <w:t> </w:t>
      </w:r>
      <w:r>
        <w:rPr>
          <w:spacing w:val="-63"/>
        </w:rPr>
      </w:r>
      <w:r>
        <w:rPr>
          <w:spacing w:val="-2"/>
        </w:rPr>
        <w:t>能导致公司业务发展无法突破现有瓶颈和无法很好识别及防范风险发生。针对该风险，公司已经开始根据业务需求，有意识</w:t>
      </w:r>
      <w:r>
        <w:rPr>
          <w:spacing w:val="-66"/>
        </w:rPr>
        <w:t> </w:t>
      </w:r>
      <w:r>
        <w:rPr>
          <w:spacing w:val="-66"/>
        </w:rPr>
      </w:r>
      <w:r>
        <w:rPr>
          <w:spacing w:val="-2"/>
        </w:rPr>
        <w:t>的进行人才结构优化工作，调整岗位，裁汰冗员，并通过主动收购，吸收优秀的业务团队加入，逐步为公司的管理团队引入</w:t>
      </w:r>
      <w:r>
        <w:rPr>
          <w:spacing w:val="-67"/>
        </w:rPr>
        <w:t> </w:t>
      </w:r>
      <w:r>
        <w:rPr>
          <w:spacing w:val="-67"/>
        </w:rPr>
      </w:r>
      <w:r>
        <w:rPr/>
        <w:t>更为适当的人才队伍。</w:t>
      </w:r>
    </w:p>
    <w:p>
      <w:pPr>
        <w:pStyle w:val="BodyText"/>
        <w:spacing w:line="240" w:lineRule="auto" w:before="54"/>
        <w:ind w:right="1033"/>
        <w:jc w:val="left"/>
      </w:pPr>
      <w:r>
        <w:rPr>
          <w:rFonts w:ascii="Times New Roman" w:hAnsi="Times New Roman" w:cs="Times New Roman" w:eastAsia="Times New Roman" w:hint="default"/>
        </w:rPr>
        <w:t>6</w:t>
      </w:r>
      <w:r>
        <w:rPr/>
        <w:t>、关于发起设立保险公司的运营风险</w:t>
      </w:r>
    </w:p>
    <w:p>
      <w:pPr>
        <w:spacing w:line="240" w:lineRule="auto" w:before="9"/>
        <w:rPr>
          <w:rFonts w:ascii="宋体" w:hAnsi="宋体" w:cs="宋体" w:eastAsia="宋体" w:hint="default"/>
          <w:sz w:val="16"/>
          <w:szCs w:val="16"/>
        </w:rPr>
      </w:pPr>
    </w:p>
    <w:p>
      <w:pPr>
        <w:pStyle w:val="BodyText"/>
        <w:spacing w:line="451" w:lineRule="auto"/>
        <w:ind w:right="1128" w:firstLine="42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日，公司召开第三届董事会第十二次（临时）会议及第三届监事会第十二次会议审议通过《审议参与发起</w:t>
      </w:r>
      <w:r>
        <w:rPr/>
        <w:t> 设立相互人寿保险公司（或组织）的议案》，公司出借自有资金</w:t>
      </w:r>
      <w:r>
        <w:rPr>
          <w:rFonts w:ascii="Times New Roman" w:hAnsi="Times New Roman" w:cs="Times New Roman" w:eastAsia="Times New Roman" w:hint="default"/>
        </w:rPr>
        <w:t>5,000</w:t>
      </w:r>
      <w:r>
        <w:rPr/>
        <w:t>万元，参与发起设立相互人寿保险公司（或组织），</w:t>
      </w:r>
    </w:p>
    <w:p>
      <w:pPr>
        <w:spacing w:after="0" w:line="451"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8" w:lineRule="auto"/>
        <w:ind w:right="1130"/>
        <w:jc w:val="both"/>
      </w:pPr>
      <w:r>
        <w:rPr>
          <w:spacing w:val="-2"/>
        </w:rPr>
        <w:t>出借资金后公司拟占相互人寿保险公司（或组织）初始运营资金的</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日收到中国保险监督管理委员会《关于</w:t>
      </w:r>
      <w:r>
        <w:rPr>
          <w:spacing w:val="-34"/>
        </w:rPr>
        <w:t> </w:t>
      </w:r>
      <w:r>
        <w:rPr>
          <w:spacing w:val="-34"/>
        </w:rPr>
      </w:r>
      <w:r>
        <w:rPr>
          <w:spacing w:val="-1"/>
        </w:rPr>
        <w:t>筹建信美人寿相互保险社的批复》（保监许可</w:t>
      </w:r>
      <w:r>
        <w:rPr>
          <w:rFonts w:ascii="Times New Roman" w:hAnsi="Times New Roman" w:cs="Times New Roman" w:eastAsia="Times New Roman" w:hint="default"/>
          <w:spacing w:val="-1"/>
        </w:rPr>
        <w:t>[2016]551</w:t>
      </w:r>
      <w:r>
        <w:rPr>
          <w:spacing w:val="-1"/>
        </w:rPr>
        <w:t>号），该保险公司于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月完成工商注册登记手续并取得营业执</w:t>
      </w:r>
      <w:r>
        <w:rPr>
          <w:spacing w:val="-59"/>
        </w:rPr>
        <w:t> </w:t>
      </w:r>
      <w:r>
        <w:rPr>
          <w:spacing w:val="-59"/>
        </w:rPr>
      </w:r>
      <w:r>
        <w:rPr>
          <w:spacing w:val="-2"/>
        </w:rPr>
        <w:t>照。由于在金融强监管背景下相关法律或监管规定发生变化，可能影响保险公司的正常运营，且相互保险模式在国内还处于</w:t>
      </w:r>
      <w:r>
        <w:rPr>
          <w:spacing w:val="-63"/>
        </w:rPr>
        <w:t> </w:t>
      </w:r>
      <w:r>
        <w:rPr>
          <w:spacing w:val="-63"/>
        </w:rPr>
      </w:r>
      <w:r>
        <w:rPr/>
        <w:t>前期发展阶段其盈利模式还未经市场充分验证，其投资收益有不达预期的风险。</w:t>
      </w:r>
    </w:p>
    <w:p>
      <w:pPr>
        <w:pStyle w:val="BodyText"/>
        <w:spacing w:line="451" w:lineRule="auto" w:before="68"/>
        <w:ind w:left="573" w:right="1033" w:hanging="420"/>
        <w:jc w:val="left"/>
      </w:pPr>
      <w:r>
        <w:rPr>
          <w:rFonts w:ascii="Times New Roman" w:hAnsi="Times New Roman" w:cs="Times New Roman" w:eastAsia="Times New Roman" w:hint="default"/>
        </w:rPr>
        <w:t>7</w:t>
      </w:r>
      <w:r>
        <w:rPr/>
        <w:t>、收购公信诚丰</w:t>
      </w:r>
      <w:r>
        <w:rPr>
          <w:rFonts w:ascii="Times New Roman" w:hAnsi="Times New Roman" w:cs="Times New Roman" w:eastAsia="Times New Roman" w:hint="default"/>
        </w:rPr>
        <w:t>100%</w:t>
      </w:r>
      <w:r>
        <w:rPr/>
        <w:t>股权的风险 公信诚丰专注于提供基于大数据技术的数据审核服务，行业政策的变化、新客户的拓展均存在风险。公信诚丰存在客</w:t>
      </w:r>
    </w:p>
    <w:p>
      <w:pPr>
        <w:pStyle w:val="BodyText"/>
        <w:spacing w:line="477" w:lineRule="auto" w:before="74"/>
        <w:ind w:right="1033"/>
        <w:jc w:val="left"/>
      </w:pPr>
      <w:r>
        <w:rPr>
          <w:spacing w:val="-2"/>
        </w:rPr>
        <w:t>户集中度高、核心技术人员依赖性高、交易标的增值率较高的风险，虽然在近年的业绩对赌期里，公信诚丰业绩均成功完成</w:t>
      </w:r>
      <w:r>
        <w:rPr>
          <w:spacing w:val="-65"/>
        </w:rPr>
        <w:t> </w:t>
      </w:r>
      <w:r>
        <w:rPr>
          <w:spacing w:val="-65"/>
        </w:rPr>
      </w:r>
      <w:r>
        <w:rPr>
          <w:spacing w:val="-2"/>
        </w:rPr>
        <w:t>了相应业绩对赌，但不排除未来由于经营不善、核心管理层离职或失去大客户订单等从而造成业绩下滑而带来的商誉减值风</w:t>
      </w:r>
      <w:r>
        <w:rPr>
          <w:spacing w:val="-64"/>
        </w:rPr>
        <w:t> </w:t>
      </w:r>
      <w:r>
        <w:rPr>
          <w:spacing w:val="-64"/>
        </w:rPr>
      </w:r>
      <w:r>
        <w:rPr>
          <w:spacing w:val="-2"/>
        </w:rPr>
        <w:t>险。针对此风险，公司通过向公信诚丰派驻董事、管理人员及财务人员，账户共管，针对核心技术人员签订保密协议及竞业</w:t>
      </w:r>
      <w:r>
        <w:rPr>
          <w:spacing w:val="-67"/>
        </w:rPr>
        <w:t> </w:t>
      </w:r>
      <w:r>
        <w:rPr>
          <w:spacing w:val="-67"/>
        </w:rPr>
      </w:r>
      <w:r>
        <w:rPr/>
        <w:t>禁止协议等，以及通过重新设计激励方案和鼓励其开拓其它行业大客户等方式来降低风险。 </w:t>
      </w:r>
      <w:r>
        <w:rPr>
          <w:rFonts w:ascii="Times New Roman" w:hAnsi="Times New Roman" w:cs="Times New Roman" w:eastAsia="Times New Roman" w:hint="default"/>
        </w:rPr>
        <w:t>8</w:t>
      </w:r>
      <w:r>
        <w:rPr/>
        <w:t>、收购嘉联支付</w:t>
      </w:r>
      <w:r>
        <w:rPr>
          <w:rFonts w:ascii="Times New Roman" w:hAnsi="Times New Roman" w:cs="Times New Roman" w:eastAsia="Times New Roman" w:hint="default"/>
        </w:rPr>
        <w:t>100%</w:t>
      </w:r>
      <w:r>
        <w:rPr/>
        <w:t>股权的风险</w:t>
      </w:r>
    </w:p>
    <w:p>
      <w:pPr>
        <w:pStyle w:val="BodyText"/>
        <w:spacing w:line="470" w:lineRule="auto" w:before="21"/>
        <w:ind w:right="1033" w:firstLine="420"/>
        <w:jc w:val="left"/>
      </w:pPr>
      <w:r>
        <w:rPr/>
        <w:t>收购嘉联支付</w:t>
      </w:r>
      <w:r>
        <w:rPr>
          <w:rFonts w:ascii="Times New Roman" w:hAnsi="Times New Roman" w:cs="Times New Roman" w:eastAsia="Times New Roman" w:hint="default"/>
        </w:rPr>
        <w:t>100%</w:t>
      </w:r>
      <w:r>
        <w:rPr/>
        <w:t>股权存在市场竞争风险、业务风险、商誉减值风险、后期整合未达预期效果风险、人才流失风险、 政策监管风险和对现有支付终端业务产生负面影响等风险。对于并购嘉联支付的相关风险，公司会加强投后整合管理工作， </w:t>
      </w:r>
      <w:r>
        <w:rPr>
          <w:spacing w:val="-2"/>
        </w:rPr>
        <w:t>完善和有效实施公司内控制度，及时认真学习和积极落实监管政策，并且把合规运营放在首位；为嘉联支付管理层及核心骨</w:t>
      </w:r>
      <w:r>
        <w:rPr>
          <w:spacing w:val="-63"/>
        </w:rPr>
        <w:t> </w:t>
      </w:r>
      <w:r>
        <w:rPr>
          <w:spacing w:val="-63"/>
        </w:rPr>
      </w:r>
      <w:r>
        <w:rPr>
          <w:spacing w:val="-2"/>
        </w:rPr>
        <w:t>干提供有效激励方案，以及在业务上加强双方主体在产业链上协同效应从而真正突显出产业链整合的红利，增强公司的盈利</w:t>
      </w:r>
      <w:r>
        <w:rPr>
          <w:spacing w:val="-64"/>
        </w:rPr>
        <w:t> </w:t>
      </w:r>
      <w:r>
        <w:rPr>
          <w:spacing w:val="-64"/>
        </w:rPr>
      </w:r>
      <w:r>
        <w:rPr/>
        <w:t>能力和抗风险能力。</w:t>
      </w:r>
    </w:p>
    <w:p>
      <w:pPr>
        <w:pStyle w:val="BodyText"/>
        <w:spacing w:line="451" w:lineRule="auto" w:before="59"/>
        <w:ind w:left="573" w:right="1033" w:hanging="420"/>
        <w:jc w:val="left"/>
      </w:pPr>
      <w:r>
        <w:rPr>
          <w:rFonts w:ascii="Times New Roman" w:hAnsi="Times New Roman" w:cs="Times New Roman" w:eastAsia="Times New Roman" w:hint="default"/>
        </w:rPr>
        <w:t>9</w:t>
      </w:r>
      <w:r>
        <w:rPr/>
        <w:t>、新冠肺炎疫情对国内外经济冲击所带来的风险 在全球经济一体化背景下，公司积极布局海外市场，通过把国内领先的支付服务与产品输出到海外，从而获得国际贸</w:t>
      </w:r>
    </w:p>
    <w:p>
      <w:pPr>
        <w:pStyle w:val="BodyText"/>
        <w:spacing w:line="472" w:lineRule="auto" w:before="74"/>
        <w:ind w:right="1129"/>
        <w:jc w:val="both"/>
      </w:pPr>
      <w:r>
        <w:rPr/>
        <w:t>易及海外市场给公司业务发展所带来的红利。随着国内收单业务以及海外市场业务对公司整体收入及利润贡献占比越来越</w:t>
      </w:r>
      <w:r>
        <w:rPr>
          <w:spacing w:val="-11"/>
        </w:rPr>
        <w:t> </w:t>
      </w:r>
      <w:r>
        <w:rPr>
          <w:spacing w:val="-11"/>
        </w:rPr>
      </w:r>
      <w:r>
        <w:rPr>
          <w:spacing w:val="-2"/>
        </w:rPr>
        <w:t>高，并且考虑到国内收单业务与线下消费繁荣程度紧密相关，</w:t>
      </w:r>
      <w:r>
        <w:rPr>
          <w:rFonts w:ascii="Times New Roman" w:hAnsi="Times New Roman" w:cs="Times New Roman" w:eastAsia="Times New Roman" w:hint="default"/>
          <w:spacing w:val="-2"/>
        </w:rPr>
        <w:t>2020</w:t>
      </w:r>
      <w:r>
        <w:rPr>
          <w:spacing w:val="-2"/>
        </w:rPr>
        <w:t>年一季度国内线下消费锐减，这将对公司的收单业务产生</w:t>
      </w:r>
      <w:r>
        <w:rPr>
          <w:spacing w:val="-60"/>
        </w:rPr>
        <w:t> </w:t>
      </w:r>
      <w:r>
        <w:rPr>
          <w:spacing w:val="-60"/>
        </w:rPr>
      </w:r>
      <w:r>
        <w:rPr>
          <w:spacing w:val="-2"/>
        </w:rPr>
        <w:t>一定短期影响；同时即使在国内取得抗疫有效成果前提下公司积极复工复产，但是后续由于海外疫情逐渐爆发，海外业务推</w:t>
      </w:r>
      <w:r>
        <w:rPr>
          <w:spacing w:val="-63"/>
        </w:rPr>
        <w:t> </w:t>
      </w:r>
      <w:r>
        <w:rPr>
          <w:spacing w:val="-63"/>
        </w:rPr>
      </w:r>
      <w:r>
        <w:rPr>
          <w:spacing w:val="-2"/>
        </w:rPr>
        <w:t>广、商业沟通以及前期订单交付可能会出现延期或者取消的情形，公司海外市场业务发展将面临一定短期阻碍和风险。针对</w:t>
      </w:r>
      <w:r>
        <w:rPr>
          <w:spacing w:val="-63"/>
        </w:rPr>
        <w:t> </w:t>
      </w:r>
      <w:r>
        <w:rPr>
          <w:spacing w:val="-63"/>
        </w:rPr>
      </w:r>
      <w:r>
        <w:rPr>
          <w:spacing w:val="-2"/>
        </w:rPr>
        <w:t>该风险，公司在严格遵守政府监管部门对疫情防控的指导政策的前提下，积极合理安排复工复产，做好与客户的沟通协调工</w:t>
      </w:r>
      <w:r>
        <w:rPr>
          <w:spacing w:val="-64"/>
        </w:rPr>
        <w:t> </w:t>
      </w:r>
      <w:r>
        <w:rPr>
          <w:spacing w:val="-64"/>
        </w:rPr>
      </w:r>
      <w:r>
        <w:rPr>
          <w:spacing w:val="-2"/>
        </w:rPr>
        <w:t>作；同时公司将主动控制债务规模，积极做好资金流动性安排，通过拟定向增发股票引进战略投资者募集充足资金以应对未</w:t>
      </w:r>
      <w:r>
        <w:rPr>
          <w:spacing w:val="-62"/>
        </w:rPr>
        <w:t> </w:t>
      </w:r>
      <w:r>
        <w:rPr>
          <w:spacing w:val="-62"/>
        </w:rPr>
      </w:r>
      <w:r>
        <w:rPr/>
        <w:t>来疫情所带来的不确定之风险。</w:t>
      </w:r>
    </w:p>
    <w:p>
      <w:pPr>
        <w:spacing w:after="0" w:line="472" w:lineRule="auto"/>
        <w:jc w:val="both"/>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4"/>
        <w:spacing w:line="367" w:lineRule="exact"/>
        <w:ind w:right="1033"/>
        <w:jc w:val="left"/>
        <w:rPr>
          <w:b w:val="0"/>
          <w:bCs w:val="0"/>
        </w:rPr>
      </w:pPr>
      <w:r>
        <w:rPr/>
        <w:t>十、接待调研、沟通、采访等活动登记表</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日披露于巨潮资讯网的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300130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新国都调研活动信息</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20190612</w:t>
            </w:r>
            <w:r>
              <w:rPr>
                <w:rFonts w:ascii="宋体" w:hAnsi="宋体" w:cs="宋体" w:eastAsia="宋体" w:hint="default"/>
                <w:sz w:val="18"/>
                <w:szCs w:val="18"/>
              </w:rPr>
              <w:t>》</w:t>
            </w:r>
          </w:p>
        </w:tc>
      </w:tr>
      <w:tr>
        <w:trPr>
          <w:trHeight w:val="102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日披露于巨潮资讯网</w:t>
            </w:r>
          </w:p>
          <w:p>
            <w:pPr>
              <w:pStyle w:val="TableParagraph"/>
              <w:spacing w:line="300" w:lineRule="auto" w:before="63"/>
              <w:ind w:left="23" w:right="82"/>
              <w:jc w:val="left"/>
              <w:rPr>
                <w:rFonts w:ascii="宋体" w:hAnsi="宋体" w:cs="宋体" w:eastAsia="宋体" w:hint="default"/>
                <w:sz w:val="18"/>
                <w:szCs w:val="18"/>
              </w:rPr>
            </w:pPr>
            <w:r>
              <w:rPr>
                <w:rFonts w:ascii="宋体" w:hAnsi="宋体" w:cs="宋体" w:eastAsia="宋体" w:hint="default"/>
                <w:sz w:val="18"/>
                <w:szCs w:val="18"/>
              </w:rPr>
              <w:t>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日投资者关系活 动记录表》</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3768"/>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4"/>
        <w:spacing w:line="240" w:lineRule="auto"/>
        <w:ind w:right="1033"/>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1033"/>
        <w:jc w:val="left"/>
      </w:pPr>
      <w:r>
        <w:rPr/>
        <w:t>报告期内普通股利润分配政策，特别是现金分红政策的制定、执行或调整情况</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7"/>
        <w:spacing w:line="240" w:lineRule="auto" w:before="44"/>
        <w:ind w:right="1033"/>
        <w:jc w:val="left"/>
        <w:rPr>
          <w:b w:val="0"/>
          <w:bCs w:val="0"/>
        </w:rPr>
      </w:pPr>
      <w:r>
        <w:rPr/>
        <w:t>（一）报告期内普通股利润分配政策</w:t>
      </w:r>
      <w:r>
        <w:rPr>
          <w:b w:val="0"/>
          <w:bCs w:val="0"/>
        </w:rPr>
      </w:r>
    </w:p>
    <w:p>
      <w:pPr>
        <w:pStyle w:val="BodyText"/>
        <w:spacing w:line="456" w:lineRule="auto" w:before="135"/>
        <w:ind w:right="1128"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日，公司召开第四届董事会第二十一次会议以及第四届监事会第二十次会议，审议通过了《关于公司未来 </w:t>
      </w:r>
      <w:r>
        <w:rPr>
          <w:spacing w:val="-2"/>
        </w:rPr>
        <w:t>三年（</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2020</w:t>
      </w:r>
      <w:r>
        <w:rPr>
          <w:spacing w:val="-2"/>
        </w:rPr>
        <w:t>年）股东回报规划的议案》，为完善和健全公司科学、持续、稳定的分红决策和监督机制，积极回报投资</w:t>
      </w:r>
      <w:r>
        <w:rPr>
          <w:spacing w:val="-69"/>
        </w:rPr>
        <w:t> </w:t>
      </w:r>
      <w:r>
        <w:rPr>
          <w:spacing w:val="-69"/>
        </w:rPr>
      </w:r>
      <w:r>
        <w:rPr>
          <w:spacing w:val="-2"/>
        </w:rPr>
        <w:t>者，引导投资者树立长期投资和理性投资理念，公司根据《中华人民共和国公司法》、中国证券监督管理委员会《关于进一</w:t>
      </w:r>
      <w:r>
        <w:rPr>
          <w:spacing w:val="-68"/>
        </w:rPr>
        <w:t> </w:t>
      </w:r>
      <w:r>
        <w:rPr>
          <w:spacing w:val="-68"/>
        </w:rPr>
      </w:r>
      <w:r>
        <w:rPr/>
        <w:t>步落实上市公司现金分红有关事项的通知》、《上市公司监管指引第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上市公司现金分红》及《公司章程》的规定，</w:t>
      </w:r>
      <w:r>
        <w:rPr>
          <w:spacing w:val="-83"/>
        </w:rPr>
        <w:t> </w:t>
      </w:r>
      <w:r>
        <w:rPr>
          <w:spacing w:val="-83"/>
        </w:rPr>
      </w:r>
      <w:r>
        <w:rPr>
          <w:spacing w:val="-1"/>
        </w:rPr>
        <w:t>结合公司的实际情况，制订了</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-2020</w:t>
      </w:r>
      <w:r>
        <w:rPr>
          <w:spacing w:val="-1"/>
        </w:rPr>
        <w:t>年股东回报规划，该议案已经</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27</w:t>
      </w:r>
      <w:r>
        <w:rPr>
          <w:spacing w:val="-1"/>
        </w:rPr>
        <w:t>日召开的第</w:t>
      </w:r>
      <w:r>
        <w:rPr>
          <w:rFonts w:ascii="Times New Roman" w:hAnsi="Times New Roman" w:cs="Times New Roman" w:eastAsia="Times New Roman" w:hint="default"/>
          <w:spacing w:val="-1"/>
        </w:rPr>
        <w:t>2018</w:t>
      </w:r>
      <w:r>
        <w:rPr>
          <w:spacing w:val="-1"/>
        </w:rPr>
        <w:t>年第四次临时股东大会</w:t>
      </w:r>
      <w:r>
        <w:rPr>
          <w:spacing w:val="-85"/>
        </w:rPr>
        <w:t> </w:t>
      </w:r>
      <w:r>
        <w:rPr>
          <w:spacing w:val="-85"/>
        </w:rPr>
      </w:r>
      <w:r>
        <w:rPr/>
        <w:t>以特别决议审议通过。</w:t>
      </w:r>
      <w:r>
        <w:rPr>
          <w:rFonts w:ascii="Times New Roman" w:hAnsi="Times New Roman" w:cs="Times New Roman" w:eastAsia="Times New Roman" w:hint="default"/>
        </w:rPr>
        <w:t>2018-2020</w:t>
      </w:r>
      <w:r>
        <w:rPr/>
        <w:t>年股东回报规划具体内容如下：</w:t>
      </w:r>
    </w:p>
    <w:p>
      <w:pPr>
        <w:pStyle w:val="BodyText"/>
        <w:spacing w:line="240" w:lineRule="auto" w:before="39"/>
        <w:ind w:left="513" w:right="1033"/>
        <w:jc w:val="left"/>
      </w:pPr>
      <w:r>
        <w:rPr>
          <w:rFonts w:ascii="Times New Roman" w:hAnsi="Times New Roman" w:cs="Times New Roman" w:eastAsia="Times New Roman" w:hint="default"/>
        </w:rPr>
        <w:t>1</w:t>
      </w:r>
      <w:r>
        <w:rPr/>
        <w:t>、公司可以采取现金、股票、现金与股票相结合或者法律、法规允许的其他方式分配利润。</w:t>
      </w:r>
    </w:p>
    <w:p>
      <w:pPr>
        <w:spacing w:line="240" w:lineRule="auto" w:before="10"/>
        <w:rPr>
          <w:rFonts w:ascii="宋体" w:hAnsi="宋体" w:cs="宋体" w:eastAsia="宋体" w:hint="default"/>
          <w:sz w:val="16"/>
          <w:szCs w:val="16"/>
        </w:rPr>
      </w:pPr>
    </w:p>
    <w:p>
      <w:pPr>
        <w:pStyle w:val="BodyText"/>
        <w:spacing w:line="240" w:lineRule="auto"/>
        <w:ind w:left="513" w:right="1033"/>
        <w:jc w:val="left"/>
      </w:pPr>
      <w:r>
        <w:rPr>
          <w:rFonts w:ascii="Times New Roman" w:hAnsi="Times New Roman" w:cs="Times New Roman" w:eastAsia="Times New Roman" w:hint="default"/>
        </w:rPr>
        <w:t>2</w:t>
      </w:r>
      <w:r>
        <w:rPr/>
        <w:t>、根据《公司法》及《公司章程》的规定，在公司盈利且现金能够满足公司持续经营和长期发展的前提下，未来三年</w:t>
      </w:r>
    </w:p>
    <w:p>
      <w:pPr>
        <w:spacing w:line="240" w:lineRule="auto" w:before="9"/>
        <w:rPr>
          <w:rFonts w:ascii="宋体" w:hAnsi="宋体" w:cs="宋体" w:eastAsia="宋体" w:hint="default"/>
          <w:sz w:val="16"/>
          <w:szCs w:val="16"/>
        </w:rPr>
      </w:pPr>
    </w:p>
    <w:p>
      <w:pPr>
        <w:pStyle w:val="BodyText"/>
        <w:spacing w:line="240" w:lineRule="auto"/>
        <w:ind w:right="1033"/>
        <w:jc w:val="left"/>
      </w:pPr>
      <w:r>
        <w:rPr/>
        <w:t>（</w:t>
      </w:r>
      <w:r>
        <w:rPr>
          <w:rFonts w:ascii="Times New Roman" w:hAnsi="Times New Roman" w:cs="Times New Roman" w:eastAsia="Times New Roman" w:hint="default"/>
        </w:rPr>
        <w:t>2018-2020</w:t>
      </w:r>
      <w:r>
        <w:rPr/>
        <w:t>年）以现金方式累计分配的利润不少于该三年实现的年均可分配利润的</w:t>
      </w:r>
      <w:r>
        <w:rPr>
          <w:rFonts w:ascii="Times New Roman" w:hAnsi="Times New Roman" w:cs="Times New Roman" w:eastAsia="Times New Roman" w:hint="default"/>
        </w:rPr>
        <w:t>30%</w:t>
      </w:r>
      <w:r>
        <w:rPr/>
        <w:t>。</w:t>
      </w:r>
    </w:p>
    <w:p>
      <w:pPr>
        <w:spacing w:line="240" w:lineRule="auto" w:before="9"/>
        <w:rPr>
          <w:rFonts w:ascii="宋体" w:hAnsi="宋体" w:cs="宋体" w:eastAsia="宋体" w:hint="default"/>
          <w:sz w:val="16"/>
          <w:szCs w:val="16"/>
        </w:rPr>
      </w:pPr>
    </w:p>
    <w:p>
      <w:pPr>
        <w:pStyle w:val="BodyText"/>
        <w:spacing w:line="451" w:lineRule="auto"/>
        <w:ind w:right="1033" w:firstLine="360"/>
        <w:jc w:val="left"/>
      </w:pPr>
      <w:r>
        <w:rPr>
          <w:rFonts w:ascii="Times New Roman" w:hAnsi="Times New Roman" w:cs="Times New Roman" w:eastAsia="Times New Roman" w:hint="default"/>
          <w:spacing w:val="-2"/>
        </w:rPr>
        <w:t>3</w:t>
      </w:r>
      <w:r>
        <w:rPr>
          <w:spacing w:val="-2"/>
        </w:rPr>
        <w:t>、未来三年（</w:t>
      </w:r>
      <w:r>
        <w:rPr>
          <w:rFonts w:ascii="Times New Roman" w:hAnsi="Times New Roman" w:cs="Times New Roman" w:eastAsia="Times New Roman" w:hint="default"/>
          <w:spacing w:val="-2"/>
        </w:rPr>
        <w:t>2018-2020</w:t>
      </w:r>
      <w:r>
        <w:rPr>
          <w:spacing w:val="-2"/>
        </w:rPr>
        <w:t>年）公司原则上每年度进行一次现金分红，公司董事会可以根据公司盈利情况及资金需求状况</w:t>
      </w:r>
      <w:r>
        <w:rPr/>
        <w:t> 提议公司进行中期现金分红。</w:t>
      </w:r>
    </w:p>
    <w:p>
      <w:pPr>
        <w:pStyle w:val="BodyText"/>
        <w:spacing w:line="451" w:lineRule="auto" w:before="74"/>
        <w:ind w:right="1120" w:firstLine="360"/>
        <w:jc w:val="left"/>
      </w:pPr>
      <w:r>
        <w:rPr>
          <w:rFonts w:ascii="Times New Roman" w:hAnsi="Times New Roman" w:cs="Times New Roman" w:eastAsia="Times New Roman" w:hint="default"/>
          <w:spacing w:val="-1"/>
        </w:rPr>
        <w:t>4</w:t>
      </w:r>
      <w:r>
        <w:rPr>
          <w:spacing w:val="-1"/>
        </w:rPr>
        <w:t>、未来三年（</w:t>
      </w:r>
      <w:r>
        <w:rPr>
          <w:rFonts w:ascii="Times New Roman" w:hAnsi="Times New Roman" w:cs="Times New Roman" w:eastAsia="Times New Roman" w:hint="default"/>
          <w:spacing w:val="-1"/>
        </w:rPr>
        <w:t>2018-2020</w:t>
      </w:r>
      <w:r>
        <w:rPr>
          <w:spacing w:val="-1"/>
        </w:rPr>
        <w:t>年）公司可以根据累计可供分配利润、公积金及现金流状况，在保证最低现金分红比例和公司</w:t>
      </w:r>
      <w:r>
        <w:rPr/>
        <w:t> 股本规模合理的前提下，为保持股本扩张与业绩增长相适应，公司可以采用股票股利方式进行利润分配。</w:t>
      </w:r>
    </w:p>
    <w:p>
      <w:pPr>
        <w:pStyle w:val="BodyText"/>
        <w:spacing w:line="240" w:lineRule="auto" w:before="74"/>
        <w:ind w:left="513" w:right="1033"/>
        <w:jc w:val="left"/>
      </w:pPr>
      <w:r>
        <w:rPr/>
        <w:t>如公司采取现金及股票股利结合的方式分配利润的，应当遵循以下原则：</w:t>
      </w:r>
    </w:p>
    <w:p>
      <w:pPr>
        <w:spacing w:line="240" w:lineRule="auto" w:before="10"/>
        <w:rPr>
          <w:rFonts w:ascii="宋体" w:hAnsi="宋体" w:cs="宋体" w:eastAsia="宋体" w:hint="default"/>
          <w:sz w:val="17"/>
          <w:szCs w:val="17"/>
        </w:rPr>
      </w:pPr>
    </w:p>
    <w:p>
      <w:pPr>
        <w:pStyle w:val="BodyText"/>
        <w:spacing w:line="451" w:lineRule="auto"/>
        <w:ind w:right="1123" w:firstLine="360"/>
        <w:jc w:val="left"/>
      </w:pPr>
      <w:r>
        <w:rPr/>
        <w:t>（</w:t>
      </w: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 达到</w:t>
      </w:r>
      <w:r>
        <w:rPr>
          <w:rFonts w:ascii="Times New Roman" w:hAnsi="Times New Roman" w:cs="Times New Roman" w:eastAsia="Times New Roman" w:hint="default"/>
        </w:rPr>
        <w:t>80%</w:t>
      </w:r>
      <w:r>
        <w:rPr/>
        <w:t>；</w:t>
      </w:r>
    </w:p>
    <w:p>
      <w:pPr>
        <w:pStyle w:val="BodyText"/>
        <w:spacing w:line="451" w:lineRule="auto" w:before="43"/>
        <w:ind w:right="1123" w:firstLine="360"/>
        <w:jc w:val="left"/>
      </w:pPr>
      <w:r>
        <w:rPr/>
        <w:t>（</w:t>
      </w: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 达到</w:t>
      </w:r>
      <w:r>
        <w:rPr>
          <w:rFonts w:ascii="Times New Roman" w:hAnsi="Times New Roman" w:cs="Times New Roman" w:eastAsia="Times New Roman" w:hint="default"/>
        </w:rPr>
        <w:t>40%</w:t>
      </w:r>
      <w:r>
        <w:rPr/>
        <w:t>；</w:t>
      </w:r>
    </w:p>
    <w:p>
      <w:pPr>
        <w:pStyle w:val="BodyText"/>
        <w:spacing w:line="451" w:lineRule="auto" w:before="43"/>
        <w:ind w:right="1123" w:firstLine="360"/>
        <w:jc w:val="left"/>
      </w:pPr>
      <w:r>
        <w:rPr/>
        <w:t>（</w:t>
      </w: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 达到</w:t>
      </w:r>
      <w:r>
        <w:rPr>
          <w:rFonts w:ascii="Times New Roman" w:hAnsi="Times New Roman" w:cs="Times New Roman" w:eastAsia="Times New Roman" w:hint="default"/>
        </w:rPr>
        <w:t>20%</w:t>
      </w:r>
      <w:r>
        <w:rPr/>
        <w:t>。</w:t>
      </w:r>
    </w:p>
    <w:p>
      <w:pPr>
        <w:pStyle w:val="BodyText"/>
        <w:spacing w:line="240" w:lineRule="auto" w:before="44"/>
        <w:ind w:left="513" w:right="1033"/>
        <w:jc w:val="left"/>
      </w:pPr>
      <w:r>
        <w:rPr/>
        <w:t>公司发展阶段不易区分但有重大资金支出安排的，可以按照前项规定处理。</w:t>
      </w:r>
    </w:p>
    <w:p>
      <w:pPr>
        <w:spacing w:line="343" w:lineRule="auto" w:before="96"/>
        <w:ind w:left="513" w:right="1753" w:hanging="36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（二）报告期内普通股利润分配政策的执行和调整情况</w:t>
      </w:r>
      <w:r>
        <w:rPr>
          <w:rFonts w:ascii="Microsoft JhengHei" w:hAnsi="Microsoft JhengHei" w:cs="Microsoft JhengHei" w:eastAsia="Microsoft JhengHei" w:hint="default"/>
          <w:b/>
          <w:bCs/>
          <w:spacing w:val="-32"/>
          <w:sz w:val="18"/>
          <w:szCs w:val="18"/>
        </w:rPr>
        <w:t> </w:t>
      </w:r>
      <w:r>
        <w:rPr>
          <w:rFonts w:ascii="Microsoft JhengHei" w:hAnsi="Microsoft JhengHei" w:cs="Microsoft JhengHei" w:eastAsia="Microsoft JhengHei" w:hint="default"/>
          <w:b/>
          <w:bCs/>
          <w:spacing w:val="-32"/>
          <w:sz w:val="18"/>
          <w:szCs w:val="18"/>
        </w:rPr>
      </w:r>
      <w:r>
        <w:rPr>
          <w:rFonts w:ascii="宋体" w:hAnsi="宋体" w:cs="宋体" w:eastAsia="宋体" w:hint="default"/>
          <w:sz w:val="18"/>
          <w:szCs w:val="18"/>
        </w:rPr>
        <w:t>报告期内，公司继续执行《公司未来三年（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2020</w:t>
      </w:r>
      <w:r>
        <w:rPr>
          <w:rFonts w:ascii="宋体" w:hAnsi="宋体" w:cs="宋体" w:eastAsia="宋体" w:hint="default"/>
          <w:sz w:val="18"/>
          <w:szCs w:val="18"/>
        </w:rPr>
        <w:t>年）股东回报规划》，未有调整。具体执行情况如下：</w:t>
      </w:r>
    </w:p>
    <w:p>
      <w:pPr>
        <w:spacing w:after="0" w:line="343"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510.909973pt;width:290.95pt;height:20.8pt;mso-position-horizontal-relative:page;mso-position-vertical-relative:page;z-index:-1258864" coordorigin="4856,10218" coordsize="5819,416">
            <v:group style="position:absolute;left:4868;top:10230;width:2;height:392" coordorigin="4868,10230" coordsize="2,392">
              <v:shape style="position:absolute;left:4868;top:10230;width:2;height:392" coordorigin="4868,10230" coordsize="0,392" path="m4868,10230l4868,10621e" filled="false" stroked="true" strokeweight="1.2pt" strokecolor="#ffffff">
                <v:path arrowok="t"/>
              </v:shape>
            </v:group>
            <v:group style="position:absolute;left:4880;top:10230;width:5795;height:392" coordorigin="4880,10230" coordsize="5795,392">
              <v:shape style="position:absolute;left:4880;top:10230;width:5795;height:392" coordorigin="4880,10230" coordsize="5795,392" path="m4880,10621l10675,10621,10675,10230,4880,10230,4880,10621xe" filled="true" fillcolor="#ffffff" stroked="false">
                <v:path arrowok="t"/>
                <v:fill type="solid"/>
              </v:shape>
            </v:group>
            <w10:wrap type="none"/>
          </v:group>
        </w:pict>
      </w:r>
    </w:p>
    <w:p>
      <w:pPr>
        <w:spacing w:line="240" w:lineRule="auto" w:before="3"/>
        <w:rPr>
          <w:rFonts w:ascii="宋体" w:hAnsi="宋体" w:cs="宋体" w:eastAsia="宋体" w:hint="default"/>
          <w:sz w:val="15"/>
          <w:szCs w:val="15"/>
        </w:rPr>
      </w:pPr>
    </w:p>
    <w:p>
      <w:pPr>
        <w:pStyle w:val="BodyText"/>
        <w:spacing w:line="458" w:lineRule="auto"/>
        <w:ind w:right="1128"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日，公司召开第四届董事会第三十一次会议及第四届监事会第三十次会议，审议通过了《关于</w:t>
      </w:r>
      <w:r>
        <w:rPr>
          <w:rFonts w:ascii="Times New Roman" w:hAnsi="Times New Roman" w:cs="Times New Roman" w:eastAsia="Times New Roman" w:hint="default"/>
        </w:rPr>
        <w:t>2018</w:t>
      </w:r>
      <w:r>
        <w:rPr/>
        <w:t>年度利 润分配的议案》，该议案已经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2018</w:t>
      </w:r>
      <w:r>
        <w:rPr/>
        <w:t>年年度股东大会审议通过。</w:t>
      </w:r>
      <w:r>
        <w:rPr>
          <w:rFonts w:ascii="Times New Roman" w:hAnsi="Times New Roman" w:cs="Times New Roman" w:eastAsia="Times New Roman" w:hint="default"/>
        </w:rPr>
        <w:t>2018</w:t>
      </w:r>
      <w:r>
        <w:rPr/>
        <w:t>年度利润分配方案为：</w:t>
      </w:r>
      <w:r>
        <w:rPr>
          <w:rFonts w:ascii="Times New Roman" w:hAnsi="Times New Roman" w:cs="Times New Roman" w:eastAsia="Times New Roman" w:hint="default"/>
        </w:rPr>
        <w:t>2018</w:t>
      </w:r>
      <w:r>
        <w:rPr/>
        <w:t>年年度 </w:t>
      </w:r>
      <w:r>
        <w:rPr>
          <w:spacing w:val="-2"/>
        </w:rPr>
        <w:t>不进行现金分红，不送红股，亦不进行资本公积金转增股本，公司的未分配利润结转以后年度分配。公司独立董事、监事均</w:t>
      </w:r>
      <w:r>
        <w:rPr>
          <w:spacing w:val="-66"/>
        </w:rPr>
        <w:t> </w:t>
      </w:r>
      <w:r>
        <w:rPr>
          <w:spacing w:val="-66"/>
        </w:rPr>
      </w:r>
      <w:r>
        <w:rPr/>
        <w:t>对此发表了同意的意见。</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7"/>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2"/>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31"/>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分红政策未发生变更，条件及程序合规、透明</w:t>
            </w:r>
          </w:p>
        </w:tc>
      </w:tr>
    </w:tbl>
    <w:p>
      <w:pPr>
        <w:pStyle w:val="BodyText"/>
        <w:spacing w:line="240" w:lineRule="auto" w:before="30"/>
        <w:ind w:right="1033"/>
        <w:jc w:val="left"/>
      </w:pPr>
      <w:r>
        <w:rPr/>
        <w:t>公司报告期利润分配预案及资本公积金转增股本预案与公司章程和分红管理办法等的相关规定一致</w:t>
      </w:r>
    </w:p>
    <w:p>
      <w:pPr>
        <w:pStyle w:val="BodyText"/>
        <w:spacing w:line="348" w:lineRule="auto" w:before="115"/>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488,895,507</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121,342,309.80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tabs>
                <w:tab w:pos="4791" w:val="left" w:leader="none"/>
              </w:tabs>
              <w:spacing w:line="240" w:lineRule="auto" w:before="50"/>
              <w:ind w:left="-118"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45,788,045.32</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167,130,355.07</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515,957,184.58</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3"/>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80</w:t>
            </w:r>
            <w:r>
              <w:rPr>
                <w:rFonts w:ascii="宋体" w:hAnsi="宋体" w:cs="宋体" w:eastAsia="宋体" w:hint="default"/>
                <w:spacing w:val="-1"/>
                <w:sz w:val="18"/>
                <w:szCs w:val="18"/>
              </w:rPr>
              <w:t>％</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8"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以实施利润分配方案时股权登记日的总股本为基数，扣除公司回购股份专户中的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3,526,268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股，向全体股东每</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股派发现</w:t>
            </w:r>
          </w:p>
          <w:p>
            <w:pPr>
              <w:pStyle w:val="TableParagraph"/>
              <w:spacing w:line="300" w:lineRule="auto" w:before="63"/>
              <w:ind w:left="12" w:right="48"/>
              <w:jc w:val="left"/>
              <w:rPr>
                <w:rFonts w:ascii="宋体" w:hAnsi="宋体" w:cs="宋体" w:eastAsia="宋体" w:hint="default"/>
                <w:sz w:val="18"/>
                <w:szCs w:val="18"/>
              </w:rPr>
            </w:pPr>
            <w:r>
              <w:rPr>
                <w:rFonts w:ascii="宋体" w:hAnsi="宋体" w:cs="宋体" w:eastAsia="宋体" w:hint="default"/>
                <w:sz w:val="18"/>
                <w:szCs w:val="18"/>
              </w:rPr>
              <w:t>金股利</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元人民币（含税）。董事会审议利润分配方案后股本发生变动的，将按照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现金分红比例、送红股总额、转增股</w:t>
            </w:r>
            <w:r>
              <w:rPr>
                <w:rFonts w:ascii="宋体" w:hAnsi="宋体" w:cs="宋体" w:eastAsia="宋体" w:hint="default"/>
                <w:sz w:val="18"/>
                <w:szCs w:val="18"/>
              </w:rPr>
              <w:t> 本总额固定不变</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的原则对分配比例进行调整。</w:t>
            </w:r>
          </w:p>
        </w:tc>
      </w:tr>
    </w:tbl>
    <w:p>
      <w:pPr>
        <w:pStyle w:val="BodyText"/>
        <w:spacing w:line="240" w:lineRule="auto" w:before="49"/>
        <w:ind w:right="1033"/>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10"/>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日，公司召开</w:t>
      </w:r>
      <w:r>
        <w:rPr>
          <w:rFonts w:ascii="Times New Roman" w:hAnsi="Times New Roman" w:cs="Times New Roman" w:eastAsia="Times New Roman" w:hint="default"/>
        </w:rPr>
        <w:t>2017</w:t>
      </w:r>
      <w:r>
        <w:rPr/>
        <w:t>年年度股东大会审议通过了</w:t>
      </w:r>
      <w:r>
        <w:rPr>
          <w:rFonts w:ascii="Times New Roman" w:hAnsi="Times New Roman" w:cs="Times New Roman" w:eastAsia="Times New Roman" w:hint="default"/>
        </w:rPr>
        <w:t>2017</w:t>
      </w:r>
      <w:r>
        <w:rPr/>
        <w:t>年度利润分配方案：公司以总股本</w:t>
      </w:r>
      <w:r>
        <w:rPr>
          <w:rFonts w:ascii="Times New Roman" w:hAnsi="Times New Roman" w:cs="Times New Roman" w:eastAsia="Times New Roman" w:hint="default"/>
        </w:rPr>
        <w:t>265,486,700</w:t>
      </w:r>
      <w:r>
        <w:rPr/>
        <w:t>股为基</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033"/>
        <w:jc w:val="left"/>
      </w:pPr>
      <w:r>
        <w:rPr/>
        <w:t>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1.5</w:t>
      </w:r>
      <w:r>
        <w:rPr/>
        <w:t>元人民币（含税），共分配</w:t>
      </w:r>
      <w:r>
        <w:rPr>
          <w:rFonts w:ascii="Times New Roman" w:hAnsi="Times New Roman" w:cs="Times New Roman" w:eastAsia="Times New Roman" w:hint="default"/>
        </w:rPr>
        <w:t>3,982.3005</w:t>
      </w:r>
      <w:r>
        <w:rPr/>
        <w:t>万元。同时，以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p>
    <w:p>
      <w:pPr>
        <w:spacing w:line="240" w:lineRule="auto" w:before="9"/>
        <w:rPr>
          <w:rFonts w:ascii="宋体" w:hAnsi="宋体" w:cs="宋体" w:eastAsia="宋体" w:hint="default"/>
          <w:sz w:val="16"/>
          <w:szCs w:val="16"/>
        </w:rPr>
      </w:pPr>
    </w:p>
    <w:p>
      <w:pPr>
        <w:pStyle w:val="BodyText"/>
        <w:spacing w:line="240" w:lineRule="auto"/>
        <w:ind w:right="1033"/>
        <w:jc w:val="left"/>
      </w:pPr>
      <w:r>
        <w:rPr>
          <w:rFonts w:ascii="Times New Roman" w:hAnsi="Times New Roman" w:cs="Times New Roman" w:eastAsia="Times New Roman" w:hint="default"/>
        </w:rPr>
        <w:t>265,486,700</w:t>
      </w:r>
      <w:r>
        <w:rPr/>
        <w:t>为基数，由资本公积金向全体股东每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股，合计转增股本</w:t>
      </w:r>
      <w:r>
        <w:rPr>
          <w:rFonts w:ascii="Times New Roman" w:hAnsi="Times New Roman" w:cs="Times New Roman" w:eastAsia="Times New Roman" w:hint="default"/>
        </w:rPr>
        <w:t>212,389,360</w:t>
      </w:r>
      <w:r>
        <w:rPr/>
        <w:t>股。</w:t>
      </w:r>
    </w:p>
    <w:p>
      <w:pPr>
        <w:spacing w:line="240" w:lineRule="auto" w:before="9"/>
        <w:rPr>
          <w:rFonts w:ascii="宋体" w:hAnsi="宋体" w:cs="宋体" w:eastAsia="宋体" w:hint="default"/>
          <w:sz w:val="16"/>
          <w:szCs w:val="16"/>
        </w:rPr>
      </w:pPr>
    </w:p>
    <w:p>
      <w:pPr>
        <w:pStyle w:val="BodyText"/>
        <w:spacing w:line="240" w:lineRule="auto"/>
        <w:ind w:left="513" w:right="1033"/>
        <w:jc w:val="left"/>
      </w:pP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8</w:t>
      </w:r>
      <w:r>
        <w:rPr>
          <w:spacing w:val="7"/>
        </w:rPr>
        <w:t>月</w:t>
      </w:r>
      <w:r>
        <w:rPr>
          <w:rFonts w:ascii="Times New Roman" w:hAnsi="Times New Roman" w:cs="Times New Roman" w:eastAsia="Times New Roman" w:hint="default"/>
          <w:spacing w:val="7"/>
        </w:rPr>
        <w:t>13</w:t>
      </w:r>
      <w:r>
        <w:rPr>
          <w:spacing w:val="7"/>
        </w:rPr>
        <w:t>日，公司召开</w:t>
      </w:r>
      <w:r>
        <w:rPr>
          <w:rFonts w:ascii="Times New Roman" w:hAnsi="Times New Roman" w:cs="Times New Roman" w:eastAsia="Times New Roman" w:hint="default"/>
          <w:spacing w:val="7"/>
        </w:rPr>
        <w:t>2018</w:t>
      </w:r>
      <w:r>
        <w:rPr>
          <w:spacing w:val="7"/>
        </w:rPr>
        <w:t>年第五次临时股东大会审议通过了</w:t>
      </w:r>
      <w:r>
        <w:rPr>
          <w:rFonts w:ascii="Times New Roman" w:hAnsi="Times New Roman" w:cs="Times New Roman" w:eastAsia="Times New Roman" w:hint="default"/>
          <w:spacing w:val="7"/>
        </w:rPr>
        <w:t>2018</w:t>
      </w:r>
      <w:r>
        <w:rPr>
          <w:spacing w:val="7"/>
        </w:rPr>
        <w:t>年半年度利润分配方案：公司以总股本</w:t>
      </w:r>
    </w:p>
    <w:p>
      <w:pPr>
        <w:spacing w:line="240" w:lineRule="auto" w:before="9"/>
        <w:rPr>
          <w:rFonts w:ascii="宋体" w:hAnsi="宋体" w:cs="宋体" w:eastAsia="宋体" w:hint="default"/>
          <w:sz w:val="16"/>
          <w:szCs w:val="16"/>
        </w:rPr>
      </w:pPr>
    </w:p>
    <w:p>
      <w:pPr>
        <w:pStyle w:val="BodyText"/>
        <w:spacing w:line="451" w:lineRule="auto"/>
        <w:ind w:right="1033"/>
        <w:jc w:val="left"/>
      </w:pPr>
      <w:r>
        <w:rPr>
          <w:rFonts w:ascii="Times New Roman" w:hAnsi="Times New Roman" w:cs="Times New Roman" w:eastAsia="Times New Roman" w:hint="default"/>
          <w:spacing w:val="-2"/>
        </w:rPr>
        <w:t>477,897,755</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2</w:t>
      </w:r>
      <w:r>
        <w:rPr>
          <w:spacing w:val="-2"/>
        </w:rPr>
        <w:t>元人民币（含税），共分配</w:t>
      </w:r>
      <w:r>
        <w:rPr>
          <w:rFonts w:ascii="Times New Roman" w:hAnsi="Times New Roman" w:cs="Times New Roman" w:eastAsia="Times New Roman" w:hint="default"/>
          <w:spacing w:val="-2"/>
        </w:rPr>
        <w:t>9,557.9551</w:t>
      </w:r>
      <w:r>
        <w:rPr>
          <w:spacing w:val="-2"/>
        </w:rPr>
        <w:t>万元。</w:t>
      </w:r>
      <w:r>
        <w:rPr>
          <w:rFonts w:ascii="Times New Roman" w:hAnsi="Times New Roman" w:cs="Times New Roman" w:eastAsia="Times New Roman" w:hint="default"/>
          <w:spacing w:val="-2"/>
        </w:rPr>
        <w:t>2018</w:t>
      </w:r>
      <w:r>
        <w:rPr>
          <w:spacing w:val="-2"/>
        </w:rPr>
        <w:t>年半年度公司未进</w:t>
      </w:r>
      <w:r>
        <w:rPr>
          <w:spacing w:val="-47"/>
        </w:rPr>
        <w:t> </w:t>
      </w:r>
      <w:r>
        <w:rPr>
          <w:spacing w:val="-47"/>
        </w:rPr>
      </w:r>
      <w:r>
        <w:rPr/>
        <w:t>行资本公积金转增股本。</w:t>
      </w:r>
    </w:p>
    <w:p>
      <w:pPr>
        <w:pStyle w:val="BodyText"/>
        <w:spacing w:line="451" w:lineRule="auto" w:before="74"/>
        <w:ind w:right="1128"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日，公司召开第四届董事会第三十一次会议及第四届监事会第三十次会议，审议通过了《关于</w:t>
      </w:r>
      <w:r>
        <w:rPr>
          <w:rFonts w:ascii="Times New Roman" w:hAnsi="Times New Roman" w:cs="Times New Roman" w:eastAsia="Times New Roman" w:hint="default"/>
          <w:spacing w:val="-2"/>
        </w:rPr>
        <w:t>2018</w:t>
      </w:r>
      <w:r>
        <w:rPr>
          <w:spacing w:val="-2"/>
        </w:rPr>
        <w:t>年度</w:t>
      </w:r>
      <w:r>
        <w:rPr/>
        <w:t> 利润分配的议案》，该利润分配预案已经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2018</w:t>
      </w:r>
      <w:r>
        <w:rPr/>
        <w:t>年年度股东大会审议通过。</w:t>
      </w:r>
      <w:r>
        <w:rPr>
          <w:rFonts w:ascii="Times New Roman" w:hAnsi="Times New Roman" w:cs="Times New Roman" w:eastAsia="Times New Roman" w:hint="default"/>
        </w:rPr>
        <w:t>2018</w:t>
      </w:r>
      <w:r>
        <w:rPr/>
        <w:t>年度利润分配预案为： </w:t>
      </w:r>
      <w:r>
        <w:rPr>
          <w:rFonts w:ascii="Times New Roman" w:hAnsi="Times New Roman" w:cs="Times New Roman" w:eastAsia="Times New Roman" w:hint="default"/>
        </w:rPr>
        <w:t>2018</w:t>
      </w:r>
      <w:r>
        <w:rPr/>
        <w:t>年年度不进行现金分红，不送红股，亦不进行资本公积金转增股本，公司的未分配利润结转以后年度分配。</w:t>
      </w:r>
    </w:p>
    <w:p>
      <w:pPr>
        <w:pStyle w:val="BodyText"/>
        <w:spacing w:line="451" w:lineRule="auto" w:before="43"/>
        <w:ind w:right="1033" w:firstLine="36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日，公司召开第四届董事会第四十五次会议及第四届监事会第四十二次会议，审议通过了《关于</w:t>
      </w:r>
      <w:r>
        <w:rPr>
          <w:rFonts w:ascii="Times New Roman" w:hAnsi="Times New Roman" w:cs="Times New Roman" w:eastAsia="Times New Roman" w:hint="default"/>
        </w:rPr>
        <w:t>2019 </w:t>
      </w:r>
      <w:r>
        <w:rPr>
          <w:spacing w:val="-2"/>
        </w:rPr>
        <w:t>年度利润分配的议案》，</w:t>
      </w:r>
      <w:r>
        <w:rPr>
          <w:rFonts w:ascii="Times New Roman" w:hAnsi="Times New Roman" w:cs="Times New Roman" w:eastAsia="Times New Roman" w:hint="default"/>
          <w:spacing w:val="-2"/>
        </w:rPr>
        <w:t>2019</w:t>
      </w:r>
      <w:r>
        <w:rPr>
          <w:spacing w:val="-2"/>
        </w:rPr>
        <w:t>年度利润分配预案为：以实施利润分配方案时股权登记日的总股本为基数，扣除公司回购股份</w:t>
      </w:r>
      <w:r>
        <w:rPr>
          <w:spacing w:val="-60"/>
        </w:rPr>
        <w:t> </w:t>
      </w:r>
      <w:r>
        <w:rPr>
          <w:spacing w:val="-60"/>
        </w:rPr>
      </w:r>
      <w:r>
        <w:rPr>
          <w:spacing w:val="-1"/>
        </w:rPr>
        <w:t>专户中的</w:t>
      </w:r>
      <w:r>
        <w:rPr>
          <w:rFonts w:ascii="Times New Roman" w:hAnsi="Times New Roman" w:cs="Times New Roman" w:eastAsia="Times New Roman" w:hint="default"/>
          <w:spacing w:val="-1"/>
        </w:rPr>
        <w:t>3,526,268</w:t>
      </w:r>
      <w:r>
        <w:rPr>
          <w:spacing w:val="-1"/>
        </w:rPr>
        <w:t>股，向全体股东每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2.5</w:t>
      </w:r>
      <w:r>
        <w:rPr>
          <w:spacing w:val="-1"/>
        </w:rPr>
        <w:t>元人民币（含税）。该预案尚需提交公司</w:t>
      </w:r>
      <w:r>
        <w:rPr>
          <w:rFonts w:ascii="Times New Roman" w:hAnsi="Times New Roman" w:cs="Times New Roman" w:eastAsia="Times New Roman" w:hint="default"/>
          <w:spacing w:val="-1"/>
        </w:rPr>
        <w:t>2019</w:t>
      </w:r>
      <w:r>
        <w:rPr>
          <w:spacing w:val="-1"/>
        </w:rPr>
        <w:t>年度股东大会审议。</w:t>
      </w:r>
      <w:r>
        <w:rPr>
          <w:spacing w:val="-72"/>
        </w:rPr>
        <w:t> </w:t>
      </w:r>
      <w:r>
        <w:rPr>
          <w:spacing w:val="-72"/>
        </w:rPr>
      </w:r>
      <w:r>
        <w:rPr/>
        <w:t>独立董事、监事会对此发表了明确同意意见。</w:t>
      </w:r>
    </w:p>
    <w:p>
      <w:pPr>
        <w:pStyle w:val="BodyText"/>
        <w:spacing w:line="240" w:lineRule="auto" w:before="35"/>
        <w:ind w:right="1033"/>
        <w:jc w:val="left"/>
      </w:pPr>
      <w:r>
        <w:rPr/>
        <w:t>公司近三年（包括本报告期）普通股现金分红情况表</w:t>
      </w:r>
    </w:p>
    <w:p>
      <w:pPr>
        <w:pStyle w:val="BodyText"/>
        <w:spacing w:line="240" w:lineRule="auto" w:before="115"/>
        <w:ind w:left="0" w:right="1130"/>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6"/>
        <w:gridCol w:w="1195"/>
        <w:gridCol w:w="1197"/>
        <w:gridCol w:w="1196"/>
        <w:gridCol w:w="1196"/>
        <w:gridCol w:w="1196"/>
        <w:gridCol w:w="1185"/>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121,342,309.80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242,492,982.66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45,788,045.32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167,130,355.07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68.92%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95,562,716.70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247,879,868.58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8,110,359.28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103,673,075.98</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41.82%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39,823,005.00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71,933,856.89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39,823,005.00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55.36%</w:t>
            </w:r>
          </w:p>
        </w:tc>
      </w:tr>
    </w:tbl>
    <w:p>
      <w:pPr>
        <w:pStyle w:val="BodyText"/>
        <w:spacing w:line="338" w:lineRule="auto" w:before="49"/>
        <w:ind w:right="1033"/>
        <w:jc w:val="left"/>
      </w:pPr>
      <w:r>
        <w:rPr/>
        <w:t>注：</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年回购股份金额为</w:t>
      </w:r>
      <w:r>
        <w:rPr>
          <w:spacing w:val="-45"/>
        </w:rPr>
        <w:t> </w:t>
      </w:r>
      <w:r>
        <w:rPr>
          <w:rFonts w:ascii="Times New Roman" w:hAnsi="Times New Roman" w:cs="Times New Roman" w:eastAsia="Times New Roman" w:hint="default"/>
          <w:spacing w:val="-1"/>
        </w:rPr>
        <w:t>8,110,359.28</w:t>
      </w:r>
      <w:r>
        <w:rPr>
          <w:rFonts w:ascii="Times New Roman" w:hAnsi="Times New Roman" w:cs="Times New Roman" w:eastAsia="Times New Roman" w:hint="default"/>
          <w:spacing w:val="4"/>
        </w:rPr>
        <w:t> </w:t>
      </w:r>
      <w:r>
        <w:rPr>
          <w:spacing w:val="-8"/>
        </w:rPr>
        <w:t>元（含交易费）；</w:t>
      </w:r>
      <w:r>
        <w:rPr>
          <w:rFonts w:ascii="Times New Roman" w:hAnsi="Times New Roman" w:cs="Times New Roman" w:eastAsia="Times New Roman" w:hint="default"/>
          <w:spacing w:val="-8"/>
        </w:rPr>
        <w:t>2019</w:t>
      </w:r>
      <w:r>
        <w:rPr>
          <w:rFonts w:ascii="Times New Roman" w:hAnsi="Times New Roman" w:cs="Times New Roman" w:eastAsia="Times New Roman" w:hint="default"/>
          <w:spacing w:val="4"/>
        </w:rPr>
        <w:t> </w:t>
      </w:r>
      <w:r>
        <w:rPr/>
        <w:t>年回购股份金额为</w:t>
      </w:r>
      <w:r>
        <w:rPr>
          <w:spacing w:val="-45"/>
        </w:rPr>
        <w:t> </w:t>
      </w:r>
      <w:r>
        <w:rPr>
          <w:rFonts w:ascii="Times New Roman" w:hAnsi="Times New Roman" w:cs="Times New Roman" w:eastAsia="Times New Roman" w:hint="default"/>
          <w:spacing w:val="-1"/>
        </w:rPr>
        <w:t>45,788,045.32</w:t>
      </w:r>
      <w:r>
        <w:rPr>
          <w:rFonts w:ascii="Times New Roman" w:hAnsi="Times New Roman" w:cs="Times New Roman" w:eastAsia="Times New Roman" w:hint="default"/>
          <w:spacing w:val="5"/>
        </w:rPr>
        <w:t> </w:t>
      </w:r>
      <w:r>
        <w:rPr>
          <w:spacing w:val="-12"/>
        </w:rPr>
        <w:t>元（含交易费）。</w:t>
      </w:r>
      <w:r>
        <w:rPr/>
        <w:t> 公司报告期内盈利且母公司可供普通股股东分配利润为正但未提出普通股现金红利分配预案</w:t>
      </w:r>
    </w:p>
    <w:p>
      <w:pPr>
        <w:pStyle w:val="BodyText"/>
        <w:spacing w:line="240" w:lineRule="auto" w:before="4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1033"/>
        <w:jc w:val="left"/>
        <w:rPr>
          <w:b w:val="0"/>
          <w:bCs w:val="0"/>
        </w:rPr>
      </w:pPr>
      <w:r>
        <w:rPr/>
        <w:t>二、承诺事项履行情况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Heading5"/>
        <w:spacing w:line="312" w:lineRule="exact"/>
        <w:ind w:right="10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2"/>
        <w:gridCol w:w="1106"/>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24"/>
        <w:gridCol w:w="1135"/>
        <w:gridCol w:w="1128"/>
        <w:gridCol w:w="1126"/>
        <w:gridCol w:w="1126"/>
        <w:gridCol w:w="1121"/>
        <w:gridCol w:w="1107"/>
      </w:tblGrid>
      <w:tr>
        <w:trPr>
          <w:trHeight w:val="713"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10"/>
        <w:rPr>
          <w:rFonts w:ascii="Times New Roman" w:hAnsi="Times New Roman" w:cs="Times New Roman" w:eastAsia="Times New Roman" w:hint="default"/>
          <w:sz w:val="3"/>
          <w:szCs w:val="3"/>
        </w:rPr>
      </w:pPr>
      <w:r>
        <w:rPr/>
        <w:pict>
          <v:shape style="position:absolute;margin-left:343.51001pt;margin-top:72.47998pt;width:79.95pt;height:382.3pt;mso-position-horizontal-relative:page;mso-position-vertical-relative:page;z-index:-1258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5"/>
                      <w:szCs w:val="15"/>
                    </w:rPr>
                  </w:pPr>
                </w:p>
                <w:p>
                  <w:pPr>
                    <w:pStyle w:val="BodyText"/>
                    <w:spacing w:line="240" w:lineRule="auto"/>
                    <w:ind w:left="0" w:right="0"/>
                    <w:jc w:val="left"/>
                  </w:pPr>
                  <w:r>
                    <w:rPr/>
                    <w:t>刘祥、</w:t>
                  </w:r>
                </w:p>
              </w:txbxContent>
            </v:textbox>
            <w10:wrap type="none"/>
          </v:shape>
        </w:pict>
      </w:r>
      <w:r>
        <w:rPr/>
        <w:pict>
          <v:shape style="position:absolute;margin-left:480.100006pt;margin-top:505.513977pt;width:54.9pt;height:336.45pt;mso-position-horizontal-relative:page;mso-position-vertical-relative:page;z-index:-1258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4"/>
                    <w:ind w:left="0" w:right="12"/>
                    <w:jc w:val="right"/>
                    <w:rPr>
                      <w:rFonts w:ascii="Times New Roman" w:hAnsi="Times New Roman" w:cs="Times New Roman" w:eastAsia="Times New Roman" w:hint="default"/>
                    </w:rPr>
                  </w:pPr>
                  <w:r>
                    <w:rPr>
                      <w:rFonts w:ascii="Times New Roman"/>
                      <w:spacing w:val="1"/>
                    </w:rPr>
                    <w:t>6</w:t>
                  </w:r>
                  <w:r>
                    <w:rPr>
                      <w:rFonts w:ascii="Times New Roman"/>
                    </w:rPr>
                  </w:r>
                </w:p>
              </w:txbxContent>
            </v:textbox>
            <w10:wrap type="none"/>
          </v:shape>
        </w:pict>
      </w:r>
      <w:r>
        <w:rPr/>
        <w:pict>
          <v:group style="position:absolute;margin-left:55.223999pt;margin-top:55.559982pt;width:484.9pt;height:.1pt;mso-position-horizontal-relative:page;mso-position-vertical-relative:page;z-index:-12587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group style="position:absolute;margin-left:367.149994pt;margin-top:71.759995pt;width:56.35pt;height:770.4pt;mso-position-horizontal-relative:page;mso-position-vertical-relative:page;z-index:-1258768" coordorigin="7343,1435" coordsize="1127,15408">
            <v:group style="position:absolute;left:7353;top:1450;width:1117;height:7646" coordorigin="7353,1450" coordsize="1117,7646">
              <v:shape style="position:absolute;left:7353;top:1450;width:1117;height:7646" coordorigin="7353,1450" coordsize="1117,7646" path="m7353,9095l8469,9095,8469,1450,7353,1450,7353,9095xe" filled="true" fillcolor="#ffffff" stroked="false">
                <v:path arrowok="t"/>
                <v:fill type="solid"/>
              </v:shape>
            </v:group>
            <v:group style="position:absolute;left:7348;top:1440;width:2;height:15399" coordorigin="7348,1440" coordsize="2,15399">
              <v:shape style="position:absolute;left:7348;top:1440;width:2;height:15399" coordorigin="7348,1440" coordsize="0,15399" path="m7348,1440l7348,16838e" filled="false" stroked="true" strokeweight=".47998pt" strokecolor="#000000">
                <v:path arrowok="t"/>
              </v:shape>
            </v:group>
            <w10:wrap type="none"/>
          </v:group>
        </w:pict>
      </w:r>
      <w:r>
        <w:rPr/>
        <w:pict>
          <v:group style="position:absolute;margin-left:480.100006pt;margin-top:505.513977pt;width:115.05pt;height:336.45pt;mso-position-horizontal-relative:page;mso-position-vertical-relative:page;z-index:-1258744" coordorigin="9602,10110" coordsize="2301,6729">
            <v:group style="position:absolute;left:9602;top:10110;width:1098;height:6729" coordorigin="9602,10110" coordsize="1098,6729">
              <v:shape style="position:absolute;left:9602;top:10110;width:1098;height:6729" coordorigin="9602,10110" coordsize="1098,6729" path="m10699,16838l10699,10110,9602,10110,9602,16838,10699,16838xe" filled="true" fillcolor="#ffffff" stroked="false">
                <v:path arrowok="t"/>
                <v:fill type="solid"/>
              </v:shape>
              <v:shape style="position:absolute;left:10713;top:16134;width:1190;height:536" type="#_x0000_t75" stroked="false">
                <v:imagedata r:id="rId15" o:title=""/>
              </v:shape>
            </v:group>
            <w10:wrap type="none"/>
          </v:group>
        </w:pict>
      </w:r>
    </w:p>
    <w:tbl>
      <w:tblPr>
        <w:tblW w:w="0" w:type="auto"/>
        <w:jc w:val="left"/>
        <w:tblInd w:w="153" w:type="dxa"/>
        <w:tblLayout w:type="fixed"/>
        <w:tblCellMar>
          <w:top w:w="0" w:type="dxa"/>
          <w:left w:w="0" w:type="dxa"/>
          <w:bottom w:w="0" w:type="dxa"/>
          <w:right w:w="0" w:type="dxa"/>
        </w:tblCellMar>
        <w:tblLook w:val="01E0"/>
      </w:tblPr>
      <w:tblGrid>
        <w:gridCol w:w="2837"/>
        <w:gridCol w:w="1123"/>
        <w:gridCol w:w="1128"/>
        <w:gridCol w:w="1171"/>
        <w:gridCol w:w="1081"/>
        <w:gridCol w:w="1121"/>
        <w:gridCol w:w="1107"/>
      </w:tblGrid>
      <w:tr>
        <w:trPr>
          <w:trHeight w:val="338" w:hRule="exact"/>
        </w:trPr>
        <w:tc>
          <w:tcPr>
            <w:tcW w:w="2837"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4" w:space="0" w:color="000000"/>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
        </w:tc>
        <w:tc>
          <w:tcPr>
            <w:tcW w:w="1171" w:type="dxa"/>
            <w:tcBorders>
              <w:top w:val="nil" w:sz="6" w:space="0" w:color="auto"/>
              <w:left w:val="nil" w:sz="6" w:space="0" w:color="auto"/>
              <w:bottom w:val="single" w:sz="4" w:space="0" w:color="000000"/>
              <w:right w:val="nil" w:sz="6" w:space="0" w:color="auto"/>
            </w:tcBorders>
          </w:tcPr>
          <w:p>
            <w:pPr/>
          </w:p>
        </w:tc>
        <w:tc>
          <w:tcPr>
            <w:tcW w:w="1081" w:type="dxa"/>
            <w:tcBorders>
              <w:top w:val="nil" w:sz="6" w:space="0" w:color="auto"/>
              <w:left w:val="nil" w:sz="6" w:space="0" w:color="auto"/>
              <w:bottom w:val="single" w:sz="4" w:space="0" w:color="000000"/>
              <w:right w:val="nil" w:sz="6" w:space="0" w:color="auto"/>
            </w:tcBorders>
          </w:tcPr>
          <w:p>
            <w:pPr/>
          </w:p>
        </w:tc>
        <w:tc>
          <w:tcPr>
            <w:tcW w:w="1121" w:type="dxa"/>
            <w:tcBorders>
              <w:top w:val="nil" w:sz="6" w:space="0" w:color="auto"/>
              <w:left w:val="nil" w:sz="6" w:space="0" w:color="auto"/>
              <w:bottom w:val="single" w:sz="4" w:space="0" w:color="000000"/>
              <w:right w:val="nil" w:sz="6" w:space="0" w:color="auto"/>
            </w:tcBorders>
          </w:tcPr>
          <w:p>
            <w:pPr/>
          </w:p>
        </w:tc>
        <w:tc>
          <w:tcPr>
            <w:tcW w:w="1107" w:type="dxa"/>
            <w:tcBorders>
              <w:top w:val="nil" w:sz="6" w:space="0" w:color="auto"/>
              <w:left w:val="nil" w:sz="6" w:space="0" w:color="auto"/>
              <w:bottom w:val="single" w:sz="4" w:space="0" w:color="000000"/>
              <w:right w:val="nil" w:sz="6" w:space="0" w:color="auto"/>
            </w:tcBorders>
          </w:tcPr>
          <w:p>
            <w:pPr/>
          </w:p>
        </w:tc>
      </w:tr>
      <w:tr>
        <w:trPr>
          <w:trHeight w:val="15389" w:hRule="exact"/>
        </w:trPr>
        <w:tc>
          <w:tcPr>
            <w:tcW w:w="283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00" w:lineRule="auto"/>
              <w:ind w:left="33" w:right="83"/>
              <w:jc w:val="left"/>
              <w:rPr>
                <w:rFonts w:ascii="宋体" w:hAnsi="宋体" w:cs="宋体" w:eastAsia="宋体" w:hint="default"/>
                <w:sz w:val="18"/>
                <w:szCs w:val="18"/>
              </w:rPr>
            </w:pP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71" w:type="dxa"/>
            <w:tcBorders>
              <w:top w:val="single" w:sz="4" w:space="0" w:color="000000"/>
              <w:left w:val="single" w:sz="4" w:space="0" w:color="000000"/>
              <w:bottom w:val="nil" w:sz="6" w:space="0" w:color="auto"/>
              <w:right w:val="nil" w:sz="6" w:space="0" w:color="auto"/>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为避免同业 竞争损害公 司及其他股 </w:t>
            </w:r>
            <w:r>
              <w:rPr>
                <w:rFonts w:ascii="宋体" w:hAnsi="宋体" w:cs="宋体" w:eastAsia="宋体" w:hint="default"/>
                <w:spacing w:val="-2"/>
                <w:sz w:val="18"/>
                <w:szCs w:val="18"/>
              </w:rPr>
              <w:t>东的利益，公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司实际控制 人刘祥及持 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 </w:t>
            </w:r>
            <w:r>
              <w:rPr>
                <w:rFonts w:ascii="宋体" w:hAnsi="宋体" w:cs="宋体" w:eastAsia="宋体" w:hint="default"/>
                <w:spacing w:val="-2"/>
                <w:sz w:val="18"/>
                <w:szCs w:val="18"/>
              </w:rPr>
              <w:t>股东刘亚、江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汉共同出具 </w:t>
            </w:r>
            <w:r>
              <w:rPr>
                <w:rFonts w:ascii="宋体" w:hAnsi="宋体" w:cs="宋体" w:eastAsia="宋体" w:hint="default"/>
                <w:spacing w:val="-2"/>
                <w:sz w:val="18"/>
                <w:szCs w:val="18"/>
              </w:rPr>
              <w:t>了《关于避免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同业竞争的 </w:t>
            </w:r>
            <w:r>
              <w:rPr>
                <w:rFonts w:ascii="宋体" w:hAnsi="宋体" w:cs="宋体" w:eastAsia="宋体" w:hint="default"/>
                <w:spacing w:val="-16"/>
                <w:sz w:val="18"/>
                <w:szCs w:val="18"/>
              </w:rPr>
              <w:t>承诺函》，做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出了以下承 </w:t>
            </w:r>
            <w:r>
              <w:rPr>
                <w:rFonts w:ascii="宋体" w:hAnsi="宋体" w:cs="宋体" w:eastAsia="宋体" w:hint="default"/>
                <w:spacing w:val="-29"/>
                <w:sz w:val="18"/>
                <w:szCs w:val="18"/>
              </w:rPr>
              <w:t>诺：（</w:t>
            </w:r>
            <w:r>
              <w:rPr>
                <w:rFonts w:ascii="Times New Roman" w:hAnsi="Times New Roman" w:cs="Times New Roman" w:eastAsia="Times New Roman" w:hint="default"/>
                <w:spacing w:val="-29"/>
                <w:sz w:val="18"/>
                <w:szCs w:val="18"/>
              </w:rPr>
              <w:t>1</w:t>
            </w:r>
            <w:r>
              <w:rPr>
                <w:rFonts w:ascii="宋体" w:hAnsi="宋体" w:cs="宋体" w:eastAsia="宋体" w:hint="default"/>
                <w:spacing w:val="-29"/>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刘亚及江汉 </w:t>
            </w:r>
            <w:r>
              <w:rPr>
                <w:rFonts w:ascii="宋体" w:hAnsi="宋体" w:cs="宋体" w:eastAsia="宋体" w:hint="default"/>
                <w:spacing w:val="-2"/>
                <w:sz w:val="18"/>
                <w:szCs w:val="18"/>
              </w:rPr>
              <w:t>共同保证，不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以自营或以 </w:t>
            </w:r>
            <w:r>
              <w:rPr>
                <w:rFonts w:ascii="宋体" w:hAnsi="宋体" w:cs="宋体" w:eastAsia="宋体" w:hint="default"/>
                <w:spacing w:val="-2"/>
                <w:sz w:val="18"/>
                <w:szCs w:val="18"/>
              </w:rPr>
              <w:t>合资、合作等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方式经营任 何与发行人 现从事的业 务有竞争的</w:t>
            </w:r>
          </w:p>
          <w:p>
            <w:pPr>
              <w:pStyle w:val="TableParagraph"/>
              <w:spacing w:line="316" w:lineRule="auto" w:before="19"/>
              <w:ind w:left="24" w:right="60"/>
              <w:jc w:val="left"/>
              <w:rPr>
                <w:rFonts w:ascii="宋体" w:hAnsi="宋体" w:cs="宋体" w:eastAsia="宋体" w:hint="default"/>
                <w:sz w:val="18"/>
                <w:szCs w:val="18"/>
              </w:rPr>
            </w:pPr>
            <w:r>
              <w:rPr>
                <w:rFonts w:ascii="宋体" w:hAnsi="宋体" w:cs="宋体" w:eastAsia="宋体" w:hint="default"/>
                <w:sz w:val="18"/>
                <w:szCs w:val="18"/>
              </w:rPr>
              <w:t>业务，刘祥、 刘亚及江汉 现有的或将 来成立的全 资子公司、控 股子公司以 及其他受刘 祥、刘亚及江 汉控制的企 业亦不会经 营与发行人 现从事的业 务有竞争的 </w:t>
            </w:r>
            <w:r>
              <w:rPr>
                <w:rFonts w:ascii="宋体" w:hAnsi="宋体" w:cs="宋体" w:eastAsia="宋体" w:hint="default"/>
                <w:spacing w:val="-16"/>
                <w:sz w:val="18"/>
                <w:szCs w:val="18"/>
              </w:rPr>
              <w:t>业务。（</w:t>
            </w: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）如</w:t>
            </w:r>
            <w:r>
              <w:rPr>
                <w:rFonts w:ascii="宋体" w:hAnsi="宋体" w:cs="宋体" w:eastAsia="宋体" w:hint="default"/>
                <w:spacing w:val="-84"/>
                <w:sz w:val="18"/>
                <w:szCs w:val="18"/>
              </w:rPr>
              <w:t> </w:t>
            </w:r>
            <w:r>
              <w:rPr>
                <w:rFonts w:ascii="宋体" w:hAnsi="宋体" w:cs="宋体" w:eastAsia="宋体" w:hint="default"/>
                <w:sz w:val="18"/>
                <w:szCs w:val="18"/>
              </w:rPr>
              <w:t>违反上述承</w:t>
            </w:r>
            <w:r>
              <w:rPr>
                <w:rFonts w:ascii="宋体" w:hAnsi="宋体" w:cs="宋体" w:eastAsia="宋体" w:hint="default"/>
                <w:sz w:val="18"/>
                <w:szCs w:val="18"/>
              </w:rPr>
              <w:t> 诺，刘祥、刘 亚及江汉同 意承担给发 行人造成的 全部损失。</w:t>
            </w:r>
          </w:p>
          <w:p>
            <w:pPr>
              <w:pStyle w:val="TableParagraph"/>
              <w:spacing w:line="314" w:lineRule="auto" w:before="19"/>
              <w:ind w:left="24" w:right="6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 函自出具之 </w:t>
            </w:r>
            <w:r>
              <w:rPr>
                <w:rFonts w:ascii="宋体" w:hAnsi="宋体" w:cs="宋体" w:eastAsia="宋体" w:hint="default"/>
                <w:spacing w:val="-2"/>
                <w:sz w:val="18"/>
                <w:szCs w:val="18"/>
              </w:rPr>
              <w:t>日起生效，并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在刘祥、刘亚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及江汉作为 发行人股东 或关联方的</w:t>
            </w:r>
          </w:p>
        </w:tc>
        <w:tc>
          <w:tcPr>
            <w:tcW w:w="1081"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3" w:right="-7"/>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bl>
    <w:p>
      <w:pPr>
        <w:spacing w:after="0" w:line="316" w:lineRule="auto"/>
        <w:jc w:val="left"/>
        <w:rPr>
          <w:rFonts w:ascii="宋体" w:hAnsi="宋体" w:cs="宋体" w:eastAsia="宋体" w:hint="default"/>
          <w:sz w:val="18"/>
          <w:szCs w:val="18"/>
        </w:rPr>
        <w:sectPr>
          <w:footerReference w:type="default" r:id="rId22"/>
          <w:pgSz w:w="11910" w:h="16840"/>
          <w:pgMar w:footer="0" w:header="745" w:top="1060" w:bottom="0" w:left="980" w:right="0"/>
        </w:sectPr>
      </w:pPr>
    </w:p>
    <w:p>
      <w:pPr>
        <w:spacing w:line="240" w:lineRule="auto" w:before="2"/>
        <w:rPr>
          <w:rFonts w:ascii="Times New Roman" w:hAnsi="Times New Roman" w:cs="Times New Roman" w:eastAsia="Times New Roman" w:hint="default"/>
          <w:sz w:val="3"/>
          <w:szCs w:val="3"/>
        </w:rPr>
      </w:pPr>
      <w:r>
        <w:rPr/>
        <w:pict>
          <v:shape style="position:absolute;margin-left:535.634705pt;margin-top:806.72052pt;width:59.493346pt;height:26.794713pt;mso-position-horizontal-relative:page;mso-position-vertical-relative:page;z-index:1888" type="#_x0000_t75" stroked="false">
            <v:imagedata r:id="rId15" o:title=""/>
          </v:shape>
        </w:pict>
      </w:r>
    </w:p>
    <w:p>
      <w:pPr>
        <w:spacing w:line="20" w:lineRule="exact"/>
        <w:ind w:left="11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508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24" w:right="86"/>
              <w:jc w:val="left"/>
              <w:rPr>
                <w:rFonts w:ascii="宋体" w:hAnsi="宋体" w:cs="宋体" w:eastAsia="宋体" w:hint="default"/>
                <w:sz w:val="18"/>
                <w:szCs w:val="18"/>
              </w:rPr>
            </w:pP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公司实际控 制人刘祥及 关联股东刘 亚和江汉共 </w:t>
            </w:r>
            <w:r>
              <w:rPr>
                <w:rFonts w:ascii="宋体" w:hAnsi="宋体" w:cs="宋体" w:eastAsia="宋体" w:hint="default"/>
                <w:spacing w:val="-13"/>
                <w:w w:val="100"/>
                <w:sz w:val="18"/>
                <w:szCs w:val="18"/>
              </w:rPr>
              <w:t>同承诺：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如公</w:t>
            </w:r>
            <w:r>
              <w:rPr>
                <w:rFonts w:ascii="宋体" w:hAnsi="宋体" w:cs="宋体" w:eastAsia="宋体" w:hint="default"/>
                <w:sz w:val="18"/>
                <w:szCs w:val="18"/>
              </w:rPr>
              <w:t> 司</w:t>
            </w:r>
            <w:r>
              <w:rPr>
                <w:rFonts w:ascii="Times New Roman" w:hAnsi="Times New Roman" w:cs="Times New Roman" w:eastAsia="Times New Roman" w:hint="default"/>
                <w:sz w:val="18"/>
                <w:szCs w:val="18"/>
              </w:rPr>
              <w:t>(</w:t>
            </w:r>
            <w:r>
              <w:rPr>
                <w:rFonts w:ascii="宋体" w:hAnsi="宋体" w:cs="宋体" w:eastAsia="宋体" w:hint="default"/>
                <w:sz w:val="18"/>
                <w:szCs w:val="18"/>
              </w:rPr>
              <w:t>含下属子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因任何 违反税收征 管的法律、法 规而遭受税 务主管机关 追讨欠税并 处罚的情况， 本人同意全 额承担相关 的责任。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r>
        <w:trPr>
          <w:trHeight w:val="633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97" w:lineRule="auto"/>
              <w:ind w:left="24" w:right="86"/>
              <w:jc w:val="left"/>
              <w:rPr>
                <w:rFonts w:ascii="宋体" w:hAnsi="宋体" w:cs="宋体" w:eastAsia="宋体" w:hint="default"/>
                <w:sz w:val="18"/>
                <w:szCs w:val="18"/>
              </w:rPr>
            </w:pP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
              <w:jc w:val="left"/>
              <w:rPr>
                <w:rFonts w:ascii="宋体" w:hAnsi="宋体" w:cs="宋体" w:eastAsia="宋体" w:hint="default"/>
                <w:sz w:val="18"/>
                <w:szCs w:val="18"/>
              </w:rPr>
            </w:pPr>
            <w:r>
              <w:rPr>
                <w:rFonts w:ascii="宋体" w:hAnsi="宋体" w:cs="宋体" w:eastAsia="宋体" w:hint="default"/>
                <w:sz w:val="18"/>
                <w:szCs w:val="18"/>
              </w:rPr>
              <w:t>公司实际控 制人及持股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 刘祥、刘亚、 江汉出具承 </w:t>
            </w:r>
            <w:r>
              <w:rPr>
                <w:rFonts w:ascii="宋体" w:hAnsi="宋体" w:cs="宋体" w:eastAsia="宋体" w:hint="default"/>
                <w:spacing w:val="-13"/>
                <w:w w:val="100"/>
                <w:sz w:val="18"/>
                <w:szCs w:val="18"/>
              </w:rPr>
              <w:t>诺函：</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如今后</w:t>
            </w:r>
            <w:r>
              <w:rPr>
                <w:rFonts w:ascii="宋体" w:hAnsi="宋体" w:cs="宋体" w:eastAsia="宋体" w:hint="default"/>
                <w:sz w:val="18"/>
                <w:szCs w:val="18"/>
              </w:rPr>
              <w:t> 贵司因上市 前执行住房 公积金政策 事宜被要求 补缴住房公 积金、缴纳罚</w:t>
            </w:r>
            <w:r>
              <w:rPr>
                <w:rFonts w:ascii="宋体" w:hAnsi="宋体" w:cs="宋体" w:eastAsia="宋体" w:hint="default"/>
                <w:sz w:val="18"/>
                <w:szCs w:val="18"/>
              </w:rPr>
              <w:t> 款或因此而 遭受任何损 失时，我们将 及时、无条 件、全额补偿 贵司由此遭 受的一切损 失</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bl>
    <w:p>
      <w:pPr>
        <w:spacing w:after="0" w:line="316" w:lineRule="auto"/>
        <w:jc w:val="left"/>
        <w:rPr>
          <w:rFonts w:ascii="宋体" w:hAnsi="宋体" w:cs="宋体" w:eastAsia="宋体" w:hint="default"/>
          <w:sz w:val="18"/>
          <w:szCs w:val="18"/>
        </w:rPr>
        <w:sectPr>
          <w:footerReference w:type="default" r:id="rId23"/>
          <w:pgSz w:w="11910" w:h="16840"/>
          <w:pgMar w:footer="0" w:header="745"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88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00" w:lineRule="auto"/>
              <w:ind w:left="23" w:right="86"/>
              <w:jc w:val="left"/>
              <w:rPr>
                <w:rFonts w:ascii="宋体" w:hAnsi="宋体" w:cs="宋体" w:eastAsia="宋体" w:hint="default"/>
                <w:sz w:val="18"/>
                <w:szCs w:val="18"/>
              </w:rPr>
            </w:pP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公司实际控 制人刘祥及 关联股东刘 亚和江汉共 </w:t>
            </w:r>
            <w:r>
              <w:rPr>
                <w:rFonts w:ascii="宋体" w:hAnsi="宋体" w:cs="宋体" w:eastAsia="宋体" w:hint="default"/>
                <w:spacing w:val="-13"/>
                <w:w w:val="100"/>
                <w:sz w:val="18"/>
                <w:szCs w:val="18"/>
              </w:rPr>
              <w:t>同承诺：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在中</w:t>
            </w:r>
            <w:r>
              <w:rPr>
                <w:rFonts w:ascii="宋体" w:hAnsi="宋体" w:cs="宋体" w:eastAsia="宋体" w:hint="default"/>
                <w:sz w:val="18"/>
                <w:szCs w:val="18"/>
              </w:rPr>
              <w:t> 国证监会核 准发行人本 次发行股票 并上市，且发</w:t>
            </w:r>
            <w:r>
              <w:rPr>
                <w:rFonts w:ascii="宋体" w:hAnsi="宋体" w:cs="宋体" w:eastAsia="宋体" w:hint="default"/>
                <w:sz w:val="18"/>
                <w:szCs w:val="18"/>
              </w:rPr>
              <w:t> 行人公开发 行的股票在 证券交易所 正式挂牌后， 若因公司租 赁厂房的产 权瑕疵导致 发行人被迫 搬迁生产场 地，承诺人将 以连带责任 方式全额承 担补偿深圳 市新国都技 术股份有限 公司的搬迁 费用和因生 产停滞所造 成的损失。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5"/>
        <w:spacing w:line="314" w:lineRule="exact" w:before="30"/>
        <w:ind w:right="10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7"/>
        </w:rPr>
        <w:t> </w:t>
      </w:r>
      <w:r>
        <w:rPr>
          <w:spacing w:val="27"/>
        </w:rPr>
      </w:r>
      <w:r>
        <w:rPr/>
        <w:t>其原因做出说明</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8"/>
        <w:gridCol w:w="1195"/>
        <w:gridCol w:w="1197"/>
        <w:gridCol w:w="1196"/>
        <w:gridCol w:w="1198"/>
      </w:tblGrid>
      <w:tr>
        <w:trPr>
          <w:trHeight w:val="71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0" w:right="50"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2"/>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2" w:right="50"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after="0" w:line="316" w:lineRule="auto"/>
        <w:jc w:val="left"/>
        <w:rPr>
          <w:rFonts w:ascii="宋体" w:hAnsi="宋体" w:cs="宋体" w:eastAsia="宋体" w:hint="default"/>
          <w:sz w:val="18"/>
          <w:szCs w:val="18"/>
        </w:rPr>
        <w:sectPr>
          <w:footerReference w:type="default" r:id="rId24"/>
          <w:pgSz w:w="11910" w:h="16840"/>
          <w:pgMar w:footer="979" w:header="745" w:top="1060" w:bottom="1160" w:left="980" w:right="0"/>
          <w:pgNumType w:start="6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44"/>
        <w:ind w:left="0" w:right="1140"/>
        <w:jc w:val="right"/>
      </w:pPr>
      <w:r>
        <w:rPr/>
        <w:pict>
          <v:shape style="position:absolute;margin-left:56.424pt;margin-top:-125.548309pt;width:479.3pt;height:161.1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5"/>
                    <w:gridCol w:w="1196"/>
                    <w:gridCol w:w="1195"/>
                    <w:gridCol w:w="1198"/>
                    <w:gridCol w:w="1195"/>
                    <w:gridCol w:w="1196"/>
                    <w:gridCol w:w="1198"/>
                    <w:gridCol w:w="1198"/>
                  </w:tblGrid>
                  <w:tr>
                    <w:trPr>
                      <w:trHeight w:val="321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09" w:lineRule="auto"/>
                          <w:ind w:left="24" w:right="79"/>
                          <w:jc w:val="left"/>
                          <w:rPr>
                            <w:rFonts w:ascii="宋体" w:hAnsi="宋体" w:cs="宋体" w:eastAsia="宋体" w:hint="default"/>
                            <w:sz w:val="18"/>
                            <w:szCs w:val="18"/>
                          </w:rPr>
                        </w:pPr>
                        <w:r>
                          <w:rPr>
                            <w:rFonts w:ascii="宋体" w:hAnsi="宋体" w:cs="宋体" w:eastAsia="宋体" w:hint="default"/>
                            <w:sz w:val="18"/>
                            <w:szCs w:val="18"/>
                          </w:rPr>
                          <w:t>嘉联支付有限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19,000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42,477.01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exact" w:before="23"/>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 潮资讯网 </w:t>
                        </w:r>
                        <w:r>
                          <w:rPr>
                            <w:rFonts w:ascii="Times New Roman" w:hAnsi="Times New Roman" w:cs="Times New Roman" w:eastAsia="Times New Roman" w:hint="default"/>
                            <w:sz w:val="18"/>
                            <w:szCs w:val="18"/>
                          </w:rPr>
                          <w:t>http://www.cni </w:t>
                        </w:r>
                        <w:r>
                          <w:rPr>
                            <w:rFonts w:ascii="Times New Roman" w:hAnsi="Times New Roman" w:cs="Times New Roman" w:eastAsia="Times New Roman" w:hint="default"/>
                            <w:spacing w:val="-3"/>
                            <w:sz w:val="18"/>
                            <w:szCs w:val="18"/>
                          </w:rPr>
                          <w:t>nfo.com.cn</w:t>
                        </w:r>
                        <w:r>
                          <w:rPr>
                            <w:rFonts w:ascii="宋体" w:hAnsi="宋体" w:cs="宋体" w:eastAsia="宋体" w:hint="default"/>
                            <w:spacing w:val="-3"/>
                            <w:sz w:val="18"/>
                            <w:szCs w:val="18"/>
                          </w:rPr>
                          <w:t>《关</w:t>
                        </w:r>
                        <w:r>
                          <w:rPr>
                            <w:rFonts w:ascii="宋体" w:hAnsi="宋体" w:cs="宋体" w:eastAsia="宋体" w:hint="default"/>
                            <w:spacing w:val="-87"/>
                            <w:sz w:val="18"/>
                            <w:szCs w:val="18"/>
                          </w:rPr>
                          <w:t> </w:t>
                        </w:r>
                        <w:r>
                          <w:rPr>
                            <w:rFonts w:ascii="宋体" w:hAnsi="宋体" w:cs="宋体" w:eastAsia="宋体" w:hint="default"/>
                            <w:sz w:val="18"/>
                            <w:szCs w:val="18"/>
                          </w:rPr>
                          <w:t>于收购嘉联支 付有限公司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股权的公 </w:t>
                        </w:r>
                        <w:r>
                          <w:rPr>
                            <w:rFonts w:ascii="宋体" w:hAnsi="宋体" w:cs="宋体" w:eastAsia="宋体" w:hint="default"/>
                            <w:spacing w:val="-6"/>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2017-142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1033"/>
        <w:jc w:val="left"/>
      </w:pPr>
      <w:r>
        <w:rPr/>
        <w:t>公司股东、交易对手方对公司或相关资产年度经营业绩作出的承诺情况</w:t>
      </w:r>
    </w:p>
    <w:p>
      <w:pPr>
        <w:pStyle w:val="BodyText"/>
        <w:spacing w:line="340" w:lineRule="auto" w:before="115"/>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嘉联支付转让方及其实际控制人业绩承诺</w:t>
      </w:r>
    </w:p>
    <w:p>
      <w:pPr>
        <w:pStyle w:val="BodyText"/>
        <w:spacing w:line="451" w:lineRule="auto" w:before="80"/>
        <w:ind w:right="1131" w:firstLine="420"/>
        <w:jc w:val="both"/>
      </w:pP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w:t>
      </w:r>
      <w:r>
        <w:rPr>
          <w:spacing w:val="-1"/>
        </w:rPr>
        <w:t>日召开第四届董事会第八次会议、于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7</w:t>
      </w:r>
      <w:r>
        <w:rPr>
          <w:spacing w:val="-1"/>
        </w:rPr>
        <w:t>日召开</w:t>
      </w:r>
      <w:r>
        <w:rPr>
          <w:rFonts w:ascii="Times New Roman" w:hAnsi="Times New Roman" w:cs="Times New Roman" w:eastAsia="Times New Roman" w:hint="default"/>
          <w:spacing w:val="-1"/>
        </w:rPr>
        <w:t>2017</w:t>
      </w:r>
      <w:r>
        <w:rPr>
          <w:spacing w:val="-1"/>
        </w:rPr>
        <w:t>年第三次临时股东大会审议通过《关</w:t>
      </w:r>
      <w:r>
        <w:rPr/>
        <w:t> 于收购嘉联支付有限公司</w:t>
      </w:r>
      <w:r>
        <w:rPr>
          <w:rFonts w:ascii="Times New Roman" w:hAnsi="Times New Roman" w:cs="Times New Roman" w:eastAsia="Times New Roman" w:hint="default"/>
        </w:rPr>
        <w:t>100%</w:t>
      </w:r>
      <w:r>
        <w:rPr/>
        <w:t>股权的议案》，同意公司与嘉联支付的唯一股东山南市敏思达技术有限公司签订《山南市敏</w:t>
      </w:r>
      <w:r>
        <w:rPr>
          <w:spacing w:val="-59"/>
        </w:rPr>
        <w:t> </w:t>
      </w:r>
      <w:r>
        <w:rPr>
          <w:spacing w:val="-59"/>
        </w:rPr>
      </w:r>
      <w:r>
        <w:rPr/>
        <w:t>思达技术有限公司与深圳市新国都技术股份有限公司签署之关于嘉联支付有限公司之股权转让协议》（以下简称</w:t>
      </w:r>
      <w:r>
        <w:rPr>
          <w:rFonts w:ascii="Times New Roman" w:hAnsi="Times New Roman" w:cs="Times New Roman" w:eastAsia="Times New Roman" w:hint="default"/>
        </w:rPr>
        <w:t>“</w:t>
      </w:r>
      <w:r>
        <w:rPr/>
        <w:t>股权转让</w:t>
      </w:r>
      <w:r>
        <w:rPr>
          <w:spacing w:val="-74"/>
        </w:rPr>
        <w:t> </w:t>
      </w:r>
      <w:r>
        <w:rPr>
          <w:spacing w:val="-74"/>
        </w:rPr>
      </w:r>
      <w:r>
        <w:rPr/>
        <w:t>协议</w:t>
      </w:r>
      <w:r>
        <w:rPr>
          <w:rFonts w:ascii="Times New Roman" w:hAnsi="Times New Roman" w:cs="Times New Roman" w:eastAsia="Times New Roman" w:hint="default"/>
        </w:rPr>
        <w:t>”</w:t>
      </w:r>
      <w:r>
        <w:rPr/>
        <w:t>），以现金人民币</w:t>
      </w:r>
      <w:r>
        <w:rPr>
          <w:rFonts w:ascii="Times New Roman" w:hAnsi="Times New Roman" w:cs="Times New Roman" w:eastAsia="Times New Roman" w:hint="default"/>
        </w:rPr>
        <w:t>71,000</w:t>
      </w:r>
      <w:r>
        <w:rPr/>
        <w:t>万元收购嘉联支付</w:t>
      </w:r>
      <w:r>
        <w:rPr>
          <w:rFonts w:ascii="Times New Roman" w:hAnsi="Times New Roman" w:cs="Times New Roman" w:eastAsia="Times New Roman" w:hint="default"/>
        </w:rPr>
        <w:t>100%</w:t>
      </w:r>
      <w:r>
        <w:rPr/>
        <w:t>股权。收购完成后，新国都持有嘉联支付</w:t>
      </w:r>
      <w:r>
        <w:rPr>
          <w:rFonts w:ascii="Times New Roman" w:hAnsi="Times New Roman" w:cs="Times New Roman" w:eastAsia="Times New Roman" w:hint="default"/>
        </w:rPr>
        <w:t>100%</w:t>
      </w:r>
      <w:r>
        <w:rPr/>
        <w:t>股权。</w:t>
      </w:r>
    </w:p>
    <w:p>
      <w:pPr>
        <w:pStyle w:val="BodyText"/>
        <w:spacing w:line="451" w:lineRule="auto" w:before="44"/>
        <w:ind w:right="1133" w:firstLine="420"/>
        <w:jc w:val="both"/>
      </w:pPr>
      <w:r>
        <w:rPr/>
        <w:t>根据上述股权转让协议约定：转让方及实际控制人承诺，嘉联支付在业绩承诺期间内各年度净利润如下：</w:t>
      </w:r>
      <w:r>
        <w:rPr>
          <w:rFonts w:ascii="Times New Roman" w:hAnsi="Times New Roman" w:cs="Times New Roman" w:eastAsia="Times New Roman" w:hint="default"/>
        </w:rPr>
        <w:t>2018</w:t>
      </w:r>
      <w:r>
        <w:rPr/>
        <w:t>年度的 净利润数不低于</w:t>
      </w:r>
      <w:r>
        <w:rPr>
          <w:rFonts w:ascii="Times New Roman" w:hAnsi="Times New Roman" w:cs="Times New Roman" w:eastAsia="Times New Roman" w:hint="default"/>
        </w:rPr>
        <w:t>9,000</w:t>
      </w:r>
      <w:r>
        <w:rPr/>
        <w:t>万元，</w:t>
      </w:r>
      <w:r>
        <w:rPr>
          <w:rFonts w:ascii="Times New Roman" w:hAnsi="Times New Roman" w:cs="Times New Roman" w:eastAsia="Times New Roman" w:hint="default"/>
        </w:rPr>
        <w:t>2018</w:t>
      </w:r>
      <w:r>
        <w:rPr/>
        <w:t>年度及</w:t>
      </w:r>
      <w:r>
        <w:rPr>
          <w:rFonts w:ascii="Times New Roman" w:hAnsi="Times New Roman" w:cs="Times New Roman" w:eastAsia="Times New Roman" w:hint="default"/>
        </w:rPr>
        <w:t>2019</w:t>
      </w:r>
      <w:r>
        <w:rPr/>
        <w:t>年度合计净利润数不低于</w:t>
      </w:r>
      <w:r>
        <w:rPr>
          <w:rFonts w:ascii="Times New Roman" w:hAnsi="Times New Roman" w:cs="Times New Roman" w:eastAsia="Times New Roman" w:hint="default"/>
        </w:rPr>
        <w:t>19,000</w:t>
      </w:r>
      <w:r>
        <w:rPr/>
        <w:t>万元。</w:t>
      </w:r>
    </w:p>
    <w:p>
      <w:pPr>
        <w:pStyle w:val="BodyText"/>
        <w:spacing w:line="463" w:lineRule="auto" w:before="43"/>
        <w:ind w:right="1131" w:firstLine="420"/>
        <w:jc w:val="both"/>
      </w:pPr>
      <w:r>
        <w:rPr/>
        <w:t>业绩承诺期内，若标的公司每一考核期间实际实现的净利润数小于其在该期间承诺净利润数的，转让方应当按照以下 公式对受让方进行补偿：当年应补偿金额</w:t>
      </w:r>
      <w:r>
        <w:rPr>
          <w:rFonts w:ascii="Times New Roman" w:hAnsi="Times New Roman" w:cs="Times New Roman" w:eastAsia="Times New Roman" w:hint="default"/>
        </w:rPr>
        <w:t>=</w:t>
      </w:r>
      <w:r>
        <w:rPr/>
        <w:t>（该考核期间累积承诺净利润数</w:t>
      </w:r>
      <w:r>
        <w:rPr>
          <w:rFonts w:ascii="Times New Roman" w:hAnsi="Times New Roman" w:cs="Times New Roman" w:eastAsia="Times New Roman" w:hint="default"/>
        </w:rPr>
        <w:t>-</w:t>
      </w:r>
      <w:r>
        <w:rPr/>
        <w:t>该考核期间累计实际净利润数）</w:t>
      </w:r>
      <w:r>
        <w:rPr>
          <w:rFonts w:ascii="Times New Roman" w:hAnsi="Times New Roman" w:cs="Times New Roman" w:eastAsia="Times New Roman" w:hint="default"/>
        </w:rPr>
        <w:t>/</w:t>
      </w:r>
      <w:r>
        <w:rPr/>
        <w:t>业绩承诺期间</w:t>
      </w:r>
      <w:r>
        <w:rPr>
          <w:spacing w:val="-31"/>
        </w:rPr>
        <w:t> </w:t>
      </w:r>
      <w:r>
        <w:rPr>
          <w:spacing w:val="-31"/>
        </w:rPr>
      </w:r>
      <w:r>
        <w:rPr/>
        <w:t>内累计承诺净利润总和</w:t>
      </w:r>
      <w:r>
        <w:rPr>
          <w:rFonts w:ascii="Times New Roman" w:hAnsi="Times New Roman" w:cs="Times New Roman" w:eastAsia="Times New Roman" w:hint="default"/>
        </w:rPr>
        <w:t>*</w:t>
      </w:r>
      <w:r>
        <w:rPr/>
        <w:t>股权转让价款</w:t>
      </w:r>
      <w:r>
        <w:rPr>
          <w:rFonts w:ascii="Times New Roman" w:hAnsi="Times New Roman" w:cs="Times New Roman" w:eastAsia="Times New Roman" w:hint="default"/>
        </w:rPr>
        <w:t>-</w:t>
      </w:r>
      <w:r>
        <w:rPr/>
        <w:t>已补偿金额。</w:t>
      </w:r>
    </w:p>
    <w:p>
      <w:pPr>
        <w:pStyle w:val="BodyText"/>
        <w:spacing w:line="240" w:lineRule="auto" w:before="74"/>
        <w:ind w:right="1033"/>
        <w:jc w:val="left"/>
      </w:pPr>
      <w:r>
        <w:rPr/>
        <w:t>业绩承诺的完成情况及其对商誉减值测试的影响</w:t>
      </w:r>
    </w:p>
    <w:p>
      <w:pPr>
        <w:spacing w:line="240" w:lineRule="auto" w:before="10"/>
        <w:rPr>
          <w:rFonts w:ascii="宋体" w:hAnsi="宋体" w:cs="宋体" w:eastAsia="宋体" w:hint="default"/>
          <w:sz w:val="20"/>
          <w:szCs w:val="20"/>
        </w:rPr>
      </w:pPr>
    </w:p>
    <w:p>
      <w:pPr>
        <w:pStyle w:val="BodyText"/>
        <w:spacing w:line="451" w:lineRule="auto"/>
        <w:ind w:right="1128" w:firstLine="420"/>
        <w:jc w:val="both"/>
      </w:pP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13</w:t>
      </w:r>
      <w:r>
        <w:rPr>
          <w:spacing w:val="-1"/>
        </w:rPr>
        <w:t>日，公司召开第四届董事会第四十五次会议审议通过了《关于嘉联支付有限公司</w:t>
      </w:r>
      <w:r>
        <w:rPr>
          <w:rFonts w:ascii="Times New Roman" w:hAnsi="Times New Roman" w:cs="Times New Roman" w:eastAsia="Times New Roman" w:hint="default"/>
          <w:spacing w:val="-1"/>
        </w:rPr>
        <w:t>2019</w:t>
      </w:r>
      <w:r>
        <w:rPr>
          <w:spacing w:val="-1"/>
        </w:rPr>
        <w:t>年度业绩承诺实现情</w:t>
      </w:r>
      <w:r>
        <w:rPr/>
        <w:t> </w:t>
      </w:r>
      <w:r>
        <w:rPr>
          <w:spacing w:val="-2"/>
        </w:rPr>
        <w:t>况的议案》，嘉联支付</w:t>
      </w:r>
      <w:r>
        <w:rPr>
          <w:rFonts w:ascii="Times New Roman" w:hAnsi="Times New Roman" w:cs="Times New Roman" w:eastAsia="Times New Roman" w:hint="default"/>
          <w:spacing w:val="-2"/>
        </w:rPr>
        <w:t>2018</w:t>
      </w:r>
      <w:r>
        <w:rPr>
          <w:spacing w:val="-2"/>
        </w:rPr>
        <w:t>年度实现利润数</w:t>
      </w:r>
      <w:r>
        <w:rPr>
          <w:rFonts w:ascii="Times New Roman" w:hAnsi="Times New Roman" w:cs="Times New Roman" w:eastAsia="Times New Roman" w:hint="default"/>
          <w:spacing w:val="-2"/>
        </w:rPr>
        <w:t>208,022,148.12</w:t>
      </w:r>
      <w:r>
        <w:rPr>
          <w:spacing w:val="-2"/>
        </w:rPr>
        <w:t>元超过业绩承诺数</w:t>
      </w:r>
      <w:r>
        <w:rPr>
          <w:rFonts w:ascii="Times New Roman" w:hAnsi="Times New Roman" w:cs="Times New Roman" w:eastAsia="Times New Roman" w:hint="default"/>
          <w:spacing w:val="-2"/>
        </w:rPr>
        <w:t>90,000,000.00</w:t>
      </w:r>
      <w:r>
        <w:rPr>
          <w:spacing w:val="-2"/>
        </w:rPr>
        <w:t>元，嘉联支付</w:t>
      </w:r>
      <w:r>
        <w:rPr>
          <w:rFonts w:ascii="Times New Roman" w:hAnsi="Times New Roman" w:cs="Times New Roman" w:eastAsia="Times New Roman" w:hint="default"/>
          <w:spacing w:val="-2"/>
        </w:rPr>
        <w:t>2018</w:t>
      </w:r>
      <w:r>
        <w:rPr>
          <w:spacing w:val="-2"/>
        </w:rPr>
        <w:t>年及</w:t>
      </w:r>
      <w:r>
        <w:rPr>
          <w:rFonts w:ascii="Times New Roman" w:hAnsi="Times New Roman" w:cs="Times New Roman" w:eastAsia="Times New Roman" w:hint="default"/>
          <w:spacing w:val="-2"/>
        </w:rPr>
        <w:t>2019</w:t>
      </w:r>
      <w:r>
        <w:rPr>
          <w:spacing w:val="-2"/>
        </w:rPr>
        <w:t>年度累</w:t>
      </w:r>
      <w:r>
        <w:rPr>
          <w:spacing w:val="-40"/>
        </w:rPr>
        <w:t> </w:t>
      </w:r>
      <w:r>
        <w:rPr>
          <w:spacing w:val="-40"/>
        </w:rPr>
      </w:r>
      <w:r>
        <w:rPr/>
        <w:t>计实现利润数</w:t>
      </w:r>
      <w:r>
        <w:rPr>
          <w:rFonts w:ascii="Times New Roman" w:hAnsi="Times New Roman" w:cs="Times New Roman" w:eastAsia="Times New Roman" w:hint="default"/>
        </w:rPr>
        <w:t>424,770,115.71</w:t>
      </w:r>
      <w:r>
        <w:rPr/>
        <w:t>元超过业绩承诺数</w:t>
      </w:r>
      <w:r>
        <w:rPr>
          <w:rFonts w:ascii="Times New Roman" w:hAnsi="Times New Roman" w:cs="Times New Roman" w:eastAsia="Times New Roman" w:hint="default"/>
        </w:rPr>
        <w:t>190,000,000.00</w:t>
      </w:r>
      <w:r>
        <w:rPr/>
        <w:t>元。按业绩补偿公式</w:t>
      </w:r>
      <w:r>
        <w:rPr>
          <w:rFonts w:ascii="Times New Roman" w:hAnsi="Times New Roman" w:cs="Times New Roman" w:eastAsia="Times New Roman" w:hint="default"/>
        </w:rPr>
        <w:t>“</w:t>
      </w:r>
      <w:r>
        <w:rPr/>
        <w:t>当年应补偿金额</w:t>
      </w:r>
      <w:r>
        <w:rPr>
          <w:rFonts w:ascii="Times New Roman" w:hAnsi="Times New Roman" w:cs="Times New Roman" w:eastAsia="Times New Roman" w:hint="default"/>
        </w:rPr>
        <w:t>=</w:t>
      </w:r>
      <w:r>
        <w:rPr/>
        <w:t>（该考核期间累积承诺 净利润数</w:t>
      </w:r>
      <w:r>
        <w:rPr>
          <w:rFonts w:ascii="Times New Roman" w:hAnsi="Times New Roman" w:cs="Times New Roman" w:eastAsia="Times New Roman" w:hint="default"/>
        </w:rPr>
        <w:t>-</w:t>
      </w:r>
      <w:r>
        <w:rPr/>
        <w:t>该考核期间累积实际净利润数）</w:t>
      </w:r>
      <w:r>
        <w:rPr>
          <w:rFonts w:ascii="Times New Roman" w:hAnsi="Times New Roman" w:cs="Times New Roman" w:eastAsia="Times New Roman" w:hint="default"/>
        </w:rPr>
        <w:t>÷</w:t>
      </w:r>
      <w:r>
        <w:rPr/>
        <w:t>业绩承诺期间内累积承诺净利润数总和</w:t>
      </w:r>
      <w:r>
        <w:rPr>
          <w:rFonts w:ascii="Times New Roman" w:hAnsi="Times New Roman" w:cs="Times New Roman" w:eastAsia="Times New Roman" w:hint="default"/>
        </w:rPr>
        <w:t>×</w:t>
      </w:r>
      <w:r>
        <w:rPr/>
        <w:t>股权转让价款</w:t>
      </w:r>
      <w:r>
        <w:rPr>
          <w:rFonts w:ascii="Times New Roman" w:hAnsi="Times New Roman" w:cs="Times New Roman" w:eastAsia="Times New Roman" w:hint="default"/>
        </w:rPr>
        <w:t>-</w:t>
      </w:r>
      <w:r>
        <w:rPr/>
        <w:t>已补偿金额</w:t>
      </w:r>
      <w:r>
        <w:rPr>
          <w:rFonts w:ascii="Times New Roman" w:hAnsi="Times New Roman" w:cs="Times New Roman" w:eastAsia="Times New Roman" w:hint="default"/>
        </w:rPr>
        <w:t>”</w:t>
      </w:r>
      <w:r>
        <w:rPr/>
        <w:t>计算，</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年度应补偿金额</w:t>
      </w:r>
      <w:r>
        <w:rPr>
          <w:rFonts w:ascii="Times New Roman" w:hAnsi="Times New Roman" w:cs="Times New Roman" w:eastAsia="Times New Roman" w:hint="default"/>
        </w:rPr>
        <w:t>&lt;0</w:t>
      </w:r>
      <w:r>
        <w:rPr/>
        <w:t>，即嘉联支付</w:t>
      </w:r>
      <w:r>
        <w:rPr>
          <w:rFonts w:ascii="Times New Roman" w:hAnsi="Times New Roman" w:cs="Times New Roman" w:eastAsia="Times New Roman" w:hint="default"/>
        </w:rPr>
        <w:t>2019</w:t>
      </w:r>
      <w:r>
        <w:rPr/>
        <w:t>年的业绩承诺得到了有效履行，无需对本公司进行补偿。</w:t>
      </w:r>
    </w:p>
    <w:p>
      <w:pPr>
        <w:pStyle w:val="Heading4"/>
        <w:spacing w:line="240" w:lineRule="auto" w:before="141"/>
        <w:ind w:right="1033"/>
        <w:jc w:val="left"/>
        <w:rPr>
          <w:b w:val="0"/>
          <w:bCs w:val="0"/>
        </w:rPr>
      </w:pPr>
      <w:r>
        <w:rPr/>
        <w:t>三、控股股东及其关联方对上市公司的非经营性占用资金情况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after="0" w:line="3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4"/>
        <w:spacing w:line="367" w:lineRule="exact"/>
        <w:ind w:right="10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4"/>
        <w:spacing w:line="240" w:lineRule="auto"/>
        <w:ind w:right="1033"/>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1033"/>
        <w:jc w:val="left"/>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412" w:lineRule="auto"/>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日召开第四届董事会第二十九次会议及第四届监事会第二十八次会议审议通过了《关于公司财</w:t>
      </w:r>
    </w:p>
    <w:p>
      <w:pPr>
        <w:pStyle w:val="BodyText"/>
        <w:spacing w:line="240" w:lineRule="auto" w:before="75"/>
        <w:ind w:right="1033"/>
        <w:jc w:val="left"/>
      </w:pPr>
      <w:r>
        <w:rPr/>
        <w:t>务报表格式变更的议案》、于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日召开第四届董事会第三十六次会议及第四届董事会第三十三次会议审议通过了</w:t>
      </w:r>
    </w:p>
    <w:p>
      <w:pPr>
        <w:spacing w:line="240" w:lineRule="auto" w:before="9"/>
        <w:rPr>
          <w:rFonts w:ascii="宋体" w:hAnsi="宋体" w:cs="宋体" w:eastAsia="宋体" w:hint="default"/>
          <w:sz w:val="16"/>
          <w:szCs w:val="16"/>
        </w:rPr>
      </w:pPr>
    </w:p>
    <w:p>
      <w:pPr>
        <w:pStyle w:val="BodyText"/>
        <w:spacing w:line="451" w:lineRule="auto"/>
        <w:ind w:right="1033"/>
        <w:jc w:val="left"/>
      </w:pPr>
      <w:r>
        <w:rPr>
          <w:spacing w:val="-2"/>
        </w:rPr>
        <w:t>《关于公司财务报表格式变更的议案》、于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日召开第四届董事会第三十七次会议及第四届监事会第三十四次会</w:t>
      </w:r>
      <w:r>
        <w:rPr>
          <w:spacing w:val="-60"/>
        </w:rPr>
        <w:t> </w:t>
      </w:r>
      <w:r>
        <w:rPr>
          <w:spacing w:val="-60"/>
        </w:rPr>
      </w:r>
      <w:r>
        <w:rPr/>
        <w:t>议审议并通过了《关于会计政策变更的相关议案的议案》、于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日召开第四届董事会第四十四次会议及第四届监</w:t>
      </w:r>
      <w:r>
        <w:rPr>
          <w:spacing w:val="-86"/>
        </w:rPr>
        <w:t> </w:t>
      </w:r>
      <w:r>
        <w:rPr>
          <w:spacing w:val="-86"/>
        </w:rPr>
      </w:r>
      <w:r>
        <w:rPr>
          <w:spacing w:val="-2"/>
        </w:rPr>
        <w:t>事会第四十一次会议审议通过了《关于公司会计政策变更的议案》，同意公司将执行财政部发布的《关于修订印发</w:t>
      </w:r>
      <w:r>
        <w:rPr>
          <w:rFonts w:ascii="Times New Roman" w:hAnsi="Times New Roman" w:cs="Times New Roman" w:eastAsia="Times New Roman" w:hint="default"/>
          <w:spacing w:val="-2"/>
        </w:rPr>
        <w:t>2018</w:t>
      </w:r>
      <w:r>
        <w:rPr>
          <w:spacing w:val="-2"/>
        </w:rPr>
        <w:t>年度</w:t>
      </w:r>
      <w:r>
        <w:rPr>
          <w:spacing w:val="-59"/>
        </w:rPr>
        <w:t> </w:t>
      </w:r>
      <w:r>
        <w:rPr>
          <w:spacing w:val="-5"/>
        </w:rPr>
        <w:t>一般企业财务报表格式的通知》</w:t>
      </w:r>
      <w:r>
        <w:rPr>
          <w:rFonts w:ascii="Times New Roman" w:hAnsi="Times New Roman" w:cs="Times New Roman" w:eastAsia="Times New Roman" w:hint="default"/>
          <w:spacing w:val="-5"/>
        </w:rPr>
        <w:t>(</w:t>
      </w:r>
      <w:r>
        <w:rPr>
          <w:spacing w:val="-5"/>
        </w:rPr>
        <w:t>财会〔</w:t>
      </w:r>
      <w:r>
        <w:rPr>
          <w:rFonts w:ascii="Times New Roman" w:hAnsi="Times New Roman" w:cs="Times New Roman" w:eastAsia="Times New Roman" w:hint="default"/>
          <w:spacing w:val="-5"/>
        </w:rPr>
        <w:t>2018</w:t>
      </w:r>
      <w:r>
        <w:rPr>
          <w:spacing w:val="-5"/>
        </w:rPr>
        <w:t>〕</w:t>
      </w:r>
      <w:r>
        <w:rPr>
          <w:rFonts w:ascii="Times New Roman" w:hAnsi="Times New Roman" w:cs="Times New Roman" w:eastAsia="Times New Roman" w:hint="default"/>
          <w:spacing w:val="-5"/>
        </w:rPr>
        <w:t>15</w:t>
      </w:r>
      <w:r>
        <w:rPr>
          <w:rFonts w:ascii="Times New Roman" w:hAnsi="Times New Roman" w:cs="Times New Roman" w:eastAsia="Times New Roman" w:hint="default"/>
        </w:rPr>
        <w:t> </w:t>
      </w:r>
      <w:r>
        <w:rPr>
          <w:spacing w:val="-4"/>
        </w:rPr>
        <w:t>号</w:t>
      </w:r>
      <w:r>
        <w:rPr>
          <w:rFonts w:ascii="Times New Roman" w:hAnsi="Times New Roman" w:cs="Times New Roman" w:eastAsia="Times New Roman" w:hint="default"/>
          <w:spacing w:val="-4"/>
        </w:rPr>
        <w:t>)</w:t>
      </w:r>
      <w:r>
        <w:rPr>
          <w:spacing w:val="-4"/>
        </w:rPr>
        <w:t>、《关于修订印发</w:t>
      </w:r>
      <w:r>
        <w:rPr>
          <w:rFonts w:ascii="Times New Roman" w:hAnsi="Times New Roman" w:cs="Times New Roman" w:eastAsia="Times New Roman" w:hint="default"/>
          <w:spacing w:val="-4"/>
        </w:rPr>
        <w:t>2019</w:t>
      </w:r>
      <w:r>
        <w:rPr>
          <w:spacing w:val="-4"/>
        </w:rPr>
        <w:t>年度一般企业财务报表格式的通知》</w:t>
      </w:r>
      <w:r>
        <w:rPr>
          <w:rFonts w:ascii="Times New Roman" w:hAnsi="Times New Roman" w:cs="Times New Roman" w:eastAsia="Times New Roman" w:hint="default"/>
          <w:spacing w:val="-4"/>
        </w:rPr>
        <w:t>(</w:t>
      </w:r>
      <w:r>
        <w:rPr>
          <w:spacing w:val="-4"/>
        </w:rPr>
        <w:t>财会〔</w:t>
      </w:r>
      <w:r>
        <w:rPr>
          <w:rFonts w:ascii="Times New Roman" w:hAnsi="Times New Roman" w:cs="Times New Roman" w:eastAsia="Times New Roman" w:hint="default"/>
          <w:spacing w:val="-4"/>
        </w:rPr>
        <w:t>2019</w:t>
      </w:r>
      <w:r>
        <w:rPr>
          <w:spacing w:val="-4"/>
        </w:rPr>
        <w:t>〕</w:t>
      </w:r>
      <w:r>
        <w:rPr>
          <w:spacing w:val="-74"/>
        </w:rPr>
        <w:t> </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w:t>
      </w:r>
      <w:r>
        <w:rPr/>
        <w:t>、《关于修订印发合并财务报表格式（</w:t>
      </w:r>
      <w:r>
        <w:rPr>
          <w:rFonts w:ascii="Times New Roman" w:hAnsi="Times New Roman" w:cs="Times New Roman" w:eastAsia="Times New Roman" w:hint="default"/>
        </w:rPr>
        <w:t>2019</w:t>
      </w:r>
      <w:r>
        <w:rPr/>
        <w:t>版）的通知》（财会〔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 确认和计量》</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、《企业会计准则第</w:t>
      </w:r>
      <w:r>
        <w:rPr>
          <w:rFonts w:ascii="Times New Roman" w:hAnsi="Times New Roman" w:cs="Times New Roman" w:eastAsia="Times New Roman" w:hint="default"/>
        </w:rPr>
        <w:t>24</w:t>
      </w:r>
      <w:r>
        <w:rPr/>
        <w:t>号</w:t>
      </w:r>
    </w:p>
    <w:p>
      <w:pPr>
        <w:pStyle w:val="BodyText"/>
        <w:spacing w:line="451" w:lineRule="auto" w:before="43"/>
        <w:ind w:right="1033"/>
        <w:jc w:val="left"/>
      </w:pPr>
      <w:r>
        <w:rPr>
          <w:rFonts w:ascii="Times New Roman" w:hAnsi="Times New Roman" w:cs="Times New Roman" w:eastAsia="Times New Roman" w:hint="default"/>
        </w:rPr>
        <w:t>——</w:t>
      </w:r>
      <w:r>
        <w:rPr/>
        <w:t>套期会计》</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以上四项简称新金融</w:t>
      </w:r>
      <w:r>
        <w:rPr>
          <w:spacing w:val="-37"/>
        </w:rPr>
        <w:t> </w:t>
      </w:r>
      <w:r>
        <w:rPr>
          <w:spacing w:val="-37"/>
        </w:rPr>
      </w:r>
      <w:r>
        <w:rPr/>
        <w:t>准则</w:t>
      </w:r>
      <w:r>
        <w:rPr>
          <w:rFonts w:ascii="Times New Roman" w:hAnsi="Times New Roman" w:cs="Times New Roman" w:eastAsia="Times New Roman" w:hint="default"/>
        </w:rPr>
        <w:t>)</w:t>
      </w:r>
      <w:r>
        <w:rPr/>
        <w:t>和《企业会计准则第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，持续规范公司财务报表列报，提高会计信息质量。</w:t>
      </w:r>
    </w:p>
    <w:p>
      <w:pPr>
        <w:pStyle w:val="BodyText"/>
        <w:spacing w:line="477" w:lineRule="auto" w:before="43"/>
        <w:ind w:right="1033" w:firstLine="360"/>
        <w:jc w:val="left"/>
      </w:pPr>
      <w:r>
        <w:rPr>
          <w:spacing w:val="-2"/>
        </w:rPr>
        <w:t>上述财务报表格式调整及会计政策变更，均为公司依据财政部颁布的指引进行变更，仅对财务报表列报产生影响，不会</w:t>
      </w:r>
      <w:r>
        <w:rPr/>
        <w:t> 对公司损益、总资产、净资产产生影响。</w:t>
      </w:r>
    </w:p>
    <w:p>
      <w:pPr>
        <w:pStyle w:val="Heading4"/>
        <w:spacing w:line="240" w:lineRule="auto" w:before="153"/>
        <w:ind w:right="1033"/>
        <w:jc w:val="left"/>
        <w:rPr>
          <w:b w:val="0"/>
          <w:bCs w:val="0"/>
        </w:rPr>
      </w:pPr>
      <w:r>
        <w:rPr/>
        <w:t>七、与上年度财务报告相比，合并报表范围发生变化的情况说明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4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本期纳入合并财务报表范围的主体较上期相比，增加</w:t>
      </w:r>
      <w:r>
        <w:rPr>
          <w:rFonts w:ascii="Times New Roman" w:hAnsi="Times New Roman" w:cs="Times New Roman" w:eastAsia="Times New Roman" w:hint="default"/>
        </w:rPr>
        <w:t>6</w:t>
      </w:r>
      <w:r>
        <w:rPr/>
        <w:t>户，减少</w:t>
      </w:r>
      <w:r>
        <w:rPr>
          <w:rFonts w:ascii="Times New Roman" w:hAnsi="Times New Roman" w:cs="Times New Roman" w:eastAsia="Times New Roman" w:hint="default"/>
        </w:rPr>
        <w:t>6</w:t>
      </w:r>
      <w:r>
        <w:rPr/>
        <w:t>户，其中：</w:t>
      </w:r>
    </w:p>
    <w:p>
      <w:pPr>
        <w:pStyle w:val="BodyText"/>
        <w:spacing w:line="230" w:lineRule="exact"/>
        <w:ind w:left="441" w:right="1033"/>
        <w:jc w:val="left"/>
      </w:pPr>
      <w:r>
        <w:rPr>
          <w:rFonts w:ascii="Times New Roman" w:hAnsi="Times New Roman" w:cs="Times New Roman" w:eastAsia="Times New Roman" w:hint="default"/>
        </w:rPr>
        <w:t>1</w:t>
      </w:r>
      <w:r>
        <w:rPr/>
        <w:t>、本期新纳入合并范围的子公司、特殊目的主体、通过受托经营或承租等方式形成控制权的经营实体</w:t>
      </w:r>
    </w:p>
    <w:p>
      <w:pPr>
        <w:spacing w:line="240" w:lineRule="auto" w:before="2"/>
        <w:rPr>
          <w:rFonts w:ascii="宋体" w:hAnsi="宋体" w:cs="宋体" w:eastAsia="宋体" w:hint="default"/>
          <w:sz w:val="4"/>
          <w:szCs w:val="4"/>
        </w:rPr>
      </w:pPr>
    </w:p>
    <w:tbl>
      <w:tblPr>
        <w:tblW w:w="0" w:type="auto"/>
        <w:jc w:val="left"/>
        <w:tblInd w:w="150" w:type="dxa"/>
        <w:tblLayout w:type="fixed"/>
        <w:tblCellMar>
          <w:top w:w="0" w:type="dxa"/>
          <w:left w:w="0" w:type="dxa"/>
          <w:bottom w:w="0" w:type="dxa"/>
          <w:right w:w="0" w:type="dxa"/>
        </w:tblCellMar>
        <w:tblLook w:val="01E0"/>
      </w:tblPr>
      <w:tblGrid>
        <w:gridCol w:w="4820"/>
        <w:gridCol w:w="4928"/>
      </w:tblGrid>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Nexgo India Private</w:t>
            </w:r>
            <w:r>
              <w:rPr>
                <w:rFonts w:ascii="Times New Roman"/>
                <w:spacing w:val="-8"/>
                <w:sz w:val="18"/>
              </w:rPr>
              <w:t> </w:t>
            </w:r>
            <w:r>
              <w:rPr>
                <w:rFonts w:ascii="Times New Roman"/>
                <w:sz w:val="18"/>
              </w:rPr>
              <w:t>Ltd.</w:t>
            </w:r>
          </w:p>
        </w:tc>
        <w:tc>
          <w:tcPr>
            <w:tcW w:w="4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XGD Europe</w:t>
            </w:r>
            <w:r>
              <w:rPr>
                <w:rFonts w:ascii="Times New Roman"/>
                <w:spacing w:val="-6"/>
                <w:sz w:val="18"/>
              </w:rPr>
              <w:t> </w:t>
            </w:r>
            <w:r>
              <w:rPr>
                <w:rFonts w:ascii="Times New Roman"/>
                <w:sz w:val="18"/>
              </w:rPr>
              <w:t>S.A.</w:t>
            </w:r>
          </w:p>
        </w:tc>
        <w:tc>
          <w:tcPr>
            <w:tcW w:w="4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深圳市新国都通信技术有限公司</w:t>
            </w:r>
          </w:p>
        </w:tc>
        <w:tc>
          <w:tcPr>
            <w:tcW w:w="4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XGD MACAU</w:t>
            </w:r>
            <w:r>
              <w:rPr>
                <w:rFonts w:ascii="Times New Roman"/>
                <w:spacing w:val="-7"/>
                <w:sz w:val="18"/>
              </w:rPr>
              <w:t> </w:t>
            </w:r>
            <w:r>
              <w:rPr>
                <w:rFonts w:ascii="Times New Roman"/>
                <w:sz w:val="18"/>
              </w:rPr>
              <w:t>LIMITED</w:t>
            </w:r>
          </w:p>
        </w:tc>
        <w:tc>
          <w:tcPr>
            <w:tcW w:w="4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信小样（深圳）传媒有限公司</w:t>
            </w:r>
          </w:p>
        </w:tc>
        <w:tc>
          <w:tcPr>
            <w:tcW w:w="4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深圳市新国都腾云软件有限公司</w:t>
            </w:r>
          </w:p>
        </w:tc>
        <w:tc>
          <w:tcPr>
            <w:tcW w:w="4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pStyle w:val="BodyText"/>
        <w:spacing w:line="240" w:lineRule="auto" w:before="8"/>
        <w:ind w:right="1033"/>
        <w:jc w:val="left"/>
      </w:pPr>
      <w:r>
        <w:rPr/>
        <w:t>注：深圳市嘉创信息技术服务有限公司于</w:t>
      </w:r>
      <w:r>
        <w:rPr>
          <w:rFonts w:ascii="宋体" w:hAnsi="宋体" w:cs="宋体" w:eastAsia="宋体" w:hint="default"/>
        </w:rPr>
        <w:t>2020</w:t>
      </w:r>
      <w:r>
        <w:rPr/>
        <w:t>年</w:t>
      </w:r>
      <w:r>
        <w:rPr>
          <w:rFonts w:ascii="宋体" w:hAnsi="宋体" w:cs="宋体" w:eastAsia="宋体" w:hint="default"/>
        </w:rPr>
        <w:t>3</w:t>
      </w:r>
      <w:r>
        <w:rPr/>
        <w:t>月更名为深圳市新国都通信技术有限公司。</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97" w:right="1033"/>
        <w:jc w:val="left"/>
      </w:pPr>
      <w:r>
        <w:rPr>
          <w:rFonts w:ascii="Times New Roman" w:hAnsi="Times New Roman" w:cs="Times New Roman" w:eastAsia="Times New Roman" w:hint="default"/>
        </w:rPr>
        <w:t>2</w:t>
      </w:r>
      <w:r>
        <w:rPr/>
        <w:t>、本期不再纳入合并范围的子公司、特殊目的主体、通过委托经营或出租等方式丧失控制权的经营实体</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4679"/>
        <w:gridCol w:w="4964"/>
      </w:tblGrid>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6"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深圳市新国都金服技术有限公司</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股权出售</w:t>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惠州市惠信资信评级有限公司</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股权出售</w:t>
            </w:r>
          </w:p>
        </w:tc>
      </w:tr>
      <w:tr>
        <w:trPr>
          <w:trHeight w:val="346"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深圳市信联征信有限公司</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股权出售</w:t>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股权出售</w:t>
            </w:r>
          </w:p>
        </w:tc>
      </w:tr>
      <w:tr>
        <w:trPr>
          <w:trHeight w:val="346"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信小样（深圳）传媒有限公司</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股权出售</w:t>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杭州中宗电子有限公司</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1"/>
        <w:rPr>
          <w:rFonts w:ascii="宋体" w:hAnsi="宋体" w:cs="宋体" w:eastAsia="宋体" w:hint="default"/>
          <w:sz w:val="18"/>
          <w:szCs w:val="18"/>
        </w:rPr>
      </w:pPr>
    </w:p>
    <w:p>
      <w:pPr>
        <w:pStyle w:val="Heading4"/>
        <w:spacing w:line="367" w:lineRule="exact"/>
        <w:ind w:right="1033"/>
        <w:jc w:val="left"/>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刘高科、周灵芝</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1033"/>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1033"/>
        <w:jc w:val="left"/>
        <w:rPr>
          <w:b w:val="0"/>
          <w:bCs w:val="0"/>
        </w:rPr>
      </w:pPr>
      <w:r>
        <w:rPr/>
        <w:t>九、年度报告披露后面临暂停上市和终止上市情况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1033"/>
        <w:jc w:val="left"/>
        <w:rPr>
          <w:b w:val="0"/>
          <w:bCs w:val="0"/>
        </w:rPr>
      </w:pPr>
      <w:r>
        <w:rPr/>
        <w:t>十、破产重整相关事项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3"/>
          <w:szCs w:val="13"/>
        </w:rPr>
      </w:pPr>
    </w:p>
    <w:p>
      <w:pPr>
        <w:pStyle w:val="Heading4"/>
        <w:spacing w:line="240" w:lineRule="auto"/>
        <w:ind w:right="1033"/>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4"/>
        <w:gridCol w:w="1265"/>
        <w:gridCol w:w="1080"/>
        <w:gridCol w:w="1078"/>
      </w:tblGrid>
      <w:tr>
        <w:trPr>
          <w:trHeight w:val="713"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31" w:right="29"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7" w:right="20"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8" w:right="84"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2" w:right="9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68" w:right="2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其他诉讼</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288.16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等待开庭 排期或已 调解完成</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033"/>
        <w:jc w:val="left"/>
      </w:pPr>
      <w:r>
        <w:rPr/>
        <w:t>注：截至报告期末，未达到重大诉讼披露标准的其他诉讼的涉案汇总金额为</w:t>
      </w:r>
      <w:r>
        <w:rPr>
          <w:spacing w:val="-45"/>
        </w:rPr>
        <w:t> </w:t>
      </w:r>
      <w:r>
        <w:rPr>
          <w:rFonts w:ascii="Times New Roman" w:hAnsi="Times New Roman" w:cs="Times New Roman" w:eastAsia="Times New Roman" w:hint="default"/>
        </w:rPr>
        <w:t>288.16</w:t>
      </w:r>
      <w:r>
        <w:rPr>
          <w:rFonts w:ascii="Times New Roman" w:hAnsi="Times New Roman" w:cs="Times New Roman" w:eastAsia="Times New Roman" w:hint="default"/>
          <w:spacing w:val="1"/>
        </w:rPr>
        <w:t> </w:t>
      </w:r>
      <w:r>
        <w:rPr/>
        <w:t>万元。</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4"/>
        <w:spacing w:line="367" w:lineRule="exact"/>
        <w:ind w:left="213" w:right="4943"/>
        <w:jc w:val="left"/>
        <w:rPr>
          <w:b w:val="0"/>
          <w:bCs w:val="0"/>
        </w:rPr>
      </w:pP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left="213"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10"/>
        <w:rPr>
          <w:rFonts w:ascii="宋体" w:hAnsi="宋体" w:cs="宋体" w:eastAsia="宋体" w:hint="default"/>
          <w:sz w:val="13"/>
          <w:szCs w:val="13"/>
        </w:rPr>
      </w:pPr>
    </w:p>
    <w:p>
      <w:pPr>
        <w:pStyle w:val="Heading4"/>
        <w:spacing w:line="240" w:lineRule="auto"/>
        <w:ind w:left="213" w:right="4943"/>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28" w:lineRule="auto"/>
        <w:ind w:left="213"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报告期内，公司及公司控股股东、实际控制人刘祥先生无违法违规记录，不存在未履行法院生效判决或所负数额较大的债务</w:t>
      </w:r>
      <w:r>
        <w:rPr>
          <w:spacing w:val="-62"/>
        </w:rPr>
        <w:t> </w:t>
      </w:r>
      <w:r>
        <w:rPr>
          <w:spacing w:val="-62"/>
        </w:rPr>
      </w:r>
      <w:r>
        <w:rPr/>
        <w:t>到期未清偿等情况，不存在被交易所通报批评、公开谴责或者认定为不适当人选等情况。</w:t>
      </w:r>
    </w:p>
    <w:p>
      <w:pPr>
        <w:spacing w:line="240" w:lineRule="auto" w:before="5"/>
        <w:rPr>
          <w:rFonts w:ascii="宋体" w:hAnsi="宋体" w:cs="宋体" w:eastAsia="宋体" w:hint="default"/>
          <w:sz w:val="14"/>
          <w:szCs w:val="14"/>
        </w:rPr>
      </w:pPr>
    </w:p>
    <w:p>
      <w:pPr>
        <w:pStyle w:val="Heading4"/>
        <w:spacing w:line="240" w:lineRule="auto"/>
        <w:ind w:left="213" w:right="1198"/>
        <w:jc w:val="left"/>
        <w:rPr>
          <w:b w:val="0"/>
          <w:bCs w:val="0"/>
        </w:rPr>
      </w:pPr>
      <w:r>
        <w:rPr/>
        <w:t>十四、公司股权激励计划、员工持股计划或其他员工激励措施的实施情况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213" w:right="49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4929"/>
        <w:gridCol w:w="4928"/>
      </w:tblGrid>
      <w:tr>
        <w:trPr>
          <w:trHeight w:val="322" w:hRule="exact"/>
        </w:trPr>
        <w:tc>
          <w:tcPr>
            <w:tcW w:w="9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Arial" w:hAnsi="Arial" w:cs="Arial" w:eastAsia="Arial" w:hint="default"/>
                <w:b/>
                <w:bCs/>
                <w:sz w:val="18"/>
                <w:szCs w:val="18"/>
              </w:rPr>
              <w:t>2015</w:t>
            </w:r>
            <w:r>
              <w:rPr>
                <w:rFonts w:ascii="Microsoft JhengHei" w:hAnsi="Microsoft JhengHei" w:cs="Microsoft JhengHei" w:eastAsia="Microsoft JhengHei" w:hint="default"/>
                <w:b/>
                <w:bCs/>
                <w:sz w:val="18"/>
                <w:szCs w:val="18"/>
              </w:rPr>
              <w:t>年股票期权激励计划</w:t>
            </w:r>
            <w:r>
              <w:rPr>
                <w:rFonts w:ascii="Microsoft JhengHei" w:hAnsi="Microsoft JhengHei" w:cs="Microsoft JhengHei" w:eastAsia="Microsoft JhengHei" w:hint="default"/>
                <w:sz w:val="18"/>
                <w:szCs w:val="18"/>
              </w:rPr>
            </w:r>
          </w:p>
        </w:tc>
      </w:tr>
      <w:tr>
        <w:trPr>
          <w:trHeight w:val="32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事项概述</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58"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因公司</w:t>
            </w:r>
            <w:r>
              <w:rPr>
                <w:rFonts w:ascii="宋体" w:hAnsi="宋体" w:cs="宋体" w:eastAsia="宋体" w:hint="default"/>
                <w:sz w:val="18"/>
                <w:szCs w:val="18"/>
              </w:rPr>
              <w:t>2018</w:t>
            </w:r>
            <w:r>
              <w:rPr>
                <w:rFonts w:ascii="宋体" w:hAnsi="宋体" w:cs="宋体" w:eastAsia="宋体" w:hint="default"/>
                <w:sz w:val="18"/>
                <w:szCs w:val="18"/>
              </w:rPr>
              <w:t>年业绩未满足</w:t>
            </w:r>
            <w:r>
              <w:rPr>
                <w:rFonts w:ascii="宋体" w:hAnsi="宋体" w:cs="宋体" w:eastAsia="宋体" w:hint="default"/>
                <w:sz w:val="18"/>
                <w:szCs w:val="18"/>
              </w:rPr>
              <w:t>2015</w:t>
            </w:r>
            <w:r>
              <w:rPr>
                <w:rFonts w:ascii="宋体" w:hAnsi="宋体" w:cs="宋体" w:eastAsia="宋体" w:hint="default"/>
                <w:sz w:val="18"/>
                <w:szCs w:val="18"/>
              </w:rPr>
              <w:t>年股票期权激励计划第三个行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权期设定的行权条件注销期权。</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26</w:t>
            </w:r>
            <w:r>
              <w:rPr>
                <w:rFonts w:ascii="宋体" w:hAnsi="宋体" w:cs="宋体" w:eastAsia="宋体" w:hint="default"/>
                <w:spacing w:val="-2"/>
                <w:sz w:val="18"/>
                <w:szCs w:val="18"/>
              </w:rPr>
              <w:t>日披露于巨潮资讯网的《关于公司</w:t>
            </w:r>
            <w:r>
              <w:rPr>
                <w:rFonts w:ascii="宋体" w:hAnsi="宋体" w:cs="宋体" w:eastAsia="宋体" w:hint="default"/>
                <w:spacing w:val="-2"/>
                <w:sz w:val="18"/>
                <w:szCs w:val="18"/>
              </w:rPr>
              <w:t>2015</w:t>
            </w:r>
            <w:r>
              <w:rPr>
                <w:rFonts w:ascii="宋体" w:hAnsi="宋体" w:cs="宋体" w:eastAsia="宋体" w:hint="default"/>
                <w:spacing w:val="-2"/>
                <w:sz w:val="18"/>
                <w:szCs w:val="18"/>
              </w:rPr>
              <w:t>年股票期</w:t>
            </w:r>
            <w:r>
              <w:rPr>
                <w:rFonts w:ascii="宋体" w:hAnsi="宋体" w:cs="宋体" w:eastAsia="宋体" w:hint="default"/>
                <w:spacing w:val="-87"/>
                <w:sz w:val="18"/>
                <w:szCs w:val="18"/>
              </w:rPr>
              <w:t> </w:t>
            </w:r>
            <w:r>
              <w:rPr>
                <w:rFonts w:ascii="宋体" w:hAnsi="宋体" w:cs="宋体" w:eastAsia="宋体" w:hint="default"/>
                <w:sz w:val="18"/>
                <w:szCs w:val="18"/>
              </w:rPr>
              <w:t>权激励计划第三个行权期未达到行权条件予以注销的公告》</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z w:val="18"/>
                <w:szCs w:val="18"/>
              </w:rPr>
              <w:t>2019-035</w:t>
            </w:r>
            <w:r>
              <w:rPr>
                <w:rFonts w:ascii="宋体" w:hAnsi="宋体" w:cs="宋体" w:eastAsia="宋体" w:hint="default"/>
                <w:sz w:val="18"/>
                <w:szCs w:val="18"/>
              </w:rPr>
              <w:t>）。</w:t>
            </w:r>
          </w:p>
        </w:tc>
      </w:tr>
      <w:tr>
        <w:trPr>
          <w:trHeight w:val="946"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年股票期权激励计划第三个行权期期权注销完成。</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5</w:t>
            </w:r>
            <w:r>
              <w:rPr>
                <w:rFonts w:ascii="宋体" w:hAnsi="宋体" w:cs="宋体" w:eastAsia="宋体" w:hint="default"/>
                <w:spacing w:val="-2"/>
                <w:sz w:val="18"/>
                <w:szCs w:val="18"/>
              </w:rPr>
              <w:t>月</w:t>
            </w:r>
            <w:r>
              <w:rPr>
                <w:rFonts w:ascii="宋体" w:hAnsi="宋体" w:cs="宋体" w:eastAsia="宋体" w:hint="default"/>
                <w:spacing w:val="-2"/>
                <w:sz w:val="18"/>
                <w:szCs w:val="18"/>
              </w:rPr>
              <w:t>23</w:t>
            </w:r>
            <w:r>
              <w:rPr>
                <w:rFonts w:ascii="宋体" w:hAnsi="宋体" w:cs="宋体" w:eastAsia="宋体" w:hint="default"/>
                <w:spacing w:val="-2"/>
                <w:sz w:val="18"/>
                <w:szCs w:val="18"/>
              </w:rPr>
              <w:t>日披露于巨潮资讯网的《关于</w:t>
            </w:r>
            <w:r>
              <w:rPr>
                <w:rFonts w:ascii="宋体" w:hAnsi="宋体" w:cs="宋体" w:eastAsia="宋体" w:hint="default"/>
                <w:spacing w:val="-2"/>
                <w:sz w:val="18"/>
                <w:szCs w:val="18"/>
              </w:rPr>
              <w:t>2015</w:t>
            </w:r>
            <w:r>
              <w:rPr>
                <w:rFonts w:ascii="宋体" w:hAnsi="宋体" w:cs="宋体" w:eastAsia="宋体" w:hint="default"/>
                <w:spacing w:val="-2"/>
                <w:sz w:val="18"/>
                <w:szCs w:val="18"/>
              </w:rPr>
              <w:t>年股票期权激</w:t>
            </w:r>
            <w:r>
              <w:rPr>
                <w:rFonts w:ascii="宋体" w:hAnsi="宋体" w:cs="宋体" w:eastAsia="宋体" w:hint="default"/>
                <w:spacing w:val="-87"/>
                <w:sz w:val="18"/>
                <w:szCs w:val="18"/>
              </w:rPr>
              <w:t> </w:t>
            </w:r>
            <w:r>
              <w:rPr>
                <w:rFonts w:ascii="宋体" w:hAnsi="宋体" w:cs="宋体" w:eastAsia="宋体" w:hint="default"/>
                <w:spacing w:val="-6"/>
                <w:sz w:val="18"/>
                <w:szCs w:val="18"/>
              </w:rPr>
              <w:t>励计划第三个行权期未达行权条件予以注销的进展公告》（公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告编号：</w:t>
            </w:r>
            <w:r>
              <w:rPr>
                <w:rFonts w:ascii="宋体" w:hAnsi="宋体" w:cs="宋体" w:eastAsia="宋体" w:hint="default"/>
                <w:sz w:val="18"/>
                <w:szCs w:val="18"/>
              </w:rPr>
              <w:t>2019-064</w:t>
            </w:r>
            <w:r>
              <w:rPr>
                <w:rFonts w:ascii="宋体" w:hAnsi="宋体" w:cs="宋体" w:eastAsia="宋体" w:hint="default"/>
                <w:sz w:val="18"/>
                <w:szCs w:val="18"/>
              </w:rPr>
              <w:t>）。</w:t>
            </w:r>
          </w:p>
        </w:tc>
      </w:tr>
      <w:tr>
        <w:trPr>
          <w:trHeight w:val="322" w:hRule="exact"/>
        </w:trPr>
        <w:tc>
          <w:tcPr>
            <w:tcW w:w="9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Arial" w:hAnsi="Arial" w:cs="Arial" w:eastAsia="Arial" w:hint="default"/>
                <w:b/>
                <w:bCs/>
                <w:sz w:val="18"/>
                <w:szCs w:val="18"/>
              </w:rPr>
              <w:t>2017</w:t>
            </w:r>
            <w:r>
              <w:rPr>
                <w:rFonts w:ascii="Microsoft JhengHei" w:hAnsi="Microsoft JhengHei" w:cs="Microsoft JhengHei" w:eastAsia="Microsoft JhengHei" w:hint="default"/>
                <w:b/>
                <w:bCs/>
                <w:sz w:val="18"/>
                <w:szCs w:val="18"/>
              </w:rPr>
              <w:t>年股票期权激励计划</w:t>
            </w:r>
            <w:r>
              <w:rPr>
                <w:rFonts w:ascii="Microsoft JhengHei" w:hAnsi="Microsoft JhengHei" w:cs="Microsoft JhengHei" w:eastAsia="Microsoft JhengHei" w:hint="default"/>
                <w:sz w:val="18"/>
                <w:szCs w:val="18"/>
              </w:rPr>
            </w:r>
          </w:p>
        </w:tc>
      </w:tr>
      <w:tr>
        <w:trPr>
          <w:trHeight w:val="324"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事项概述</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46"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行权条件满足，公司</w:t>
            </w:r>
            <w:r>
              <w:rPr>
                <w:rFonts w:ascii="宋体" w:hAnsi="宋体" w:cs="宋体" w:eastAsia="宋体" w:hint="default"/>
                <w:sz w:val="18"/>
                <w:szCs w:val="18"/>
              </w:rPr>
              <w:t>2017</w:t>
            </w:r>
            <w:r>
              <w:rPr>
                <w:rFonts w:ascii="宋体" w:hAnsi="宋体" w:cs="宋体" w:eastAsia="宋体" w:hint="default"/>
                <w:sz w:val="18"/>
                <w:szCs w:val="18"/>
              </w:rPr>
              <w:t>年股票期权激励计划第二个行权期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可行权。</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26</w:t>
            </w:r>
            <w:r>
              <w:rPr>
                <w:rFonts w:ascii="宋体" w:hAnsi="宋体" w:cs="宋体" w:eastAsia="宋体" w:hint="default"/>
                <w:spacing w:val="-2"/>
                <w:sz w:val="18"/>
                <w:szCs w:val="18"/>
              </w:rPr>
              <w:t>日披露于巨潮资讯网的《关于公司</w:t>
            </w:r>
            <w:r>
              <w:rPr>
                <w:rFonts w:ascii="宋体" w:hAnsi="宋体" w:cs="宋体" w:eastAsia="宋体" w:hint="default"/>
                <w:spacing w:val="-2"/>
                <w:sz w:val="18"/>
                <w:szCs w:val="18"/>
              </w:rPr>
              <w:t>2017</w:t>
            </w:r>
            <w:r>
              <w:rPr>
                <w:rFonts w:ascii="宋体" w:hAnsi="宋体" w:cs="宋体" w:eastAsia="宋体" w:hint="default"/>
                <w:spacing w:val="-2"/>
                <w:sz w:val="18"/>
                <w:szCs w:val="18"/>
              </w:rPr>
              <w:t>年股票期</w:t>
            </w:r>
            <w:r>
              <w:rPr>
                <w:rFonts w:ascii="宋体" w:hAnsi="宋体" w:cs="宋体" w:eastAsia="宋体" w:hint="default"/>
                <w:spacing w:val="-87"/>
                <w:sz w:val="18"/>
                <w:szCs w:val="18"/>
              </w:rPr>
              <w:t> </w:t>
            </w:r>
            <w:r>
              <w:rPr>
                <w:rFonts w:ascii="宋体" w:hAnsi="宋体" w:cs="宋体" w:eastAsia="宋体" w:hint="default"/>
                <w:spacing w:val="-6"/>
                <w:sz w:val="18"/>
                <w:szCs w:val="18"/>
              </w:rPr>
              <w:t>权激励计划第二个行权期符合行权条件暨可行权的公告》（公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告编号：</w:t>
            </w:r>
            <w:r>
              <w:rPr>
                <w:rFonts w:ascii="宋体" w:hAnsi="宋体" w:cs="宋体" w:eastAsia="宋体" w:hint="default"/>
                <w:sz w:val="18"/>
                <w:szCs w:val="18"/>
              </w:rPr>
              <w:t>2019-036</w:t>
            </w:r>
            <w:r>
              <w:rPr>
                <w:rFonts w:ascii="宋体" w:hAnsi="宋体" w:cs="宋体" w:eastAsia="宋体" w:hint="default"/>
                <w:sz w:val="18"/>
                <w:szCs w:val="18"/>
              </w:rPr>
              <w:t>）。</w:t>
            </w:r>
          </w:p>
        </w:tc>
      </w:tr>
      <w:tr>
        <w:trPr>
          <w:trHeight w:val="946"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2017</w:t>
            </w:r>
            <w:r>
              <w:rPr>
                <w:rFonts w:ascii="宋体" w:hAnsi="宋体" w:cs="宋体" w:eastAsia="宋体" w:hint="default"/>
                <w:sz w:val="18"/>
                <w:szCs w:val="18"/>
              </w:rPr>
              <w:t>年股票期权激励计划第二个行权期采取自主行权方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式行权。</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日披露于巨潮资讯网的《关于</w:t>
            </w:r>
            <w:r>
              <w:rPr>
                <w:rFonts w:ascii="宋体" w:hAnsi="宋体" w:cs="宋体" w:eastAsia="宋体" w:hint="default"/>
                <w:sz w:val="18"/>
                <w:szCs w:val="18"/>
              </w:rPr>
              <w:t>2017</w:t>
            </w:r>
            <w:r>
              <w:rPr>
                <w:rFonts w:ascii="宋体" w:hAnsi="宋体" w:cs="宋体" w:eastAsia="宋体" w:hint="default"/>
                <w:sz w:val="18"/>
                <w:szCs w:val="18"/>
              </w:rPr>
              <w:t>年股票期权激 </w:t>
            </w:r>
            <w:r>
              <w:rPr>
                <w:rFonts w:ascii="宋体" w:hAnsi="宋体" w:cs="宋体" w:eastAsia="宋体" w:hint="default"/>
                <w:spacing w:val="-3"/>
                <w:sz w:val="18"/>
                <w:szCs w:val="18"/>
              </w:rPr>
              <w:t>励计划第二个行权期采用自主行权模式的公告》（公告编号：</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2019-062</w:t>
            </w:r>
            <w:r>
              <w:rPr>
                <w:rFonts w:ascii="宋体" w:hAnsi="宋体" w:cs="宋体" w:eastAsia="宋体" w:hint="default"/>
                <w:sz w:val="18"/>
                <w:szCs w:val="18"/>
              </w:rPr>
              <w:t>）。</w:t>
            </w:r>
          </w:p>
        </w:tc>
      </w:tr>
      <w:tr>
        <w:trPr>
          <w:trHeight w:val="322" w:hRule="exact"/>
        </w:trPr>
        <w:tc>
          <w:tcPr>
            <w:tcW w:w="9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Arial" w:hAnsi="Arial" w:cs="Arial" w:eastAsia="Arial" w:hint="default"/>
                <w:b/>
                <w:bCs/>
                <w:sz w:val="18"/>
                <w:szCs w:val="18"/>
              </w:rPr>
              <w:t>2018</w:t>
            </w:r>
            <w:r>
              <w:rPr>
                <w:rFonts w:ascii="Microsoft JhengHei" w:hAnsi="Microsoft JhengHei" w:cs="Microsoft JhengHei" w:eastAsia="Microsoft JhengHei" w:hint="default"/>
                <w:b/>
                <w:bCs/>
                <w:sz w:val="18"/>
                <w:szCs w:val="18"/>
              </w:rPr>
              <w:t>年股票期权激励计划</w:t>
            </w:r>
            <w:r>
              <w:rPr>
                <w:rFonts w:ascii="Microsoft JhengHei" w:hAnsi="Microsoft JhengHei" w:cs="Microsoft JhengHei" w:eastAsia="Microsoft JhengHei" w:hint="default"/>
                <w:sz w:val="18"/>
                <w:szCs w:val="18"/>
              </w:rPr>
            </w:r>
          </w:p>
        </w:tc>
      </w:tr>
      <w:tr>
        <w:trPr>
          <w:trHeight w:val="32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事项概述</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46"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行权条件满足，公司</w:t>
            </w:r>
            <w:r>
              <w:rPr>
                <w:rFonts w:ascii="宋体" w:hAnsi="宋体" w:cs="宋体" w:eastAsia="宋体" w:hint="default"/>
                <w:sz w:val="18"/>
                <w:szCs w:val="18"/>
              </w:rPr>
              <w:t>2018</w:t>
            </w:r>
            <w:r>
              <w:rPr>
                <w:rFonts w:ascii="宋体" w:hAnsi="宋体" w:cs="宋体" w:eastAsia="宋体" w:hint="default"/>
                <w:sz w:val="18"/>
                <w:szCs w:val="18"/>
              </w:rPr>
              <w:t>年股票期权激励计划第一个行权期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可行权。</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w:t>
            </w:r>
            <w:r>
              <w:rPr>
                <w:rFonts w:ascii="宋体" w:hAnsi="宋体" w:cs="宋体" w:eastAsia="宋体" w:hint="default"/>
                <w:spacing w:val="-2"/>
                <w:sz w:val="18"/>
                <w:szCs w:val="18"/>
              </w:rPr>
              <w:t>26</w:t>
            </w:r>
            <w:r>
              <w:rPr>
                <w:rFonts w:ascii="宋体" w:hAnsi="宋体" w:cs="宋体" w:eastAsia="宋体" w:hint="default"/>
                <w:spacing w:val="-2"/>
                <w:sz w:val="18"/>
                <w:szCs w:val="18"/>
              </w:rPr>
              <w:t>日披露于巨潮资讯网的《关于公司</w:t>
            </w:r>
            <w:r>
              <w:rPr>
                <w:rFonts w:ascii="宋体" w:hAnsi="宋体" w:cs="宋体" w:eastAsia="宋体" w:hint="default"/>
                <w:spacing w:val="-2"/>
                <w:sz w:val="18"/>
                <w:szCs w:val="18"/>
              </w:rPr>
              <w:t>2018</w:t>
            </w:r>
            <w:r>
              <w:rPr>
                <w:rFonts w:ascii="宋体" w:hAnsi="宋体" w:cs="宋体" w:eastAsia="宋体" w:hint="default"/>
                <w:spacing w:val="-2"/>
                <w:sz w:val="18"/>
                <w:szCs w:val="18"/>
              </w:rPr>
              <w:t>年股票期</w:t>
            </w:r>
            <w:r>
              <w:rPr>
                <w:rFonts w:ascii="宋体" w:hAnsi="宋体" w:cs="宋体" w:eastAsia="宋体" w:hint="default"/>
                <w:spacing w:val="-87"/>
                <w:sz w:val="18"/>
                <w:szCs w:val="18"/>
              </w:rPr>
              <w:t> </w:t>
            </w:r>
            <w:r>
              <w:rPr>
                <w:rFonts w:ascii="宋体" w:hAnsi="宋体" w:cs="宋体" w:eastAsia="宋体" w:hint="default"/>
                <w:spacing w:val="-6"/>
                <w:sz w:val="18"/>
                <w:szCs w:val="18"/>
              </w:rPr>
              <w:t>权激励计划第一个行权期符合行权条件暨可行权的公告》（公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告编号：</w:t>
            </w:r>
            <w:r>
              <w:rPr>
                <w:rFonts w:ascii="宋体" w:hAnsi="宋体" w:cs="宋体" w:eastAsia="宋体" w:hint="default"/>
                <w:sz w:val="18"/>
                <w:szCs w:val="18"/>
              </w:rPr>
              <w:t>2019-037</w:t>
            </w:r>
            <w:r>
              <w:rPr>
                <w:rFonts w:ascii="宋体" w:hAnsi="宋体" w:cs="宋体" w:eastAsia="宋体" w:hint="default"/>
                <w:sz w:val="18"/>
                <w:szCs w:val="18"/>
              </w:rPr>
              <w:t>）。</w:t>
            </w:r>
          </w:p>
        </w:tc>
      </w:tr>
      <w:tr>
        <w:trPr>
          <w:trHeight w:val="948"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2018</w:t>
            </w:r>
            <w:r>
              <w:rPr>
                <w:rFonts w:ascii="宋体" w:hAnsi="宋体" w:cs="宋体" w:eastAsia="宋体" w:hint="default"/>
                <w:sz w:val="18"/>
                <w:szCs w:val="18"/>
              </w:rPr>
              <w:t>年股票期权激励计划第一个行权期采取自主行权方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式行权。</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日披露于巨潮资讯网的《关于</w:t>
            </w:r>
            <w:r>
              <w:rPr>
                <w:rFonts w:ascii="宋体" w:hAnsi="宋体" w:cs="宋体" w:eastAsia="宋体" w:hint="default"/>
                <w:sz w:val="18"/>
                <w:szCs w:val="18"/>
              </w:rPr>
              <w:t>2018</w:t>
            </w:r>
            <w:r>
              <w:rPr>
                <w:rFonts w:ascii="宋体" w:hAnsi="宋体" w:cs="宋体" w:eastAsia="宋体" w:hint="default"/>
                <w:sz w:val="18"/>
                <w:szCs w:val="18"/>
              </w:rPr>
              <w:t>年股票期权激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励计划第一个行权期采用自主行权模式的公告》（公告编号：</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2019-061</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745" w:footer="979" w:top="1060" w:bottom="1160" w:left="920" w:right="0"/>
        </w:sectPr>
      </w:pPr>
    </w:p>
    <w:p>
      <w:pPr>
        <w:spacing w:line="240" w:lineRule="auto" w:before="8"/>
        <w:rPr>
          <w:rFonts w:ascii="宋体" w:hAnsi="宋体" w:cs="宋体" w:eastAsia="宋体" w:hint="default"/>
          <w:sz w:val="23"/>
          <w:szCs w:val="23"/>
        </w:rPr>
      </w:pPr>
    </w:p>
    <w:p>
      <w:pPr>
        <w:pStyle w:val="Heading4"/>
        <w:spacing w:line="367" w:lineRule="exact"/>
        <w:ind w:right="1033"/>
        <w:jc w:val="left"/>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6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2"/>
        <w:rPr>
          <w:rFonts w:ascii="宋体" w:hAnsi="宋体" w:cs="宋体" w:eastAsia="宋体" w:hint="default"/>
          <w:sz w:val="16"/>
          <w:szCs w:val="16"/>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0"/>
        <w:gridCol w:w="751"/>
        <w:gridCol w:w="800"/>
        <w:gridCol w:w="802"/>
        <w:gridCol w:w="797"/>
        <w:gridCol w:w="797"/>
        <w:gridCol w:w="797"/>
        <w:gridCol w:w="797"/>
        <w:gridCol w:w="797"/>
        <w:gridCol w:w="794"/>
        <w:gridCol w:w="799"/>
        <w:gridCol w:w="792"/>
      </w:tblGrid>
      <w:tr>
        <w:trPr>
          <w:trHeight w:val="102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5" w:right="3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firstLine="9"/>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7"/>
                <w:sz w:val="18"/>
                <w:szCs w:val="18"/>
              </w:rPr>
              <w:t>值（万元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5"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39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交易对 手方之 一江汉 先生为 持有公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上股份</w:t>
            </w:r>
          </w:p>
          <w:p>
            <w:pPr>
              <w:pStyle w:val="TableParagraph"/>
              <w:spacing w:line="316" w:lineRule="auto" w:before="20"/>
              <w:ind w:left="23" w:right="-3"/>
              <w:jc w:val="left"/>
              <w:rPr>
                <w:rFonts w:ascii="宋体" w:hAnsi="宋体" w:cs="宋体" w:eastAsia="宋体" w:hint="default"/>
                <w:sz w:val="18"/>
                <w:szCs w:val="18"/>
              </w:rPr>
            </w:pPr>
            <w:r>
              <w:rPr>
                <w:rFonts w:ascii="宋体" w:hAnsi="宋体" w:cs="宋体" w:eastAsia="宋体" w:hint="default"/>
                <w:sz w:val="18"/>
                <w:szCs w:val="18"/>
              </w:rPr>
              <w:t>的股东， 时任公 司董事、 副总经 </w:t>
            </w:r>
            <w:r>
              <w:rPr>
                <w:rFonts w:ascii="宋体" w:hAnsi="宋体" w:cs="宋体" w:eastAsia="宋体" w:hint="default"/>
                <w:spacing w:val="-6"/>
                <w:sz w:val="18"/>
                <w:szCs w:val="18"/>
              </w:rPr>
              <w:t>理，金服</w:t>
            </w:r>
            <w:r>
              <w:rPr>
                <w:rFonts w:ascii="宋体" w:hAnsi="宋体" w:cs="宋体" w:eastAsia="宋体" w:hint="default"/>
                <w:sz w:val="18"/>
                <w:szCs w:val="18"/>
              </w:rPr>
              <w:t> 技术执 行董事、 信联征 信执行 董事</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公司以</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16" w:lineRule="auto" w:before="63"/>
              <w:ind w:left="23" w:right="47"/>
              <w:jc w:val="left"/>
              <w:rPr>
                <w:rFonts w:ascii="宋体" w:hAnsi="宋体" w:cs="宋体" w:eastAsia="宋体" w:hint="default"/>
                <w:sz w:val="18"/>
                <w:szCs w:val="18"/>
              </w:rPr>
            </w:pPr>
            <w:r>
              <w:rPr>
                <w:rFonts w:ascii="宋体" w:hAnsi="宋体" w:cs="宋体" w:eastAsia="宋体" w:hint="default"/>
                <w:sz w:val="18"/>
                <w:szCs w:val="18"/>
              </w:rPr>
              <w:t>元的价格 向江汉先 生转让金 服技术 </w:t>
            </w:r>
            <w:r>
              <w:rPr>
                <w:rFonts w:ascii="Times New Roman" w:hAnsi="Times New Roman" w:cs="Times New Roman" w:eastAsia="Times New Roman" w:hint="default"/>
                <w:sz w:val="18"/>
                <w:szCs w:val="18"/>
              </w:rPr>
              <w:t>31%</w:t>
            </w:r>
            <w:r>
              <w:rPr>
                <w:rFonts w:ascii="宋体" w:hAnsi="宋体" w:cs="宋体" w:eastAsia="宋体" w:hint="default"/>
                <w:sz w:val="18"/>
                <w:szCs w:val="18"/>
              </w:rPr>
              <w:t>股权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以评估结 果为依 据，协商 确定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1,050.97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2,480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2,480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1,429.03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3" w:right="17"/>
              <w:jc w:val="both"/>
              <w:rPr>
                <w:rFonts w:ascii="宋体" w:hAnsi="宋体" w:cs="宋体" w:eastAsia="宋体" w:hint="default"/>
                <w:sz w:val="18"/>
                <w:szCs w:val="18"/>
              </w:rPr>
            </w:pPr>
            <w:r>
              <w:rPr>
                <w:rFonts w:ascii="宋体" w:hAnsi="宋体" w:cs="宋体" w:eastAsia="宋体" w:hint="default"/>
                <w:sz w:val="18"/>
                <w:szCs w:val="18"/>
              </w:rPr>
              <w:t>巨潮资讯 网《关于 转让金服 技术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股份暨关 联交易的 </w:t>
            </w:r>
            <w:r>
              <w:rPr>
                <w:rFonts w:ascii="宋体" w:hAnsi="宋体" w:cs="宋体" w:eastAsia="宋体" w:hint="default"/>
                <w:spacing w:val="-34"/>
                <w:sz w:val="18"/>
                <w:szCs w:val="18"/>
              </w:rPr>
              <w:t>公告》（公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告编号：</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Times New Roman"/>
                <w:sz w:val="18"/>
              </w:rPr>
              <w:t>2019-069</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713"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公司通过转让金服技术部分股权，促进公司进一步聚焦电子支付主业，减轻对金 服技术的资金投入压力，对公司的正常经营不产生重大影响</w:t>
            </w:r>
          </w:p>
        </w:tc>
      </w:tr>
      <w:tr>
        <w:trPr>
          <w:trHeight w:val="715"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873"/>
        <w:jc w:val="left"/>
      </w:pPr>
      <w:r>
        <w:rPr/>
        <w:t>√ 适用 □</w:t>
      </w:r>
      <w:r>
        <w:rPr>
          <w:spacing w:val="3"/>
        </w:rPr>
        <w:t> </w:t>
      </w:r>
      <w:r>
        <w:rPr/>
        <w:t>不适用</w:t>
      </w:r>
      <w:r>
        <w:rPr/>
        <w:t> 是否存在非经营性关联债权债务往来</w:t>
      </w:r>
    </w:p>
    <w:p>
      <w:pPr>
        <w:pStyle w:val="BodyText"/>
        <w:spacing w:line="240" w:lineRule="auto" w:before="29"/>
        <w:ind w:right="1033"/>
        <w:jc w:val="left"/>
      </w:pPr>
      <w:r>
        <w:rPr/>
        <w:t>□ 是 √</w:t>
      </w:r>
      <w:r>
        <w:rPr>
          <w:spacing w:val="3"/>
        </w:rPr>
        <w:t> </w:t>
      </w:r>
      <w:r>
        <w:rPr/>
        <w:t>否</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9"/>
        <w:rPr>
          <w:rFonts w:ascii="宋体" w:hAnsi="宋体" w:cs="宋体" w:eastAsia="宋体" w:hint="default"/>
          <w:sz w:val="13"/>
          <w:szCs w:val="13"/>
        </w:rPr>
      </w:pPr>
    </w:p>
    <w:p>
      <w:pPr>
        <w:pStyle w:val="Heading4"/>
        <w:spacing w:line="240" w:lineRule="auto"/>
        <w:ind w:right="1033"/>
        <w:jc w:val="left"/>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6"/>
        <w:rPr>
          <w:rFonts w:ascii="宋体" w:hAnsi="宋体" w:cs="宋体" w:eastAsia="宋体" w:hint="default"/>
          <w:sz w:val="16"/>
          <w:szCs w:val="16"/>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2"/>
        <w:rPr>
          <w:rFonts w:ascii="宋体" w:hAnsi="宋体" w:cs="宋体" w:eastAsia="宋体" w:hint="default"/>
          <w:sz w:val="16"/>
          <w:szCs w:val="16"/>
        </w:rPr>
      </w:pPr>
    </w:p>
    <w:p>
      <w:pPr>
        <w:pStyle w:val="Heading5"/>
        <w:spacing w:line="240" w:lineRule="auto"/>
        <w:ind w:right="10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2"/>
        <w:rPr>
          <w:rFonts w:ascii="宋体" w:hAnsi="宋体" w:cs="宋体" w:eastAsia="宋体" w:hint="default"/>
          <w:sz w:val="16"/>
          <w:szCs w:val="16"/>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32"/>
        <w:gridCol w:w="919"/>
        <w:gridCol w:w="1296"/>
        <w:gridCol w:w="1063"/>
        <w:gridCol w:w="1035"/>
        <w:gridCol w:w="1051"/>
        <w:gridCol w:w="790"/>
        <w:gridCol w:w="780"/>
      </w:tblGrid>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8"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0"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5"/>
        <w:gridCol w:w="926"/>
        <w:gridCol w:w="1296"/>
        <w:gridCol w:w="1063"/>
        <w:gridCol w:w="1035"/>
        <w:gridCol w:w="1046"/>
        <w:gridCol w:w="795"/>
        <w:gridCol w:w="780"/>
      </w:tblGrid>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3"/>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8,000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7,000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53"/>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8,000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5,000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8,000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浙江中正智能科技有 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709"/>
        <w:gridCol w:w="899"/>
        <w:gridCol w:w="924"/>
        <w:gridCol w:w="1320"/>
        <w:gridCol w:w="1027"/>
        <w:gridCol w:w="1058"/>
        <w:gridCol w:w="1054"/>
        <w:gridCol w:w="786"/>
        <w:gridCol w:w="789"/>
      </w:tblGrid>
      <w:tr>
        <w:trPr>
          <w:trHeight w:val="714"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3"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420,000</w:t>
            </w:r>
          </w:p>
        </w:tc>
        <w:tc>
          <w:tcPr>
            <w:tcW w:w="20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8"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69,900</w:t>
            </w:r>
          </w:p>
        </w:tc>
      </w:tr>
      <w:tr>
        <w:trPr>
          <w:trHeight w:val="719"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6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3"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420,000</w:t>
            </w:r>
          </w:p>
        </w:tc>
        <w:tc>
          <w:tcPr>
            <w:tcW w:w="20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8"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397"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3"/>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2"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81"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20" w:type="dxa"/>
            <w:vMerge w:val="restart"/>
            <w:tcBorders>
              <w:top w:val="single" w:sz="4" w:space="0" w:color="000000"/>
              <w:left w:val="single" w:sz="4" w:space="0" w:color="000000"/>
              <w:right w:val="single" w:sz="4" w:space="0" w:color="000000"/>
            </w:tcBorders>
            <w:shd w:val="clear" w:color="auto" w:fill="D2D2D2"/>
          </w:tcPr>
          <w:p>
            <w:pPr/>
          </w:p>
        </w:tc>
        <w:tc>
          <w:tcPr>
            <w:tcW w:w="10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8" w:type="dxa"/>
            <w:vMerge w:val="restart"/>
            <w:tcBorders>
              <w:top w:val="single" w:sz="4" w:space="0" w:color="000000"/>
              <w:left w:val="single" w:sz="4" w:space="0" w:color="000000"/>
              <w:right w:val="single" w:sz="4" w:space="0" w:color="000000"/>
            </w:tcBorders>
            <w:shd w:val="clear" w:color="auto" w:fill="D2D2D2"/>
          </w:tcPr>
          <w:p>
            <w:pPr/>
          </w:p>
        </w:tc>
        <w:tc>
          <w:tcPr>
            <w:tcW w:w="1054"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99"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20" w:type="dxa"/>
            <w:vMerge/>
            <w:tcBorders>
              <w:left w:val="single" w:sz="4" w:space="0" w:color="000000"/>
              <w:bottom w:val="nil" w:sz="6" w:space="0" w:color="auto"/>
              <w:right w:val="single" w:sz="4" w:space="0" w:color="000000"/>
            </w:tcBorders>
            <w:shd w:val="clear" w:color="auto" w:fill="D2D2D2"/>
          </w:tcPr>
          <w:p>
            <w:pPr/>
          </w:p>
        </w:tc>
        <w:tc>
          <w:tcPr>
            <w:tcW w:w="102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20" w:right="5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8"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8"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7"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9"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27" w:type="dxa"/>
            <w:vMerge/>
            <w:tcBorders>
              <w:left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9"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899"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1320" w:type="dxa"/>
            <w:vMerge w:val="restart"/>
            <w:tcBorders>
              <w:top w:val="nil" w:sz="6" w:space="0" w:color="auto"/>
              <w:left w:val="single" w:sz="4" w:space="0" w:color="000000"/>
              <w:right w:val="single" w:sz="4" w:space="0" w:color="000000"/>
            </w:tcBorders>
            <w:shd w:val="clear" w:color="auto" w:fill="D2D2D2"/>
          </w:tcPr>
          <w:p>
            <w:pPr/>
          </w:p>
        </w:tc>
        <w:tc>
          <w:tcPr>
            <w:tcW w:w="1027" w:type="dxa"/>
            <w:vMerge/>
            <w:tcBorders>
              <w:left w:val="single" w:sz="4" w:space="0" w:color="000000"/>
              <w:bottom w:val="nil" w:sz="6" w:space="0" w:color="auto"/>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9"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9"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320" w:type="dxa"/>
            <w:vMerge/>
            <w:tcBorders>
              <w:left w:val="single" w:sz="4" w:space="0" w:color="000000"/>
              <w:bottom w:val="single" w:sz="4" w:space="0" w:color="000000"/>
              <w:right w:val="single" w:sz="4" w:space="0" w:color="000000"/>
            </w:tcBorders>
            <w:shd w:val="clear" w:color="auto" w:fill="D2D2D2"/>
          </w:tcPr>
          <w:p>
            <w:pPr/>
          </w:p>
        </w:tc>
        <w:tc>
          <w:tcPr>
            <w:tcW w:w="10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3"/>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3"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420,000</w:t>
            </w:r>
          </w:p>
        </w:tc>
        <w:tc>
          <w:tcPr>
            <w:tcW w:w="20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8"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69,900</w:t>
            </w:r>
          </w:p>
        </w:tc>
      </w:tr>
      <w:tr>
        <w:trPr>
          <w:trHeight w:val="714"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3"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420,000</w:t>
            </w:r>
          </w:p>
        </w:tc>
        <w:tc>
          <w:tcPr>
            <w:tcW w:w="20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8"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407"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w:t>
            </w:r>
          </w:p>
        </w:tc>
      </w:tr>
      <w:tr>
        <w:trPr>
          <w:trHeight w:val="391"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26"/>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033"/>
        <w:jc w:val="left"/>
      </w:pPr>
      <w:r>
        <w:rPr/>
        <w:t>采用复合方式担保的具体情况说明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2"/>
        <w:rPr>
          <w:rFonts w:ascii="宋体" w:hAnsi="宋体" w:cs="宋体" w:eastAsia="宋体" w:hint="default"/>
          <w:sz w:val="16"/>
          <w:szCs w:val="16"/>
        </w:rPr>
      </w:pPr>
    </w:p>
    <w:p>
      <w:pPr>
        <w:pStyle w:val="Heading5"/>
        <w:spacing w:line="240" w:lineRule="auto"/>
        <w:ind w:right="10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4" w:space="6786"/>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7"/>
        <w:gridCol w:w="1964"/>
        <w:gridCol w:w="1980"/>
        <w:gridCol w:w="1911"/>
        <w:gridCol w:w="1846"/>
      </w:tblGrid>
      <w:tr>
        <w:trPr>
          <w:trHeight w:val="401" w:hRule="exact"/>
        </w:trPr>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67"/>
        <w:gridCol w:w="1964"/>
        <w:gridCol w:w="1980"/>
        <w:gridCol w:w="1911"/>
        <w:gridCol w:w="1846"/>
      </w:tblGrid>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033"/>
        <w:jc w:val="left"/>
      </w:pPr>
      <w:r>
        <w:rPr/>
        <w:t>单项金额重大或安全性较低、流动性较差、不保本的高风险委托理财具体情况</w:t>
      </w:r>
    </w:p>
    <w:p>
      <w:pPr>
        <w:pStyle w:val="BodyText"/>
        <w:spacing w:line="340" w:lineRule="auto" w:before="115"/>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1"/>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4"/>
        <w:rPr>
          <w:rFonts w:ascii="宋体" w:hAnsi="宋体" w:cs="宋体" w:eastAsia="宋体" w:hint="default"/>
          <w:sz w:val="16"/>
          <w:szCs w:val="16"/>
        </w:rPr>
      </w:pPr>
    </w:p>
    <w:p>
      <w:pPr>
        <w:pStyle w:val="Heading5"/>
        <w:spacing w:line="240" w:lineRule="auto"/>
        <w:ind w:right="10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10"/>
        <w:rPr>
          <w:rFonts w:ascii="宋体" w:hAnsi="宋体" w:cs="宋体" w:eastAsia="宋体" w:hint="default"/>
          <w:sz w:val="13"/>
          <w:szCs w:val="13"/>
        </w:rPr>
      </w:pPr>
    </w:p>
    <w:p>
      <w:pPr>
        <w:pStyle w:val="Heading4"/>
        <w:spacing w:line="240" w:lineRule="auto"/>
        <w:ind w:right="1033"/>
        <w:jc w:val="left"/>
        <w:rPr>
          <w:b w:val="0"/>
          <w:bCs w:val="0"/>
        </w:rPr>
      </w:pPr>
      <w:r>
        <w:rPr/>
        <w:t>十七、社会责任情况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3"/>
        <w:rPr>
          <w:rFonts w:ascii="Microsoft JhengHei" w:hAnsi="Microsoft JhengHei" w:cs="Microsoft JhengHei" w:eastAsia="Microsoft JhengHei" w:hint="default"/>
          <w:b/>
          <w:bCs/>
          <w:sz w:val="23"/>
          <w:szCs w:val="23"/>
        </w:rPr>
      </w:pPr>
    </w:p>
    <w:p>
      <w:pPr>
        <w:pStyle w:val="BodyText"/>
        <w:spacing w:line="477" w:lineRule="auto"/>
        <w:ind w:right="1129" w:firstLine="360"/>
        <w:jc w:val="both"/>
      </w:pPr>
      <w:r>
        <w:rPr>
          <w:spacing w:val="-2"/>
        </w:rPr>
        <w:t>公司根据国家和行业相关产品质量的要求，从事生产经营活动，切实提高了产品的质量和服务水平，努力为社会提供优</w:t>
      </w:r>
      <w:r>
        <w:rPr/>
        <w:t> </w:t>
      </w:r>
      <w:r>
        <w:rPr>
          <w:spacing w:val="-2"/>
        </w:rPr>
        <w:t>质产品和服务，最大限度地满足消费者的需求，对社会和公众负责，接受社会监督，承担社会责任。公司在努力创造经济效</w:t>
      </w:r>
      <w:r>
        <w:rPr>
          <w:spacing w:val="-67"/>
        </w:rPr>
        <w:t> </w:t>
      </w:r>
      <w:r>
        <w:rPr>
          <w:spacing w:val="-67"/>
        </w:rPr>
      </w:r>
      <w:r>
        <w:rPr/>
        <w:t>益的同时，也积极履行社会公益方面的责任和义务。</w:t>
      </w:r>
    </w:p>
    <w:p>
      <w:pPr>
        <w:pStyle w:val="BodyText"/>
        <w:spacing w:line="477" w:lineRule="auto" w:before="54"/>
        <w:ind w:right="1133" w:firstLine="360"/>
        <w:jc w:val="both"/>
      </w:pPr>
      <w:r>
        <w:rPr>
          <w:spacing w:val="-2"/>
        </w:rPr>
        <w:t>公司通过制定《新改扩建项目环境和安全管理程序》及《内部审核控制程序》，确保公司开展的项目符合环保及安全相</w:t>
      </w:r>
      <w:r>
        <w:rPr/>
        <w:t> </w:t>
      </w:r>
      <w:r>
        <w:rPr>
          <w:spacing w:val="-2"/>
        </w:rPr>
        <w:t>关法律法规要求。同时，通过加强对管理体系运营情况的内部审核，考察公司在质量、环境及职业健康安全等相关社会责任</w:t>
      </w:r>
      <w:r>
        <w:rPr>
          <w:spacing w:val="-66"/>
        </w:rPr>
        <w:t> </w:t>
      </w:r>
      <w:r>
        <w:rPr>
          <w:spacing w:val="-66"/>
        </w:rPr>
      </w:r>
      <w:r>
        <w:rPr/>
        <w:t>方面的落实情况，切实做到经济利益与社会效益的有效结合。</w:t>
      </w:r>
    </w:p>
    <w:p>
      <w:pPr>
        <w:pStyle w:val="BodyText"/>
        <w:spacing w:line="240" w:lineRule="auto" w:before="54"/>
        <w:ind w:left="513" w:right="1033"/>
        <w:jc w:val="left"/>
      </w:pPr>
      <w:r>
        <w:rPr/>
        <w:t>公司的社会责任履行情况主要体现在以下九个方面：</w:t>
      </w:r>
    </w:p>
    <w:p>
      <w:pPr>
        <w:spacing w:line="240" w:lineRule="auto" w:before="10"/>
        <w:rPr>
          <w:rFonts w:ascii="宋体" w:hAnsi="宋体" w:cs="宋体" w:eastAsia="宋体" w:hint="default"/>
          <w:sz w:val="17"/>
          <w:szCs w:val="17"/>
        </w:rPr>
      </w:pPr>
    </w:p>
    <w:p>
      <w:pPr>
        <w:pStyle w:val="BodyText"/>
        <w:spacing w:line="451" w:lineRule="auto"/>
        <w:ind w:left="513" w:right="1033" w:hanging="360"/>
        <w:jc w:val="left"/>
      </w:pPr>
      <w:r>
        <w:rPr/>
        <w:t>（</w:t>
      </w:r>
      <w:r>
        <w:rPr>
          <w:rFonts w:ascii="Times New Roman" w:hAnsi="Times New Roman" w:cs="Times New Roman" w:eastAsia="Times New Roman" w:hint="default"/>
        </w:rPr>
        <w:t>1</w:t>
      </w:r>
      <w:r>
        <w:rPr/>
        <w:t>）公司战略方面 公司秉持关爱员工、回报股东、回馈社会的责任理念，坚持把发展作为核心任务，以诚信合规经营为原则，完善管理，</w:t>
      </w:r>
    </w:p>
    <w:p>
      <w:pPr>
        <w:pStyle w:val="BodyText"/>
        <w:spacing w:line="240" w:lineRule="auto" w:before="74"/>
        <w:ind w:right="1033"/>
        <w:jc w:val="left"/>
      </w:pPr>
      <w:r>
        <w:rPr/>
        <w:t>携手合作伙伴深耕市场，创造共赢的绿色经济效益。</w:t>
      </w:r>
    </w:p>
    <w:p>
      <w:pPr>
        <w:spacing w:line="240" w:lineRule="auto" w:before="10"/>
        <w:rPr>
          <w:rFonts w:ascii="宋体" w:hAnsi="宋体" w:cs="宋体" w:eastAsia="宋体" w:hint="default"/>
          <w:sz w:val="17"/>
          <w:szCs w:val="17"/>
        </w:rPr>
      </w:pPr>
    </w:p>
    <w:p>
      <w:pPr>
        <w:pStyle w:val="BodyText"/>
        <w:spacing w:line="451" w:lineRule="auto"/>
        <w:ind w:left="513" w:right="1033" w:hanging="360"/>
        <w:jc w:val="left"/>
      </w:pPr>
      <w:r>
        <w:rPr/>
        <w:t>（</w:t>
      </w:r>
      <w:r>
        <w:rPr>
          <w:rFonts w:ascii="Times New Roman" w:hAnsi="Times New Roman" w:cs="Times New Roman" w:eastAsia="Times New Roman" w:hint="default"/>
        </w:rPr>
        <w:t>2</w:t>
      </w:r>
      <w:r>
        <w:rPr/>
        <w:t>）员工保护方面 按国家法律法规与员工签订合同，定期支付报酬，福利及社保，员工加班有补助及调休。定期组织技能、管理、安全、</w:t>
      </w:r>
    </w:p>
    <w:p>
      <w:pPr>
        <w:pStyle w:val="BodyText"/>
        <w:spacing w:line="477" w:lineRule="auto" w:before="74"/>
        <w:ind w:right="1128"/>
        <w:jc w:val="both"/>
      </w:pPr>
      <w:r>
        <w:rPr>
          <w:spacing w:val="-2"/>
        </w:rPr>
        <w:t>心理健康等主题培训及特色文化活动，丰富员工文化生活，帮助员工提高自身素质及能力。公司总部开设食堂，提供餐补折</w:t>
      </w:r>
      <w:r>
        <w:rPr>
          <w:spacing w:val="-66"/>
        </w:rPr>
        <w:t> </w:t>
      </w:r>
      <w:r>
        <w:rPr>
          <w:spacing w:val="-66"/>
        </w:rPr>
      </w:r>
      <w:r>
        <w:rPr>
          <w:spacing w:val="-2"/>
        </w:rPr>
        <w:t>扣；开设免费健身房，聘请教练为有健身需求的员工上课；设立儿童乐园，为加班员工兼顾工作与家庭提供场地支持，为员</w:t>
      </w:r>
      <w:r>
        <w:rPr>
          <w:spacing w:val="-66"/>
        </w:rPr>
        <w:t> </w:t>
      </w:r>
      <w:r>
        <w:rPr>
          <w:spacing w:val="-66"/>
        </w:rPr>
      </w:r>
      <w:r>
        <w:rPr>
          <w:spacing w:val="-2"/>
        </w:rPr>
        <w:t>工提供舒适方便的工作环境。制定大病帮扶政策，帮助患病员工及家属度过难关。</w:t>
      </w:r>
      <w:r>
        <w:rPr>
          <w:rFonts w:ascii="Times New Roman" w:hAnsi="Times New Roman" w:cs="Times New Roman" w:eastAsia="Times New Roman" w:hint="default"/>
          <w:spacing w:val="-2"/>
        </w:rPr>
        <w:t>2008</w:t>
      </w:r>
      <w:r>
        <w:rPr>
          <w:spacing w:val="-2"/>
        </w:rPr>
        <w:t>年至今，公司累计为</w:t>
      </w:r>
      <w:r>
        <w:rPr>
          <w:rFonts w:ascii="Times New Roman" w:hAnsi="Times New Roman" w:cs="Times New Roman" w:eastAsia="Times New Roman" w:hint="default"/>
          <w:spacing w:val="-2"/>
        </w:rPr>
        <w:t>40</w:t>
      </w:r>
      <w:r>
        <w:rPr>
          <w:spacing w:val="-2"/>
        </w:rPr>
        <w:t>余位员工及家</w:t>
      </w:r>
    </w:p>
    <w:p>
      <w:pPr>
        <w:spacing w:after="0" w:line="477"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1130"/>
        <w:jc w:val="both"/>
      </w:pPr>
      <w:r>
        <w:rPr/>
        <w:t>属提供了帮扶，减缓巨额医疗费用给员工家庭所带来的压力。提供多方位员工福利，包括加班晚至</w:t>
      </w:r>
      <w:r>
        <w:rPr>
          <w:rFonts w:ascii="Times New Roman" w:hAnsi="Times New Roman" w:cs="Times New Roman" w:eastAsia="Times New Roman" w:hint="default"/>
        </w:rPr>
        <w:t>9</w:t>
      </w:r>
      <w:r>
        <w:rPr/>
        <w:t>点后报销回家的士费、</w:t>
      </w:r>
      <w:r>
        <w:rPr>
          <w:spacing w:val="-82"/>
        </w:rPr>
        <w:t> </w:t>
      </w:r>
      <w:r>
        <w:rPr>
          <w:spacing w:val="-2"/>
        </w:rPr>
        <w:t>过节礼品、定期免费体检等额外福利。针对妇女生理特点和劳动条件对妇女肌体健康的特殊影响而实行特殊劳动保护，尊重</w:t>
      </w:r>
      <w:r>
        <w:rPr>
          <w:spacing w:val="-63"/>
        </w:rPr>
        <w:t> </w:t>
      </w:r>
      <w:r>
        <w:rPr>
          <w:spacing w:val="-63"/>
        </w:rPr>
      </w:r>
      <w:r>
        <w:rPr/>
        <w:t>女工工作时的特殊要求，做好</w:t>
      </w:r>
      <w:r>
        <w:rPr>
          <w:rFonts w:ascii="Times New Roman" w:hAnsi="Times New Roman" w:cs="Times New Roman" w:eastAsia="Times New Roman" w:hint="default"/>
        </w:rPr>
        <w:t>“</w:t>
      </w:r>
      <w:r>
        <w:rPr/>
        <w:t>四期</w:t>
      </w:r>
      <w:r>
        <w:rPr>
          <w:rFonts w:ascii="Times New Roman" w:hAnsi="Times New Roman" w:cs="Times New Roman" w:eastAsia="Times New Roman" w:hint="default"/>
        </w:rPr>
        <w:t>”</w:t>
      </w:r>
      <w:r>
        <w:rPr/>
        <w:t>（经期、孕期、产期和哺乳期）防护。女性的四期都按劳动法规定进行。</w:t>
      </w:r>
    </w:p>
    <w:p>
      <w:pPr>
        <w:pStyle w:val="BodyText"/>
        <w:spacing w:line="477" w:lineRule="auto" w:before="33"/>
        <w:ind w:left="513" w:right="1033"/>
        <w:jc w:val="left"/>
      </w:pPr>
      <w:r>
        <w:rPr/>
        <w:t>员工满意度，充分考虑员工的心理需要，每年进行满意度调查，听取意见，持续改进。 </w:t>
      </w:r>
      <w:r>
        <w:rPr>
          <w:spacing w:val="-2"/>
        </w:rPr>
        <w:t>公司成立工会委员会，设立工会法人代表，并设立组织委员、经费审查委员、女工委员、宣传委员等工会委员，保障工</w:t>
      </w:r>
    </w:p>
    <w:p>
      <w:pPr>
        <w:pStyle w:val="BodyText"/>
        <w:spacing w:line="451" w:lineRule="auto" w:before="54"/>
        <w:ind w:left="513" w:right="1033" w:hanging="360"/>
        <w:jc w:val="left"/>
      </w:pPr>
      <w:r>
        <w:rPr/>
        <w:t>会组织切实发挥作用，保护、调动广大职工的积极性</w:t>
      </w:r>
      <w:r>
        <w:rPr>
          <w:rFonts w:ascii="Times New Roman" w:hAnsi="Times New Roman" w:cs="Times New Roman" w:eastAsia="Times New Roman" w:hint="default"/>
        </w:rPr>
        <w:t>,</w:t>
      </w:r>
      <w:r>
        <w:rPr/>
        <w:t>以此维护劳动者的合法权益。 </w:t>
      </w:r>
      <w:r>
        <w:rPr>
          <w:spacing w:val="-2"/>
        </w:rPr>
        <w:t>知识产权保护，公司重视知识产权的保护，对于本公司的知识产权成果都申请了相应的知识产权证书。同时，公司注重</w:t>
      </w:r>
    </w:p>
    <w:p>
      <w:pPr>
        <w:pStyle w:val="BodyText"/>
        <w:spacing w:line="477" w:lineRule="auto" w:before="74"/>
        <w:ind w:right="1130"/>
        <w:jc w:val="both"/>
      </w:pPr>
      <w:r>
        <w:rPr>
          <w:spacing w:val="-2"/>
        </w:rPr>
        <w:t>知识产权文件的管理，建立了相应的文件管理制度及分类规范。适时对公司相关人员进行有关知识产权的培训，加强知识产</w:t>
      </w:r>
      <w:r>
        <w:rPr>
          <w:spacing w:val="-63"/>
        </w:rPr>
        <w:t> </w:t>
      </w:r>
      <w:r>
        <w:rPr>
          <w:spacing w:val="-63"/>
        </w:rPr>
      </w:r>
      <w:r>
        <w:rPr>
          <w:spacing w:val="-2"/>
        </w:rPr>
        <w:t>权方面的认识。对于本单位员工执行本单位工作任务或利用单位名义、利用单位物质条件和未公开的技术情报资料完成的智</w:t>
      </w:r>
      <w:r>
        <w:rPr>
          <w:spacing w:val="-62"/>
        </w:rPr>
        <w:t> </w:t>
      </w:r>
      <w:r>
        <w:rPr>
          <w:spacing w:val="-62"/>
        </w:rPr>
      </w:r>
      <w:r>
        <w:rPr/>
        <w:t>力劳动成果而产生的知识产权，所有权归本单位所有，包括专利权、商标权、软件著作权等知识产权。</w:t>
      </w:r>
    </w:p>
    <w:p>
      <w:pPr>
        <w:pStyle w:val="BodyText"/>
        <w:spacing w:line="451" w:lineRule="auto" w:before="54"/>
        <w:ind w:left="513" w:right="1033" w:hanging="360"/>
        <w:jc w:val="left"/>
      </w:pPr>
      <w:r>
        <w:rPr/>
        <w:t>（</w:t>
      </w:r>
      <w:r>
        <w:rPr>
          <w:rFonts w:ascii="Times New Roman" w:hAnsi="Times New Roman" w:cs="Times New Roman" w:eastAsia="Times New Roman" w:hint="default"/>
        </w:rPr>
        <w:t>3</w:t>
      </w:r>
      <w:r>
        <w:rPr/>
        <w:t>）安全生产方面 公司为打破各部门壁垒，树立各部门互为客户的意识，年底新国都进行内部客户服务满意度调查，并将调查结果作为</w:t>
      </w:r>
    </w:p>
    <w:p>
      <w:pPr>
        <w:pStyle w:val="BodyText"/>
        <w:spacing w:line="240" w:lineRule="auto" w:before="74"/>
        <w:ind w:right="0"/>
        <w:jc w:val="both"/>
      </w:pPr>
      <w:r>
        <w:rPr>
          <w:rFonts w:ascii="Times New Roman" w:hAnsi="Times New Roman" w:cs="Times New Roman" w:eastAsia="Times New Roman" w:hint="default"/>
        </w:rPr>
        <w:t>KPI</w:t>
      </w:r>
      <w:r>
        <w:rPr/>
        <w:t>考核的指标，形成部门间的良好合作意识。</w:t>
      </w:r>
    </w:p>
    <w:p>
      <w:pPr>
        <w:spacing w:line="240" w:lineRule="auto" w:before="10"/>
        <w:rPr>
          <w:rFonts w:ascii="宋体" w:hAnsi="宋体" w:cs="宋体" w:eastAsia="宋体" w:hint="default"/>
          <w:sz w:val="16"/>
          <w:szCs w:val="16"/>
        </w:rPr>
      </w:pPr>
    </w:p>
    <w:p>
      <w:pPr>
        <w:pStyle w:val="BodyText"/>
        <w:spacing w:line="451" w:lineRule="auto"/>
        <w:ind w:right="1124" w:firstLine="360"/>
        <w:jc w:val="both"/>
      </w:pPr>
      <w:r>
        <w:rPr>
          <w:spacing w:val="4"/>
        </w:rPr>
        <w:t>公司获得</w:t>
      </w:r>
      <w:r>
        <w:rPr>
          <w:rFonts w:ascii="Times New Roman" w:hAnsi="Times New Roman" w:cs="Times New Roman" w:eastAsia="Times New Roman" w:hint="default"/>
          <w:spacing w:val="4"/>
        </w:rPr>
        <w:t>OHSAS18001</w:t>
      </w:r>
      <w:r>
        <w:rPr>
          <w:spacing w:val="4"/>
        </w:rPr>
        <w:t>职业健康安全管理体系认证、</w:t>
      </w:r>
      <w:r>
        <w:rPr>
          <w:rFonts w:ascii="Times New Roman" w:hAnsi="Times New Roman" w:cs="Times New Roman" w:eastAsia="Times New Roman" w:hint="default"/>
          <w:spacing w:val="4"/>
        </w:rPr>
        <w:t>ISO</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4"/>
        </w:rPr>
        <w:t>14001</w:t>
      </w:r>
      <w:r>
        <w:rPr>
          <w:spacing w:val="4"/>
        </w:rPr>
        <w:t>环境管理体系认证、</w:t>
      </w:r>
      <w:r>
        <w:rPr>
          <w:rFonts w:ascii="Times New Roman" w:hAnsi="Times New Roman" w:cs="Times New Roman" w:eastAsia="Times New Roman" w:hint="default"/>
          <w:spacing w:val="4"/>
        </w:rPr>
        <w:t>ISO9001</w:t>
      </w:r>
      <w:r>
        <w:rPr>
          <w:spacing w:val="4"/>
        </w:rPr>
        <w:t>质量管理体系认证以及</w:t>
      </w:r>
      <w:r>
        <w:rPr>
          <w:spacing w:val="7"/>
        </w:rPr>
        <w:t> </w:t>
      </w:r>
      <w:r>
        <w:rPr>
          <w:rFonts w:ascii="Times New Roman" w:hAnsi="Times New Roman" w:cs="Times New Roman" w:eastAsia="Times New Roman" w:hint="default"/>
        </w:rPr>
        <w:t>ISO/IEC27001</w:t>
      </w:r>
      <w:r>
        <w:rPr/>
        <w:t>信息安全管理体系认证证书。公司严格按</w:t>
      </w:r>
      <w:r>
        <w:rPr>
          <w:rFonts w:ascii="Times New Roman" w:hAnsi="Times New Roman" w:cs="Times New Roman" w:eastAsia="Times New Roman" w:hint="default"/>
        </w:rPr>
        <w:t>ISO</w:t>
      </w:r>
      <w:r>
        <w:rPr>
          <w:rFonts w:ascii="Times New Roman" w:hAnsi="Times New Roman" w:cs="Times New Roman" w:eastAsia="Times New Roman" w:hint="default"/>
          <w:spacing w:val="-7"/>
        </w:rPr>
        <w:t> </w:t>
      </w:r>
      <w:r>
        <w:rPr>
          <w:rFonts w:ascii="Times New Roman" w:hAnsi="Times New Roman" w:cs="Times New Roman" w:eastAsia="Times New Roman" w:hint="default"/>
        </w:rPr>
        <w:t>14001</w:t>
      </w:r>
      <w:r>
        <w:rPr/>
        <w:t>标准识别相关法规进行对应环保投入。</w:t>
      </w:r>
    </w:p>
    <w:p>
      <w:pPr>
        <w:pStyle w:val="BodyText"/>
        <w:spacing w:line="477" w:lineRule="auto" w:before="43"/>
        <w:ind w:right="1129" w:firstLine="360"/>
        <w:jc w:val="both"/>
      </w:pPr>
      <w:r>
        <w:rPr>
          <w:spacing w:val="-5"/>
        </w:rPr>
        <w:t>公司定期学习相关法律，盘点制度防止纠纷隐患。公司办公区域按照法律法规和其他相关要求配备了相应的消防设施（包</w:t>
      </w:r>
      <w:r>
        <w:rPr/>
        <w:t> </w:t>
      </w:r>
      <w:r>
        <w:rPr>
          <w:spacing w:val="-2"/>
        </w:rPr>
        <w:t>括灭火器、消防栓、喷淋系统、自动报警系统、应急照明灯、紧急疏散标志等），并定期进行点检。公司制定了综合应急预</w:t>
      </w:r>
      <w:r>
        <w:rPr>
          <w:spacing w:val="-65"/>
        </w:rPr>
        <w:t> </w:t>
      </w:r>
      <w:r>
        <w:rPr>
          <w:spacing w:val="-65"/>
        </w:rPr>
      </w:r>
      <w:r>
        <w:rPr>
          <w:spacing w:val="-2"/>
        </w:rPr>
        <w:t>案，每年定期举办消防演习，强化公司全体员工的消防安全意识﹐检验各应急小组的处置突发事件能力。公司内部的消防安</w:t>
      </w:r>
      <w:r>
        <w:rPr>
          <w:spacing w:val="-65"/>
        </w:rPr>
        <w:t> </w:t>
      </w:r>
      <w:r>
        <w:rPr>
          <w:spacing w:val="-65"/>
        </w:rPr>
      </w:r>
      <w:r>
        <w:rPr/>
        <w:t>全为社区的平安建设提供基础保障，后续将更积极地参与社区的平安建设。</w:t>
      </w:r>
    </w:p>
    <w:p>
      <w:pPr>
        <w:pStyle w:val="BodyText"/>
        <w:spacing w:line="451" w:lineRule="auto" w:before="54"/>
        <w:ind w:left="513" w:right="1033" w:hanging="360"/>
        <w:jc w:val="left"/>
      </w:pPr>
      <w:r>
        <w:rPr/>
        <w:t>（</w:t>
      </w:r>
      <w:r>
        <w:rPr>
          <w:rFonts w:ascii="Times New Roman" w:hAnsi="Times New Roman" w:cs="Times New Roman" w:eastAsia="Times New Roman" w:hint="default"/>
        </w:rPr>
        <w:t>4</w:t>
      </w:r>
      <w:r>
        <w:rPr/>
        <w:t>）供应链合作方面 公司作为一家国际级高新技术企业，除了为客户提供安全、便捷、高效的</w:t>
      </w:r>
      <w:r>
        <w:rPr>
          <w:rFonts w:ascii="Times New Roman" w:hAnsi="Times New Roman" w:cs="Times New Roman" w:eastAsia="Times New Roman" w:hint="default"/>
        </w:rPr>
        <w:t>pos</w:t>
      </w:r>
      <w:r>
        <w:rPr/>
        <w:t>设备外，还掌握着先进的、专利性的支付</w:t>
      </w:r>
    </w:p>
    <w:p>
      <w:pPr>
        <w:pStyle w:val="BodyText"/>
        <w:spacing w:line="477" w:lineRule="auto" w:before="43"/>
        <w:ind w:right="1130"/>
        <w:jc w:val="both"/>
      </w:pPr>
      <w:r>
        <w:rPr>
          <w:spacing w:val="-2"/>
        </w:rPr>
        <w:t>技术、平台技术和系统能力，在整合内部资源的基础上，为上下游产业链的合作企业提供技术支持及应用开发等，与合作企</w:t>
      </w:r>
      <w:r>
        <w:rPr>
          <w:spacing w:val="-64"/>
        </w:rPr>
        <w:t> </w:t>
      </w:r>
      <w:r>
        <w:rPr>
          <w:spacing w:val="-64"/>
        </w:rPr>
      </w:r>
      <w:r>
        <w:rPr/>
        <w:t>业探讨新的合作模式，共享利润。</w:t>
      </w:r>
    </w:p>
    <w:p>
      <w:pPr>
        <w:pStyle w:val="BodyText"/>
        <w:spacing w:line="477" w:lineRule="auto" w:before="54"/>
        <w:ind w:right="1043" w:firstLine="360"/>
        <w:jc w:val="both"/>
      </w:pPr>
      <w:r>
        <w:rPr>
          <w:spacing w:val="-4"/>
        </w:rPr>
        <w:t>在供应商选择时，优先考虑本地供应商，为当地创造更多的就业机会，并积极扶持供应商提升技术能力，帮助企业发展，</w:t>
      </w:r>
      <w:r>
        <w:rPr/>
        <w:t> 与公司实现协同。</w:t>
      </w:r>
    </w:p>
    <w:p>
      <w:pPr>
        <w:pStyle w:val="BodyText"/>
        <w:spacing w:line="451" w:lineRule="auto" w:before="54"/>
        <w:ind w:right="1134" w:firstLine="360"/>
        <w:jc w:val="both"/>
      </w:pPr>
      <w:r>
        <w:rPr>
          <w:spacing w:val="-2"/>
        </w:rPr>
        <w:t>建立廉洁约束制度，采购人员均签署</w:t>
      </w:r>
      <w:r>
        <w:rPr>
          <w:rFonts w:ascii="Times New Roman" w:hAnsi="Times New Roman" w:cs="Times New Roman" w:eastAsia="Times New Roman" w:hint="default"/>
          <w:spacing w:val="-2"/>
        </w:rPr>
        <w:t>“</w:t>
      </w:r>
      <w:r>
        <w:rPr>
          <w:spacing w:val="-2"/>
        </w:rPr>
        <w:t>采购人员职业操守保证书</w:t>
      </w:r>
      <w:r>
        <w:rPr>
          <w:rFonts w:ascii="Times New Roman" w:hAnsi="Times New Roman" w:cs="Times New Roman" w:eastAsia="Times New Roman" w:hint="default"/>
          <w:spacing w:val="-2"/>
        </w:rPr>
        <w:t>”</w:t>
      </w:r>
      <w:r>
        <w:rPr>
          <w:spacing w:val="-2"/>
        </w:rPr>
        <w:t>，并在各种会谈中向供应商宣导防腐精神，打消供应商</w:t>
      </w:r>
      <w:r>
        <w:rPr/>
        <w:t> 的顾虑。关注供应链相关方的社会责任履行，并在供应商的选择考核时加入考核项，收集供应商的环境相关方协议。</w:t>
      </w:r>
    </w:p>
    <w:p>
      <w:pPr>
        <w:pStyle w:val="BodyText"/>
        <w:spacing w:line="240" w:lineRule="auto" w:before="74"/>
        <w:ind w:right="0"/>
        <w:jc w:val="both"/>
      </w:pPr>
      <w:r>
        <w:rPr/>
        <w:t>（</w:t>
      </w:r>
      <w:r>
        <w:rPr>
          <w:rFonts w:ascii="Times New Roman" w:hAnsi="Times New Roman" w:cs="Times New Roman" w:eastAsia="Times New Roman" w:hint="default"/>
        </w:rPr>
        <w:t>5</w:t>
      </w:r>
      <w:r>
        <w:rPr/>
        <w:t>）消费者保护方面</w:t>
      </w:r>
    </w:p>
    <w:p>
      <w:pPr>
        <w:spacing w:line="240" w:lineRule="auto" w:before="9"/>
        <w:rPr>
          <w:rFonts w:ascii="宋体" w:hAnsi="宋体" w:cs="宋体" w:eastAsia="宋体" w:hint="default"/>
          <w:sz w:val="16"/>
          <w:szCs w:val="16"/>
        </w:rPr>
      </w:pPr>
    </w:p>
    <w:p>
      <w:pPr>
        <w:pStyle w:val="BodyText"/>
        <w:spacing w:line="240" w:lineRule="auto"/>
        <w:ind w:left="513" w:right="10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合同清晰：公司法务重视合同审核及销售合同制定，在产品销售合同中明确写明责任与义务。</w:t>
      </w:r>
    </w:p>
    <w:p>
      <w:pPr>
        <w:spacing w:line="240" w:lineRule="auto" w:before="9"/>
        <w:rPr>
          <w:rFonts w:ascii="宋体" w:hAnsi="宋体" w:cs="宋体" w:eastAsia="宋体" w:hint="default"/>
          <w:sz w:val="16"/>
          <w:szCs w:val="16"/>
        </w:rPr>
      </w:pPr>
    </w:p>
    <w:p>
      <w:pPr>
        <w:pStyle w:val="BodyText"/>
        <w:spacing w:line="240" w:lineRule="auto"/>
        <w:ind w:left="513" w:right="10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真实宣传：广告宣传、产品说明秉承</w:t>
      </w:r>
      <w:r>
        <w:rPr>
          <w:rFonts w:ascii="Times New Roman" w:hAnsi="Times New Roman" w:cs="Times New Roman" w:eastAsia="Times New Roman" w:hint="default"/>
        </w:rPr>
        <w:t>“</w:t>
      </w:r>
      <w:r>
        <w:rPr/>
        <w:t>诚信</w:t>
      </w:r>
      <w:r>
        <w:rPr>
          <w:rFonts w:ascii="Times New Roman" w:hAnsi="Times New Roman" w:cs="Times New Roman" w:eastAsia="Times New Roman" w:hint="default"/>
        </w:rPr>
        <w:t>”</w:t>
      </w:r>
      <w:r>
        <w:rPr/>
        <w:t>原则，不存在虚假、夸大宣传。</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3" w:right="10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售后服务：公司设立</w:t>
      </w:r>
      <w:r>
        <w:rPr>
          <w:rFonts w:ascii="Times New Roman" w:hAnsi="Times New Roman" w:cs="Times New Roman" w:eastAsia="Times New Roman" w:hint="default"/>
        </w:rPr>
        <w:t>24</w:t>
      </w:r>
      <w:r>
        <w:rPr/>
        <w:t>小时全国售后服务热线，针对全部售出产品的任何问题提供解答解决服务。</w:t>
      </w:r>
    </w:p>
    <w:p>
      <w:pPr>
        <w:spacing w:line="240" w:lineRule="auto" w:before="9"/>
        <w:rPr>
          <w:rFonts w:ascii="宋体" w:hAnsi="宋体" w:cs="宋体" w:eastAsia="宋体" w:hint="default"/>
          <w:sz w:val="16"/>
          <w:szCs w:val="16"/>
        </w:rPr>
      </w:pPr>
    </w:p>
    <w:p>
      <w:pPr>
        <w:pStyle w:val="BodyText"/>
        <w:spacing w:line="451" w:lineRule="auto"/>
        <w:ind w:right="1040" w:firstLine="36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消费者保护：建立系列质量管理体系程序要求并严格执行，确保从选材到售后各环节都充分考虑消费者健康和安全； 同时所有产品在研发和更改时及时提交各类安全认证，确保符合相关安全法规要求。</w:t>
      </w:r>
    </w:p>
    <w:p>
      <w:pPr>
        <w:pStyle w:val="BodyText"/>
        <w:spacing w:line="240" w:lineRule="auto" w:before="74"/>
        <w:ind w:left="513" w:right="1033"/>
        <w:jc w:val="left"/>
      </w:pPr>
      <w:r>
        <w:rPr>
          <w:rFonts w:ascii="Times New Roman" w:hAnsi="Times New Roman" w:cs="Times New Roman" w:eastAsia="Times New Roman" w:hint="default"/>
        </w:rPr>
        <w:t>5)</w:t>
      </w:r>
      <w:r>
        <w:rPr/>
        <w:t>客户调查：每年进行客户满意度调查，官网公开售后服务热线及各办事处联络电话以及投资者热线。</w:t>
      </w:r>
    </w:p>
    <w:p>
      <w:pPr>
        <w:spacing w:line="240" w:lineRule="auto" w:before="9"/>
        <w:rPr>
          <w:rFonts w:ascii="宋体" w:hAnsi="宋体" w:cs="宋体" w:eastAsia="宋体" w:hint="default"/>
          <w:sz w:val="16"/>
          <w:szCs w:val="16"/>
        </w:rPr>
      </w:pPr>
    </w:p>
    <w:p>
      <w:pPr>
        <w:pStyle w:val="BodyText"/>
        <w:spacing w:line="451" w:lineRule="auto"/>
        <w:ind w:right="1134" w:firstLine="360"/>
        <w:jc w:val="both"/>
      </w:pPr>
      <w:r>
        <w:rPr>
          <w:rFonts w:ascii="Times New Roman" w:hAnsi="Times New Roman" w:cs="Times New Roman" w:eastAsia="Times New Roman" w:hint="default"/>
        </w:rPr>
        <w:t>6)</w:t>
      </w:r>
      <w:r>
        <w:rPr/>
        <w:t>信息保密：我司</w:t>
      </w:r>
      <w:r>
        <w:rPr>
          <w:rFonts w:ascii="Times New Roman" w:hAnsi="Times New Roman" w:cs="Times New Roman" w:eastAsia="Times New Roman" w:hint="default"/>
        </w:rPr>
        <w:t>POS</w:t>
      </w:r>
      <w:r>
        <w:rPr/>
        <w:t>机具主要用于商户，由商户自行保管和使用，</w:t>
      </w:r>
      <w:r>
        <w:rPr>
          <w:rFonts w:ascii="Times New Roman" w:hAnsi="Times New Roman" w:cs="Times New Roman" w:eastAsia="Times New Roman" w:hint="default"/>
        </w:rPr>
        <w:t>POS</w:t>
      </w:r>
      <w:r>
        <w:rPr/>
        <w:t>机具只会保存未结算的交易信息，机具更换和 报废时，都需要结算处理，在报废时更需要承诺采购方清除一切数据信息。</w:t>
      </w:r>
    </w:p>
    <w:p>
      <w:pPr>
        <w:pStyle w:val="BodyText"/>
        <w:spacing w:line="477" w:lineRule="auto" w:before="74"/>
        <w:ind w:left="513" w:right="1033" w:hanging="360"/>
        <w:jc w:val="left"/>
      </w:pPr>
      <w:r>
        <w:rPr/>
        <w:t>（</w:t>
      </w:r>
      <w:r>
        <w:rPr>
          <w:rFonts w:ascii="宋体" w:hAnsi="宋体" w:cs="宋体" w:eastAsia="宋体" w:hint="default"/>
        </w:rPr>
        <w:t>6</w:t>
      </w:r>
      <w:r>
        <w:rPr/>
        <w:t>）环境保护方面 </w:t>
      </w:r>
      <w:r>
        <w:rPr>
          <w:spacing w:val="-2"/>
        </w:rPr>
        <w:t>自愿削减污染物排放量，并持续改进环境绩效；自愿减少其他可识别的污染形式（包括但不仅限于噪声、气味、视觉效</w:t>
      </w:r>
    </w:p>
    <w:p>
      <w:pPr>
        <w:pStyle w:val="BodyText"/>
        <w:spacing w:line="477" w:lineRule="auto" w:before="54"/>
        <w:ind w:right="1033"/>
        <w:jc w:val="left"/>
      </w:pPr>
      <w:r>
        <w:rPr>
          <w:spacing w:val="-2"/>
        </w:rPr>
        <w:t>果、光污染、震动、电磁辐射、放射物、传染性物质、非点源排放或无组织排放，以及生物危害等）。建立以下程序并严格</w:t>
      </w:r>
      <w:r>
        <w:rPr>
          <w:spacing w:val="-68"/>
        </w:rPr>
        <w:t> </w:t>
      </w:r>
      <w:r>
        <w:rPr>
          <w:spacing w:val="-68"/>
        </w:rPr>
      </w:r>
      <w:r>
        <w:rPr/>
        <w:t>执行：废弃物管理程序、环境和安全监视测量控制程序、应急准备和响应控制程序。</w:t>
      </w:r>
    </w:p>
    <w:p>
      <w:pPr>
        <w:pStyle w:val="BodyText"/>
        <w:spacing w:line="477" w:lineRule="auto" w:before="54"/>
        <w:ind w:right="1130" w:firstLine="360"/>
        <w:jc w:val="both"/>
      </w:pPr>
      <w:r>
        <w:rPr>
          <w:spacing w:val="-2"/>
        </w:rPr>
        <w:t>主动采用新材料、新工艺等技术手段，实现有效管理并最大程度减少或预防危险化学品的使用，产品或服务在全生命周</w:t>
      </w:r>
      <w:r>
        <w:rPr/>
        <w:t> </w:t>
      </w:r>
      <w:r>
        <w:rPr>
          <w:spacing w:val="-2"/>
        </w:rPr>
        <w:t>期中的使用控制在安全水平范围内，并主动环保进行产品清洁生产设计。建立以下程序并严格执行：化学品及危险品管理程</w:t>
      </w:r>
      <w:r>
        <w:rPr>
          <w:spacing w:val="-63"/>
        </w:rPr>
        <w:t> </w:t>
      </w:r>
      <w:r>
        <w:rPr>
          <w:spacing w:val="-63"/>
        </w:rPr>
      </w:r>
      <w:r>
        <w:rPr/>
        <w:t>序。</w:t>
      </w:r>
    </w:p>
    <w:p>
      <w:pPr>
        <w:pStyle w:val="BodyText"/>
        <w:spacing w:line="477" w:lineRule="auto" w:before="54"/>
        <w:ind w:right="1134" w:firstLine="360"/>
        <w:jc w:val="both"/>
      </w:pPr>
      <w:r>
        <w:rPr>
          <w:spacing w:val="-2"/>
        </w:rPr>
        <w:t>建立及实施识别、测量、监控、记录和报告各种能源购买、使用、存储、处理、回收的管理制度，提高能源利用率。节</w:t>
      </w:r>
      <w:r>
        <w:rPr/>
        <w:t> 约水、电、纸张等并作为环境管理方案进行检测和管理。</w:t>
      </w:r>
    </w:p>
    <w:p>
      <w:pPr>
        <w:pStyle w:val="BodyText"/>
        <w:spacing w:line="477" w:lineRule="auto" w:before="54"/>
        <w:ind w:right="1129" w:firstLine="360"/>
        <w:jc w:val="both"/>
      </w:pPr>
      <w:r>
        <w:rPr>
          <w:spacing w:val="-2"/>
        </w:rPr>
        <w:t>建立及实施识别、测量、监控、记录和报告各种资源的开发、利用、储存、处理、回收或回用的管理制度，并取得公认</w:t>
      </w:r>
      <w:r>
        <w:rPr/>
        <w:t> 的相关管理体系或标识的认证证书。公司生产的所有产品均通过</w:t>
      </w:r>
      <w:r>
        <w:rPr>
          <w:rFonts w:ascii="Times New Roman" w:hAnsi="Times New Roman" w:cs="Times New Roman" w:eastAsia="Times New Roman" w:hint="default"/>
        </w:rPr>
        <w:t>ROHS</w:t>
      </w:r>
      <w:r>
        <w:rPr/>
        <w:t>检测要求。</w:t>
      </w:r>
    </w:p>
    <w:p>
      <w:pPr>
        <w:pStyle w:val="BodyText"/>
        <w:spacing w:line="477" w:lineRule="auto" w:before="21"/>
        <w:ind w:right="1133" w:firstLine="360"/>
        <w:jc w:val="both"/>
      </w:pPr>
      <w:r>
        <w:rPr>
          <w:spacing w:val="-2"/>
        </w:rPr>
        <w:t>建立温室气体排放管理制度，通过提高能源使用效率，更改工艺、替换燃料等措施降低温室气体排放量。每年设定指标</w:t>
      </w:r>
      <w:r>
        <w:rPr/>
        <w:t> 并实施：降低每单位产品水电消耗。</w:t>
      </w:r>
    </w:p>
    <w:p>
      <w:pPr>
        <w:pStyle w:val="BodyText"/>
        <w:spacing w:line="477" w:lineRule="auto" w:before="54"/>
        <w:ind w:left="513" w:right="1033" w:hanging="360"/>
        <w:jc w:val="left"/>
      </w:pPr>
      <w:r>
        <w:rPr/>
        <w:t>（</w:t>
      </w:r>
      <w:r>
        <w:rPr>
          <w:rFonts w:ascii="宋体" w:hAnsi="宋体" w:cs="宋体" w:eastAsia="宋体" w:hint="default"/>
        </w:rPr>
        <w:t>7</w:t>
      </w:r>
      <w:r>
        <w:rPr/>
        <w:t>）媒体互动方面 </w:t>
      </w:r>
      <w:r>
        <w:rPr>
          <w:spacing w:val="-2"/>
        </w:rPr>
        <w:t>公司本着坦诚、合作、专业的思维努力构建良好的媒体关系，通过舆情管理耐心倾听市场及社会各方诉求，与媒体友好</w:t>
      </w:r>
    </w:p>
    <w:p>
      <w:pPr>
        <w:pStyle w:val="BodyText"/>
        <w:spacing w:line="477" w:lineRule="auto" w:before="54"/>
        <w:ind w:left="513" w:right="1033" w:hanging="360"/>
        <w:jc w:val="left"/>
      </w:pPr>
      <w:r>
        <w:rPr/>
        <w:t>沟通，以开放的态度邀请媒体走进企业，了解企业，向外界传达新国都的企业形象。 </w:t>
      </w:r>
      <w:r>
        <w:rPr>
          <w:spacing w:val="-4"/>
        </w:rPr>
        <w:t>公司已全面建立《投资者关系管理制度》、《信息披露制度》等内控制度，同时公司作为上市公司，严格按照上市指引，</w:t>
      </w:r>
    </w:p>
    <w:p>
      <w:pPr>
        <w:pStyle w:val="BodyText"/>
        <w:spacing w:line="477" w:lineRule="auto" w:before="54"/>
        <w:ind w:right="1033"/>
        <w:jc w:val="left"/>
      </w:pPr>
      <w:r>
        <w:rPr/>
        <w:t>定期发布公司季度报告、半年度报告、年度报告。此外针对公司在日常运作中出现的需披露或者对公司有较大影响的事件， 公司积极履行信息披露义务通过指定渠道向社会公众公布。</w:t>
      </w:r>
    </w:p>
    <w:p>
      <w:pPr>
        <w:pStyle w:val="BodyText"/>
        <w:spacing w:line="477" w:lineRule="auto" w:before="54"/>
        <w:ind w:right="1130" w:firstLine="360"/>
        <w:jc w:val="both"/>
      </w:pPr>
      <w:r>
        <w:rPr>
          <w:spacing w:val="-2"/>
        </w:rPr>
        <w:t>公司为行业内上市公司，严格按照上市指引进行信息披露，针对会对公司产生重大影响的商业信息，公司履行及时披露</w:t>
      </w:r>
      <w:r>
        <w:rPr/>
        <w:t> </w:t>
      </w:r>
      <w:r>
        <w:rPr>
          <w:spacing w:val="-2"/>
        </w:rPr>
        <w:t>原则，在获取信息的第一时间进行披露，涉及国家安全等机密信息除外。针对行业内需要保密的机密信息，或者与公司本身</w:t>
      </w:r>
      <w:r>
        <w:rPr>
          <w:spacing w:val="-65"/>
        </w:rPr>
        <w:t> </w:t>
      </w:r>
      <w:r>
        <w:rPr>
          <w:spacing w:val="-65"/>
        </w:rPr>
      </w:r>
      <w:r>
        <w:rPr/>
        <w:t>并无太大关系，公司履行保密原则。</w:t>
      </w:r>
    </w:p>
    <w:p>
      <w:pPr>
        <w:pStyle w:val="BodyText"/>
        <w:spacing w:line="477" w:lineRule="auto" w:before="54"/>
        <w:ind w:left="513" w:right="1033" w:hanging="360"/>
        <w:jc w:val="left"/>
      </w:pPr>
      <w:r>
        <w:rPr/>
        <w:t>（</w:t>
      </w:r>
      <w:r>
        <w:rPr>
          <w:rFonts w:ascii="宋体" w:hAnsi="宋体" w:cs="宋体" w:eastAsia="宋体" w:hint="default"/>
        </w:rPr>
        <w:t>8</w:t>
      </w:r>
      <w:r>
        <w:rPr/>
        <w:t>）政府沟通方面 </w:t>
      </w:r>
      <w:r>
        <w:rPr>
          <w:spacing w:val="-2"/>
        </w:rPr>
        <w:t>公司一直秉持友好政策，积极履行政府倡导，合规经营企业，不逃税不漏税，为政府财政收入增添力量。同时，公司每</w:t>
      </w:r>
    </w:p>
    <w:p>
      <w:pPr>
        <w:spacing w:after="0" w:line="477"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2"/>
        <w:jc w:val="both"/>
      </w:pPr>
      <w:r>
        <w:rPr>
          <w:spacing w:val="-2"/>
        </w:rPr>
        <w:t>年都会为南下深圳的应届毕业生安排大量岗位以及各种培训实现人才的软着陆，为缓解社会就业压力和保障社会稳定发挥了</w:t>
      </w:r>
      <w:r>
        <w:rPr>
          <w:spacing w:val="-65"/>
        </w:rPr>
        <w:t> </w:t>
      </w:r>
      <w:r>
        <w:rPr>
          <w:spacing w:val="-65"/>
        </w:rPr>
      </w:r>
      <w:r>
        <w:rPr>
          <w:spacing w:val="-2"/>
        </w:rPr>
        <w:t>积极作用。遵守法则，做政府倡导的事，与政府友好沟通和互动，以认真履行社会责任为已任，做尽职的企业公民，为企业</w:t>
      </w:r>
      <w:r>
        <w:rPr>
          <w:spacing w:val="-68"/>
        </w:rPr>
        <w:t> </w:t>
      </w:r>
      <w:r>
        <w:rPr>
          <w:spacing w:val="-68"/>
        </w:rPr>
      </w:r>
      <w:r>
        <w:rPr/>
        <w:t>与社会和谐发展做贡献，为企业营造良好的政府关系环境。</w:t>
      </w:r>
    </w:p>
    <w:p>
      <w:pPr>
        <w:pStyle w:val="BodyText"/>
        <w:spacing w:line="240" w:lineRule="auto" w:before="54"/>
        <w:ind w:right="1033"/>
        <w:jc w:val="left"/>
      </w:pPr>
      <w:r>
        <w:rPr/>
        <w:t>（</w:t>
      </w:r>
      <w:r>
        <w:rPr>
          <w:rFonts w:ascii="宋体" w:hAnsi="宋体" w:cs="宋体" w:eastAsia="宋体" w:hint="default"/>
        </w:rPr>
        <w:t>9</w:t>
      </w:r>
      <w:r>
        <w:rPr/>
        <w:t>）公益贡献方面</w:t>
      </w:r>
    </w:p>
    <w:p>
      <w:pPr>
        <w:spacing w:line="240" w:lineRule="auto" w:before="10"/>
        <w:rPr>
          <w:rFonts w:ascii="宋体" w:hAnsi="宋体" w:cs="宋体" w:eastAsia="宋体" w:hint="default"/>
          <w:sz w:val="17"/>
          <w:szCs w:val="17"/>
        </w:rPr>
      </w:pPr>
    </w:p>
    <w:p>
      <w:pPr>
        <w:pStyle w:val="BodyText"/>
        <w:spacing w:line="451" w:lineRule="auto"/>
        <w:ind w:right="1033" w:firstLine="360"/>
        <w:jc w:val="left"/>
      </w:pPr>
      <w:r>
        <w:rPr>
          <w:rFonts w:ascii="Times New Roman" w:hAnsi="Times New Roman" w:cs="Times New Roman" w:eastAsia="Times New Roman" w:hint="default"/>
          <w:spacing w:val="-2"/>
        </w:rPr>
        <w:t>2019</w:t>
      </w:r>
      <w:r>
        <w:rPr>
          <w:spacing w:val="-2"/>
        </w:rPr>
        <w:t>年度，公司成立新国都义工联盟并多次组织关爱老人、环保徒步、衣物书籍捐赠等活动，子公司通过孤寡老人、支</w:t>
      </w:r>
      <w:r>
        <w:rPr/>
        <w:t> 教留守儿童、勤工助学等多种形式，为社会公益贡献力量，向社会传达正能量。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t>公司报告年度暂未开展精准扶贫工作，也暂无后续精准扶贫计划。</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57" w:lineRule="auto"/>
        <w:ind w:right="5713"/>
        <w:jc w:val="left"/>
      </w:pPr>
      <w:r>
        <w:rPr/>
        <w:t>上市公司及其子公司是否属于环境保护部门公布的重点排污单位 不适用 公司及公司子公司不属于环境保护部门公布的重点排污单位。</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pStyle w:val="Heading4"/>
        <w:spacing w:line="240" w:lineRule="auto"/>
        <w:ind w:right="1033"/>
        <w:jc w:val="left"/>
        <w:rPr>
          <w:b w:val="0"/>
          <w:bCs w:val="0"/>
        </w:rPr>
      </w:pPr>
      <w:r>
        <w:rPr/>
        <w:t>十八、其他重大事项的说明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7"/>
        <w:spacing w:line="240" w:lineRule="auto" w:before="46"/>
        <w:ind w:right="1033"/>
        <w:jc w:val="left"/>
        <w:rPr>
          <w:b w:val="0"/>
          <w:bCs w:val="0"/>
        </w:rPr>
      </w:pPr>
      <w:r>
        <w:rPr/>
        <w:t>（一）关于日常关联交易事项的进展</w:t>
      </w:r>
      <w:r>
        <w:rPr>
          <w:b w:val="0"/>
          <w:bCs w:val="0"/>
        </w:rPr>
      </w:r>
    </w:p>
    <w:p>
      <w:pPr>
        <w:spacing w:line="240" w:lineRule="auto" w:before="17"/>
        <w:rPr>
          <w:rFonts w:ascii="Microsoft JhengHei" w:hAnsi="Microsoft JhengHei" w:cs="Microsoft JhengHei" w:eastAsia="Microsoft JhengHei" w:hint="default"/>
          <w:b/>
          <w:bCs/>
          <w:sz w:val="9"/>
          <w:szCs w:val="9"/>
        </w:rPr>
      </w:pPr>
    </w:p>
    <w:p>
      <w:pPr>
        <w:pStyle w:val="BodyText"/>
        <w:spacing w:line="240" w:lineRule="auto"/>
        <w:ind w:left="510" w:right="1033"/>
        <w:jc w:val="left"/>
      </w:pPr>
      <w:r>
        <w:rPr>
          <w:rFonts w:ascii="Times New Roman" w:hAnsi="Times New Roman" w:cs="Times New Roman" w:eastAsia="Times New Roman" w:hint="default"/>
        </w:rPr>
        <w:t>1</w:t>
      </w:r>
      <w:r>
        <w:rPr/>
        <w:t>．关于公司及子公司与金服技术及其子公司的日常关联交易</w:t>
      </w:r>
    </w:p>
    <w:p>
      <w:pPr>
        <w:spacing w:line="240" w:lineRule="auto" w:before="9"/>
        <w:rPr>
          <w:rFonts w:ascii="宋体" w:hAnsi="宋体" w:cs="宋体" w:eastAsia="宋体" w:hint="default"/>
          <w:sz w:val="16"/>
          <w:szCs w:val="16"/>
        </w:rPr>
      </w:pPr>
    </w:p>
    <w:p>
      <w:pPr>
        <w:pStyle w:val="BodyText"/>
        <w:spacing w:line="451" w:lineRule="auto"/>
        <w:ind w:right="1040" w:firstLine="357"/>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日，公司召开第四届董事会第三十五次会议及第四届监事会第三十二次会议，审议通过了《关于日常关联 </w:t>
      </w:r>
      <w:r>
        <w:rPr>
          <w:spacing w:val="-2"/>
        </w:rPr>
        <w:t>交易预计的议案》，同意公司与金服技术及其子公司之间自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日发生各类日常关联交易的额度</w:t>
      </w:r>
      <w:r>
        <w:rPr>
          <w:spacing w:val="-52"/>
        </w:rPr>
        <w:t> </w:t>
      </w:r>
      <w:r>
        <w:rPr>
          <w:spacing w:val="-52"/>
        </w:rPr>
      </w:r>
      <w:r>
        <w:rPr>
          <w:spacing w:val="-3"/>
        </w:rPr>
        <w:t>合计不超过</w:t>
      </w:r>
      <w:r>
        <w:rPr>
          <w:rFonts w:ascii="Times New Roman" w:hAnsi="Times New Roman" w:cs="Times New Roman" w:eastAsia="Times New Roman" w:hint="default"/>
          <w:spacing w:val="-3"/>
        </w:rPr>
        <w:t>397</w:t>
      </w:r>
      <w:r>
        <w:rPr>
          <w:spacing w:val="-3"/>
        </w:rPr>
        <w:t>万元。详细内容请查看公司</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15</w:t>
      </w:r>
      <w:r>
        <w:rPr>
          <w:spacing w:val="-3"/>
        </w:rPr>
        <w:t>日披露于巨潮资讯网的《关于日常关联交易预计的公告》（公告编号：</w:t>
      </w:r>
      <w:r>
        <w:rPr>
          <w:spacing w:val="-88"/>
        </w:rPr>
        <w:t> </w:t>
      </w:r>
      <w:r>
        <w:rPr>
          <w:spacing w:val="-88"/>
        </w:rPr>
      </w:r>
      <w:r>
        <w:rPr>
          <w:rFonts w:ascii="Times New Roman" w:hAnsi="Times New Roman" w:cs="Times New Roman" w:eastAsia="Times New Roman" w:hint="default"/>
        </w:rPr>
        <w:t>2019-112</w:t>
      </w:r>
      <w:r>
        <w:rPr/>
        <w:t>）。</w:t>
      </w:r>
    </w:p>
    <w:p>
      <w:pPr>
        <w:pStyle w:val="BodyText"/>
        <w:spacing w:line="451" w:lineRule="auto" w:before="43"/>
        <w:ind w:right="1125" w:firstLine="357"/>
        <w:jc w:val="both"/>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日，公司及子公司与金服技术及其子公司之间发生各类日常关联交易的累计额度为</w:t>
      </w:r>
      <w:r>
        <w:rPr>
          <w:rFonts w:ascii="宋体" w:hAnsi="宋体" w:cs="宋体" w:eastAsia="宋体" w:hint="default"/>
          <w:spacing w:val="-2"/>
        </w:rPr>
        <w:t>243.07</w:t>
      </w:r>
      <w:r>
        <w:rPr>
          <w:spacing w:val="-2"/>
        </w:rPr>
        <w:t>万元（经审</w:t>
      </w:r>
      <w:r>
        <w:rPr/>
        <w:t> 计），占公司董事会审议总金额的</w:t>
      </w:r>
      <w:r>
        <w:rPr>
          <w:rFonts w:ascii="宋体" w:hAnsi="宋体" w:cs="宋体" w:eastAsia="宋体" w:hint="default"/>
        </w:rPr>
        <w:t>61.23</w:t>
      </w:r>
      <w:r>
        <w:rPr>
          <w:rFonts w:ascii="Times New Roman" w:hAnsi="Times New Roman" w:cs="Times New Roman" w:eastAsia="Times New Roman" w:hint="default"/>
        </w:rPr>
        <w:t>%</w:t>
      </w:r>
      <w:r>
        <w:rPr/>
        <w:t>，且各类关联交易均在董事会审批额度内，未发生超出公司董事会审议关联交易</w:t>
      </w:r>
      <w:r>
        <w:rPr>
          <w:spacing w:val="-60"/>
        </w:rPr>
        <w:t> </w:t>
      </w:r>
      <w:r>
        <w:rPr>
          <w:spacing w:val="-60"/>
        </w:rPr>
      </w:r>
      <w:r>
        <w:rPr/>
        <w:t>类型、金额、交易主体的日常关联交易。</w:t>
      </w:r>
    </w:p>
    <w:p>
      <w:pPr>
        <w:pStyle w:val="BodyText"/>
        <w:spacing w:line="451" w:lineRule="auto" w:before="74"/>
        <w:ind w:left="510" w:right="1126"/>
        <w:jc w:val="left"/>
      </w:pPr>
      <w:r>
        <w:rPr>
          <w:rFonts w:ascii="Times New Roman" w:hAnsi="Times New Roman" w:cs="Times New Roman" w:eastAsia="Times New Roman" w:hint="default"/>
        </w:rPr>
        <w:t>2</w:t>
      </w:r>
      <w:r>
        <w:rPr/>
        <w:t>．关于公司及子公司房屋租赁的日常关联交易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日召开第四届董事会第二十九次会议审议通过了《关于公司及公司全资子公司房屋租赁暨关联交易</w:t>
      </w:r>
    </w:p>
    <w:p>
      <w:pPr>
        <w:pStyle w:val="BodyText"/>
        <w:spacing w:line="451" w:lineRule="auto" w:before="43"/>
        <w:ind w:right="1033"/>
        <w:jc w:val="left"/>
      </w:pPr>
      <w:r>
        <w:rPr>
          <w:spacing w:val="-5"/>
        </w:rPr>
        <w:t>的议案》；于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24</w:t>
      </w:r>
      <w:r>
        <w:rPr>
          <w:spacing w:val="-5"/>
        </w:rPr>
        <w:t>日召开的第四届董事会第三十一次会议及</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16</w:t>
      </w:r>
      <w:r>
        <w:rPr>
          <w:spacing w:val="-5"/>
        </w:rPr>
        <w:t>日召开第</w:t>
      </w:r>
      <w:r>
        <w:rPr>
          <w:rFonts w:ascii="Times New Roman" w:hAnsi="Times New Roman" w:cs="Times New Roman" w:eastAsia="Times New Roman" w:hint="default"/>
          <w:spacing w:val="-5"/>
        </w:rPr>
        <w:t>2018</w:t>
      </w:r>
      <w:r>
        <w:rPr>
          <w:spacing w:val="-5"/>
        </w:rPr>
        <w:t>年年度股东大会审议通过了《关</w:t>
      </w:r>
      <w:r>
        <w:rPr>
          <w:spacing w:val="-39"/>
        </w:rPr>
        <w:t> </w:t>
      </w:r>
      <w:r>
        <w:rPr>
          <w:spacing w:val="-39"/>
        </w:rPr>
      </w:r>
      <w:r>
        <w:rPr>
          <w:spacing w:val="-4"/>
        </w:rPr>
        <w:t>于公司及全资子公司日常关联交易的议案》，公司及子公司向关联方泰德信、陈文辉先生、刘丹女士租赁房屋作为办公场地，</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212.784012pt;margin-top:365.449982pt;width:164.35pt;height:209.7pt;mso-position-horizontal-relative:page;mso-position-vertical-relative:page;z-index:-12586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BodyText"/>
                    <w:spacing w:line="240" w:lineRule="auto"/>
                    <w:ind w:left="0" w:right="0"/>
                    <w:jc w:val="left"/>
                  </w:pPr>
                  <w:r>
                    <w:rPr/>
                    <w:t>。</w:t>
                  </w:r>
                </w:p>
              </w:txbxContent>
            </v:textbox>
            <w10:wrap type="none"/>
          </v:shape>
        </w:pict>
      </w:r>
      <w:r>
        <w:rPr/>
        <w:pict>
          <v:shape style="position:absolute;margin-left:212.809998pt;margin-top:576.459961pt;width:164.1pt;height:19.55pt;mso-position-horizontal-relative:page;mso-position-vertical-relative:page;z-index:-1258624"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17.610016pt;margin-top:365.449982pt;width:160pt;height:230.6pt;mso-position-horizontal-relative:page;mso-position-vertical-relative:page;z-index:-1258600" coordorigin="4352,7309" coordsize="3200,4612">
            <v:group style="position:absolute;left:4364;top:7309;width:3178;height:4194" coordorigin="4364,7309" coordsize="3178,4194">
              <v:shape style="position:absolute;left:4364;top:7309;width:3178;height:4194" coordorigin="4364,7309" coordsize="3178,4194" path="m4364,11503l7542,11503,7542,7309,4364,7309,4364,11503xe" filled="true" fillcolor="#ffffff" stroked="false">
                <v:path arrowok="t"/>
                <v:fill type="solid"/>
              </v:shape>
            </v:group>
            <v:group style="position:absolute;left:4357;top:11498;width:3190;height:2" coordorigin="4357,11498" coordsize="3190,2">
              <v:shape style="position:absolute;left:4357;top:11498;width:3190;height:2" coordorigin="4357,11498" coordsize="3190,0" path="m4357,11498l7547,11498e" filled="false" stroked="true" strokeweight=".47998pt" strokecolor="#ffffff">
                <v:path arrowok="t"/>
              </v:shape>
            </v:group>
            <v:group style="position:absolute;left:4367;top:11529;width:3171;height:392" coordorigin="4367,11529" coordsize="3171,392">
              <v:shape style="position:absolute;left:4367;top:11529;width:3171;height:392" coordorigin="4367,11529" coordsize="3171,392" path="m4367,11920l7537,11920,7537,11529,4367,11529,4367,11920xe" filled="true" fillcolor="#ffffff" stroked="false">
                <v:path arrowok="t"/>
                <v:fill type="solid"/>
              </v:shape>
            </v:group>
            <w10:wrap type="none"/>
          </v:group>
        </w:pict>
      </w:r>
    </w:p>
    <w:p>
      <w:pPr>
        <w:spacing w:line="240" w:lineRule="auto" w:before="3"/>
        <w:rPr>
          <w:rFonts w:ascii="宋体" w:hAnsi="宋体" w:cs="宋体" w:eastAsia="宋体" w:hint="default"/>
          <w:sz w:val="15"/>
          <w:szCs w:val="15"/>
        </w:rPr>
      </w:pPr>
    </w:p>
    <w:p>
      <w:pPr>
        <w:pStyle w:val="BodyText"/>
        <w:spacing w:line="477" w:lineRule="auto"/>
        <w:ind w:left="510" w:right="1033" w:hanging="358"/>
        <w:jc w:val="left"/>
      </w:pPr>
      <w:r>
        <w:rPr/>
        <w:t>详细内容请查看公司披露于巨潮资讯网的相关公告。 </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日，公司与泰德信之间发生日常关联交易金额</w:t>
      </w:r>
      <w:r>
        <w:rPr>
          <w:rFonts w:ascii="宋体" w:hAnsi="宋体" w:cs="宋体" w:eastAsia="宋体" w:hint="default"/>
          <w:spacing w:val="-2"/>
        </w:rPr>
        <w:t>603,876.51</w:t>
      </w:r>
      <w:r>
        <w:rPr>
          <w:spacing w:val="-2"/>
        </w:rPr>
        <w:t>元（经审计）；与陈文辉先生发生日常关联</w:t>
      </w:r>
    </w:p>
    <w:p>
      <w:pPr>
        <w:pStyle w:val="BodyText"/>
        <w:spacing w:line="451" w:lineRule="auto" w:before="21"/>
        <w:ind w:right="1033"/>
        <w:jc w:val="left"/>
      </w:pPr>
      <w:r>
        <w:rPr/>
        <w:t>交易金额</w:t>
      </w:r>
      <w:r>
        <w:rPr>
          <w:rFonts w:ascii="宋体" w:hAnsi="宋体" w:cs="宋体" w:eastAsia="宋体" w:hint="default"/>
        </w:rPr>
        <w:t>717,432.44</w:t>
      </w:r>
      <w:r>
        <w:rPr/>
        <w:t>元（经审计）；与刘丹女士发生日常关联交易金额</w:t>
      </w:r>
      <w:r>
        <w:rPr>
          <w:rFonts w:ascii="Times New Roman" w:hAnsi="Times New Roman" w:cs="Times New Roman" w:eastAsia="Times New Roman" w:hint="default"/>
        </w:rPr>
        <w:t>93,189.36</w:t>
      </w:r>
      <w:r>
        <w:rPr/>
        <w:t>元（经审计），其中，由于房屋租期届满， 公司与刘丹女士自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日起不再发生关联交易。公司房屋租赁与各关联人发生的关联交易金额均在董事会审议额度</w:t>
      </w:r>
      <w:r>
        <w:rPr>
          <w:spacing w:val="-12"/>
        </w:rPr>
        <w:t> </w:t>
      </w:r>
      <w:r>
        <w:rPr>
          <w:spacing w:val="-12"/>
        </w:rPr>
      </w:r>
      <w:r>
        <w:rPr/>
        <w:t>内。</w:t>
      </w:r>
    </w:p>
    <w:p>
      <w:pPr>
        <w:pStyle w:val="BodyText"/>
        <w:spacing w:line="240" w:lineRule="auto" w:before="74"/>
        <w:ind w:left="510" w:right="1033"/>
        <w:jc w:val="left"/>
      </w:pPr>
      <w:r>
        <w:rPr/>
        <w:t>综上，公司日常关联交易符合《公司法》等法律法规、规范性文件及《公司章程》的相关规定。</w:t>
      </w:r>
    </w:p>
    <w:p>
      <w:pPr>
        <w:spacing w:line="240" w:lineRule="auto" w:before="0"/>
        <w:rPr>
          <w:rFonts w:ascii="宋体" w:hAnsi="宋体" w:cs="宋体" w:eastAsia="宋体" w:hint="default"/>
          <w:sz w:val="12"/>
          <w:szCs w:val="12"/>
        </w:rPr>
      </w:pPr>
    </w:p>
    <w:tbl>
      <w:tblPr>
        <w:tblW w:w="0" w:type="auto"/>
        <w:jc w:val="left"/>
        <w:tblInd w:w="179" w:type="dxa"/>
        <w:tblLayout w:type="fixed"/>
        <w:tblCellMar>
          <w:top w:w="0" w:type="dxa"/>
          <w:left w:w="0" w:type="dxa"/>
          <w:bottom w:w="0" w:type="dxa"/>
          <w:right w:w="0" w:type="dxa"/>
        </w:tblCellMar>
        <w:tblLook w:val="01E0"/>
      </w:tblPr>
      <w:tblGrid>
        <w:gridCol w:w="3190"/>
        <w:gridCol w:w="3190"/>
        <w:gridCol w:w="3191"/>
      </w:tblGrid>
      <w:tr>
        <w:trPr>
          <w:trHeight w:val="416"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1046" w:right="0"/>
              <w:jc w:val="left"/>
              <w:rPr>
                <w:rFonts w:ascii="宋体" w:hAnsi="宋体" w:cs="宋体" w:eastAsia="宋体" w:hint="default"/>
                <w:sz w:val="18"/>
                <w:szCs w:val="18"/>
              </w:rPr>
            </w:pPr>
            <w:r>
              <w:rPr>
                <w:rFonts w:ascii="宋体" w:hAnsi="宋体" w:cs="宋体" w:eastAsia="宋体" w:hint="default"/>
                <w:sz w:val="18"/>
                <w:szCs w:val="18"/>
              </w:rPr>
              <w:t>重要事项概述</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509"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739" w:hRule="exact"/>
        </w:trPr>
        <w:tc>
          <w:tcPr>
            <w:tcW w:w="3190" w:type="dxa"/>
            <w:vMerge w:val="restart"/>
            <w:tcBorders>
              <w:top w:val="single" w:sz="6" w:space="0" w:color="000000"/>
              <w:left w:val="single" w:sz="6" w:space="0" w:color="000000"/>
              <w:right w:val="single" w:sz="6" w:space="0" w:color="000000"/>
            </w:tcBorders>
          </w:tcPr>
          <w:p>
            <w:pPr>
              <w:pStyle w:val="TableParagraph"/>
              <w:spacing w:line="309" w:lineRule="auto" w:before="58"/>
              <w:ind w:left="2" w:right="2"/>
              <w:jc w:val="both"/>
              <w:rPr>
                <w:rFonts w:ascii="宋体" w:hAnsi="宋体" w:cs="宋体" w:eastAsia="宋体" w:hint="default"/>
                <w:sz w:val="18"/>
                <w:szCs w:val="18"/>
              </w:rPr>
            </w:pPr>
            <w:r>
              <w:rPr>
                <w:rFonts w:ascii="宋体" w:hAnsi="宋体" w:cs="宋体" w:eastAsia="宋体" w:hint="default"/>
                <w:spacing w:val="-4"/>
                <w:sz w:val="18"/>
                <w:szCs w:val="18"/>
              </w:rPr>
              <w:t>公司拟向符合《公司债券发行与交易管理</w:t>
            </w:r>
            <w:r>
              <w:rPr>
                <w:rFonts w:ascii="宋体" w:hAnsi="宋体" w:cs="宋体" w:eastAsia="宋体" w:hint="default"/>
                <w:sz w:val="18"/>
                <w:szCs w:val="18"/>
              </w:rPr>
              <w:t> </w:t>
            </w:r>
            <w:r>
              <w:rPr>
                <w:rFonts w:ascii="宋体" w:hAnsi="宋体" w:cs="宋体" w:eastAsia="宋体" w:hint="default"/>
                <w:spacing w:val="-4"/>
                <w:sz w:val="18"/>
                <w:szCs w:val="18"/>
              </w:rPr>
              <w:t>办法》规定的合格投资者公开发行不超过</w:t>
            </w:r>
            <w:r>
              <w:rPr>
                <w:rFonts w:ascii="宋体" w:hAnsi="宋体" w:cs="宋体" w:eastAsia="宋体" w:hint="default"/>
                <w:sz w:val="18"/>
                <w:szCs w:val="18"/>
              </w:rPr>
              <w:t> </w:t>
            </w:r>
            <w:r>
              <w:rPr>
                <w:rFonts w:ascii="宋体" w:hAnsi="宋体" w:cs="宋体" w:eastAsia="宋体" w:hint="default"/>
                <w:spacing w:val="-4"/>
                <w:sz w:val="18"/>
                <w:szCs w:val="18"/>
              </w:rPr>
              <w:t>人民币</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亿元（含</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亿元），期限为不超过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年（含</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年），募集资金拟全部用于偿还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金融机构借款或补充营运资金。</w:t>
            </w:r>
          </w:p>
          <w:p>
            <w:pPr>
              <w:pStyle w:val="TableParagraph"/>
              <w:spacing w:line="316" w:lineRule="auto" w:before="65"/>
              <w:ind w:left="2" w:right="3"/>
              <w:jc w:val="left"/>
              <w:rPr>
                <w:rFonts w:ascii="宋体" w:hAnsi="宋体" w:cs="宋体" w:eastAsia="宋体" w:hint="default"/>
                <w:sz w:val="18"/>
                <w:szCs w:val="18"/>
              </w:rPr>
            </w:pPr>
            <w:r>
              <w:rPr>
                <w:rFonts w:ascii="宋体" w:hAnsi="宋体" w:cs="宋体" w:eastAsia="宋体" w:hint="default"/>
                <w:spacing w:val="-4"/>
                <w:sz w:val="18"/>
                <w:szCs w:val="18"/>
              </w:rPr>
              <w:t>公司在综合评估宏观政策、市场环境、资</w:t>
            </w:r>
            <w:r>
              <w:rPr>
                <w:rFonts w:ascii="宋体" w:hAnsi="宋体" w:cs="宋体" w:eastAsia="宋体" w:hint="default"/>
                <w:sz w:val="18"/>
                <w:szCs w:val="18"/>
              </w:rPr>
              <w:t> </w:t>
            </w:r>
            <w:r>
              <w:rPr>
                <w:rFonts w:ascii="宋体" w:hAnsi="宋体" w:cs="宋体" w:eastAsia="宋体" w:hint="default"/>
                <w:spacing w:val="-4"/>
                <w:sz w:val="18"/>
                <w:szCs w:val="18"/>
              </w:rPr>
              <w:t>本结构和资金流动性等因素的影响后，决</w:t>
            </w:r>
            <w:r>
              <w:rPr>
                <w:rFonts w:ascii="宋体" w:hAnsi="宋体" w:cs="宋体" w:eastAsia="宋体" w:hint="default"/>
                <w:sz w:val="18"/>
                <w:szCs w:val="18"/>
              </w:rPr>
              <w:t> 定采用非公开发行公司债券的方式募集 资金，故终止公开发行公司债事项。</w:t>
            </w:r>
          </w:p>
          <w:p>
            <w:pPr>
              <w:pStyle w:val="TableParagraph"/>
              <w:spacing w:line="319" w:lineRule="auto" w:before="57"/>
              <w:ind w:left="2" w:right="3"/>
              <w:jc w:val="left"/>
              <w:rPr>
                <w:rFonts w:ascii="宋体" w:hAnsi="宋体" w:cs="宋体" w:eastAsia="宋体" w:hint="default"/>
                <w:sz w:val="18"/>
                <w:szCs w:val="18"/>
              </w:rPr>
            </w:pPr>
            <w:r>
              <w:rPr>
                <w:rFonts w:ascii="宋体" w:hAnsi="宋体" w:cs="宋体" w:eastAsia="宋体" w:hint="default"/>
                <w:spacing w:val="-4"/>
                <w:sz w:val="18"/>
                <w:szCs w:val="18"/>
              </w:rPr>
              <w:t>公司全资子公司嘉联支付、控股子公司苏</w:t>
            </w:r>
            <w:r>
              <w:rPr>
                <w:rFonts w:ascii="宋体" w:hAnsi="宋体" w:cs="宋体" w:eastAsia="宋体" w:hint="default"/>
                <w:sz w:val="18"/>
                <w:szCs w:val="18"/>
              </w:rPr>
              <w:t> </w:t>
            </w:r>
            <w:r>
              <w:rPr>
                <w:rFonts w:ascii="宋体" w:hAnsi="宋体" w:cs="宋体" w:eastAsia="宋体" w:hint="default"/>
                <w:spacing w:val="-4"/>
                <w:sz w:val="18"/>
                <w:szCs w:val="18"/>
              </w:rPr>
              <w:t>州新国都、实际控制人刘祥先生为公司面</w:t>
            </w:r>
            <w:r>
              <w:rPr>
                <w:rFonts w:ascii="宋体" w:hAnsi="宋体" w:cs="宋体" w:eastAsia="宋体" w:hint="default"/>
                <w:sz w:val="18"/>
                <w:szCs w:val="18"/>
              </w:rPr>
              <w:t> 向合格投资者非公开发行总额不超过人 民币</w:t>
            </w:r>
            <w:r>
              <w:rPr>
                <w:rFonts w:ascii="Times New Roman" w:hAnsi="Times New Roman" w:cs="Times New Roman" w:eastAsia="Times New Roman" w:hint="default"/>
                <w:sz w:val="18"/>
                <w:szCs w:val="18"/>
              </w:rPr>
              <w:t>3</w:t>
            </w:r>
            <w:r>
              <w:rPr>
                <w:rFonts w:ascii="宋体" w:hAnsi="宋体" w:cs="宋体" w:eastAsia="宋体" w:hint="default"/>
                <w:sz w:val="18"/>
                <w:szCs w:val="18"/>
              </w:rPr>
              <w:t>亿元（含</w:t>
            </w:r>
            <w:r>
              <w:rPr>
                <w:rFonts w:ascii="Times New Roman" w:hAnsi="Times New Roman" w:cs="Times New Roman" w:eastAsia="Times New Roman" w:hint="default"/>
                <w:sz w:val="18"/>
                <w:szCs w:val="18"/>
              </w:rPr>
              <w:t>3</w:t>
            </w:r>
            <w:r>
              <w:rPr>
                <w:rFonts w:ascii="宋体" w:hAnsi="宋体" w:cs="宋体" w:eastAsia="宋体" w:hint="default"/>
                <w:sz w:val="18"/>
                <w:szCs w:val="18"/>
              </w:rPr>
              <w:t>亿元），期限为不超过</w:t>
            </w:r>
            <w:r>
              <w:rPr>
                <w:rFonts w:ascii="Times New Roman" w:hAnsi="Times New Roman" w:cs="Times New Roman" w:eastAsia="Times New Roman" w:hint="default"/>
                <w:sz w:val="18"/>
                <w:szCs w:val="18"/>
              </w:rPr>
              <w:t>3 </w:t>
            </w:r>
            <w:r>
              <w:rPr>
                <w:rFonts w:ascii="宋体" w:hAnsi="宋体" w:cs="宋体" w:eastAsia="宋体" w:hint="default"/>
                <w:spacing w:val="-4"/>
                <w:sz w:val="18"/>
                <w:szCs w:val="18"/>
              </w:rPr>
              <w:t>年（含</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年）的公司债券提供保证反担保</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27</w:t>
            </w:r>
            <w:r>
              <w:rPr>
                <w:rFonts w:ascii="宋体" w:hAnsi="宋体" w:cs="宋体" w:eastAsia="宋体" w:hint="default"/>
                <w:spacing w:val="-4"/>
                <w:sz w:val="18"/>
                <w:szCs w:val="18"/>
              </w:rPr>
              <w:t>日，公司完成了深圳市新国</w:t>
            </w:r>
          </w:p>
          <w:p>
            <w:pPr>
              <w:pStyle w:val="TableParagraph"/>
              <w:spacing w:line="300" w:lineRule="auto"/>
              <w:ind w:left="2" w:right="111"/>
              <w:jc w:val="left"/>
              <w:rPr>
                <w:rFonts w:ascii="宋体" w:hAnsi="宋体" w:cs="宋体" w:eastAsia="宋体" w:hint="default"/>
                <w:sz w:val="18"/>
                <w:szCs w:val="18"/>
              </w:rPr>
            </w:pPr>
            <w:r>
              <w:rPr>
                <w:rFonts w:ascii="宋体" w:hAnsi="宋体" w:cs="宋体" w:eastAsia="宋体" w:hint="default"/>
                <w:sz w:val="18"/>
                <w:szCs w:val="18"/>
              </w:rPr>
              <w:t>都股份有限公司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年非公开发行创新 创业公司债券的发行。</w:t>
            </w:r>
          </w:p>
          <w:p>
            <w:pPr>
              <w:pStyle w:val="TableParagraph"/>
              <w:spacing w:line="319" w:lineRule="auto" w:before="72"/>
              <w:ind w:left="2" w:right="3"/>
              <w:jc w:val="left"/>
              <w:rPr>
                <w:rFonts w:ascii="宋体" w:hAnsi="宋体" w:cs="宋体" w:eastAsia="宋体" w:hint="default"/>
                <w:sz w:val="18"/>
                <w:szCs w:val="18"/>
              </w:rPr>
            </w:pPr>
            <w:r>
              <w:rPr>
                <w:rFonts w:ascii="宋体" w:hAnsi="宋体" w:cs="宋体" w:eastAsia="宋体" w:hint="default"/>
                <w:sz w:val="18"/>
                <w:szCs w:val="18"/>
              </w:rPr>
              <w:t>由于公司持有的苏州新国都全部股权已 </w:t>
            </w:r>
            <w:r>
              <w:rPr>
                <w:rFonts w:ascii="宋体" w:hAnsi="宋体" w:cs="宋体" w:eastAsia="宋体" w:hint="default"/>
                <w:spacing w:val="-5"/>
                <w:sz w:val="18"/>
                <w:szCs w:val="18"/>
              </w:rPr>
              <w:t>于报告期转让给昆山银桥，苏州新国都不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再为公司非公开发行公司债事项提供反 担保。</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3">
              <w:r>
                <w:rPr>
                  <w:rFonts w:ascii="Times New Roman" w:hAnsi="Times New Roman" w:cs="Times New Roman" w:eastAsia="Times New Roman" w:hint="default"/>
                  <w:spacing w:val="-5"/>
                  <w:sz w:val="18"/>
                  <w:szCs w:val="18"/>
                </w:rPr>
                <w:t>http://www.cninfo.com.cn</w:t>
              </w:r>
            </w:hyperlink>
            <w:r>
              <w:rPr>
                <w:rFonts w:ascii="宋体" w:hAnsi="宋体" w:cs="宋体" w:eastAsia="宋体" w:hint="default"/>
                <w:spacing w:val="-5"/>
                <w:sz w:val="18"/>
                <w:szCs w:val="18"/>
              </w:rPr>
              <w:t>，公</w:t>
            </w:r>
            <w:r>
              <w:rPr>
                <w:rFonts w:ascii="宋体" w:hAnsi="宋体" w:cs="宋体" w:eastAsia="宋体" w:hint="default"/>
                <w:spacing w:val="-58"/>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2019-070</w:t>
            </w:r>
          </w:p>
        </w:tc>
      </w:tr>
      <w:tr>
        <w:trPr>
          <w:trHeight w:val="739" w:hRule="exact"/>
        </w:trPr>
        <w:tc>
          <w:tcPr>
            <w:tcW w:w="3190" w:type="dxa"/>
            <w:vMerge/>
            <w:tcBorders>
              <w:left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3">
              <w:r>
                <w:rPr>
                  <w:rFonts w:ascii="Times New Roman" w:hAnsi="Times New Roman" w:cs="Times New Roman" w:eastAsia="Times New Roman" w:hint="default"/>
                  <w:spacing w:val="-5"/>
                  <w:sz w:val="18"/>
                  <w:szCs w:val="18"/>
                </w:rPr>
                <w:t>http://www.cninfo.com.cn</w:t>
              </w:r>
            </w:hyperlink>
            <w:r>
              <w:rPr>
                <w:rFonts w:ascii="宋体" w:hAnsi="宋体" w:cs="宋体" w:eastAsia="宋体" w:hint="default"/>
                <w:spacing w:val="-5"/>
                <w:sz w:val="18"/>
                <w:szCs w:val="18"/>
              </w:rPr>
              <w:t>，公</w:t>
            </w:r>
            <w:r>
              <w:rPr>
                <w:rFonts w:ascii="宋体" w:hAnsi="宋体" w:cs="宋体" w:eastAsia="宋体" w:hint="default"/>
                <w:spacing w:val="-58"/>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2019-107</w:t>
            </w:r>
          </w:p>
        </w:tc>
      </w:tr>
      <w:tr>
        <w:trPr>
          <w:trHeight w:val="739" w:hRule="exact"/>
        </w:trPr>
        <w:tc>
          <w:tcPr>
            <w:tcW w:w="3190" w:type="dxa"/>
            <w:vMerge/>
            <w:tcBorders>
              <w:left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3">
              <w:r>
                <w:rPr>
                  <w:rFonts w:ascii="Times New Roman" w:hAnsi="Times New Roman" w:cs="Times New Roman" w:eastAsia="Times New Roman" w:hint="default"/>
                  <w:spacing w:val="-5"/>
                  <w:sz w:val="18"/>
                  <w:szCs w:val="18"/>
                </w:rPr>
                <w:t>http://www.cninfo.com.cn</w:t>
              </w:r>
            </w:hyperlink>
            <w:r>
              <w:rPr>
                <w:rFonts w:ascii="宋体" w:hAnsi="宋体" w:cs="宋体" w:eastAsia="宋体" w:hint="default"/>
                <w:spacing w:val="-5"/>
                <w:sz w:val="18"/>
                <w:szCs w:val="18"/>
              </w:rPr>
              <w:t>，公</w:t>
            </w:r>
            <w:r>
              <w:rPr>
                <w:rFonts w:ascii="宋体" w:hAnsi="宋体" w:cs="宋体" w:eastAsia="宋体" w:hint="default"/>
                <w:spacing w:val="-58"/>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2019-108</w:t>
            </w:r>
          </w:p>
        </w:tc>
      </w:tr>
      <w:tr>
        <w:trPr>
          <w:trHeight w:val="4609" w:hRule="exact"/>
        </w:trPr>
        <w:tc>
          <w:tcPr>
            <w:tcW w:w="3190" w:type="dxa"/>
            <w:vMerge/>
            <w:tcBorders>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3">
              <w:r>
                <w:rPr>
                  <w:rFonts w:ascii="Times New Roman" w:hAnsi="Times New Roman" w:cs="Times New Roman" w:eastAsia="Times New Roman" w:hint="default"/>
                  <w:spacing w:val="-5"/>
                  <w:sz w:val="18"/>
                  <w:szCs w:val="18"/>
                </w:rPr>
                <w:t>http://www.cninfo.com.cn</w:t>
              </w:r>
            </w:hyperlink>
            <w:r>
              <w:rPr>
                <w:rFonts w:ascii="宋体" w:hAnsi="宋体" w:cs="宋体" w:eastAsia="宋体" w:hint="default"/>
                <w:spacing w:val="-5"/>
                <w:sz w:val="18"/>
                <w:szCs w:val="18"/>
              </w:rPr>
              <w:t>，公</w:t>
            </w:r>
            <w:r>
              <w:rPr>
                <w:rFonts w:ascii="宋体" w:hAnsi="宋体" w:cs="宋体" w:eastAsia="宋体" w:hint="default"/>
                <w:spacing w:val="-58"/>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2019-172</w:t>
            </w:r>
          </w:p>
        </w:tc>
      </w:tr>
      <w:tr>
        <w:trPr>
          <w:trHeight w:val="427" w:hRule="exact"/>
        </w:trPr>
        <w:tc>
          <w:tcPr>
            <w:tcW w:w="3190" w:type="dxa"/>
            <w:vMerge w:val="restart"/>
            <w:tcBorders>
              <w:top w:val="single" w:sz="6" w:space="0" w:color="000000"/>
              <w:left w:val="single" w:sz="6" w:space="0" w:color="000000"/>
              <w:right w:val="single" w:sz="6" w:space="0" w:color="000000"/>
            </w:tcBorders>
          </w:tcPr>
          <w:p>
            <w:pPr>
              <w:pStyle w:val="TableParagraph"/>
              <w:spacing w:line="312" w:lineRule="auto" w:before="61"/>
              <w:ind w:left="2" w:right="3"/>
              <w:jc w:val="left"/>
              <w:rPr>
                <w:rFonts w:ascii="宋体" w:hAnsi="宋体" w:cs="宋体" w:eastAsia="宋体" w:hint="default"/>
                <w:sz w:val="18"/>
                <w:szCs w:val="18"/>
              </w:rPr>
            </w:pPr>
            <w:r>
              <w:rPr>
                <w:rFonts w:ascii="宋体" w:hAnsi="宋体" w:cs="宋体" w:eastAsia="宋体" w:hint="default"/>
                <w:spacing w:val="-9"/>
                <w:sz w:val="18"/>
                <w:szCs w:val="18"/>
              </w:rPr>
              <w:t>根据《上市公司章程指引》（</w:t>
            </w:r>
            <w:r>
              <w:rPr>
                <w:rFonts w:ascii="Times New Roman" w:hAnsi="Times New Roman" w:cs="Times New Roman" w:eastAsia="Times New Roman" w:hint="default"/>
                <w:spacing w:val="-9"/>
                <w:sz w:val="18"/>
                <w:szCs w:val="18"/>
              </w:rPr>
              <w:t>2019</w:t>
            </w:r>
            <w:r>
              <w:rPr>
                <w:rFonts w:ascii="宋体" w:hAnsi="宋体" w:cs="宋体" w:eastAsia="宋体" w:hint="default"/>
                <w:spacing w:val="-9"/>
                <w:sz w:val="18"/>
                <w:szCs w:val="18"/>
              </w:rPr>
              <w:t>年修订</w:t>
            </w:r>
            <w:r>
              <w:rPr>
                <w:rFonts w:ascii="宋体" w:hAnsi="宋体" w:cs="宋体" w:eastAsia="宋体" w:hint="default"/>
                <w:spacing w:val="-73"/>
                <w:sz w:val="18"/>
                <w:szCs w:val="18"/>
              </w:rPr>
              <w:t> </w:t>
            </w:r>
            <w:r>
              <w:rPr>
                <w:rFonts w:ascii="宋体" w:hAnsi="宋体" w:cs="宋体" w:eastAsia="宋体" w:hint="default"/>
                <w:spacing w:val="-4"/>
                <w:sz w:val="18"/>
                <w:szCs w:val="18"/>
              </w:rPr>
              <w:t>并结合实际情况，报告期内公司两次修订</w:t>
            </w:r>
            <w:r>
              <w:rPr>
                <w:rFonts w:ascii="宋体" w:hAnsi="宋体" w:cs="宋体" w:eastAsia="宋体" w:hint="default"/>
                <w:sz w:val="18"/>
                <w:szCs w:val="18"/>
              </w:rPr>
              <w:t> </w:t>
            </w:r>
            <w:r>
              <w:rPr>
                <w:rFonts w:ascii="宋体" w:hAnsi="宋体" w:cs="宋体" w:eastAsia="宋体" w:hint="default"/>
                <w:spacing w:val="-4"/>
                <w:sz w:val="18"/>
                <w:szCs w:val="18"/>
              </w:rPr>
              <w:t>公司章程，并均以特别表决方式经公司股</w:t>
            </w:r>
            <w:r>
              <w:rPr>
                <w:rFonts w:ascii="宋体" w:hAnsi="宋体" w:cs="宋体" w:eastAsia="宋体" w:hint="default"/>
                <w:sz w:val="18"/>
                <w:szCs w:val="18"/>
              </w:rPr>
              <w:t> 东大会审议通过。</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26"/>
                <w:sz w:val="18"/>
                <w:szCs w:val="18"/>
              </w:rPr>
              <w:t> </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936" w:hRule="exact"/>
        </w:trPr>
        <w:tc>
          <w:tcPr>
            <w:tcW w:w="3190" w:type="dxa"/>
            <w:vMerge/>
            <w:tcBorders>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26"/>
                <w:sz w:val="18"/>
                <w:szCs w:val="18"/>
              </w:rPr>
              <w:t> </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27" w:hRule="exact"/>
        </w:trPr>
        <w:tc>
          <w:tcPr>
            <w:tcW w:w="3190" w:type="dxa"/>
            <w:vMerge w:val="restart"/>
            <w:tcBorders>
              <w:top w:val="single" w:sz="6" w:space="0" w:color="000000"/>
              <w:left w:val="single" w:sz="6" w:space="0" w:color="000000"/>
              <w:right w:val="single" w:sz="6" w:space="0" w:color="000000"/>
            </w:tcBorders>
          </w:tcPr>
          <w:p>
            <w:pPr>
              <w:pStyle w:val="TableParagraph"/>
              <w:spacing w:line="300"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年定向发行股份募集资 金用于收购公信诚丰</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股权项目结 </w:t>
            </w:r>
            <w:r>
              <w:rPr>
                <w:rFonts w:ascii="宋体" w:hAnsi="宋体" w:cs="宋体" w:eastAsia="宋体" w:hint="default"/>
                <w:spacing w:val="-4"/>
                <w:sz w:val="18"/>
                <w:szCs w:val="18"/>
              </w:rPr>
              <w:t>项，并将结余募集资金</w:t>
            </w:r>
            <w:r>
              <w:rPr>
                <w:rFonts w:ascii="Times New Roman" w:hAnsi="Times New Roman" w:cs="Times New Roman" w:eastAsia="Times New Roman" w:hint="default"/>
                <w:spacing w:val="-4"/>
                <w:sz w:val="18"/>
                <w:szCs w:val="18"/>
              </w:rPr>
              <w:t>94,660.12</w:t>
            </w:r>
            <w:r>
              <w:rPr>
                <w:rFonts w:ascii="宋体" w:hAnsi="宋体" w:cs="宋体" w:eastAsia="宋体" w:hint="default"/>
                <w:spacing w:val="-4"/>
                <w:sz w:val="18"/>
                <w:szCs w:val="18"/>
              </w:rPr>
              <w:t>元用于永</w:t>
            </w:r>
            <w:r>
              <w:rPr>
                <w:rFonts w:ascii="宋体" w:hAnsi="宋体" w:cs="宋体" w:eastAsia="宋体" w:hint="default"/>
                <w:spacing w:val="-74"/>
                <w:sz w:val="18"/>
                <w:szCs w:val="18"/>
              </w:rPr>
              <w:t> </w:t>
            </w:r>
            <w:r>
              <w:rPr>
                <w:rFonts w:ascii="宋体" w:hAnsi="宋体" w:cs="宋体" w:eastAsia="宋体" w:hint="default"/>
                <w:sz w:val="18"/>
                <w:szCs w:val="18"/>
              </w:rPr>
              <w:t>久补充流动资金。</w:t>
            </w:r>
          </w:p>
          <w:p>
            <w:pPr>
              <w:pStyle w:val="TableParagraph"/>
              <w:spacing w:line="309" w:lineRule="auto" w:before="72"/>
              <w:ind w:left="2" w:right="32"/>
              <w:jc w:val="left"/>
              <w:rPr>
                <w:rFonts w:ascii="宋体" w:hAnsi="宋体" w:cs="宋体" w:eastAsia="宋体" w:hint="default"/>
                <w:sz w:val="18"/>
                <w:szCs w:val="18"/>
              </w:rPr>
            </w:pPr>
            <w:r>
              <w:rPr>
                <w:rFonts w:ascii="宋体" w:hAnsi="宋体" w:cs="宋体" w:eastAsia="宋体" w:hint="default"/>
                <w:sz w:val="18"/>
                <w:szCs w:val="18"/>
              </w:rPr>
              <w:t>鉴于首次公开发行股票募集资金及超募 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电子支付技术苏州研发基 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收购瑞柏泰公司</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2019-040</w:t>
            </w:r>
          </w:p>
        </w:tc>
      </w:tr>
      <w:tr>
        <w:trPr>
          <w:trHeight w:val="1875" w:hRule="exact"/>
        </w:trPr>
        <w:tc>
          <w:tcPr>
            <w:tcW w:w="3190" w:type="dxa"/>
            <w:vMerge/>
            <w:tcBorders>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2019-039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2.778015pt;margin-top:355.72998pt;width:164.1pt;height:19.6pt;mso-position-horizontal-relative:page;mso-position-vertical-relative:page;z-index:-1258552"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17.609985pt;margin-top:585.579956pt;width:160pt;height:168.4pt;mso-position-horizontal-relative:page;mso-position-vertical-relative:page;z-index:-1258528" coordorigin="4352,11712" coordsize="3200,3368">
            <v:group style="position:absolute;left:4364;top:11712;width:3178;height:3368" coordorigin="4364,11712" coordsize="3178,3368">
              <v:shape style="position:absolute;left:4364;top:11712;width:3178;height:3368" coordorigin="4364,11712" coordsize="3178,3368" path="m4364,15079l7542,15079,7542,11712,4364,11712,4364,15079xe" filled="true" fillcolor="#ffffff" stroked="false">
                <v:path arrowok="t"/>
                <v:fill type="solid"/>
              </v:shape>
            </v:group>
            <v:group style="position:absolute;left:4357;top:15074;width:3190;height:2" coordorigin="4357,15074" coordsize="3190,2">
              <v:shape style="position:absolute;left:4357;top:15074;width:3190;height:2" coordorigin="4357,15074" coordsize="3190,0" path="m4357,15074l7547,15074e" filled="false" stroked="true" strokeweight=".48004pt" strokecolor="#ffffff">
                <v:path arrowok="t"/>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79" w:type="dxa"/>
        <w:tblLayout w:type="fixed"/>
        <w:tblCellMar>
          <w:top w:w="0" w:type="dxa"/>
          <w:left w:w="0" w:type="dxa"/>
          <w:bottom w:w="0" w:type="dxa"/>
          <w:right w:w="0" w:type="dxa"/>
        </w:tblCellMar>
        <w:tblLook w:val="01E0"/>
      </w:tblPr>
      <w:tblGrid>
        <w:gridCol w:w="3190"/>
        <w:gridCol w:w="3190"/>
        <w:gridCol w:w="3191"/>
      </w:tblGrid>
      <w:tr>
        <w:trPr>
          <w:trHeight w:val="1011"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8"/>
              <w:ind w:left="2" w:right="32"/>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已实施完毕，公司将上述募集资金投 资项目结项并将节余募集资金 </w:t>
            </w:r>
            <w:r>
              <w:rPr>
                <w:rFonts w:ascii="Times New Roman" w:hAnsi="Times New Roman" w:cs="Times New Roman" w:eastAsia="Times New Roman" w:hint="default"/>
                <w:sz w:val="18"/>
                <w:szCs w:val="18"/>
              </w:rPr>
              <w:t>36,552,941.02</w:t>
            </w:r>
            <w:r>
              <w:rPr>
                <w:rFonts w:ascii="宋体" w:hAnsi="宋体" w:cs="宋体" w:eastAsia="宋体" w:hint="default"/>
                <w:sz w:val="18"/>
                <w:szCs w:val="18"/>
              </w:rPr>
              <w:t>元永久性补充流动资金。</w:t>
            </w:r>
          </w:p>
        </w:tc>
        <w:tc>
          <w:tcPr>
            <w:tcW w:w="3190" w:type="dxa"/>
            <w:tcBorders>
              <w:top w:val="single" w:sz="6" w:space="0" w:color="000000"/>
              <w:left w:val="single" w:sz="6" w:space="0" w:color="000000"/>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3190" w:type="dxa"/>
            <w:vMerge w:val="restart"/>
            <w:tcBorders>
              <w:top w:val="single" w:sz="6" w:space="0" w:color="000000"/>
              <w:left w:val="single" w:sz="6" w:space="0" w:color="000000"/>
              <w:right w:val="single" w:sz="6" w:space="0" w:color="000000"/>
            </w:tcBorders>
          </w:tcPr>
          <w:p>
            <w:pPr>
              <w:pStyle w:val="TableParagraph"/>
              <w:spacing w:line="309"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因公司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年半年度资产负债率不满足 </w:t>
            </w:r>
            <w:r>
              <w:rPr>
                <w:rFonts w:ascii="宋体" w:hAnsi="宋体" w:cs="宋体" w:eastAsia="宋体" w:hint="default"/>
                <w:spacing w:val="-4"/>
                <w:sz w:val="18"/>
                <w:szCs w:val="18"/>
              </w:rPr>
              <w:t>可转债发行条件，公司决定终止</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年公</w:t>
            </w:r>
            <w:r>
              <w:rPr>
                <w:rFonts w:ascii="宋体" w:hAnsi="宋体" w:cs="宋体" w:eastAsia="宋体" w:hint="default"/>
                <w:spacing w:val="-81"/>
                <w:sz w:val="18"/>
                <w:szCs w:val="18"/>
              </w:rPr>
              <w:t> </w:t>
            </w:r>
            <w:r>
              <w:rPr>
                <w:rFonts w:ascii="宋体" w:hAnsi="宋体" w:cs="宋体" w:eastAsia="宋体" w:hint="default"/>
                <w:sz w:val="18"/>
                <w:szCs w:val="18"/>
              </w:rPr>
              <w:t>开发行可转换公司债券并向中国证监会 </w:t>
            </w:r>
            <w:r>
              <w:rPr>
                <w:rFonts w:ascii="宋体" w:hAnsi="宋体" w:cs="宋体" w:eastAsia="宋体" w:hint="default"/>
                <w:spacing w:val="-4"/>
                <w:sz w:val="18"/>
                <w:szCs w:val="18"/>
              </w:rPr>
              <w:t>申请撤回申请文件，中国证监会同意公司</w:t>
            </w:r>
            <w:r>
              <w:rPr>
                <w:rFonts w:ascii="宋体" w:hAnsi="宋体" w:cs="宋体" w:eastAsia="宋体" w:hint="default"/>
                <w:sz w:val="18"/>
                <w:szCs w:val="18"/>
              </w:rPr>
              <w:t> 本次终止事项。</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3">
              <w:r>
                <w:rPr>
                  <w:rFonts w:ascii="Times New Roman" w:hAnsi="Times New Roman" w:cs="Times New Roman" w:eastAsia="Times New Roman" w:hint="default"/>
                  <w:spacing w:val="-5"/>
                  <w:sz w:val="18"/>
                  <w:szCs w:val="18"/>
                </w:rPr>
                <w:t>http://www.cninfo.com.cn</w:t>
              </w:r>
            </w:hyperlink>
            <w:r>
              <w:rPr>
                <w:rFonts w:ascii="宋体" w:hAnsi="宋体" w:cs="宋体" w:eastAsia="宋体" w:hint="default"/>
                <w:spacing w:val="-5"/>
                <w:sz w:val="18"/>
                <w:szCs w:val="18"/>
              </w:rPr>
              <w:t>，公</w:t>
            </w:r>
            <w:r>
              <w:rPr>
                <w:rFonts w:ascii="宋体" w:hAnsi="宋体" w:cs="宋体" w:eastAsia="宋体" w:hint="default"/>
                <w:spacing w:val="-58"/>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2019-124</w:t>
            </w:r>
          </w:p>
        </w:tc>
      </w:tr>
      <w:tr>
        <w:trPr>
          <w:trHeight w:val="936" w:hRule="exact"/>
        </w:trPr>
        <w:tc>
          <w:tcPr>
            <w:tcW w:w="3190" w:type="dxa"/>
            <w:vMerge/>
            <w:tcBorders>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3">
              <w:r>
                <w:rPr>
                  <w:rFonts w:ascii="Times New Roman" w:hAnsi="Times New Roman" w:cs="Times New Roman" w:eastAsia="Times New Roman" w:hint="default"/>
                  <w:spacing w:val="-5"/>
                  <w:sz w:val="18"/>
                  <w:szCs w:val="18"/>
                </w:rPr>
                <w:t>http://www.cninfo.com.cn</w:t>
              </w:r>
            </w:hyperlink>
            <w:r>
              <w:rPr>
                <w:rFonts w:ascii="宋体" w:hAnsi="宋体" w:cs="宋体" w:eastAsia="宋体" w:hint="default"/>
                <w:spacing w:val="-5"/>
                <w:sz w:val="18"/>
                <w:szCs w:val="18"/>
              </w:rPr>
              <w:t>，公</w:t>
            </w:r>
            <w:r>
              <w:rPr>
                <w:rFonts w:ascii="宋体" w:hAnsi="宋体" w:cs="宋体" w:eastAsia="宋体" w:hint="default"/>
                <w:spacing w:val="-58"/>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2019-137</w:t>
            </w:r>
          </w:p>
        </w:tc>
      </w:tr>
      <w:tr>
        <w:trPr>
          <w:trHeight w:val="740" w:hRule="exact"/>
        </w:trPr>
        <w:tc>
          <w:tcPr>
            <w:tcW w:w="3190" w:type="dxa"/>
            <w:vMerge w:val="restart"/>
            <w:tcBorders>
              <w:top w:val="single" w:sz="6" w:space="0" w:color="000000"/>
              <w:left w:val="single" w:sz="6" w:space="0" w:color="000000"/>
              <w:right w:val="single" w:sz="6" w:space="0" w:color="000000"/>
            </w:tcBorders>
          </w:tcPr>
          <w:p>
            <w:pPr>
              <w:pStyle w:val="TableParagraph"/>
              <w:spacing w:line="316" w:lineRule="auto" w:before="61"/>
              <w:ind w:left="2" w:right="3"/>
              <w:jc w:val="both"/>
              <w:rPr>
                <w:rFonts w:ascii="宋体" w:hAnsi="宋体" w:cs="宋体" w:eastAsia="宋体" w:hint="default"/>
                <w:sz w:val="18"/>
                <w:szCs w:val="18"/>
              </w:rPr>
            </w:pPr>
            <w:r>
              <w:rPr>
                <w:rFonts w:ascii="宋体" w:hAnsi="宋体" w:cs="宋体" w:eastAsia="宋体" w:hint="default"/>
                <w:spacing w:val="-4"/>
                <w:sz w:val="18"/>
                <w:szCs w:val="18"/>
              </w:rPr>
              <w:t>报告期内，公司根据《深圳证券交易所上</w:t>
            </w:r>
            <w:r>
              <w:rPr>
                <w:rFonts w:ascii="宋体" w:hAnsi="宋体" w:cs="宋体" w:eastAsia="宋体" w:hint="default"/>
                <w:sz w:val="18"/>
                <w:szCs w:val="18"/>
              </w:rPr>
              <w:t> </w:t>
            </w:r>
            <w:r>
              <w:rPr>
                <w:rFonts w:ascii="宋体" w:hAnsi="宋体" w:cs="宋体" w:eastAsia="宋体" w:hint="default"/>
                <w:spacing w:val="-4"/>
                <w:sz w:val="18"/>
                <w:szCs w:val="18"/>
              </w:rPr>
              <w:t>市公司回购股份实施细则》修订股份回购</w:t>
            </w:r>
            <w:r>
              <w:rPr>
                <w:rFonts w:ascii="宋体" w:hAnsi="宋体" w:cs="宋体" w:eastAsia="宋体" w:hint="default"/>
                <w:sz w:val="18"/>
                <w:szCs w:val="18"/>
              </w:rPr>
              <w:t> </w:t>
            </w:r>
            <w:r>
              <w:rPr>
                <w:rFonts w:ascii="宋体" w:hAnsi="宋体" w:cs="宋体" w:eastAsia="宋体" w:hint="default"/>
                <w:spacing w:val="-4"/>
                <w:sz w:val="18"/>
                <w:szCs w:val="18"/>
              </w:rPr>
              <w:t>方案，调整回购价格上限、明确回购股份</w:t>
            </w:r>
            <w:r>
              <w:rPr>
                <w:rFonts w:ascii="宋体" w:hAnsi="宋体" w:cs="宋体" w:eastAsia="宋体" w:hint="default"/>
                <w:sz w:val="18"/>
                <w:szCs w:val="18"/>
              </w:rPr>
              <w:t> 用途、资金来源和回购方式等。</w:t>
            </w:r>
          </w:p>
          <w:p>
            <w:pPr>
              <w:pStyle w:val="TableParagraph"/>
              <w:spacing w:line="304" w:lineRule="auto" w:before="59"/>
              <w:ind w:left="2" w:right="3"/>
              <w:jc w:val="left"/>
              <w:rPr>
                <w:rFonts w:ascii="宋体" w:hAnsi="宋体" w:cs="宋体" w:eastAsia="宋体" w:hint="default"/>
                <w:sz w:val="18"/>
                <w:szCs w:val="18"/>
              </w:rPr>
            </w:pPr>
            <w:r>
              <w:rPr>
                <w:rFonts w:ascii="宋体" w:hAnsi="宋体" w:cs="宋体" w:eastAsia="宋体" w:hint="default"/>
                <w:spacing w:val="-4"/>
                <w:sz w:val="18"/>
                <w:szCs w:val="18"/>
              </w:rPr>
              <w:t>报告期内，公司回购股份期限届满，共回</w:t>
            </w:r>
            <w:r>
              <w:rPr>
                <w:rFonts w:ascii="宋体" w:hAnsi="宋体" w:cs="宋体" w:eastAsia="宋体" w:hint="default"/>
                <w:sz w:val="18"/>
                <w:szCs w:val="18"/>
              </w:rPr>
              <w:t> </w:t>
            </w:r>
            <w:r>
              <w:rPr>
                <w:rFonts w:ascii="宋体" w:hAnsi="宋体" w:cs="宋体" w:eastAsia="宋体" w:hint="default"/>
                <w:spacing w:val="-4"/>
                <w:sz w:val="18"/>
                <w:szCs w:val="18"/>
              </w:rPr>
              <w:t>购股份数量</w:t>
            </w:r>
            <w:r>
              <w:rPr>
                <w:rFonts w:ascii="Times New Roman" w:hAnsi="Times New Roman" w:cs="Times New Roman" w:eastAsia="Times New Roman" w:hint="default"/>
                <w:spacing w:val="-4"/>
                <w:sz w:val="18"/>
                <w:szCs w:val="18"/>
              </w:rPr>
              <w:t>3,526,268</w:t>
            </w:r>
            <w:r>
              <w:rPr>
                <w:rFonts w:ascii="宋体" w:hAnsi="宋体" w:cs="宋体" w:eastAsia="宋体" w:hint="default"/>
                <w:spacing w:val="-4"/>
                <w:sz w:val="18"/>
                <w:szCs w:val="18"/>
              </w:rPr>
              <w:t>股，已使用资金总额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为</w:t>
            </w:r>
            <w:r>
              <w:rPr>
                <w:rFonts w:ascii="Times New Roman" w:hAnsi="Times New Roman" w:cs="Times New Roman" w:eastAsia="Times New Roman" w:hint="default"/>
                <w:spacing w:val="-2"/>
                <w:sz w:val="18"/>
                <w:szCs w:val="18"/>
              </w:rPr>
              <w:t>53,898,404.60</w:t>
            </w:r>
            <w:r>
              <w:rPr>
                <w:rFonts w:ascii="宋体" w:hAnsi="宋体" w:cs="宋体" w:eastAsia="宋体" w:hint="default"/>
                <w:spacing w:val="-2"/>
                <w:sz w:val="18"/>
                <w:szCs w:val="18"/>
              </w:rPr>
              <w:t>元（含交易费用），高于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回购计划下限</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万元，本次股份回购 计划完成。</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3">
              <w:r>
                <w:rPr>
                  <w:rFonts w:ascii="Times New Roman" w:hAnsi="Times New Roman" w:cs="Times New Roman" w:eastAsia="Times New Roman" w:hint="default"/>
                  <w:spacing w:val="-5"/>
                  <w:sz w:val="18"/>
                  <w:szCs w:val="18"/>
                </w:rPr>
                <w:t>http://www.cninfo.com.cn</w:t>
              </w:r>
            </w:hyperlink>
            <w:r>
              <w:rPr>
                <w:rFonts w:ascii="宋体" w:hAnsi="宋体" w:cs="宋体" w:eastAsia="宋体" w:hint="default"/>
                <w:spacing w:val="-5"/>
                <w:sz w:val="18"/>
                <w:szCs w:val="18"/>
              </w:rPr>
              <w:t>，公</w:t>
            </w:r>
            <w:r>
              <w:rPr>
                <w:rFonts w:ascii="宋体" w:hAnsi="宋体" w:cs="宋体" w:eastAsia="宋体" w:hint="default"/>
                <w:spacing w:val="-58"/>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2019-014</w:t>
            </w:r>
          </w:p>
        </w:tc>
      </w:tr>
      <w:tr>
        <w:trPr>
          <w:trHeight w:val="2225" w:hRule="exact"/>
        </w:trPr>
        <w:tc>
          <w:tcPr>
            <w:tcW w:w="3190" w:type="dxa"/>
            <w:vMerge/>
            <w:tcBorders>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3">
              <w:r>
                <w:rPr>
                  <w:rFonts w:ascii="Times New Roman" w:hAnsi="Times New Roman" w:cs="Times New Roman" w:eastAsia="Times New Roman" w:hint="default"/>
                  <w:spacing w:val="-5"/>
                  <w:sz w:val="18"/>
                  <w:szCs w:val="18"/>
                </w:rPr>
                <w:t>http://www.cninfo.com.cn</w:t>
              </w:r>
            </w:hyperlink>
            <w:r>
              <w:rPr>
                <w:rFonts w:ascii="宋体" w:hAnsi="宋体" w:cs="宋体" w:eastAsia="宋体" w:hint="default"/>
                <w:spacing w:val="-5"/>
                <w:sz w:val="18"/>
                <w:szCs w:val="18"/>
              </w:rPr>
              <w:t>，公</w:t>
            </w:r>
            <w:r>
              <w:rPr>
                <w:rFonts w:ascii="宋体" w:hAnsi="宋体" w:cs="宋体" w:eastAsia="宋体" w:hint="default"/>
                <w:spacing w:val="-58"/>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2019-106</w:t>
            </w:r>
          </w:p>
        </w:tc>
      </w:tr>
      <w:tr>
        <w:trPr>
          <w:trHeight w:val="740" w:hRule="exact"/>
        </w:trPr>
        <w:tc>
          <w:tcPr>
            <w:tcW w:w="3190" w:type="dxa"/>
            <w:vMerge w:val="restart"/>
            <w:tcBorders>
              <w:top w:val="single" w:sz="6" w:space="0" w:color="000000"/>
              <w:left w:val="single" w:sz="6" w:space="0" w:color="000000"/>
              <w:right w:val="single" w:sz="6" w:space="0" w:color="000000"/>
            </w:tcBorders>
          </w:tcPr>
          <w:p>
            <w:pPr>
              <w:pStyle w:val="TableParagraph"/>
              <w:spacing w:line="307" w:lineRule="auto" w:before="58"/>
              <w:ind w:left="2" w:right="3"/>
              <w:jc w:val="left"/>
              <w:rPr>
                <w:rFonts w:ascii="宋体" w:hAnsi="宋体" w:cs="宋体" w:eastAsia="宋体" w:hint="default"/>
                <w:sz w:val="18"/>
                <w:szCs w:val="18"/>
              </w:rPr>
            </w:pPr>
            <w:r>
              <w:rPr>
                <w:rFonts w:ascii="宋体" w:hAnsi="宋体" w:cs="宋体" w:eastAsia="宋体" w:hint="default"/>
                <w:spacing w:val="-9"/>
                <w:sz w:val="18"/>
                <w:szCs w:val="18"/>
              </w:rPr>
              <w:t>报告期内，公司董事、副总经理汪洋先生</w:t>
            </w:r>
            <w:r>
              <w:rPr>
                <w:rFonts w:ascii="宋体" w:hAnsi="宋体" w:cs="宋体" w:eastAsia="宋体" w:hint="default"/>
                <w:sz w:val="18"/>
                <w:szCs w:val="18"/>
              </w:rPr>
              <w:t> </w:t>
            </w:r>
            <w:r>
              <w:rPr>
                <w:rFonts w:ascii="宋体" w:hAnsi="宋体" w:cs="宋体" w:eastAsia="宋体" w:hint="default"/>
                <w:spacing w:val="-4"/>
                <w:sz w:val="18"/>
                <w:szCs w:val="18"/>
              </w:rPr>
              <w:t>韦余红先生股份减持计划实施完毕。汪洋</w:t>
            </w:r>
            <w:r>
              <w:rPr>
                <w:rFonts w:ascii="宋体" w:hAnsi="宋体" w:cs="宋体" w:eastAsia="宋体" w:hint="default"/>
                <w:sz w:val="18"/>
                <w:szCs w:val="18"/>
              </w:rPr>
              <w:t> 先生本次累计减持股份</w:t>
            </w:r>
            <w:r>
              <w:rPr>
                <w:rFonts w:ascii="Times New Roman" w:hAnsi="Times New Roman" w:cs="Times New Roman" w:eastAsia="Times New Roman" w:hint="default"/>
                <w:sz w:val="18"/>
                <w:szCs w:val="18"/>
              </w:rPr>
              <w:t>496,107</w:t>
            </w:r>
            <w:r>
              <w:rPr>
                <w:rFonts w:ascii="宋体" w:hAnsi="宋体" w:cs="宋体" w:eastAsia="宋体" w:hint="default"/>
                <w:sz w:val="18"/>
                <w:szCs w:val="18"/>
              </w:rPr>
              <w:t>股，占报 告期末公司总股本的</w:t>
            </w:r>
            <w:r>
              <w:rPr>
                <w:rFonts w:ascii="Times New Roman" w:hAnsi="Times New Roman" w:cs="Times New Roman" w:eastAsia="Times New Roman" w:hint="default"/>
                <w:sz w:val="18"/>
                <w:szCs w:val="18"/>
              </w:rPr>
              <w:t>0.10%</w:t>
            </w:r>
            <w:r>
              <w:rPr>
                <w:rFonts w:ascii="宋体" w:hAnsi="宋体" w:cs="宋体" w:eastAsia="宋体" w:hint="default"/>
                <w:sz w:val="18"/>
                <w:szCs w:val="18"/>
              </w:rPr>
              <w:t>；韦余红先生 本次累计减持股份</w:t>
            </w:r>
            <w:r>
              <w:rPr>
                <w:rFonts w:ascii="Times New Roman" w:hAnsi="Times New Roman" w:cs="Times New Roman" w:eastAsia="Times New Roman" w:hint="default"/>
                <w:sz w:val="18"/>
                <w:szCs w:val="18"/>
              </w:rPr>
              <w:t>503,982</w:t>
            </w:r>
            <w:r>
              <w:rPr>
                <w:rFonts w:ascii="宋体" w:hAnsi="宋体" w:cs="宋体" w:eastAsia="宋体" w:hint="default"/>
                <w:sz w:val="18"/>
                <w:szCs w:val="18"/>
              </w:rPr>
              <w:t>股，占报告期 末公司总股本的</w:t>
            </w:r>
            <w:r>
              <w:rPr>
                <w:rFonts w:ascii="Times New Roman" w:hAnsi="Times New Roman" w:cs="Times New Roman" w:eastAsia="Times New Roman" w:hint="default"/>
                <w:sz w:val="18"/>
                <w:szCs w:val="18"/>
              </w:rPr>
              <w:t>0.10%</w:t>
            </w:r>
            <w:r>
              <w:rPr>
                <w:rFonts w:ascii="宋体" w:hAnsi="宋体" w:cs="宋体" w:eastAsia="宋体" w:hint="default"/>
                <w:sz w:val="18"/>
                <w:szCs w:val="18"/>
              </w:rPr>
              <w:t>。</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p>
            <w:pPr>
              <w:pStyle w:val="TableParagraph"/>
              <w:spacing w:line="391" w:lineRule="exact"/>
              <w:ind w:left="2" w:right="-4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158.550pt;height:19.6pt;mso-position-horizontal-relative:char;mso-position-vertical-relative:line" coordorigin="0,0" coordsize="3171,392">
                  <v:group style="position:absolute;left:0;top:0;width:3171;height:392" coordorigin="0,0" coordsize="3171,392">
                    <v:shape style="position:absolute;left:0;top:0;width:3171;height:392" coordorigin="0,0" coordsize="3171,392" path="m0,391l3171,391,3171,0,0,0,0,391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1"/>
              <w:ind w:right="0"/>
              <w:jc w:val="left"/>
              <w:rPr>
                <w:rFonts w:ascii="Times New Roman" w:hAnsi="Times New Roman" w:cs="Times New Roman" w:eastAsia="Times New Roman" w:hint="default"/>
                <w:sz w:val="29"/>
                <w:szCs w:val="29"/>
              </w:rPr>
            </w:pP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9"/>
                <w:sz w:val="18"/>
                <w:szCs w:val="18"/>
              </w:rPr>
              <w:t> </w:t>
            </w:r>
            <w:hyperlink r:id="rId13">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2019-127</w:t>
            </w:r>
          </w:p>
        </w:tc>
      </w:tr>
      <w:tr>
        <w:trPr>
          <w:trHeight w:val="1248" w:hRule="exact"/>
        </w:trPr>
        <w:tc>
          <w:tcPr>
            <w:tcW w:w="3190" w:type="dxa"/>
            <w:vMerge/>
            <w:tcBorders>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3">
              <w:r>
                <w:rPr>
                  <w:rFonts w:ascii="Times New Roman" w:hAnsi="Times New Roman" w:cs="Times New Roman" w:eastAsia="Times New Roman" w:hint="default"/>
                  <w:spacing w:val="-5"/>
                  <w:sz w:val="18"/>
                  <w:szCs w:val="18"/>
                </w:rPr>
                <w:t>http://www.cninfo.com.cn</w:t>
              </w:r>
            </w:hyperlink>
            <w:r>
              <w:rPr>
                <w:rFonts w:ascii="宋体" w:hAnsi="宋体" w:cs="宋体" w:eastAsia="宋体" w:hint="default"/>
                <w:spacing w:val="-5"/>
                <w:sz w:val="18"/>
                <w:szCs w:val="18"/>
              </w:rPr>
              <w:t>，公</w:t>
            </w:r>
            <w:r>
              <w:rPr>
                <w:rFonts w:ascii="宋体" w:hAnsi="宋体" w:cs="宋体" w:eastAsia="宋体" w:hint="default"/>
                <w:spacing w:val="-58"/>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2019-128</w:t>
            </w:r>
          </w:p>
        </w:tc>
      </w:tr>
      <w:tr>
        <w:trPr>
          <w:trHeight w:val="739" w:hRule="exact"/>
        </w:trPr>
        <w:tc>
          <w:tcPr>
            <w:tcW w:w="3190" w:type="dxa"/>
            <w:vMerge w:val="restart"/>
            <w:tcBorders>
              <w:top w:val="single" w:sz="6" w:space="0" w:color="000000"/>
              <w:left w:val="single" w:sz="6" w:space="0" w:color="000000"/>
              <w:right w:val="single" w:sz="6" w:space="0" w:color="000000"/>
            </w:tcBorders>
          </w:tcPr>
          <w:p>
            <w:pPr>
              <w:pStyle w:val="TableParagraph"/>
              <w:spacing w:line="307" w:lineRule="auto" w:before="58"/>
              <w:ind w:left="2" w:right="3"/>
              <w:jc w:val="both"/>
              <w:rPr>
                <w:rFonts w:ascii="宋体" w:hAnsi="宋体" w:cs="宋体" w:eastAsia="宋体" w:hint="default"/>
                <w:sz w:val="18"/>
                <w:szCs w:val="18"/>
              </w:rPr>
            </w:pPr>
            <w:r>
              <w:rPr>
                <w:rFonts w:ascii="宋体" w:hAnsi="宋体" w:cs="宋体" w:eastAsia="宋体" w:hint="default"/>
                <w:sz w:val="18"/>
                <w:szCs w:val="18"/>
              </w:rPr>
              <w:t>报告期内，公司持股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以上股东、副董 </w:t>
            </w:r>
            <w:r>
              <w:rPr>
                <w:rFonts w:ascii="宋体" w:hAnsi="宋体" w:cs="宋体" w:eastAsia="宋体" w:hint="default"/>
                <w:spacing w:val="-4"/>
                <w:sz w:val="18"/>
                <w:szCs w:val="18"/>
              </w:rPr>
              <w:t>事长江汉先生股份减持计划实施完毕，本</w:t>
            </w:r>
            <w:r>
              <w:rPr>
                <w:rFonts w:ascii="宋体" w:hAnsi="宋体" w:cs="宋体" w:eastAsia="宋体" w:hint="default"/>
                <w:sz w:val="18"/>
                <w:szCs w:val="18"/>
              </w:rPr>
              <w:t> </w:t>
            </w:r>
            <w:r>
              <w:rPr>
                <w:rFonts w:ascii="宋体" w:hAnsi="宋体" w:cs="宋体" w:eastAsia="宋体" w:hint="default"/>
                <w:spacing w:val="-2"/>
                <w:sz w:val="18"/>
                <w:szCs w:val="18"/>
              </w:rPr>
              <w:t>次累计减持</w:t>
            </w:r>
            <w:r>
              <w:rPr>
                <w:rFonts w:ascii="Times New Roman" w:hAnsi="Times New Roman" w:cs="Times New Roman" w:eastAsia="Times New Roman" w:hint="default"/>
                <w:spacing w:val="-2"/>
                <w:sz w:val="18"/>
                <w:szCs w:val="18"/>
              </w:rPr>
              <w:t>924.99</w:t>
            </w:r>
            <w:r>
              <w:rPr>
                <w:rFonts w:ascii="宋体" w:hAnsi="宋体" w:cs="宋体" w:eastAsia="宋体" w:hint="default"/>
                <w:spacing w:val="-2"/>
                <w:sz w:val="18"/>
                <w:szCs w:val="18"/>
              </w:rPr>
              <w:t>万股，占报告期末公司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总股本的</w:t>
            </w:r>
            <w:r>
              <w:rPr>
                <w:rFonts w:ascii="Times New Roman" w:hAnsi="Times New Roman" w:cs="Times New Roman" w:eastAsia="Times New Roman" w:hint="default"/>
                <w:sz w:val="18"/>
                <w:szCs w:val="18"/>
              </w:rPr>
              <w:t>1.89%</w:t>
            </w:r>
            <w:r>
              <w:rPr>
                <w:rFonts w:ascii="宋体" w:hAnsi="宋体" w:cs="宋体" w:eastAsia="宋体" w:hint="default"/>
                <w:sz w:val="18"/>
                <w:szCs w:val="18"/>
              </w:rPr>
              <w:t>。</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3">
              <w:r>
                <w:rPr>
                  <w:rFonts w:ascii="Times New Roman" w:hAnsi="Times New Roman" w:cs="Times New Roman" w:eastAsia="Times New Roman" w:hint="default"/>
                  <w:spacing w:val="-5"/>
                  <w:sz w:val="18"/>
                  <w:szCs w:val="18"/>
                </w:rPr>
                <w:t>http://www.cninfo.com.cn</w:t>
              </w:r>
            </w:hyperlink>
            <w:r>
              <w:rPr>
                <w:rFonts w:ascii="宋体" w:hAnsi="宋体" w:cs="宋体" w:eastAsia="宋体" w:hint="default"/>
                <w:spacing w:val="-5"/>
                <w:sz w:val="18"/>
                <w:szCs w:val="18"/>
              </w:rPr>
              <w:t>，公</w:t>
            </w:r>
            <w:r>
              <w:rPr>
                <w:rFonts w:ascii="宋体" w:hAnsi="宋体" w:cs="宋体" w:eastAsia="宋体" w:hint="default"/>
                <w:spacing w:val="-58"/>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2019-129</w:t>
            </w:r>
          </w:p>
        </w:tc>
      </w:tr>
      <w:tr>
        <w:trPr>
          <w:trHeight w:val="737" w:hRule="exact"/>
        </w:trPr>
        <w:tc>
          <w:tcPr>
            <w:tcW w:w="3190" w:type="dxa"/>
            <w:vMerge/>
            <w:tcBorders>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3">
              <w:r>
                <w:rPr>
                  <w:rFonts w:ascii="Times New Roman" w:hAnsi="Times New Roman" w:cs="Times New Roman" w:eastAsia="Times New Roman" w:hint="default"/>
                  <w:spacing w:val="-5"/>
                  <w:sz w:val="18"/>
                  <w:szCs w:val="18"/>
                </w:rPr>
                <w:t>http://www.cninfo.com.cn</w:t>
              </w:r>
            </w:hyperlink>
            <w:r>
              <w:rPr>
                <w:rFonts w:ascii="宋体" w:hAnsi="宋体" w:cs="宋体" w:eastAsia="宋体" w:hint="default"/>
                <w:spacing w:val="-5"/>
                <w:sz w:val="18"/>
                <w:szCs w:val="18"/>
              </w:rPr>
              <w:t>，公</w:t>
            </w:r>
            <w:r>
              <w:rPr>
                <w:rFonts w:ascii="宋体" w:hAnsi="宋体" w:cs="宋体" w:eastAsia="宋体" w:hint="default"/>
                <w:spacing w:val="-58"/>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2019-136</w:t>
            </w:r>
          </w:p>
        </w:tc>
      </w:tr>
      <w:tr>
        <w:trPr>
          <w:trHeight w:val="740" w:hRule="exact"/>
        </w:trPr>
        <w:tc>
          <w:tcPr>
            <w:tcW w:w="3190" w:type="dxa"/>
            <w:vMerge w:val="restart"/>
            <w:tcBorders>
              <w:top w:val="single" w:sz="6" w:space="0" w:color="000000"/>
              <w:left w:val="single" w:sz="6" w:space="0" w:color="000000"/>
              <w:right w:val="single" w:sz="6" w:space="0" w:color="000000"/>
            </w:tcBorders>
          </w:tcPr>
          <w:p>
            <w:pPr>
              <w:pStyle w:val="TableParagraph"/>
              <w:spacing w:line="316" w:lineRule="auto" w:before="61"/>
              <w:ind w:left="2" w:right="3"/>
              <w:jc w:val="both"/>
              <w:rPr>
                <w:rFonts w:ascii="宋体" w:hAnsi="宋体" w:cs="宋体" w:eastAsia="宋体" w:hint="default"/>
                <w:sz w:val="18"/>
                <w:szCs w:val="18"/>
              </w:rPr>
            </w:pPr>
            <w:r>
              <w:rPr>
                <w:rFonts w:ascii="宋体" w:hAnsi="宋体" w:cs="宋体" w:eastAsia="宋体" w:hint="default"/>
                <w:spacing w:val="-4"/>
                <w:sz w:val="18"/>
                <w:szCs w:val="18"/>
              </w:rPr>
              <w:t>报告期内，为提高公司整体研发、运营的</w:t>
            </w:r>
            <w:r>
              <w:rPr>
                <w:rFonts w:ascii="宋体" w:hAnsi="宋体" w:cs="宋体" w:eastAsia="宋体" w:hint="default"/>
                <w:sz w:val="18"/>
                <w:szCs w:val="18"/>
              </w:rPr>
              <w:t> </w:t>
            </w:r>
            <w:r>
              <w:rPr>
                <w:rFonts w:ascii="宋体" w:hAnsi="宋体" w:cs="宋体" w:eastAsia="宋体" w:hint="default"/>
                <w:spacing w:val="-4"/>
                <w:sz w:val="18"/>
                <w:szCs w:val="18"/>
              </w:rPr>
              <w:t>经济收益，降低经营风险，公司向昆山银</w:t>
            </w:r>
            <w:r>
              <w:rPr>
                <w:rFonts w:ascii="宋体" w:hAnsi="宋体" w:cs="宋体" w:eastAsia="宋体" w:hint="default"/>
                <w:sz w:val="18"/>
                <w:szCs w:val="18"/>
              </w:rPr>
              <w:t> 桥转让持有苏州新国都的全部股权</w:t>
            </w:r>
          </w:p>
          <w:p>
            <w:pPr>
              <w:pStyle w:val="TableParagraph"/>
              <w:spacing w:line="307" w:lineRule="auto" w:before="19"/>
              <w:ind w:left="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96.32%</w:t>
            </w:r>
            <w:r>
              <w:rPr>
                <w:rFonts w:ascii="宋体" w:hAnsi="宋体" w:cs="宋体" w:eastAsia="宋体" w:hint="default"/>
                <w:spacing w:val="-5"/>
                <w:sz w:val="18"/>
                <w:szCs w:val="18"/>
              </w:rPr>
              <w:t>），公司预计因本次交易产生的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利润为</w:t>
            </w:r>
            <w:r>
              <w:rPr>
                <w:rFonts w:ascii="Times New Roman" w:hAnsi="Times New Roman" w:cs="Times New Roman" w:eastAsia="Times New Roman" w:hint="default"/>
                <w:spacing w:val="-2"/>
                <w:sz w:val="18"/>
                <w:szCs w:val="18"/>
              </w:rPr>
              <w:t>88,579,426.06</w:t>
            </w:r>
            <w:r>
              <w:rPr>
                <w:rFonts w:ascii="宋体" w:hAnsi="宋体" w:cs="宋体" w:eastAsia="宋体" w:hint="default"/>
                <w:spacing w:val="-2"/>
                <w:sz w:val="18"/>
                <w:szCs w:val="18"/>
              </w:rPr>
              <w:t>元，将对公司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68"/>
                <w:sz w:val="18"/>
                <w:szCs w:val="18"/>
              </w:rPr>
              <w:t> </w:t>
            </w:r>
            <w:r>
              <w:rPr>
                <w:rFonts w:ascii="宋体" w:hAnsi="宋体" w:cs="宋体" w:eastAsia="宋体" w:hint="default"/>
                <w:spacing w:val="-4"/>
                <w:sz w:val="18"/>
                <w:szCs w:val="18"/>
              </w:rPr>
              <w:t>度或</w:t>
            </w:r>
            <w:r>
              <w:rPr>
                <w:rFonts w:ascii="Times New Roman" w:hAnsi="Times New Roman" w:cs="Times New Roman" w:eastAsia="Times New Roman" w:hint="default"/>
                <w:spacing w:val="-4"/>
                <w:sz w:val="18"/>
                <w:szCs w:val="18"/>
              </w:rPr>
              <w:t>2020</w:t>
            </w:r>
            <w:r>
              <w:rPr>
                <w:rFonts w:ascii="宋体" w:hAnsi="宋体" w:cs="宋体" w:eastAsia="宋体" w:hint="default"/>
                <w:spacing w:val="-4"/>
                <w:sz w:val="18"/>
                <w:szCs w:val="18"/>
              </w:rPr>
              <w:t>年度经营业绩产生积极影响。本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次股权转让有利于公司的长远发展和持 续经营</w:t>
            </w:r>
            <w:r>
              <w:rPr>
                <w:rFonts w:ascii="Times New Roman" w:hAnsi="Times New Roman" w:cs="Times New Roman" w:eastAsia="Times New Roman" w:hint="default"/>
                <w:sz w:val="18"/>
                <w:szCs w:val="18"/>
              </w:rPr>
              <w:t>,</w:t>
            </w:r>
            <w:r>
              <w:rPr>
                <w:rFonts w:ascii="宋体" w:hAnsi="宋体" w:cs="宋体" w:eastAsia="宋体" w:hint="default"/>
                <w:sz w:val="18"/>
                <w:szCs w:val="18"/>
              </w:rPr>
              <w:t>符合全体股东的利益。转让所得 款项将用于公司业务发展、新业务投入 补充公司流动资金等日常经营所需资金</w:t>
            </w:r>
          </w:p>
          <w:p>
            <w:pPr>
              <w:pStyle w:val="TableParagraph"/>
              <w:spacing w:line="307" w:lineRule="auto" w:before="65"/>
              <w:ind w:left="2" w:right="3"/>
              <w:jc w:val="both"/>
              <w:rPr>
                <w:rFonts w:ascii="宋体" w:hAnsi="宋体" w:cs="宋体" w:eastAsia="宋体" w:hint="default"/>
                <w:sz w:val="18"/>
                <w:szCs w:val="18"/>
              </w:rPr>
            </w:pPr>
            <w:r>
              <w:rPr>
                <w:rFonts w:ascii="宋体" w:hAnsi="宋体" w:cs="宋体" w:eastAsia="宋体" w:hint="default"/>
                <w:spacing w:val="-4"/>
                <w:sz w:val="18"/>
                <w:szCs w:val="18"/>
              </w:rPr>
              <w:t>截至</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日，公司已收到昆山银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桥支付的第一期、第二期股权转让款合计</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247,773,568</w:t>
            </w:r>
            <w:r>
              <w:rPr>
                <w:rFonts w:ascii="宋体" w:hAnsi="宋体" w:cs="宋体" w:eastAsia="宋体" w:hint="default"/>
                <w:spacing w:val="-4"/>
                <w:sz w:val="18"/>
                <w:szCs w:val="18"/>
              </w:rPr>
              <w:t>元，并已完成工商变更登记手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续。</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3">
              <w:r>
                <w:rPr>
                  <w:rFonts w:ascii="Times New Roman" w:hAnsi="Times New Roman" w:cs="Times New Roman" w:eastAsia="Times New Roman" w:hint="default"/>
                  <w:spacing w:val="-5"/>
                  <w:sz w:val="18"/>
                  <w:szCs w:val="18"/>
                </w:rPr>
                <w:t>http://www.cninfo.com.cn</w:t>
              </w:r>
            </w:hyperlink>
            <w:r>
              <w:rPr>
                <w:rFonts w:ascii="宋体" w:hAnsi="宋体" w:cs="宋体" w:eastAsia="宋体" w:hint="default"/>
                <w:spacing w:val="-5"/>
                <w:sz w:val="18"/>
                <w:szCs w:val="18"/>
              </w:rPr>
              <w:t>，公</w:t>
            </w:r>
            <w:r>
              <w:rPr>
                <w:rFonts w:ascii="宋体" w:hAnsi="宋体" w:cs="宋体" w:eastAsia="宋体" w:hint="default"/>
                <w:spacing w:val="-58"/>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2019-154</w:t>
            </w:r>
          </w:p>
        </w:tc>
      </w:tr>
      <w:tr>
        <w:trPr>
          <w:trHeight w:val="3785" w:hRule="exact"/>
        </w:trPr>
        <w:tc>
          <w:tcPr>
            <w:tcW w:w="3190" w:type="dxa"/>
            <w:vMerge/>
            <w:tcBorders>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3">
              <w:r>
                <w:rPr>
                  <w:rFonts w:ascii="Times New Roman" w:hAnsi="Times New Roman" w:cs="Times New Roman" w:eastAsia="Times New Roman" w:hint="default"/>
                  <w:spacing w:val="-5"/>
                  <w:sz w:val="18"/>
                  <w:szCs w:val="18"/>
                </w:rPr>
                <w:t>http://www.cninfo.com.cn</w:t>
              </w:r>
            </w:hyperlink>
            <w:r>
              <w:rPr>
                <w:rFonts w:ascii="宋体" w:hAnsi="宋体" w:cs="宋体" w:eastAsia="宋体" w:hint="default"/>
                <w:spacing w:val="-5"/>
                <w:sz w:val="18"/>
                <w:szCs w:val="18"/>
              </w:rPr>
              <w:t>，公</w:t>
            </w:r>
            <w:r>
              <w:rPr>
                <w:rFonts w:ascii="宋体" w:hAnsi="宋体" w:cs="宋体" w:eastAsia="宋体" w:hint="default"/>
                <w:spacing w:val="-58"/>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2019-174</w:t>
            </w:r>
          </w:p>
        </w:tc>
      </w:tr>
    </w:tbl>
    <w:p>
      <w:pPr>
        <w:spacing w:after="0" w:line="297"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4"/>
        <w:spacing w:line="367" w:lineRule="exact"/>
        <w:ind w:right="1033"/>
        <w:jc w:val="left"/>
        <w:rPr>
          <w:b w:val="0"/>
          <w:bCs w:val="0"/>
        </w:rPr>
      </w:pPr>
      <w:r>
        <w:rPr/>
        <w:t>十九、公司子公司重大事项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44"/>
        <w:ind w:left="0" w:right="1104"/>
        <w:jc w:val="right"/>
      </w:pPr>
      <w:r>
        <w:rPr/>
        <w:pict>
          <v:shape style="position:absolute;margin-left:57.984001pt;margin-top:-396.448273pt;width:479.65pt;height:604.2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1"/>
                  </w:tblGrid>
                  <w:tr>
                    <w:trPr>
                      <w:trHeight w:val="425"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775" w:right="0"/>
                          <w:jc w:val="left"/>
                          <w:rPr>
                            <w:rFonts w:ascii="宋体" w:hAnsi="宋体" w:cs="宋体" w:eastAsia="宋体" w:hint="default"/>
                            <w:sz w:val="18"/>
                            <w:szCs w:val="18"/>
                          </w:rPr>
                        </w:pPr>
                        <w:r>
                          <w:rPr>
                            <w:rFonts w:ascii="宋体" w:hAnsi="宋体" w:cs="宋体" w:eastAsia="宋体" w:hint="default"/>
                            <w:sz w:val="18"/>
                            <w:szCs w:val="18"/>
                          </w:rPr>
                          <w:t>子公司重要事项概述</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1051"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设立新国都澳门有限公司</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1"/>
                          <w:jc w:val="left"/>
                          <w:rPr>
                            <w:rFonts w:ascii="宋体" w:hAnsi="宋体" w:cs="宋体" w:eastAsia="宋体" w:hint="default"/>
                            <w:sz w:val="18"/>
                            <w:szCs w:val="18"/>
                          </w:rPr>
                        </w:pPr>
                        <w:r>
                          <w:rPr>
                            <w:rFonts w:ascii="宋体" w:hAnsi="宋体" w:cs="宋体" w:eastAsia="宋体" w:hint="default"/>
                            <w:spacing w:val="-4"/>
                            <w:sz w:val="18"/>
                            <w:szCs w:val="18"/>
                          </w:rPr>
                          <w:t>巨潮资讯网《关于设立二级控股子公司暨</w:t>
                        </w:r>
                        <w:r>
                          <w:rPr>
                            <w:rFonts w:ascii="宋体" w:hAnsi="宋体" w:cs="宋体" w:eastAsia="宋体" w:hint="default"/>
                            <w:sz w:val="18"/>
                            <w:szCs w:val="18"/>
                          </w:rPr>
                          <w:t> 工商登记完成的公告》（公告编号： </w:t>
                        </w:r>
                        <w:r>
                          <w:rPr>
                            <w:rFonts w:ascii="Times New Roman" w:hAnsi="Times New Roman" w:cs="Times New Roman" w:eastAsia="Times New Roman" w:hint="default"/>
                            <w:sz w:val="18"/>
                            <w:szCs w:val="18"/>
                          </w:rPr>
                          <w:t>2019-006</w:t>
                        </w:r>
                        <w:r>
                          <w:rPr>
                            <w:rFonts w:ascii="宋体" w:hAnsi="宋体" w:cs="宋体" w:eastAsia="宋体" w:hint="default"/>
                            <w:sz w:val="18"/>
                            <w:szCs w:val="18"/>
                          </w:rPr>
                          <w:t>）</w:t>
                        </w:r>
                      </w:p>
                    </w:tc>
                  </w:tr>
                  <w:tr>
                    <w:trPr>
                      <w:trHeight w:val="740"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设立新国都通信</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巨潮资讯网《关于设立二级子公司暨工商</w:t>
                        </w:r>
                        <w:r>
                          <w:rPr>
                            <w:rFonts w:ascii="宋体" w:hAnsi="宋体" w:cs="宋体" w:eastAsia="宋体" w:hint="default"/>
                            <w:sz w:val="18"/>
                            <w:szCs w:val="18"/>
                          </w:rPr>
                          <w:t> </w:t>
                        </w:r>
                        <w:r>
                          <w:rPr>
                            <w:rFonts w:ascii="宋体" w:hAnsi="宋体" w:cs="宋体" w:eastAsia="宋体" w:hint="default"/>
                            <w:spacing w:val="-7"/>
                            <w:sz w:val="18"/>
                            <w:szCs w:val="18"/>
                          </w:rPr>
                          <w:t>登记完成的公告》（公告编号：</w:t>
                        </w:r>
                        <w:r>
                          <w:rPr>
                            <w:rFonts w:ascii="Times New Roman" w:hAnsi="Times New Roman" w:cs="Times New Roman" w:eastAsia="Times New Roman" w:hint="default"/>
                            <w:spacing w:val="-7"/>
                            <w:sz w:val="18"/>
                            <w:szCs w:val="18"/>
                          </w:rPr>
                          <w:t>2019-131</w:t>
                        </w:r>
                      </w:p>
                    </w:tc>
                  </w:tr>
                  <w:tr>
                    <w:trPr>
                      <w:trHeight w:val="1051" w:hRule="exact"/>
                    </w:trPr>
                    <w:tc>
                      <w:tcPr>
                        <w:tcW w:w="3190"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设立新国都腾云</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pacing w:val="-4"/>
                            <w:sz w:val="18"/>
                            <w:szCs w:val="18"/>
                          </w:rPr>
                          <w:t>巨潮资讯网《关于设立二级子公司完成工</w:t>
                        </w:r>
                        <w:r>
                          <w:rPr>
                            <w:rFonts w:ascii="宋体" w:hAnsi="宋体" w:cs="宋体" w:eastAsia="宋体" w:hint="default"/>
                            <w:sz w:val="18"/>
                            <w:szCs w:val="18"/>
                          </w:rPr>
                          <w:t> 商登记注册的公告》（公告编号：</w:t>
                        </w:r>
                      </w:p>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2019-163</w:t>
                        </w:r>
                        <w:r>
                          <w:rPr>
                            <w:rFonts w:ascii="宋体" w:hAnsi="宋体" w:cs="宋体" w:eastAsia="宋体" w:hint="default"/>
                            <w:sz w:val="18"/>
                            <w:szCs w:val="18"/>
                          </w:rPr>
                          <w:t>）</w:t>
                        </w:r>
                      </w:p>
                    </w:tc>
                  </w:tr>
                  <w:tr>
                    <w:trPr>
                      <w:trHeight w:val="1051" w:hRule="exact"/>
                    </w:trPr>
                    <w:tc>
                      <w:tcPr>
                        <w:tcW w:w="3190" w:type="dxa"/>
                        <w:vMerge/>
                        <w:tcBorders>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pacing w:val="-4"/>
                            <w:sz w:val="18"/>
                            <w:szCs w:val="18"/>
                          </w:rPr>
                          <w:t>巨潮资讯网《关于设立二级子公司完成工</w:t>
                        </w:r>
                        <w:r>
                          <w:rPr>
                            <w:rFonts w:ascii="宋体" w:hAnsi="宋体" w:cs="宋体" w:eastAsia="宋体" w:hint="default"/>
                            <w:sz w:val="18"/>
                            <w:szCs w:val="18"/>
                          </w:rPr>
                          <w:t> 商登记注册的公告》（公告编号：</w:t>
                        </w:r>
                      </w:p>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2019-170</w:t>
                        </w:r>
                        <w:r>
                          <w:rPr>
                            <w:rFonts w:ascii="宋体" w:hAnsi="宋体" w:cs="宋体" w:eastAsia="宋体" w:hint="default"/>
                            <w:sz w:val="18"/>
                            <w:szCs w:val="18"/>
                          </w:rPr>
                          <w:t>）</w:t>
                        </w:r>
                      </w:p>
                    </w:tc>
                  </w:tr>
                  <w:tr>
                    <w:trPr>
                      <w:trHeight w:val="1052"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设立新国都印度有限公司</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pacing w:val="-4"/>
                            <w:sz w:val="18"/>
                            <w:szCs w:val="18"/>
                          </w:rPr>
                          <w:t>巨潮资讯网《关于设立二级子公司完成工</w:t>
                        </w:r>
                        <w:r>
                          <w:rPr>
                            <w:rFonts w:ascii="宋体" w:hAnsi="宋体" w:cs="宋体" w:eastAsia="宋体" w:hint="default"/>
                            <w:sz w:val="18"/>
                            <w:szCs w:val="18"/>
                          </w:rPr>
                          <w:t> 商登记注册的公告》（公告编号：</w:t>
                        </w:r>
                      </w:p>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2019-153</w:t>
                        </w:r>
                        <w:r>
                          <w:rPr>
                            <w:rFonts w:ascii="宋体" w:hAnsi="宋体" w:cs="宋体" w:eastAsia="宋体" w:hint="default"/>
                            <w:sz w:val="18"/>
                            <w:szCs w:val="18"/>
                          </w:rPr>
                          <w:t>）</w:t>
                        </w:r>
                      </w:p>
                    </w:tc>
                  </w:tr>
                  <w:tr>
                    <w:trPr>
                      <w:trHeight w:val="739"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设立新国都欧洲股份有限公司</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巨潮资讯网《关于设立二级子公司暨工商</w:t>
                        </w:r>
                        <w:r>
                          <w:rPr>
                            <w:rFonts w:ascii="宋体" w:hAnsi="宋体" w:cs="宋体" w:eastAsia="宋体" w:hint="default"/>
                            <w:sz w:val="18"/>
                            <w:szCs w:val="18"/>
                          </w:rPr>
                          <w:t> </w:t>
                        </w:r>
                        <w:r>
                          <w:rPr>
                            <w:rFonts w:ascii="宋体" w:hAnsi="宋体" w:cs="宋体" w:eastAsia="宋体" w:hint="default"/>
                            <w:spacing w:val="-7"/>
                            <w:sz w:val="18"/>
                            <w:szCs w:val="18"/>
                          </w:rPr>
                          <w:t>登记完成的公告》（公告编号：</w:t>
                        </w:r>
                        <w:r>
                          <w:rPr>
                            <w:rFonts w:ascii="Times New Roman" w:hAnsi="Times New Roman" w:cs="Times New Roman" w:eastAsia="Times New Roman" w:hint="default"/>
                            <w:spacing w:val="-7"/>
                            <w:sz w:val="18"/>
                            <w:szCs w:val="18"/>
                          </w:rPr>
                          <w:t>2019-159</w:t>
                        </w:r>
                      </w:p>
                    </w:tc>
                  </w:tr>
                  <w:tr>
                    <w:trPr>
                      <w:trHeight w:val="739" w:hRule="exact"/>
                    </w:trPr>
                    <w:tc>
                      <w:tcPr>
                        <w:tcW w:w="3190" w:type="dxa"/>
                        <w:vMerge w:val="restart"/>
                        <w:tcBorders>
                          <w:top w:val="single" w:sz="6" w:space="0" w:color="000000"/>
                          <w:left w:val="single" w:sz="6" w:space="0" w:color="000000"/>
                          <w:right w:val="single" w:sz="6" w:space="0" w:color="000000"/>
                        </w:tcBorders>
                      </w:tcPr>
                      <w:p>
                        <w:pPr>
                          <w:pStyle w:val="TableParagraph"/>
                          <w:spacing w:line="316" w:lineRule="auto" w:before="58"/>
                          <w:ind w:left="2" w:right="111"/>
                          <w:jc w:val="left"/>
                          <w:rPr>
                            <w:rFonts w:ascii="宋体" w:hAnsi="宋体" w:cs="宋体" w:eastAsia="宋体" w:hint="default"/>
                            <w:sz w:val="18"/>
                            <w:szCs w:val="18"/>
                          </w:rPr>
                        </w:pPr>
                        <w:r>
                          <w:rPr>
                            <w:rFonts w:ascii="宋体" w:hAnsi="宋体" w:cs="宋体" w:eastAsia="宋体" w:hint="default"/>
                            <w:sz w:val="18"/>
                            <w:szCs w:val="18"/>
                          </w:rPr>
                          <w:t>嘉联支付以自有资金向其全资子公司嘉 联云增资</w:t>
                        </w:r>
                        <w:r>
                          <w:rPr>
                            <w:rFonts w:ascii="Times New Roman" w:hAnsi="Times New Roman" w:cs="Times New Roman" w:eastAsia="Times New Roman" w:hint="default"/>
                            <w:sz w:val="18"/>
                            <w:szCs w:val="18"/>
                          </w:rPr>
                          <w:t>4,900</w:t>
                        </w:r>
                        <w:r>
                          <w:rPr>
                            <w:rFonts w:ascii="宋体" w:hAnsi="宋体" w:cs="宋体" w:eastAsia="宋体" w:hint="default"/>
                            <w:sz w:val="18"/>
                            <w:szCs w:val="18"/>
                          </w:rPr>
                          <w:t>万元</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4"/>
                            <w:sz w:val="18"/>
                            <w:szCs w:val="18"/>
                          </w:rPr>
                          <w:t>巨潮资讯网《关于拟对公司二级子公司增</w:t>
                        </w:r>
                        <w:r>
                          <w:rPr>
                            <w:rFonts w:ascii="宋体" w:hAnsi="宋体" w:cs="宋体" w:eastAsia="宋体" w:hint="default"/>
                            <w:sz w:val="18"/>
                            <w:szCs w:val="18"/>
                          </w:rPr>
                          <w:t> 资的公告》（公告编号：</w:t>
                        </w:r>
                        <w:r>
                          <w:rPr>
                            <w:rFonts w:ascii="Times New Roman" w:hAnsi="Times New Roman" w:cs="Times New Roman" w:eastAsia="Times New Roman" w:hint="default"/>
                            <w:sz w:val="18"/>
                            <w:szCs w:val="18"/>
                          </w:rPr>
                          <w:t>2019-142</w:t>
                        </w:r>
                        <w:r>
                          <w:rPr>
                            <w:rFonts w:ascii="宋体" w:hAnsi="宋体" w:cs="宋体" w:eastAsia="宋体" w:hint="default"/>
                            <w:sz w:val="18"/>
                            <w:szCs w:val="18"/>
                          </w:rPr>
                          <w:t>）</w:t>
                        </w:r>
                      </w:p>
                    </w:tc>
                  </w:tr>
                  <w:tr>
                    <w:trPr>
                      <w:trHeight w:val="739" w:hRule="exact"/>
                    </w:trPr>
                    <w:tc>
                      <w:tcPr>
                        <w:tcW w:w="3190" w:type="dxa"/>
                        <w:vMerge/>
                        <w:tcBorders>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4"/>
                            <w:sz w:val="18"/>
                            <w:szCs w:val="18"/>
                          </w:rPr>
                          <w:t>巨潮资讯网《关于子公司完成工商变更登</w:t>
                        </w:r>
                        <w:r>
                          <w:rPr>
                            <w:rFonts w:ascii="宋体" w:hAnsi="宋体" w:cs="宋体" w:eastAsia="宋体" w:hint="default"/>
                            <w:sz w:val="18"/>
                            <w:szCs w:val="18"/>
                          </w:rPr>
                          <w:t> 记的公告》（公告编号：</w:t>
                        </w:r>
                        <w:r>
                          <w:rPr>
                            <w:rFonts w:ascii="Times New Roman" w:hAnsi="Times New Roman" w:cs="Times New Roman" w:eastAsia="Times New Roman" w:hint="default"/>
                            <w:sz w:val="18"/>
                            <w:szCs w:val="18"/>
                          </w:rPr>
                          <w:t>2019-152</w:t>
                        </w:r>
                        <w:r>
                          <w:rPr>
                            <w:rFonts w:ascii="宋体" w:hAnsi="宋体" w:cs="宋体" w:eastAsia="宋体" w:hint="default"/>
                            <w:sz w:val="18"/>
                            <w:szCs w:val="18"/>
                          </w:rPr>
                          <w:t>）</w:t>
                        </w:r>
                      </w:p>
                    </w:tc>
                  </w:tr>
                  <w:tr>
                    <w:trPr>
                      <w:trHeight w:val="1090"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2" w:right="111"/>
                          <w:jc w:val="left"/>
                          <w:rPr>
                            <w:rFonts w:ascii="宋体" w:hAnsi="宋体" w:cs="宋体" w:eastAsia="宋体" w:hint="default"/>
                            <w:sz w:val="18"/>
                            <w:szCs w:val="18"/>
                          </w:rPr>
                        </w:pPr>
                        <w:r>
                          <w:rPr>
                            <w:rFonts w:ascii="宋体" w:hAnsi="宋体" w:cs="宋体" w:eastAsia="宋体" w:hint="default"/>
                            <w:sz w:val="18"/>
                            <w:szCs w:val="18"/>
                          </w:rPr>
                          <w:t>注销中宗电子、中正智能杭州江干分公 司。</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4" w:right="1"/>
                          <w:jc w:val="left"/>
                          <w:rPr>
                            <w:rFonts w:ascii="宋体" w:hAnsi="宋体" w:cs="宋体" w:eastAsia="宋体" w:hint="default"/>
                            <w:sz w:val="18"/>
                            <w:szCs w:val="18"/>
                          </w:rPr>
                        </w:pPr>
                        <w:r>
                          <w:rPr>
                            <w:rFonts w:ascii="宋体" w:hAnsi="宋体" w:cs="宋体" w:eastAsia="宋体" w:hint="default"/>
                            <w:spacing w:val="-4"/>
                            <w:sz w:val="18"/>
                            <w:szCs w:val="18"/>
                          </w:rPr>
                          <w:t>巨潮资讯网《关于子公司及分公司注销并</w:t>
                        </w:r>
                        <w:r>
                          <w:rPr>
                            <w:rFonts w:ascii="宋体" w:hAnsi="宋体" w:cs="宋体" w:eastAsia="宋体" w:hint="default"/>
                            <w:sz w:val="18"/>
                            <w:szCs w:val="18"/>
                          </w:rPr>
                          <w:t> 完成工商变更登记的公告》（公告编号 </w:t>
                        </w:r>
                        <w:r>
                          <w:rPr>
                            <w:rFonts w:ascii="Times New Roman" w:hAnsi="Times New Roman" w:cs="Times New Roman" w:eastAsia="Times New Roman" w:hint="default"/>
                            <w:sz w:val="18"/>
                            <w:szCs w:val="18"/>
                          </w:rPr>
                          <w:t>2019-158</w:t>
                        </w:r>
                        <w:r>
                          <w:rPr>
                            <w:rFonts w:ascii="宋体" w:hAnsi="宋体" w:cs="宋体" w:eastAsia="宋体" w:hint="default"/>
                            <w:sz w:val="18"/>
                            <w:szCs w:val="18"/>
                          </w:rPr>
                          <w:t>）</w:t>
                        </w:r>
                      </w:p>
                    </w:tc>
                  </w:tr>
                  <w:tr>
                    <w:trPr>
                      <w:trHeight w:val="1051" w:hRule="exact"/>
                    </w:trPr>
                    <w:tc>
                      <w:tcPr>
                        <w:tcW w:w="3190" w:type="dxa"/>
                        <w:vMerge w:val="restart"/>
                        <w:tcBorders>
                          <w:top w:val="single" w:sz="6" w:space="0" w:color="000000"/>
                          <w:left w:val="single" w:sz="6" w:space="0" w:color="000000"/>
                          <w:right w:val="single" w:sz="6" w:space="0" w:color="000000"/>
                        </w:tcBorders>
                      </w:tcPr>
                      <w:p>
                        <w:pPr>
                          <w:pStyle w:val="TableParagraph"/>
                          <w:spacing w:line="309" w:lineRule="auto" w:before="61"/>
                          <w:ind w:left="2" w:right="3"/>
                          <w:jc w:val="left"/>
                          <w:rPr>
                            <w:rFonts w:ascii="宋体" w:hAnsi="宋体" w:cs="宋体" w:eastAsia="宋体" w:hint="default"/>
                            <w:sz w:val="18"/>
                            <w:szCs w:val="18"/>
                          </w:rPr>
                        </w:pPr>
                        <w:r>
                          <w:rPr>
                            <w:rFonts w:ascii="宋体" w:hAnsi="宋体" w:cs="宋体" w:eastAsia="宋体" w:hint="default"/>
                            <w:sz w:val="18"/>
                            <w:szCs w:val="18"/>
                          </w:rPr>
                          <w:t>公司向合格投资者非公开发行不超过</w:t>
                        </w:r>
                        <w:r>
                          <w:rPr>
                            <w:rFonts w:ascii="Times New Roman" w:hAnsi="Times New Roman" w:cs="Times New Roman" w:eastAsia="Times New Roman" w:hint="default"/>
                            <w:sz w:val="18"/>
                            <w:szCs w:val="18"/>
                          </w:rPr>
                          <w:t>3</w:t>
                        </w:r>
                        <w:r>
                          <w:rPr>
                            <w:rFonts w:ascii="宋体" w:hAnsi="宋体" w:cs="宋体" w:eastAsia="宋体" w:hint="default"/>
                            <w:sz w:val="18"/>
                            <w:szCs w:val="18"/>
                          </w:rPr>
                          <w:t>亿 元（含</w:t>
                        </w:r>
                        <w:r>
                          <w:rPr>
                            <w:rFonts w:ascii="Times New Roman" w:hAnsi="Times New Roman" w:cs="Times New Roman" w:eastAsia="Times New Roman" w:hint="default"/>
                            <w:sz w:val="18"/>
                            <w:szCs w:val="18"/>
                          </w:rPr>
                          <w:t>3</w:t>
                        </w:r>
                        <w:r>
                          <w:rPr>
                            <w:rFonts w:ascii="宋体" w:hAnsi="宋体" w:cs="宋体" w:eastAsia="宋体" w:hint="default"/>
                            <w:sz w:val="18"/>
                            <w:szCs w:val="18"/>
                          </w:rPr>
                          <w:t>亿元）公司债券事项，深圳市中 </w:t>
                        </w:r>
                        <w:r>
                          <w:rPr>
                            <w:rFonts w:ascii="宋体" w:hAnsi="宋体" w:cs="宋体" w:eastAsia="宋体" w:hint="default"/>
                            <w:spacing w:val="-4"/>
                            <w:sz w:val="18"/>
                            <w:szCs w:val="18"/>
                          </w:rPr>
                          <w:t>小企业信用融资担保集团有限公司（以下</w:t>
                        </w:r>
                        <w:r>
                          <w:rPr>
                            <w:rFonts w:ascii="宋体" w:hAnsi="宋体" w:cs="宋体" w:eastAsia="宋体" w:hint="default"/>
                            <w:sz w:val="18"/>
                            <w:szCs w:val="18"/>
                          </w:rPr>
                          <w:t> </w:t>
                        </w:r>
                        <w:r>
                          <w:rPr>
                            <w:rFonts w:ascii="宋体" w:hAnsi="宋体" w:cs="宋体" w:eastAsia="宋体" w:hint="default"/>
                            <w:spacing w:val="-3"/>
                            <w:sz w:val="18"/>
                            <w:szCs w:val="18"/>
                          </w:rPr>
                          <w:t>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担保机构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）为本次发行债券提供保证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担保，应担保机构要求，公司控股子公司</w:t>
                        </w:r>
                        <w:r>
                          <w:rPr>
                            <w:rFonts w:ascii="宋体" w:hAnsi="宋体" w:cs="宋体" w:eastAsia="宋体" w:hint="default"/>
                            <w:sz w:val="18"/>
                            <w:szCs w:val="18"/>
                          </w:rPr>
                          <w:t> 苏州新国都电子技术有限公司担保机构 提供保证反担保。</w:t>
                        </w:r>
                      </w:p>
                      <w:p>
                        <w:pPr>
                          <w:pStyle w:val="TableParagraph"/>
                          <w:spacing w:line="316" w:lineRule="auto" w:before="65"/>
                          <w:ind w:left="2" w:right="111"/>
                          <w:jc w:val="left"/>
                          <w:rPr>
                            <w:rFonts w:ascii="宋体" w:hAnsi="宋体" w:cs="宋体" w:eastAsia="宋体" w:hint="default"/>
                            <w:sz w:val="18"/>
                            <w:szCs w:val="18"/>
                          </w:rPr>
                        </w:pPr>
                        <w:r>
                          <w:rPr>
                            <w:rFonts w:ascii="宋体" w:hAnsi="宋体" w:cs="宋体" w:eastAsia="宋体" w:hint="default"/>
                            <w:sz w:val="18"/>
                            <w:szCs w:val="18"/>
                          </w:rPr>
                          <w:t>后因苏州新国都股权全部转让给昆山银 桥，上述担保事项已解除。</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1"/>
                          <w:jc w:val="left"/>
                          <w:rPr>
                            <w:rFonts w:ascii="宋体" w:hAnsi="宋体" w:cs="宋体" w:eastAsia="宋体" w:hint="default"/>
                            <w:sz w:val="18"/>
                            <w:szCs w:val="18"/>
                          </w:rPr>
                        </w:pPr>
                        <w:r>
                          <w:rPr>
                            <w:rFonts w:ascii="宋体" w:hAnsi="宋体" w:cs="宋体" w:eastAsia="宋体" w:hint="default"/>
                            <w:spacing w:val="-4"/>
                            <w:sz w:val="18"/>
                            <w:szCs w:val="18"/>
                          </w:rPr>
                          <w:t>巨潮资讯网《关于控股子公司拟为公司发</w:t>
                        </w:r>
                        <w:r>
                          <w:rPr>
                            <w:rFonts w:ascii="宋体" w:hAnsi="宋体" w:cs="宋体" w:eastAsia="宋体" w:hint="default"/>
                            <w:sz w:val="18"/>
                            <w:szCs w:val="18"/>
                          </w:rPr>
                          <w:t> 行债券提供反担保的公告》（公告编号 </w:t>
                        </w:r>
                        <w:r>
                          <w:rPr>
                            <w:rFonts w:ascii="Times New Roman" w:hAnsi="Times New Roman" w:cs="Times New Roman" w:eastAsia="Times New Roman" w:hint="default"/>
                            <w:sz w:val="18"/>
                            <w:szCs w:val="18"/>
                          </w:rPr>
                          <w:t>2019-110</w:t>
                        </w:r>
                        <w:r>
                          <w:rPr>
                            <w:rFonts w:ascii="宋体" w:hAnsi="宋体" w:cs="宋体" w:eastAsia="宋体" w:hint="default"/>
                            <w:sz w:val="18"/>
                            <w:szCs w:val="18"/>
                          </w:rPr>
                          <w:t>）</w:t>
                        </w:r>
                      </w:p>
                    </w:tc>
                  </w:tr>
                  <w:tr>
                    <w:trPr>
                      <w:trHeight w:val="1913" w:hRule="exact"/>
                    </w:trPr>
                    <w:tc>
                      <w:tcPr>
                        <w:tcW w:w="3190" w:type="dxa"/>
                        <w:vMerge/>
                        <w:tcBorders>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pacing w:val="-4"/>
                            <w:sz w:val="18"/>
                            <w:szCs w:val="18"/>
                          </w:rPr>
                          <w:t>巨潮资讯网《关于转让控股子公司股权的</w:t>
                        </w:r>
                        <w:r>
                          <w:rPr>
                            <w:rFonts w:ascii="宋体" w:hAnsi="宋体" w:cs="宋体" w:eastAsia="宋体" w:hint="default"/>
                            <w:sz w:val="18"/>
                            <w:szCs w:val="18"/>
                          </w:rPr>
                          <w:t> 公告》（公告编号：</w:t>
                        </w:r>
                        <w:r>
                          <w:rPr>
                            <w:rFonts w:ascii="Times New Roman" w:hAnsi="Times New Roman" w:cs="Times New Roman" w:eastAsia="Times New Roman" w:hint="default"/>
                            <w:sz w:val="18"/>
                            <w:szCs w:val="18"/>
                          </w:rPr>
                          <w:t>2019-154</w:t>
                        </w:r>
                        <w:r>
                          <w:rPr>
                            <w:rFonts w:ascii="宋体" w:hAnsi="宋体" w:cs="宋体" w:eastAsia="宋体" w:hint="default"/>
                            <w:sz w:val="18"/>
                            <w:szCs w:val="18"/>
                          </w:rPr>
                          <w:t>）</w:t>
                        </w:r>
                      </w:p>
                    </w:tc>
                  </w:tr>
                  <w:tr>
                    <w:trPr>
                      <w:trHeight w:val="427"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公司向合格投资者非公开发行不超过</w:t>
                        </w:r>
                        <w:r>
                          <w:rPr>
                            <w:rFonts w:ascii="Times New Roman" w:hAnsi="Times New Roman" w:cs="Times New Roman" w:eastAsia="Times New Roman" w:hint="default"/>
                            <w:sz w:val="18"/>
                            <w:szCs w:val="18"/>
                          </w:rPr>
                          <w:t>3</w:t>
                        </w:r>
                        <w:r>
                          <w:rPr>
                            <w:rFonts w:ascii="宋体" w:hAnsi="宋体" w:cs="宋体" w:eastAsia="宋体" w:hint="default"/>
                            <w:sz w:val="18"/>
                            <w:szCs w:val="18"/>
                          </w:rPr>
                          <w:t>亿</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pacing w:val="-4"/>
                            <w:sz w:val="18"/>
                            <w:szCs w:val="18"/>
                          </w:rPr>
                          <w:t>巨潮资讯网《关于全资子公司嘉联支付拟</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44"/>
        <w:ind w:left="0" w:right="1105"/>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79" w:type="dxa"/>
        <w:tblLayout w:type="fixed"/>
        <w:tblCellMar>
          <w:top w:w="0" w:type="dxa"/>
          <w:left w:w="0" w:type="dxa"/>
          <w:bottom w:w="0" w:type="dxa"/>
          <w:right w:w="0" w:type="dxa"/>
        </w:tblCellMar>
        <w:tblLook w:val="01E0"/>
      </w:tblPr>
      <w:tblGrid>
        <w:gridCol w:w="3190"/>
        <w:gridCol w:w="3190"/>
        <w:gridCol w:w="3191"/>
      </w:tblGrid>
      <w:tr>
        <w:trPr>
          <w:trHeight w:val="1988" w:hRule="exact"/>
        </w:trPr>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8"/>
              <w:ind w:left="2" w:right="3"/>
              <w:jc w:val="left"/>
              <w:rPr>
                <w:rFonts w:ascii="宋体" w:hAnsi="宋体" w:cs="宋体" w:eastAsia="宋体" w:hint="default"/>
                <w:sz w:val="18"/>
                <w:szCs w:val="18"/>
              </w:rPr>
            </w:pPr>
            <w:r>
              <w:rPr>
                <w:rFonts w:ascii="宋体" w:hAnsi="宋体" w:cs="宋体" w:eastAsia="宋体" w:hint="default"/>
                <w:sz w:val="18"/>
                <w:szCs w:val="18"/>
              </w:rPr>
              <w:t>元（含</w:t>
            </w:r>
            <w:r>
              <w:rPr>
                <w:rFonts w:ascii="Times New Roman" w:hAnsi="Times New Roman" w:cs="Times New Roman" w:eastAsia="Times New Roman" w:hint="default"/>
                <w:sz w:val="18"/>
                <w:szCs w:val="18"/>
              </w:rPr>
              <w:t>3</w:t>
            </w:r>
            <w:r>
              <w:rPr>
                <w:rFonts w:ascii="宋体" w:hAnsi="宋体" w:cs="宋体" w:eastAsia="宋体" w:hint="default"/>
                <w:sz w:val="18"/>
                <w:szCs w:val="18"/>
              </w:rPr>
              <w:t>亿元）公司债券事项，深圳市中 小企业信用融资担保集团有限公司为本 </w:t>
            </w:r>
            <w:r>
              <w:rPr>
                <w:rFonts w:ascii="宋体" w:hAnsi="宋体" w:cs="宋体" w:eastAsia="宋体" w:hint="default"/>
                <w:spacing w:val="-4"/>
                <w:sz w:val="18"/>
                <w:szCs w:val="18"/>
              </w:rPr>
              <w:t>次发行债券提供保证担保，应担保机构要</w:t>
            </w:r>
            <w:r>
              <w:rPr>
                <w:rFonts w:ascii="宋体" w:hAnsi="宋体" w:cs="宋体" w:eastAsia="宋体" w:hint="default"/>
                <w:sz w:val="18"/>
                <w:szCs w:val="18"/>
              </w:rPr>
              <w:t> </w:t>
            </w:r>
            <w:r>
              <w:rPr>
                <w:rFonts w:ascii="宋体" w:hAnsi="宋体" w:cs="宋体" w:eastAsia="宋体" w:hint="default"/>
                <w:spacing w:val="-4"/>
                <w:sz w:val="18"/>
                <w:szCs w:val="18"/>
              </w:rPr>
              <w:t>求，公司全资子公司嘉联支付有限公司向</w:t>
            </w:r>
            <w:r>
              <w:rPr>
                <w:rFonts w:ascii="宋体" w:hAnsi="宋体" w:cs="宋体" w:eastAsia="宋体" w:hint="default"/>
                <w:sz w:val="18"/>
                <w:szCs w:val="18"/>
              </w:rPr>
              <w:t> 担保机构提供保证反担保。</w:t>
            </w:r>
          </w:p>
        </w:tc>
        <w:tc>
          <w:tcPr>
            <w:tcW w:w="3190" w:type="dxa"/>
            <w:tcBorders>
              <w:top w:val="single" w:sz="6" w:space="0" w:color="000000"/>
              <w:left w:val="single" w:sz="6" w:space="0" w:color="000000"/>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1"/>
              <w:jc w:val="left"/>
              <w:rPr>
                <w:rFonts w:ascii="宋体" w:hAnsi="宋体" w:cs="宋体" w:eastAsia="宋体" w:hint="default"/>
                <w:sz w:val="18"/>
                <w:szCs w:val="18"/>
              </w:rPr>
            </w:pPr>
            <w:r>
              <w:rPr>
                <w:rFonts w:ascii="宋体" w:hAnsi="宋体" w:cs="宋体" w:eastAsia="宋体" w:hint="default"/>
                <w:spacing w:val="-4"/>
                <w:sz w:val="18"/>
                <w:szCs w:val="18"/>
              </w:rPr>
              <w:t>为公司发行债券提供反担保的公告》（公</w:t>
            </w:r>
            <w:r>
              <w:rPr>
                <w:rFonts w:ascii="宋体" w:hAnsi="宋体" w:cs="宋体" w:eastAsia="宋体" w:hint="default"/>
                <w:sz w:val="18"/>
                <w:szCs w:val="18"/>
              </w:rPr>
              <w:t> 告编号：</w:t>
            </w:r>
            <w:r>
              <w:rPr>
                <w:rFonts w:ascii="Times New Roman" w:hAnsi="Times New Roman" w:cs="Times New Roman" w:eastAsia="Times New Roman" w:hint="default"/>
                <w:sz w:val="18"/>
                <w:szCs w:val="18"/>
              </w:rPr>
              <w:t>2019-111</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35"/>
        <w:ind w:left="2964" w:right="1033"/>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4"/>
        <w:spacing w:line="367" w:lineRule="exact"/>
        <w:ind w:right="1033"/>
        <w:jc w:val="left"/>
        <w:rPr>
          <w:b w:val="0"/>
          <w:bCs w:val="0"/>
        </w:rPr>
      </w:pPr>
      <w:r>
        <w:rPr/>
        <w:t>一、股份变动情况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3"/>
        <w:gridCol w:w="824"/>
        <w:gridCol w:w="821"/>
        <w:gridCol w:w="823"/>
        <w:gridCol w:w="821"/>
        <w:gridCol w:w="823"/>
        <w:gridCol w:w="795"/>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795"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142,919,5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29.91%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114,747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-212,305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-97,558</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142,821,9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29.22%</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142,919,5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29.91%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114,747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-212,305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-97,558</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142,821,9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29.22%</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142,919,5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29.91%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114,747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-212,305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-97,558</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142,821,9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29.22%</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334,978,2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70.09%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10,686,26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212,305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10,898,57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345,876,8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70.78%</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334,978,2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70.09%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212,305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10,898,57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345,876,8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70.78%</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477,897,7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10,801,01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10,801,01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488,698,7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1033"/>
        <w:jc w:val="left"/>
      </w:pPr>
      <w:r>
        <w:rPr/>
        <w:t>股份变动的原因</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3"/>
          <w:szCs w:val="13"/>
        </w:rPr>
      </w:pPr>
    </w:p>
    <w:p>
      <w:pPr>
        <w:pStyle w:val="BodyText"/>
        <w:spacing w:line="451" w:lineRule="auto"/>
        <w:ind w:right="1033" w:firstLine="420"/>
        <w:jc w:val="left"/>
      </w:pPr>
      <w:r>
        <w:rPr/>
        <w:t>公司</w:t>
      </w:r>
      <w:r>
        <w:rPr>
          <w:rFonts w:ascii="Times New Roman" w:hAnsi="Times New Roman" w:cs="Times New Roman" w:eastAsia="Times New Roman" w:hint="default"/>
        </w:rPr>
        <w:t>2017</w:t>
      </w:r>
      <w:r>
        <w:rPr/>
        <w:t>年股票期权激励计划第二个行权期行权时间为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日，报告期间，公司</w:t>
      </w:r>
      <w:r>
        <w:rPr>
          <w:rFonts w:ascii="Times New Roman" w:hAnsi="Times New Roman" w:cs="Times New Roman" w:eastAsia="Times New Roman" w:hint="default"/>
        </w:rPr>
        <w:t>2017</w:t>
      </w:r>
      <w:r>
        <w:rPr/>
        <w:t>年股票 期权激励计划第二个行权期的行权期权数量为</w:t>
      </w:r>
      <w:r>
        <w:rPr>
          <w:rFonts w:ascii="Times New Roman" w:hAnsi="Times New Roman" w:cs="Times New Roman" w:eastAsia="Times New Roman" w:hint="default"/>
        </w:rPr>
        <w:t>6,707,069</w:t>
      </w:r>
      <w:r>
        <w:rPr/>
        <w:t>份，增加股份</w:t>
      </w:r>
      <w:r>
        <w:rPr>
          <w:rFonts w:ascii="Times New Roman" w:hAnsi="Times New Roman" w:cs="Times New Roman" w:eastAsia="Times New Roman" w:hint="default"/>
        </w:rPr>
        <w:t>6,707,069</w:t>
      </w:r>
      <w:r>
        <w:rPr/>
        <w:t>股。</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33" w:firstLine="420"/>
        <w:jc w:val="both"/>
      </w:pPr>
      <w:r>
        <w:rPr/>
        <w:t>公司</w:t>
      </w:r>
      <w:r>
        <w:rPr>
          <w:rFonts w:ascii="Times New Roman" w:hAnsi="Times New Roman" w:cs="Times New Roman" w:eastAsia="Times New Roman" w:hint="default"/>
        </w:rPr>
        <w:t>2018</w:t>
      </w:r>
      <w:r>
        <w:rPr/>
        <w:t>年股票期权激励计划第一个行权期行权时间为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日，报告期间，公司</w:t>
      </w:r>
      <w:r>
        <w:rPr>
          <w:rFonts w:ascii="Times New Roman" w:hAnsi="Times New Roman" w:cs="Times New Roman" w:eastAsia="Times New Roman" w:hint="default"/>
        </w:rPr>
        <w:t>2018</w:t>
      </w:r>
      <w:r>
        <w:rPr/>
        <w:t>年股票 期权激励计划第一个行权期的行权期权数量为</w:t>
      </w:r>
      <w:r>
        <w:rPr>
          <w:rFonts w:ascii="Times New Roman" w:hAnsi="Times New Roman" w:cs="Times New Roman" w:eastAsia="Times New Roman" w:hint="default"/>
        </w:rPr>
        <w:t>4,093,946</w:t>
      </w:r>
      <w:r>
        <w:rPr/>
        <w:t>份，增加股份</w:t>
      </w:r>
      <w:r>
        <w:rPr>
          <w:rFonts w:ascii="Times New Roman" w:hAnsi="Times New Roman" w:cs="Times New Roman" w:eastAsia="Times New Roman" w:hint="default"/>
        </w:rPr>
        <w:t>4,093,946</w:t>
      </w:r>
      <w:r>
        <w:rPr/>
        <w:t>股。</w:t>
      </w:r>
    </w:p>
    <w:p>
      <w:pPr>
        <w:pStyle w:val="BodyText"/>
        <w:spacing w:line="412" w:lineRule="auto" w:before="43"/>
        <w:ind w:right="5563" w:firstLine="420"/>
        <w:jc w:val="left"/>
      </w:pPr>
      <w:r>
        <w:rPr/>
        <w:t>上述两期股票期权激励计划行权合计新增股份</w:t>
      </w:r>
      <w:r>
        <w:rPr>
          <w:rFonts w:ascii="Times New Roman" w:hAnsi="Times New Roman" w:cs="Times New Roman" w:eastAsia="Times New Roman" w:hint="default"/>
        </w:rPr>
        <w:t>10,801,015</w:t>
      </w:r>
      <w:r>
        <w:rPr/>
        <w:t>股。 股份变动的批准情况</w:t>
      </w:r>
    </w:p>
    <w:p>
      <w:pPr>
        <w:pStyle w:val="BodyText"/>
        <w:spacing w:line="234" w:lineRule="exact"/>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13"/>
          <w:szCs w:val="13"/>
        </w:rPr>
      </w:pPr>
    </w:p>
    <w:p>
      <w:pPr>
        <w:pStyle w:val="BodyText"/>
        <w:spacing w:line="451" w:lineRule="auto"/>
        <w:ind w:right="1137" w:firstLine="420"/>
        <w:jc w:val="both"/>
      </w:pPr>
      <w:r>
        <w:rPr/>
        <w:t>根据公司</w:t>
      </w:r>
      <w:r>
        <w:rPr>
          <w:rFonts w:ascii="Times New Roman" w:hAnsi="Times New Roman" w:cs="Times New Roman" w:eastAsia="Times New Roman" w:hint="default"/>
        </w:rPr>
        <w:t>2016</w:t>
      </w:r>
      <w:r>
        <w:rPr/>
        <w:t>年年度股东大会的授权及《</w:t>
      </w:r>
      <w:r>
        <w:rPr>
          <w:rFonts w:ascii="Times New Roman" w:hAnsi="Times New Roman" w:cs="Times New Roman" w:eastAsia="Times New Roman" w:hint="default"/>
        </w:rPr>
        <w:t>2017</w:t>
      </w:r>
      <w:r>
        <w:rPr/>
        <w:t>年股票期权激励计划（草案）》、《</w:t>
      </w:r>
      <w:r>
        <w:rPr>
          <w:rFonts w:ascii="Times New Roman" w:hAnsi="Times New Roman" w:cs="Times New Roman" w:eastAsia="Times New Roman" w:hint="default"/>
        </w:rPr>
        <w:t>2017</w:t>
      </w:r>
      <w:r>
        <w:rPr/>
        <w:t>年股票期权激励计划实施考核 办法》的相关规定，</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日公司召开第四届董事会第三十一次会议审议通过《关于公司</w:t>
      </w:r>
      <w:r>
        <w:rPr>
          <w:rFonts w:ascii="Times New Roman" w:hAnsi="Times New Roman" w:cs="Times New Roman" w:eastAsia="Times New Roman" w:hint="default"/>
        </w:rPr>
        <w:t>2017</w:t>
      </w:r>
      <w:r>
        <w:rPr/>
        <w:t>年股票期权激励计划第 二个行权期符合行权条件暨可行权的议案》，公司</w:t>
      </w:r>
      <w:r>
        <w:rPr>
          <w:rFonts w:ascii="Times New Roman" w:hAnsi="Times New Roman" w:cs="Times New Roman" w:eastAsia="Times New Roman" w:hint="default"/>
        </w:rPr>
        <w:t>2017</w:t>
      </w:r>
      <w:r>
        <w:rPr/>
        <w:t>年股票期权激励计划第二个行权期行权时间为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日。报告期间，公司</w:t>
      </w:r>
      <w:r>
        <w:rPr>
          <w:rFonts w:ascii="Times New Roman" w:hAnsi="Times New Roman" w:cs="Times New Roman" w:eastAsia="Times New Roman" w:hint="default"/>
        </w:rPr>
        <w:t>2017</w:t>
      </w:r>
      <w:r>
        <w:rPr/>
        <w:t>年股票期权激励计划第二个行权期已行权期权数量为</w:t>
      </w:r>
      <w:r>
        <w:rPr>
          <w:rFonts w:ascii="Times New Roman" w:hAnsi="Times New Roman" w:cs="Times New Roman" w:eastAsia="Times New Roman" w:hint="default"/>
        </w:rPr>
        <w:t>6,707,069</w:t>
      </w:r>
      <w:r>
        <w:rPr/>
        <w:t>份。</w:t>
      </w:r>
    </w:p>
    <w:p>
      <w:pPr>
        <w:pStyle w:val="BodyText"/>
        <w:spacing w:line="451" w:lineRule="auto" w:before="43"/>
        <w:ind w:right="1131" w:firstLine="420"/>
        <w:jc w:val="both"/>
      </w:pPr>
      <w:r>
        <w:rPr/>
        <w:t>根据公司</w:t>
      </w:r>
      <w:r>
        <w:rPr>
          <w:rFonts w:ascii="Times New Roman" w:hAnsi="Times New Roman" w:cs="Times New Roman" w:eastAsia="Times New Roman" w:hint="default"/>
        </w:rPr>
        <w:t>2018</w:t>
      </w:r>
      <w:r>
        <w:rPr/>
        <w:t>年第二次临时股东大会的授权及《</w:t>
      </w:r>
      <w:r>
        <w:rPr>
          <w:rFonts w:ascii="Times New Roman" w:hAnsi="Times New Roman" w:cs="Times New Roman" w:eastAsia="Times New Roman" w:hint="default"/>
        </w:rPr>
        <w:t>2018</w:t>
      </w:r>
      <w:r>
        <w:rPr/>
        <w:t>年股票期权激励计划（草案修订稿）》、《</w:t>
      </w:r>
      <w:r>
        <w:rPr>
          <w:rFonts w:ascii="Times New Roman" w:hAnsi="Times New Roman" w:cs="Times New Roman" w:eastAsia="Times New Roman" w:hint="default"/>
        </w:rPr>
        <w:t>2018</w:t>
      </w:r>
      <w:r>
        <w:rPr/>
        <w:t>年股票期权激励 </w:t>
      </w:r>
      <w:r>
        <w:rPr>
          <w:spacing w:val="-3"/>
        </w:rPr>
        <w:t>计划实施考核办法（修订稿）》的相关规定，</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日公司召开第四届董事会第三十一次会议审议通过《关于公司</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2"/>
        </w:rPr>
        <w:t>年股票期权激励计划第一个行权期符合行权条件暨可行权的议案》，公司</w:t>
      </w:r>
      <w:r>
        <w:rPr>
          <w:rFonts w:ascii="Times New Roman" w:hAnsi="Times New Roman" w:cs="Times New Roman" w:eastAsia="Times New Roman" w:hint="default"/>
          <w:spacing w:val="-2"/>
        </w:rPr>
        <w:t>2018</w:t>
      </w:r>
      <w:r>
        <w:rPr>
          <w:spacing w:val="-2"/>
        </w:rPr>
        <w:t>年股票期权激励计划第一个行权期行权时间为</w:t>
      </w:r>
    </w:p>
    <w:p>
      <w:pPr>
        <w:pStyle w:val="BodyText"/>
        <w:spacing w:line="412" w:lineRule="auto" w:before="43"/>
        <w:ind w:right="1033"/>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11</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日。报告期间，公司</w:t>
      </w:r>
      <w:r>
        <w:rPr>
          <w:rFonts w:ascii="Times New Roman" w:hAnsi="Times New Roman" w:cs="Times New Roman" w:eastAsia="Times New Roman" w:hint="default"/>
          <w:spacing w:val="-1"/>
        </w:rPr>
        <w:t>2018</w:t>
      </w:r>
      <w:r>
        <w:rPr>
          <w:spacing w:val="-1"/>
        </w:rPr>
        <w:t>年股票期权激励计划第一个行权期已行权期权数量为</w:t>
      </w:r>
      <w:r>
        <w:rPr>
          <w:rFonts w:ascii="Times New Roman" w:hAnsi="Times New Roman" w:cs="Times New Roman" w:eastAsia="Times New Roman" w:hint="default"/>
          <w:spacing w:val="-1"/>
        </w:rPr>
        <w:t>4,093,946</w:t>
      </w:r>
      <w:r>
        <w:rPr>
          <w:spacing w:val="-1"/>
        </w:rPr>
        <w:t>份。</w:t>
      </w:r>
      <w:r>
        <w:rPr>
          <w:spacing w:val="-37"/>
        </w:rPr>
        <w:t> </w:t>
      </w:r>
      <w:r>
        <w:rPr/>
        <w:t>股份变动的过户情况</w:t>
      </w:r>
    </w:p>
    <w:p>
      <w:pPr>
        <w:pStyle w:val="BodyText"/>
        <w:spacing w:line="235" w:lineRule="exact"/>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033"/>
        <w:jc w:val="left"/>
      </w:pPr>
      <w:r>
        <w:rPr/>
        <w:t>股份回购的实施进展情况</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13"/>
          <w:szCs w:val="13"/>
        </w:rPr>
      </w:pPr>
    </w:p>
    <w:p>
      <w:pPr>
        <w:pStyle w:val="BodyText"/>
        <w:spacing w:line="451" w:lineRule="auto"/>
        <w:ind w:right="1136" w:firstLine="420"/>
        <w:jc w:val="both"/>
      </w:pPr>
      <w:r>
        <w:rPr/>
        <w:t>报告期内，公司通过股票回购专用证券账户以集中竞价方式实施回购股份，已回购股份数量</w:t>
      </w:r>
      <w:r>
        <w:rPr>
          <w:rFonts w:ascii="Times New Roman" w:hAnsi="Times New Roman" w:cs="Times New Roman" w:eastAsia="Times New Roman" w:hint="default"/>
        </w:rPr>
        <w:t>2,856,200</w:t>
      </w:r>
      <w:r>
        <w:rPr/>
        <w:t>股，占报告期末 公司总股本的比例为</w:t>
      </w:r>
      <w:r>
        <w:rPr>
          <w:rFonts w:ascii="Times New Roman" w:hAnsi="Times New Roman" w:cs="Times New Roman" w:eastAsia="Times New Roman" w:hint="default"/>
        </w:rPr>
        <w:t>0.58%</w:t>
      </w:r>
      <w:r>
        <w:rPr/>
        <w:t>，最高成交价为</w:t>
      </w:r>
      <w:r>
        <w:rPr>
          <w:rFonts w:ascii="Times New Roman" w:hAnsi="Times New Roman" w:cs="Times New Roman" w:eastAsia="Times New Roman" w:hint="default"/>
        </w:rPr>
        <w:t>17.17</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10.91</w:t>
      </w:r>
      <w:r>
        <w:rPr/>
        <w:t>元</w:t>
      </w:r>
      <w:r>
        <w:rPr>
          <w:rFonts w:ascii="Times New Roman" w:hAnsi="Times New Roman" w:cs="Times New Roman" w:eastAsia="Times New Roman" w:hint="default"/>
        </w:rPr>
        <w:t>/</w:t>
      </w:r>
      <w:r>
        <w:rPr/>
        <w:t>股。</w:t>
      </w:r>
    </w:p>
    <w:p>
      <w:pPr>
        <w:pStyle w:val="BodyText"/>
        <w:spacing w:line="451" w:lineRule="auto" w:before="43"/>
        <w:ind w:right="1134" w:firstLine="420"/>
        <w:jc w:val="both"/>
      </w:pPr>
      <w:r>
        <w:rPr/>
        <w:t>截至回购期届满，公司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年实施会回购期间共回购股份数量</w:t>
      </w:r>
      <w:r>
        <w:rPr>
          <w:rFonts w:ascii="Times New Roman" w:hAnsi="Times New Roman" w:cs="Times New Roman" w:eastAsia="Times New Roman" w:hint="default"/>
        </w:rPr>
        <w:t>3,526,268</w:t>
      </w:r>
      <w:r>
        <w:rPr/>
        <w:t>股，占报告期末公司总股本的比例为 </w:t>
      </w:r>
      <w:r>
        <w:rPr>
          <w:rFonts w:ascii="Times New Roman" w:hAnsi="Times New Roman" w:cs="Times New Roman" w:eastAsia="Times New Roman" w:hint="default"/>
        </w:rPr>
        <w:t>0.72%</w:t>
      </w:r>
      <w:r>
        <w:rPr/>
        <w:t>，最高成交价为</w:t>
      </w:r>
      <w:r>
        <w:rPr>
          <w:rFonts w:ascii="Times New Roman" w:hAnsi="Times New Roman" w:cs="Times New Roman" w:eastAsia="Times New Roman" w:hint="default"/>
        </w:rPr>
        <w:t>17.17</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10.91</w:t>
      </w:r>
      <w:r>
        <w:rPr/>
        <w:t>元</w:t>
      </w:r>
      <w:r>
        <w:rPr>
          <w:rFonts w:ascii="Times New Roman" w:hAnsi="Times New Roman" w:cs="Times New Roman" w:eastAsia="Times New Roman" w:hint="default"/>
        </w:rPr>
        <w:t>/</w:t>
      </w:r>
      <w:r>
        <w:rPr/>
        <w:t>股，已使用资金总额为</w:t>
      </w:r>
      <w:r>
        <w:rPr>
          <w:rFonts w:ascii="Times New Roman" w:hAnsi="Times New Roman" w:cs="Times New Roman" w:eastAsia="Times New Roman" w:hint="default"/>
        </w:rPr>
        <w:t>53,898,404.60</w:t>
      </w:r>
      <w:r>
        <w:rPr/>
        <w:t>元（含交易费用），其中，回</w:t>
      </w:r>
      <w:r>
        <w:rPr>
          <w:spacing w:val="-76"/>
        </w:rPr>
        <w:t> </w:t>
      </w:r>
      <w:r>
        <w:rPr>
          <w:spacing w:val="-76"/>
        </w:rPr>
      </w:r>
      <w:r>
        <w:rPr/>
        <w:t>购资金产生的利息共计</w:t>
      </w:r>
      <w:r>
        <w:rPr>
          <w:rFonts w:ascii="Times New Roman" w:hAnsi="Times New Roman" w:cs="Times New Roman" w:eastAsia="Times New Roman" w:hint="default"/>
        </w:rPr>
        <w:t>13,365.72</w:t>
      </w:r>
      <w:r>
        <w:rPr/>
        <w:t>元，回购支付的资金总额含使用部分利息进行的回购。</w:t>
      </w:r>
    </w:p>
    <w:p>
      <w:pPr>
        <w:pStyle w:val="BodyText"/>
        <w:spacing w:line="240" w:lineRule="auto" w:before="84"/>
        <w:ind w:right="1033"/>
        <w:jc w:val="left"/>
      </w:pPr>
      <w:r>
        <w:rPr/>
        <w:t>采用集中竞价方式减持回购股份的实施进展情况</w:t>
      </w:r>
    </w:p>
    <w:p>
      <w:pPr>
        <w:spacing w:line="240" w:lineRule="auto" w:before="11"/>
        <w:rPr>
          <w:rFonts w:ascii="宋体" w:hAnsi="宋体" w:cs="宋体" w:eastAsia="宋体" w:hint="default"/>
          <w:sz w:val="14"/>
          <w:szCs w:val="14"/>
        </w:rPr>
      </w:pPr>
    </w:p>
    <w:p>
      <w:pPr>
        <w:pStyle w:val="BodyText"/>
        <w:spacing w:line="338"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3"/>
        <w:ind w:right="1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股份变动对本年度每股收益及加权平均净资产收益率基本无影响公司认为必要或证券监管机构要求披露的其他内容</w:t>
      </w:r>
    </w:p>
    <w:p>
      <w:pPr>
        <w:spacing w:line="240" w:lineRule="auto" w:before="2"/>
        <w:rPr>
          <w:rFonts w:ascii="宋体" w:hAnsi="宋体" w:cs="宋体" w:eastAsia="宋体" w:hint="default"/>
          <w:sz w:val="16"/>
          <w:szCs w:val="16"/>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491"/>
        <w:jc w:val="right"/>
      </w:pPr>
      <w:r>
        <w:rPr/>
        <w:t>单位：股</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383"/>
        <w:gridCol w:w="1388"/>
        <w:gridCol w:w="1387"/>
        <w:gridCol w:w="1388"/>
        <w:gridCol w:w="1385"/>
        <w:gridCol w:w="1387"/>
        <w:gridCol w:w="1380"/>
      </w:tblGrid>
      <w:tr>
        <w:trPr>
          <w:trHeight w:val="713" w:hRule="exact"/>
        </w:trPr>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5"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7"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24" w:right="0"/>
              <w:jc w:val="left"/>
              <w:rPr>
                <w:rFonts w:ascii="宋体" w:hAnsi="宋体" w:cs="宋体" w:eastAsia="宋体" w:hint="default"/>
                <w:sz w:val="22"/>
                <w:szCs w:val="22"/>
              </w:rPr>
            </w:pPr>
            <w:r>
              <w:rPr>
                <w:rFonts w:ascii="宋体" w:hAnsi="宋体" w:cs="宋体" w:eastAsia="宋体" w:hint="default"/>
                <w:sz w:val="22"/>
                <w:szCs w:val="22"/>
              </w:rPr>
              <w:t>刘祥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103,460,241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34,486,747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103,460,240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年首个交易 日</w:t>
            </w:r>
          </w:p>
        </w:tc>
      </w:tr>
      <w:tr>
        <w:trPr>
          <w:trHeight w:val="71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24" w:right="0"/>
              <w:jc w:val="left"/>
              <w:rPr>
                <w:rFonts w:ascii="宋体" w:hAnsi="宋体" w:cs="宋体" w:eastAsia="宋体" w:hint="default"/>
                <w:sz w:val="22"/>
                <w:szCs w:val="22"/>
              </w:rPr>
            </w:pPr>
            <w:r>
              <w:rPr>
                <w:rFonts w:ascii="宋体" w:hAnsi="宋体" w:cs="宋体" w:eastAsia="宋体" w:hint="default"/>
                <w:sz w:val="22"/>
                <w:szCs w:val="22"/>
              </w:rPr>
              <w:t>江汉</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34,296,529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9,119,701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34,296,529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年首个交易 日</w:t>
            </w:r>
          </w:p>
        </w:tc>
      </w:tr>
      <w:tr>
        <w:trPr>
          <w:trHeight w:val="71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24" w:right="0"/>
              <w:jc w:val="left"/>
              <w:rPr>
                <w:rFonts w:ascii="宋体" w:hAnsi="宋体" w:cs="宋体" w:eastAsia="宋体" w:hint="default"/>
                <w:sz w:val="22"/>
                <w:szCs w:val="22"/>
              </w:rPr>
            </w:pPr>
            <w:r>
              <w:rPr>
                <w:rFonts w:ascii="宋体" w:hAnsi="宋体" w:cs="宋体" w:eastAsia="宋体" w:hint="default"/>
                <w:sz w:val="22"/>
                <w:szCs w:val="22"/>
              </w:rPr>
              <w:t>韦余红</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1,511,945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377,986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1,511,944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年首个交易 日</w:t>
            </w:r>
          </w:p>
        </w:tc>
      </w:tr>
      <w:tr>
        <w:trPr>
          <w:trHeight w:val="71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24" w:right="0"/>
              <w:jc w:val="left"/>
              <w:rPr>
                <w:rFonts w:ascii="宋体" w:hAnsi="宋体" w:cs="宋体" w:eastAsia="宋体" w:hint="default"/>
                <w:sz w:val="22"/>
                <w:szCs w:val="22"/>
              </w:rPr>
            </w:pPr>
            <w:r>
              <w:rPr>
                <w:rFonts w:ascii="宋体" w:hAnsi="宋体" w:cs="宋体" w:eastAsia="宋体" w:hint="default"/>
                <w:sz w:val="22"/>
                <w:szCs w:val="22"/>
              </w:rPr>
              <w:t>汪洋</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1,488,321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372,080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1,488,321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年首个交易 日</w:t>
            </w:r>
          </w:p>
        </w:tc>
      </w:tr>
      <w:tr>
        <w:trPr>
          <w:trHeight w:val="352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24" w:right="0"/>
              <w:jc w:val="left"/>
              <w:rPr>
                <w:rFonts w:ascii="宋体" w:hAnsi="宋体" w:cs="宋体" w:eastAsia="宋体" w:hint="default"/>
                <w:sz w:val="22"/>
                <w:szCs w:val="22"/>
              </w:rPr>
            </w:pPr>
            <w:r>
              <w:rPr>
                <w:rFonts w:ascii="宋体" w:hAnsi="宋体" w:cs="宋体" w:eastAsia="宋体" w:hint="default"/>
                <w:sz w:val="22"/>
                <w:szCs w:val="22"/>
              </w:rPr>
              <w:t>赵辉</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1,384,240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285,297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1,141,189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因赵辉先生于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 辞去财务总监职 务，离任后其持 有公司股份全部 </w:t>
            </w:r>
            <w:r>
              <w:rPr>
                <w:rFonts w:ascii="宋体" w:hAnsi="宋体" w:cs="宋体" w:eastAsia="宋体" w:hint="default"/>
                <w:spacing w:val="-5"/>
                <w:sz w:val="18"/>
                <w:szCs w:val="18"/>
              </w:rPr>
              <w:t>锁定，自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304" w:lineRule="auto" w:before="1"/>
              <w:ind w:left="23"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日重新解 除限制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，至 第四届董事会届 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个月全部 解除限售。</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7" w:lineRule="auto"/>
              <w:ind w:left="24" w:right="83"/>
              <w:jc w:val="both"/>
              <w:rPr>
                <w:rFonts w:ascii="宋体" w:hAnsi="宋体" w:cs="宋体" w:eastAsia="宋体" w:hint="default"/>
                <w:sz w:val="18"/>
                <w:szCs w:val="18"/>
              </w:rPr>
            </w:pPr>
            <w:r>
              <w:rPr>
                <w:rFonts w:ascii="宋体" w:hAnsi="宋体" w:cs="宋体" w:eastAsia="宋体" w:hint="default"/>
                <w:sz w:val="18"/>
                <w:szCs w:val="18"/>
              </w:rPr>
              <w:t>第四届董事会届 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个月全部 解除限售</w:t>
            </w:r>
          </w:p>
        </w:tc>
      </w:tr>
      <w:tr>
        <w:trPr>
          <w:trHeight w:val="3521"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24" w:right="0"/>
              <w:jc w:val="left"/>
              <w:rPr>
                <w:rFonts w:ascii="宋体" w:hAnsi="宋体" w:cs="宋体" w:eastAsia="宋体" w:hint="default"/>
                <w:sz w:val="22"/>
                <w:szCs w:val="22"/>
              </w:rPr>
            </w:pPr>
            <w:r>
              <w:rPr>
                <w:rFonts w:ascii="宋体" w:hAnsi="宋体" w:cs="宋体" w:eastAsia="宋体" w:hint="default"/>
                <w:sz w:val="22"/>
                <w:szCs w:val="22"/>
              </w:rPr>
              <w:t>童卫东</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409,035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119,432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456,658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因童卫东先生于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 辞去副总经理职 务，离任后其持 有公司股份全部 </w:t>
            </w:r>
            <w:r>
              <w:rPr>
                <w:rFonts w:ascii="宋体" w:hAnsi="宋体" w:cs="宋体" w:eastAsia="宋体" w:hint="default"/>
                <w:spacing w:val="-5"/>
                <w:sz w:val="18"/>
                <w:szCs w:val="18"/>
              </w:rPr>
              <w:t>锁定，自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304" w:lineRule="auto" w:before="1"/>
              <w:ind w:left="23"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日重新解 除限制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，至 第四届董事会届 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个月全部 解除限售。</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9" w:lineRule="auto"/>
              <w:ind w:left="24" w:right="83"/>
              <w:jc w:val="both"/>
              <w:rPr>
                <w:rFonts w:ascii="宋体" w:hAnsi="宋体" w:cs="宋体" w:eastAsia="宋体" w:hint="default"/>
                <w:sz w:val="18"/>
                <w:szCs w:val="18"/>
              </w:rPr>
            </w:pPr>
            <w:r>
              <w:rPr>
                <w:rFonts w:ascii="宋体" w:hAnsi="宋体" w:cs="宋体" w:eastAsia="宋体" w:hint="default"/>
                <w:sz w:val="18"/>
                <w:szCs w:val="18"/>
              </w:rPr>
              <w:t>第四届董事会届 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个月全部 解除限售</w:t>
            </w:r>
          </w:p>
        </w:tc>
      </w:tr>
      <w:tr>
        <w:trPr>
          <w:trHeight w:val="1339"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2"/>
                <w:szCs w:val="22"/>
              </w:rPr>
            </w:pPr>
            <w:r>
              <w:rPr>
                <w:rFonts w:ascii="宋体" w:hAnsi="宋体" w:cs="宋体" w:eastAsia="宋体" w:hint="default"/>
                <w:sz w:val="22"/>
                <w:szCs w:val="22"/>
              </w:rPr>
              <w:t>姚骏</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342,212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47,249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96,771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371,236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1"/>
              <w:jc w:val="both"/>
              <w:rPr>
                <w:rFonts w:ascii="宋体" w:hAnsi="宋体" w:cs="宋体" w:eastAsia="宋体" w:hint="default"/>
                <w:sz w:val="18"/>
                <w:szCs w:val="18"/>
              </w:rPr>
            </w:pPr>
            <w:r>
              <w:rPr>
                <w:rFonts w:ascii="宋体" w:hAnsi="宋体" w:cs="宋体" w:eastAsia="宋体" w:hint="default"/>
                <w:sz w:val="18"/>
                <w:szCs w:val="18"/>
              </w:rPr>
              <w:t>高管锁定股，报 告期内股权激励 行权，相应增加 高管锁定股数量</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56"/>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年首个交易 日</w:t>
            </w:r>
          </w:p>
        </w:tc>
      </w:tr>
      <w:tr>
        <w:trPr>
          <w:trHeight w:val="1337"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2"/>
                <w:szCs w:val="22"/>
              </w:rPr>
            </w:pPr>
            <w:r>
              <w:rPr>
                <w:rFonts w:ascii="宋体" w:hAnsi="宋体" w:cs="宋体" w:eastAsia="宋体" w:hint="default"/>
                <w:sz w:val="22"/>
                <w:szCs w:val="22"/>
              </w:rPr>
              <w:t>李健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27,000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67,498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31,499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94,498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1"/>
              <w:jc w:val="both"/>
              <w:rPr>
                <w:rFonts w:ascii="宋体" w:hAnsi="宋体" w:cs="宋体" w:eastAsia="宋体" w:hint="default"/>
                <w:sz w:val="18"/>
                <w:szCs w:val="18"/>
              </w:rPr>
            </w:pPr>
            <w:r>
              <w:rPr>
                <w:rFonts w:ascii="宋体" w:hAnsi="宋体" w:cs="宋体" w:eastAsia="宋体" w:hint="default"/>
                <w:sz w:val="18"/>
                <w:szCs w:val="18"/>
              </w:rPr>
              <w:t>高管锁定股，报 告期内股权激励 行权，相应增加 高管锁定股数量</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年首个交易 日</w:t>
            </w:r>
          </w:p>
        </w:tc>
      </w:tr>
      <w:tr>
        <w:trPr>
          <w:trHeight w:val="40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4" w:right="0"/>
              <w:jc w:val="left"/>
              <w:rPr>
                <w:rFonts w:ascii="宋体" w:hAnsi="宋体" w:cs="宋体" w:eastAsia="宋体" w:hint="default"/>
                <w:sz w:val="22"/>
                <w:szCs w:val="22"/>
              </w:rPr>
            </w:pPr>
            <w:r>
              <w:rPr>
                <w:rFonts w:ascii="宋体" w:hAnsi="宋体" w:cs="宋体" w:eastAsia="宋体" w:hint="default"/>
                <w:sz w:val="22"/>
                <w:szCs w:val="22"/>
              </w:rPr>
              <w:t>贾巍</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1,350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1,350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因贾巍女士于</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第四届董事会届</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383"/>
        <w:gridCol w:w="1388"/>
        <w:gridCol w:w="1387"/>
        <w:gridCol w:w="1388"/>
        <w:gridCol w:w="1385"/>
        <w:gridCol w:w="1387"/>
        <w:gridCol w:w="1380"/>
      </w:tblGrid>
      <w:tr>
        <w:trPr>
          <w:trHeight w:val="3171" w:hRule="exact"/>
        </w:trPr>
        <w:tc>
          <w:tcPr>
            <w:tcW w:w="138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 辞去董事职务， 离任后其持有公 司股份全部锁 </w:t>
            </w:r>
            <w:r>
              <w:rPr>
                <w:rFonts w:ascii="宋体" w:hAnsi="宋体" w:cs="宋体" w:eastAsia="宋体" w:hint="default"/>
                <w:spacing w:val="-22"/>
                <w:sz w:val="18"/>
                <w:szCs w:val="18"/>
              </w:rPr>
              <w:t>定，自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12</w:t>
            </w:r>
          </w:p>
          <w:p>
            <w:pPr>
              <w:pStyle w:val="TableParagraph"/>
              <w:spacing w:line="304" w:lineRule="auto" w:before="1"/>
              <w:ind w:left="23"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日重新解除 限制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，至第 四届董事会届满 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个月全部解 除限售。</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83"/>
              <w:jc w:val="left"/>
              <w:rPr>
                <w:rFonts w:ascii="宋体" w:hAnsi="宋体" w:cs="宋体" w:eastAsia="宋体" w:hint="default"/>
                <w:sz w:val="18"/>
                <w:szCs w:val="18"/>
              </w:rPr>
            </w:pPr>
            <w:r>
              <w:rPr>
                <w:rFonts w:ascii="宋体" w:hAnsi="宋体" w:cs="宋体" w:eastAsia="宋体" w:hint="default"/>
                <w:sz w:val="18"/>
                <w:szCs w:val="18"/>
              </w:rPr>
              <w:t>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个月全部 解除限售。</w:t>
            </w:r>
          </w:p>
        </w:tc>
      </w:tr>
      <w:tr>
        <w:trPr>
          <w:trHeight w:val="401" w:hRule="exact"/>
        </w:trPr>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5" w:right="0"/>
              <w:jc w:val="left"/>
              <w:rPr>
                <w:rFonts w:ascii="Times New Roman" w:hAnsi="Times New Roman" w:cs="Times New Roman" w:eastAsia="Times New Roman" w:hint="default"/>
                <w:sz w:val="18"/>
                <w:szCs w:val="18"/>
              </w:rPr>
            </w:pPr>
            <w:r>
              <w:rPr>
                <w:rFonts w:ascii="Times New Roman"/>
                <w:sz w:val="18"/>
              </w:rPr>
              <w:t>142,919,523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116,097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5" w:right="0"/>
              <w:jc w:val="left"/>
              <w:rPr>
                <w:rFonts w:ascii="Times New Roman" w:hAnsi="Times New Roman" w:cs="Times New Roman" w:eastAsia="Times New Roman" w:hint="default"/>
                <w:sz w:val="18"/>
                <w:szCs w:val="18"/>
              </w:rPr>
            </w:pPr>
            <w:r>
              <w:rPr>
                <w:rFonts w:ascii="Times New Roman"/>
                <w:sz w:val="18"/>
              </w:rPr>
              <w:t>44,889,963</w:t>
            </w:r>
          </w:p>
        </w:tc>
        <w:tc>
          <w:tcPr>
            <w:tcW w:w="13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453" w:right="0"/>
              <w:jc w:val="left"/>
              <w:rPr>
                <w:rFonts w:ascii="Times New Roman" w:hAnsi="Times New Roman" w:cs="Times New Roman" w:eastAsia="Times New Roman" w:hint="default"/>
                <w:sz w:val="18"/>
                <w:szCs w:val="18"/>
              </w:rPr>
            </w:pPr>
            <w:r>
              <w:rPr>
                <w:rFonts w:ascii="Times New Roman"/>
                <w:sz w:val="18"/>
              </w:rPr>
              <w:t>142,821,965</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78"/>
        <w:ind w:right="1033"/>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1"/>
        <w:gridCol w:w="1294"/>
        <w:gridCol w:w="1296"/>
        <w:gridCol w:w="1294"/>
        <w:gridCol w:w="1297"/>
        <w:gridCol w:w="1296"/>
        <w:gridCol w:w="1683"/>
      </w:tblGrid>
      <w:tr>
        <w:trPr>
          <w:trHeight w:val="714" w:hRule="exact"/>
        </w:trPr>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1339"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69"/>
              <w:jc w:val="both"/>
              <w:rPr>
                <w:rFonts w:ascii="宋体" w:hAnsi="宋体" w:cs="宋体" w:eastAsia="宋体" w:hint="default"/>
                <w:sz w:val="18"/>
                <w:szCs w:val="18"/>
              </w:rPr>
            </w:pPr>
            <w:r>
              <w:rPr>
                <w:rFonts w:ascii="宋体" w:hAnsi="宋体" w:cs="宋体" w:eastAsia="宋体" w:hint="default"/>
                <w:sz w:val="18"/>
                <w:szCs w:val="18"/>
              </w:rPr>
              <w:t>深圳市新国都股 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年非公开发行创 新创业公司债券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3,000,000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3,000,000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436" w:lineRule="auto" w:before="50"/>
        <w:ind w:left="513" w:right="1123" w:hanging="360"/>
        <w:jc w:val="left"/>
      </w:pPr>
      <w:r>
        <w:rPr/>
        <w:t>报告期内证券发行（不含优先股）情况的说明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日召开</w:t>
      </w:r>
      <w:r>
        <w:rPr>
          <w:rFonts w:ascii="Times New Roman" w:hAnsi="Times New Roman" w:cs="Times New Roman" w:eastAsia="Times New Roman" w:hint="default"/>
        </w:rPr>
        <w:t>2019</w:t>
      </w:r>
      <w:r>
        <w:rPr/>
        <w:t>年第三次临时股东大会，审议通过了《关于公司非公开发行公司债券方案的议案》等非</w:t>
      </w:r>
    </w:p>
    <w:p>
      <w:pPr>
        <w:pStyle w:val="BodyText"/>
        <w:spacing w:line="451" w:lineRule="auto" w:before="55"/>
        <w:ind w:right="1126"/>
        <w:jc w:val="both"/>
      </w:pPr>
      <w:r>
        <w:rPr>
          <w:spacing w:val="-2"/>
        </w:rPr>
        <w:t>公开发行公司债事项的相关议案。</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日，公司收到深圳证券交易所出具的《关于深圳市新国都股份有限公司</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7"/>
        </w:rPr>
        <w:t> </w:t>
      </w:r>
      <w:r>
        <w:rPr>
          <w:spacing w:val="-1"/>
        </w:rPr>
        <w:t>年非公开发行创新创业公司债券符合深交所转让条件的无异议函》（深证函</w:t>
      </w:r>
      <w:r>
        <w:rPr>
          <w:rFonts w:ascii="Times New Roman" w:hAnsi="Times New Roman" w:cs="Times New Roman" w:eastAsia="Times New Roman" w:hint="default"/>
          <w:spacing w:val="-1"/>
        </w:rPr>
        <w:t>[2019]752</w:t>
      </w:r>
      <w:r>
        <w:rPr>
          <w:spacing w:val="-1"/>
        </w:rPr>
        <w:t>号），公司非公开发行不超过人民币</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1"/>
        </w:rPr>
        <w:t> </w:t>
      </w:r>
      <w:r>
        <w:rPr/>
        <w:t>亿元公司债券获得深圳证券交易所核准。</w:t>
      </w:r>
    </w:p>
    <w:p>
      <w:pPr>
        <w:pStyle w:val="BodyText"/>
        <w:spacing w:line="451" w:lineRule="auto" w:before="74"/>
        <w:ind w:right="1033"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日，公司完成了深圳市新国都股份有限公司</w:t>
      </w:r>
      <w:r>
        <w:rPr>
          <w:rFonts w:ascii="Times New Roman" w:hAnsi="Times New Roman" w:cs="Times New Roman" w:eastAsia="Times New Roman" w:hint="default"/>
          <w:spacing w:val="-2"/>
        </w:rPr>
        <w:t>2019</w:t>
      </w:r>
      <w:r>
        <w:rPr>
          <w:spacing w:val="-2"/>
        </w:rPr>
        <w:t>年非公开发行创新创业公司债券的发行，发行结果具体如</w:t>
      </w:r>
      <w:r>
        <w:rPr/>
        <w:t> 下：</w:t>
      </w:r>
    </w:p>
    <w:p>
      <w:pPr>
        <w:pStyle w:val="BodyText"/>
        <w:spacing w:line="240" w:lineRule="auto" w:before="74"/>
        <w:ind w:left="513" w:right="1033"/>
        <w:jc w:val="left"/>
      </w:pPr>
      <w:r>
        <w:rPr/>
        <w:t>（</w:t>
      </w:r>
      <w:r>
        <w:rPr>
          <w:rFonts w:ascii="Times New Roman" w:hAnsi="Times New Roman" w:cs="Times New Roman" w:eastAsia="Times New Roman" w:hint="default"/>
        </w:rPr>
        <w:t>1</w:t>
      </w:r>
      <w:r>
        <w:rPr/>
        <w:t>）债券名称：深圳市新国都股份有限公司</w:t>
      </w:r>
      <w:r>
        <w:rPr>
          <w:rFonts w:ascii="Times New Roman" w:hAnsi="Times New Roman" w:cs="Times New Roman" w:eastAsia="Times New Roman" w:hint="default"/>
        </w:rPr>
        <w:t>2019</w:t>
      </w:r>
      <w:r>
        <w:rPr/>
        <w:t>年非公开发行创新创业公司债券</w:t>
      </w:r>
    </w:p>
    <w:p>
      <w:pPr>
        <w:spacing w:line="240" w:lineRule="auto" w:before="9"/>
        <w:rPr>
          <w:rFonts w:ascii="宋体" w:hAnsi="宋体" w:cs="宋体" w:eastAsia="宋体" w:hint="default"/>
          <w:sz w:val="16"/>
          <w:szCs w:val="16"/>
        </w:rPr>
      </w:pPr>
    </w:p>
    <w:p>
      <w:pPr>
        <w:pStyle w:val="BodyText"/>
        <w:spacing w:line="240" w:lineRule="auto"/>
        <w:ind w:left="513" w:right="1033"/>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）债券简称及债券代码：</w:t>
      </w:r>
      <w:r>
        <w:rPr>
          <w:rFonts w:ascii="Times New Roman" w:hAnsi="Times New Roman" w:cs="Times New Roman" w:eastAsia="Times New Roman" w:hint="default"/>
        </w:rPr>
        <w:t>19</w:t>
      </w:r>
      <w:r>
        <w:rPr/>
        <w:t>新国都，</w:t>
      </w:r>
      <w:r>
        <w:rPr>
          <w:rFonts w:ascii="Times New Roman" w:hAnsi="Times New Roman" w:cs="Times New Roman" w:eastAsia="Times New Roman" w:hint="default"/>
        </w:rPr>
        <w:t>114645</w:t>
      </w:r>
    </w:p>
    <w:p>
      <w:pPr>
        <w:spacing w:line="240" w:lineRule="auto" w:before="0"/>
        <w:rPr>
          <w:rFonts w:ascii="Times New Roman" w:hAnsi="Times New Roman" w:cs="Times New Roman" w:eastAsia="Times New Roman" w:hint="default"/>
          <w:sz w:val="19"/>
          <w:szCs w:val="19"/>
        </w:rPr>
      </w:pPr>
    </w:p>
    <w:p>
      <w:pPr>
        <w:pStyle w:val="BodyText"/>
        <w:spacing w:line="240" w:lineRule="auto"/>
        <w:ind w:left="513" w:right="1033"/>
        <w:jc w:val="left"/>
      </w:pPr>
      <w:r>
        <w:rPr/>
        <w:t>（</w:t>
      </w:r>
      <w:r>
        <w:rPr>
          <w:rFonts w:ascii="Times New Roman" w:hAnsi="Times New Roman" w:cs="Times New Roman" w:eastAsia="Times New Roman" w:hint="default"/>
        </w:rPr>
        <w:t>3</w:t>
      </w:r>
      <w:r>
        <w:rPr/>
        <w:t>）发行方式：网下面向合格机构投资者询价配售，由公司与主承销商根据簿记建档情况进行债券配售</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3" w:right="1033"/>
        <w:jc w:val="left"/>
      </w:pPr>
      <w:r>
        <w:rPr/>
        <w:t>（</w:t>
      </w:r>
      <w:r>
        <w:rPr>
          <w:rFonts w:ascii="Times New Roman" w:hAnsi="Times New Roman" w:cs="Times New Roman" w:eastAsia="Times New Roman" w:hint="default"/>
        </w:rPr>
        <w:t>4</w:t>
      </w:r>
      <w:r>
        <w:rPr/>
        <w:t>）发行时间：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w:t>
      </w:r>
    </w:p>
    <w:p>
      <w:pPr>
        <w:spacing w:line="240" w:lineRule="auto" w:before="9"/>
        <w:rPr>
          <w:rFonts w:ascii="宋体" w:hAnsi="宋体" w:cs="宋体" w:eastAsia="宋体" w:hint="default"/>
          <w:sz w:val="16"/>
          <w:szCs w:val="16"/>
        </w:rPr>
      </w:pPr>
    </w:p>
    <w:p>
      <w:pPr>
        <w:pStyle w:val="BodyText"/>
        <w:spacing w:line="240" w:lineRule="auto"/>
        <w:ind w:left="513" w:right="1033"/>
        <w:jc w:val="left"/>
      </w:pPr>
      <w:r>
        <w:rPr/>
        <w:t>（</w:t>
      </w:r>
      <w:r>
        <w:rPr>
          <w:rFonts w:ascii="Times New Roman" w:hAnsi="Times New Roman" w:cs="Times New Roman" w:eastAsia="Times New Roman" w:hint="default"/>
        </w:rPr>
        <w:t>5</w:t>
      </w:r>
      <w:r>
        <w:rPr/>
        <w:t>）发行规模：</w:t>
      </w:r>
      <w:r>
        <w:rPr>
          <w:rFonts w:ascii="Times New Roman" w:hAnsi="Times New Roman" w:cs="Times New Roman" w:eastAsia="Times New Roman" w:hint="default"/>
        </w:rPr>
        <w:t>3</w:t>
      </w:r>
      <w:r>
        <w:rPr/>
        <w:t>亿元</w:t>
      </w:r>
    </w:p>
    <w:p>
      <w:pPr>
        <w:spacing w:line="240" w:lineRule="auto" w:before="9"/>
        <w:rPr>
          <w:rFonts w:ascii="宋体" w:hAnsi="宋体" w:cs="宋体" w:eastAsia="宋体" w:hint="default"/>
          <w:sz w:val="16"/>
          <w:szCs w:val="16"/>
        </w:rPr>
      </w:pPr>
    </w:p>
    <w:p>
      <w:pPr>
        <w:pStyle w:val="BodyText"/>
        <w:spacing w:line="240" w:lineRule="auto"/>
        <w:ind w:left="513" w:right="1033"/>
        <w:jc w:val="left"/>
        <w:rPr>
          <w:rFonts w:ascii="Times New Roman" w:hAnsi="Times New Roman" w:cs="Times New Roman" w:eastAsia="Times New Roman" w:hint="default"/>
        </w:rPr>
      </w:pPr>
      <w:r>
        <w:rPr/>
        <w:t>（</w:t>
      </w:r>
      <w:r>
        <w:rPr>
          <w:rFonts w:ascii="Times New Roman" w:hAnsi="Times New Roman" w:cs="Times New Roman" w:eastAsia="Times New Roman" w:hint="default"/>
        </w:rPr>
        <w:t>6</w:t>
      </w:r>
      <w:r>
        <w:rPr/>
        <w:t>）票面利率：</w:t>
      </w:r>
      <w:r>
        <w:rPr>
          <w:rFonts w:ascii="Times New Roman" w:hAnsi="Times New Roman" w:cs="Times New Roman" w:eastAsia="Times New Roman" w:hint="default"/>
        </w:rPr>
        <w:t>5.00%</w:t>
      </w:r>
    </w:p>
    <w:p>
      <w:pPr>
        <w:spacing w:line="240" w:lineRule="auto" w:before="0"/>
        <w:rPr>
          <w:rFonts w:ascii="Times New Roman" w:hAnsi="Times New Roman" w:cs="Times New Roman" w:eastAsia="Times New Roman" w:hint="default"/>
          <w:sz w:val="19"/>
          <w:szCs w:val="19"/>
        </w:rPr>
      </w:pPr>
    </w:p>
    <w:p>
      <w:pPr>
        <w:pStyle w:val="BodyText"/>
        <w:spacing w:line="240" w:lineRule="auto"/>
        <w:ind w:left="513" w:right="1033"/>
        <w:jc w:val="left"/>
      </w:pPr>
      <w:r>
        <w:rPr/>
        <w:t>（</w:t>
      </w:r>
      <w:r>
        <w:rPr>
          <w:rFonts w:ascii="Times New Roman" w:hAnsi="Times New Roman" w:cs="Times New Roman" w:eastAsia="Times New Roman" w:hint="default"/>
        </w:rPr>
        <w:t>7</w:t>
      </w:r>
      <w:r>
        <w:rPr/>
        <w:t>）发行价格：</w:t>
      </w:r>
      <w:r>
        <w:rPr>
          <w:rFonts w:ascii="Times New Roman" w:hAnsi="Times New Roman" w:cs="Times New Roman" w:eastAsia="Times New Roman" w:hint="default"/>
        </w:rPr>
        <w:t>100</w:t>
      </w:r>
      <w:r>
        <w:rPr/>
        <w:t>（元</w:t>
      </w:r>
      <w:r>
        <w:rPr>
          <w:rFonts w:ascii="Times New Roman" w:hAnsi="Times New Roman" w:cs="Times New Roman" w:eastAsia="Times New Roman" w:hint="default"/>
        </w:rPr>
        <w:t>/</w:t>
      </w:r>
      <w:r>
        <w:rPr/>
        <w:t>张）</w:t>
      </w:r>
    </w:p>
    <w:p>
      <w:pPr>
        <w:spacing w:line="240" w:lineRule="auto" w:before="9"/>
        <w:rPr>
          <w:rFonts w:ascii="宋体" w:hAnsi="宋体" w:cs="宋体" w:eastAsia="宋体" w:hint="default"/>
          <w:sz w:val="16"/>
          <w:szCs w:val="16"/>
        </w:rPr>
      </w:pPr>
    </w:p>
    <w:p>
      <w:pPr>
        <w:pStyle w:val="BodyText"/>
        <w:spacing w:line="240" w:lineRule="auto"/>
        <w:ind w:left="513" w:right="1033"/>
        <w:jc w:val="left"/>
      </w:pPr>
      <w:r>
        <w:rPr/>
        <w:t>（</w:t>
      </w:r>
      <w:r>
        <w:rPr>
          <w:rFonts w:ascii="Times New Roman" w:hAnsi="Times New Roman" w:cs="Times New Roman" w:eastAsia="Times New Roman" w:hint="default"/>
        </w:rPr>
        <w:t>8</w:t>
      </w:r>
      <w:r>
        <w:rPr/>
        <w:t>）债券期限：三年</w:t>
      </w:r>
    </w:p>
    <w:p>
      <w:pPr>
        <w:spacing w:line="240" w:lineRule="auto" w:before="12"/>
        <w:rPr>
          <w:rFonts w:ascii="宋体" w:hAnsi="宋体" w:cs="宋体" w:eastAsia="宋体" w:hint="default"/>
          <w:sz w:val="26"/>
          <w:szCs w:val="26"/>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412" w:lineRule="auto"/>
        <w:ind w:left="510" w:right="1033" w:hanging="3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报告期间，公司实施</w:t>
      </w:r>
      <w:r>
        <w:rPr>
          <w:rFonts w:ascii="Times New Roman" w:hAnsi="Times New Roman" w:cs="Times New Roman" w:eastAsia="Times New Roman" w:hint="default"/>
          <w:spacing w:val="-2"/>
        </w:rPr>
        <w:t>2017</w:t>
      </w:r>
      <w:r>
        <w:rPr>
          <w:spacing w:val="-2"/>
        </w:rPr>
        <w:t>年股票期权激励计划第二个行权期行权数量为</w:t>
      </w:r>
      <w:r>
        <w:rPr>
          <w:rFonts w:ascii="Times New Roman" w:hAnsi="Times New Roman" w:cs="Times New Roman" w:eastAsia="Times New Roman" w:hint="default"/>
          <w:spacing w:val="-2"/>
        </w:rPr>
        <w:t>6,707,069</w:t>
      </w:r>
      <w:r>
        <w:rPr>
          <w:spacing w:val="-2"/>
        </w:rPr>
        <w:t>份，增加股份</w:t>
      </w:r>
      <w:r>
        <w:rPr>
          <w:rFonts w:ascii="Times New Roman" w:hAnsi="Times New Roman" w:cs="Times New Roman" w:eastAsia="Times New Roman" w:hint="default"/>
          <w:spacing w:val="-2"/>
        </w:rPr>
        <w:t>6,707,069</w:t>
      </w:r>
      <w:r>
        <w:rPr>
          <w:spacing w:val="-2"/>
        </w:rPr>
        <w:t>股；同期，实施</w:t>
      </w:r>
    </w:p>
    <w:p>
      <w:pPr>
        <w:pStyle w:val="BodyText"/>
        <w:spacing w:line="451" w:lineRule="auto" w:before="75"/>
        <w:ind w:left="510" w:right="1033" w:hanging="358"/>
        <w:jc w:val="left"/>
      </w:pPr>
      <w:r>
        <w:rPr>
          <w:rFonts w:ascii="Times New Roman" w:hAnsi="Times New Roman" w:cs="Times New Roman" w:eastAsia="Times New Roman" w:hint="default"/>
        </w:rPr>
        <w:t>2018</w:t>
      </w:r>
      <w:r>
        <w:rPr/>
        <w:t>年股票期权激励计划第一个行权期行权数量为</w:t>
      </w:r>
      <w:r>
        <w:rPr>
          <w:rFonts w:ascii="Times New Roman" w:hAnsi="Times New Roman" w:cs="Times New Roman" w:eastAsia="Times New Roman" w:hint="default"/>
        </w:rPr>
        <w:t>4,093,946</w:t>
      </w:r>
      <w:r>
        <w:rPr/>
        <w:t>份，增加股份</w:t>
      </w:r>
      <w:r>
        <w:rPr>
          <w:rFonts w:ascii="Times New Roman" w:hAnsi="Times New Roman" w:cs="Times New Roman" w:eastAsia="Times New Roman" w:hint="default"/>
        </w:rPr>
        <w:t>4,093,946</w:t>
      </w:r>
      <w:r>
        <w:rPr/>
        <w:t>股。 报告期内因股权激励行权增加的股份数为</w:t>
      </w:r>
      <w:r>
        <w:rPr>
          <w:rFonts w:ascii="Times New Roman" w:hAnsi="Times New Roman" w:cs="Times New Roman" w:eastAsia="Times New Roman" w:hint="default"/>
        </w:rPr>
        <w:t>10,801,015</w:t>
      </w:r>
      <w:r>
        <w:rPr/>
        <w:t>股，占上一报告期末总股本的</w:t>
      </w:r>
      <w:r>
        <w:rPr>
          <w:rFonts w:ascii="Times New Roman" w:hAnsi="Times New Roman" w:cs="Times New Roman" w:eastAsia="Times New Roman" w:hint="default"/>
        </w:rPr>
        <w:t>2.26%</w:t>
      </w:r>
      <w:r>
        <w:rPr/>
        <w:t>，对公司资产、负债结构的影</w:t>
      </w:r>
    </w:p>
    <w:p>
      <w:pPr>
        <w:pStyle w:val="BodyText"/>
        <w:spacing w:line="240" w:lineRule="auto" w:before="43"/>
        <w:ind w:right="1033"/>
        <w:jc w:val="left"/>
      </w:pPr>
      <w:r>
        <w:rPr/>
        <w:t>响较小。</w:t>
      </w:r>
    </w:p>
    <w:p>
      <w:pPr>
        <w:spacing w:line="240" w:lineRule="auto" w:before="10"/>
        <w:rPr>
          <w:rFonts w:ascii="宋体" w:hAnsi="宋体" w:cs="宋体" w:eastAsia="宋体" w:hint="default"/>
          <w:sz w:val="17"/>
          <w:szCs w:val="17"/>
        </w:rPr>
      </w:pPr>
    </w:p>
    <w:p>
      <w:pPr>
        <w:pStyle w:val="BodyText"/>
        <w:spacing w:line="240" w:lineRule="auto"/>
        <w:ind w:left="510" w:right="1033"/>
        <w:jc w:val="left"/>
      </w:pPr>
      <w:r>
        <w:rPr/>
        <w:t>股份总数及股东结构变动详情如下：</w:t>
      </w:r>
    </w:p>
    <w:p>
      <w:pPr>
        <w:spacing w:line="240" w:lineRule="auto" w:before="1"/>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1466"/>
        <w:gridCol w:w="1489"/>
        <w:gridCol w:w="1044"/>
        <w:gridCol w:w="1488"/>
        <w:gridCol w:w="1044"/>
        <w:gridCol w:w="1340"/>
        <w:gridCol w:w="1788"/>
      </w:tblGrid>
      <w:tr>
        <w:trPr>
          <w:trHeight w:val="348" w:hRule="exact"/>
        </w:trPr>
        <w:tc>
          <w:tcPr>
            <w:tcW w:w="1466"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股东类别</w:t>
            </w:r>
          </w:p>
        </w:tc>
        <w:tc>
          <w:tcPr>
            <w:tcW w:w="25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18" w:right="0"/>
              <w:jc w:val="left"/>
              <w:rPr>
                <w:rFonts w:ascii="宋体" w:hAnsi="宋体" w:cs="宋体" w:eastAsia="宋体" w:hint="default"/>
                <w:sz w:val="18"/>
                <w:szCs w:val="18"/>
              </w:rPr>
            </w:pPr>
            <w:r>
              <w:rPr>
                <w:rFonts w:ascii="宋体" w:hAnsi="宋体" w:cs="宋体" w:eastAsia="宋体" w:hint="default"/>
                <w:sz w:val="18"/>
                <w:szCs w:val="18"/>
              </w:rPr>
              <w:t>上一报告期末</w:t>
            </w:r>
          </w:p>
        </w:tc>
        <w:tc>
          <w:tcPr>
            <w:tcW w:w="25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09" w:right="0"/>
              <w:jc w:val="left"/>
              <w:rPr>
                <w:rFonts w:ascii="宋体" w:hAnsi="宋体" w:cs="宋体" w:eastAsia="宋体" w:hint="default"/>
                <w:sz w:val="18"/>
                <w:szCs w:val="18"/>
              </w:rPr>
            </w:pPr>
            <w:r>
              <w:rPr>
                <w:rFonts w:ascii="宋体" w:hAnsi="宋体" w:cs="宋体" w:eastAsia="宋体" w:hint="default"/>
                <w:sz w:val="18"/>
                <w:szCs w:val="18"/>
              </w:rPr>
              <w:t>本报告期末</w:t>
            </w:r>
          </w:p>
        </w:tc>
        <w:tc>
          <w:tcPr>
            <w:tcW w:w="31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658" w:hRule="exact"/>
        </w:trPr>
        <w:tc>
          <w:tcPr>
            <w:tcW w:w="1466" w:type="dxa"/>
            <w:vMerge/>
            <w:tcBorders>
              <w:left w:val="single" w:sz="6" w:space="0" w:color="000000"/>
              <w:bottom w:val="single" w:sz="6" w:space="0" w:color="000000"/>
              <w:right w:val="single" w:sz="6" w:space="0" w:color="000000"/>
            </w:tcBorders>
          </w:tcPr>
          <w:p>
            <w:pP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5" w:right="0"/>
              <w:jc w:val="left"/>
              <w:rPr>
                <w:rFonts w:ascii="宋体" w:hAnsi="宋体" w:cs="宋体" w:eastAsia="宋体" w:hint="default"/>
                <w:sz w:val="18"/>
                <w:szCs w:val="18"/>
              </w:rPr>
            </w:pPr>
            <w:r>
              <w:rPr>
                <w:rFonts w:ascii="宋体" w:hAnsi="宋体" w:cs="宋体" w:eastAsia="宋体" w:hint="default"/>
                <w:sz w:val="18"/>
                <w:szCs w:val="18"/>
              </w:rPr>
              <w:t>数量（股）</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86"/>
              <w:jc w:val="right"/>
              <w:rPr>
                <w:rFonts w:ascii="宋体" w:hAnsi="宋体" w:cs="宋体" w:eastAsia="宋体" w:hint="default"/>
                <w:sz w:val="18"/>
                <w:szCs w:val="18"/>
              </w:rPr>
            </w:pPr>
            <w:r>
              <w:rPr>
                <w:rFonts w:ascii="宋体" w:hAnsi="宋体" w:cs="宋体" w:eastAsia="宋体" w:hint="default"/>
                <w:sz w:val="18"/>
                <w:szCs w:val="18"/>
              </w:rPr>
              <w:t>数量（股）</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数量（股）</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51" w:right="75" w:hanging="375"/>
              <w:jc w:val="left"/>
              <w:rPr>
                <w:rFonts w:ascii="宋体" w:hAnsi="宋体" w:cs="宋体" w:eastAsia="宋体" w:hint="default"/>
                <w:sz w:val="18"/>
                <w:szCs w:val="18"/>
              </w:rPr>
            </w:pPr>
            <w:r>
              <w:rPr>
                <w:rFonts w:ascii="宋体" w:hAnsi="宋体" w:cs="宋体" w:eastAsia="宋体" w:hint="default"/>
                <w:sz w:val="18"/>
                <w:szCs w:val="18"/>
              </w:rPr>
              <w:t>占上一报告期末股份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2" w:right="0"/>
              <w:jc w:val="left"/>
              <w:rPr>
                <w:rFonts w:ascii="Times New Roman" w:hAnsi="Times New Roman" w:cs="Times New Roman" w:eastAsia="Times New Roman" w:hint="default"/>
                <w:sz w:val="18"/>
                <w:szCs w:val="18"/>
              </w:rPr>
            </w:pPr>
            <w:r>
              <w:rPr>
                <w:rFonts w:ascii="Times New Roman"/>
                <w:sz w:val="18"/>
              </w:rPr>
              <w:t>3,003,642.00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0.63</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2" w:right="0"/>
              <w:jc w:val="left"/>
              <w:rPr>
                <w:rFonts w:ascii="Times New Roman" w:hAnsi="Times New Roman" w:cs="Times New Roman" w:eastAsia="Times New Roman" w:hint="default"/>
                <w:sz w:val="18"/>
                <w:szCs w:val="18"/>
              </w:rPr>
            </w:pPr>
            <w:r>
              <w:rPr>
                <w:rFonts w:ascii="Times New Roman"/>
                <w:sz w:val="18"/>
              </w:rPr>
              <w:t>3,044,619.00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68" w:right="0"/>
              <w:jc w:val="left"/>
              <w:rPr>
                <w:rFonts w:ascii="Times New Roman" w:hAnsi="Times New Roman" w:cs="Times New Roman" w:eastAsia="Times New Roman" w:hint="default"/>
                <w:sz w:val="18"/>
                <w:szCs w:val="18"/>
              </w:rPr>
            </w:pPr>
            <w:r>
              <w:rPr>
                <w:rFonts w:ascii="Times New Roman"/>
                <w:sz w:val="18"/>
              </w:rPr>
              <w:t>0.62</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5" w:right="0"/>
              <w:jc w:val="left"/>
              <w:rPr>
                <w:rFonts w:ascii="Times New Roman" w:hAnsi="Times New Roman" w:cs="Times New Roman" w:eastAsia="Times New Roman" w:hint="default"/>
                <w:sz w:val="18"/>
                <w:szCs w:val="18"/>
              </w:rPr>
            </w:pPr>
            <w:r>
              <w:rPr>
                <w:rFonts w:ascii="Times New Roman"/>
                <w:sz w:val="18"/>
              </w:rPr>
              <w:t>40,977.00</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0.01%</w:t>
            </w:r>
          </w:p>
        </w:tc>
      </w:tr>
      <w:tr>
        <w:trPr>
          <w:trHeight w:val="427"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83" w:right="0"/>
              <w:jc w:val="left"/>
              <w:rPr>
                <w:rFonts w:ascii="Times New Roman" w:hAnsi="Times New Roman" w:cs="Times New Roman" w:eastAsia="Times New Roman" w:hint="default"/>
                <w:sz w:val="18"/>
                <w:szCs w:val="18"/>
              </w:rPr>
            </w:pPr>
            <w:r>
              <w:rPr>
                <w:rFonts w:ascii="Times New Roman"/>
                <w:sz w:val="18"/>
              </w:rPr>
              <w:t>4,055,627.00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0.85</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2" w:right="0"/>
              <w:jc w:val="left"/>
              <w:rPr>
                <w:rFonts w:ascii="Times New Roman" w:hAnsi="Times New Roman" w:cs="Times New Roman" w:eastAsia="Times New Roman" w:hint="default"/>
                <w:sz w:val="18"/>
                <w:szCs w:val="18"/>
              </w:rPr>
            </w:pPr>
            <w:r>
              <w:rPr>
                <w:rFonts w:ascii="Times New Roman"/>
                <w:sz w:val="18"/>
              </w:rPr>
              <w:t>4,132,122.00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8" w:right="0"/>
              <w:jc w:val="left"/>
              <w:rPr>
                <w:rFonts w:ascii="Times New Roman" w:hAnsi="Times New Roman" w:cs="Times New Roman" w:eastAsia="Times New Roman" w:hint="default"/>
                <w:sz w:val="18"/>
                <w:szCs w:val="18"/>
              </w:rPr>
            </w:pPr>
            <w:r>
              <w:rPr>
                <w:rFonts w:ascii="Times New Roman"/>
                <w:sz w:val="18"/>
              </w:rPr>
              <w:t>0.85</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91" w:right="0"/>
              <w:jc w:val="left"/>
              <w:rPr>
                <w:rFonts w:ascii="Times New Roman" w:hAnsi="Times New Roman" w:cs="Times New Roman" w:eastAsia="Times New Roman" w:hint="default"/>
                <w:sz w:val="18"/>
                <w:szCs w:val="18"/>
              </w:rPr>
            </w:pPr>
            <w:r>
              <w:rPr>
                <w:rFonts w:ascii="Times New Roman"/>
                <w:sz w:val="18"/>
              </w:rPr>
              <w:t>76,495.00</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0.02%</w:t>
            </w:r>
          </w:p>
        </w:tc>
      </w:tr>
      <w:tr>
        <w:trPr>
          <w:trHeight w:val="427"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83" w:right="0"/>
              <w:jc w:val="left"/>
              <w:rPr>
                <w:rFonts w:ascii="Times New Roman" w:hAnsi="Times New Roman" w:cs="Times New Roman" w:eastAsia="Times New Roman" w:hint="default"/>
                <w:sz w:val="18"/>
                <w:szCs w:val="18"/>
              </w:rPr>
            </w:pPr>
            <w:r>
              <w:rPr>
                <w:rFonts w:ascii="Times New Roman"/>
                <w:sz w:val="18"/>
              </w:rPr>
              <w:t>340,539,554.00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71.26</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62"/>
              <w:jc w:val="right"/>
              <w:rPr>
                <w:rFonts w:ascii="Times New Roman" w:hAnsi="Times New Roman" w:cs="Times New Roman" w:eastAsia="Times New Roman" w:hint="default"/>
                <w:sz w:val="18"/>
                <w:szCs w:val="18"/>
              </w:rPr>
            </w:pPr>
            <w:r>
              <w:rPr>
                <w:rFonts w:ascii="Times New Roman"/>
                <w:spacing w:val="-1"/>
                <w:sz w:val="18"/>
              </w:rPr>
              <w:t>351,449,312.00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3" w:right="0"/>
              <w:jc w:val="left"/>
              <w:rPr>
                <w:rFonts w:ascii="Times New Roman" w:hAnsi="Times New Roman" w:cs="Times New Roman" w:eastAsia="Times New Roman" w:hint="default"/>
                <w:sz w:val="18"/>
                <w:szCs w:val="18"/>
              </w:rPr>
            </w:pPr>
            <w:r>
              <w:rPr>
                <w:rFonts w:ascii="Times New Roman"/>
                <w:sz w:val="18"/>
              </w:rPr>
              <w:t>71.92</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10,909,758.00</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2.28%</w:t>
            </w:r>
          </w:p>
        </w:tc>
      </w:tr>
      <w:tr>
        <w:trPr>
          <w:trHeight w:val="427"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63" w:right="0"/>
              <w:jc w:val="left"/>
              <w:rPr>
                <w:rFonts w:ascii="Times New Roman" w:hAnsi="Times New Roman" w:cs="Times New Roman" w:eastAsia="Times New Roman" w:hint="default"/>
                <w:sz w:val="18"/>
                <w:szCs w:val="18"/>
              </w:rPr>
            </w:pPr>
            <w:r>
              <w:rPr>
                <w:rFonts w:ascii="Times New Roman"/>
                <w:sz w:val="18"/>
              </w:rPr>
              <w:t>1,100,106.00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0.23</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8"/>
              <w:jc w:val="right"/>
              <w:rPr>
                <w:rFonts w:ascii="Times New Roman" w:hAnsi="Times New Roman" w:cs="Times New Roman" w:eastAsia="Times New Roman" w:hint="default"/>
                <w:sz w:val="18"/>
                <w:szCs w:val="18"/>
              </w:rPr>
            </w:pPr>
            <w:r>
              <w:rPr>
                <w:rFonts w:ascii="Times New Roman"/>
                <w:spacing w:val="-1"/>
                <w:sz w:val="18"/>
              </w:rPr>
              <w:t>27,689,135.00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8" w:right="0"/>
              <w:jc w:val="left"/>
              <w:rPr>
                <w:rFonts w:ascii="Times New Roman" w:hAnsi="Times New Roman" w:cs="Times New Roman" w:eastAsia="Times New Roman" w:hint="default"/>
                <w:sz w:val="18"/>
                <w:szCs w:val="18"/>
              </w:rPr>
            </w:pPr>
            <w:r>
              <w:rPr>
                <w:rFonts w:ascii="Times New Roman"/>
                <w:sz w:val="18"/>
              </w:rPr>
              <w:t>5.67</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26,589,029.00</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0.13%</w:t>
            </w:r>
          </w:p>
        </w:tc>
      </w:tr>
      <w:tr>
        <w:trPr>
          <w:trHeight w:val="427"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31" w:right="0"/>
              <w:jc w:val="left"/>
              <w:rPr>
                <w:rFonts w:ascii="Times New Roman" w:hAnsi="Times New Roman" w:cs="Times New Roman" w:eastAsia="Times New Roman" w:hint="default"/>
                <w:sz w:val="18"/>
                <w:szCs w:val="18"/>
              </w:rPr>
            </w:pPr>
            <w:r>
              <w:rPr>
                <w:rFonts w:ascii="Times New Roman"/>
                <w:sz w:val="18"/>
              </w:rPr>
              <w:t>454,935.00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0.10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2" w:right="0"/>
              <w:jc w:val="left"/>
              <w:rPr>
                <w:rFonts w:ascii="Times New Roman" w:hAnsi="Times New Roman" w:cs="Times New Roman" w:eastAsia="Times New Roman" w:hint="default"/>
                <w:sz w:val="18"/>
                <w:szCs w:val="18"/>
              </w:rPr>
            </w:pPr>
            <w:r>
              <w:rPr>
                <w:rFonts w:ascii="Times New Roman"/>
                <w:sz w:val="18"/>
              </w:rPr>
              <w:t>1,078,832.00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68" w:right="0"/>
              <w:jc w:val="left"/>
              <w:rPr>
                <w:rFonts w:ascii="Times New Roman" w:hAnsi="Times New Roman" w:cs="Times New Roman" w:eastAsia="Times New Roman" w:hint="default"/>
                <w:sz w:val="18"/>
                <w:szCs w:val="18"/>
              </w:rPr>
            </w:pPr>
            <w:r>
              <w:rPr>
                <w:rFonts w:ascii="Times New Roman"/>
                <w:sz w:val="18"/>
              </w:rPr>
              <w:t>0.22</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5" w:right="0"/>
              <w:jc w:val="left"/>
              <w:rPr>
                <w:rFonts w:ascii="Times New Roman" w:hAnsi="Times New Roman" w:cs="Times New Roman" w:eastAsia="Times New Roman" w:hint="default"/>
                <w:sz w:val="18"/>
                <w:szCs w:val="18"/>
              </w:rPr>
            </w:pPr>
            <w:r>
              <w:rPr>
                <w:rFonts w:ascii="Times New Roman"/>
                <w:sz w:val="18"/>
              </w:rPr>
              <w:t>623,897.00</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0.13%</w:t>
            </w:r>
          </w:p>
        </w:tc>
      </w:tr>
      <w:tr>
        <w:trPr>
          <w:trHeight w:val="428"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基金理财产品等</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73"/>
              <w:jc w:val="right"/>
              <w:rPr>
                <w:rFonts w:ascii="Times New Roman" w:hAnsi="Times New Roman" w:cs="Times New Roman" w:eastAsia="Times New Roman" w:hint="default"/>
                <w:sz w:val="18"/>
                <w:szCs w:val="18"/>
              </w:rPr>
            </w:pPr>
            <w:r>
              <w:rPr>
                <w:rFonts w:ascii="Times New Roman"/>
                <w:spacing w:val="-1"/>
                <w:sz w:val="18"/>
              </w:rPr>
              <w:t>128,743,891.00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26.94</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2"/>
              <w:jc w:val="right"/>
              <w:rPr>
                <w:rFonts w:ascii="Times New Roman" w:hAnsi="Times New Roman" w:cs="Times New Roman" w:eastAsia="Times New Roman" w:hint="default"/>
                <w:sz w:val="18"/>
                <w:szCs w:val="18"/>
              </w:rPr>
            </w:pPr>
            <w:r>
              <w:rPr>
                <w:rFonts w:ascii="Times New Roman"/>
                <w:spacing w:val="-1"/>
                <w:sz w:val="18"/>
              </w:rPr>
              <w:t>101,304,750.00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3" w:right="0"/>
              <w:jc w:val="left"/>
              <w:rPr>
                <w:rFonts w:ascii="Times New Roman" w:hAnsi="Times New Roman" w:cs="Times New Roman" w:eastAsia="Times New Roman" w:hint="default"/>
                <w:sz w:val="18"/>
                <w:szCs w:val="18"/>
              </w:rPr>
            </w:pPr>
            <w:r>
              <w:rPr>
                <w:rFonts w:ascii="Times New Roman"/>
                <w:sz w:val="18"/>
              </w:rPr>
              <w:t>20.73</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-27,439,141.00</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-5.74%</w:t>
            </w:r>
          </w:p>
        </w:tc>
      </w:tr>
      <w:tr>
        <w:trPr>
          <w:trHeight w:val="427"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3"/>
              <w:jc w:val="right"/>
              <w:rPr>
                <w:rFonts w:ascii="Times New Roman" w:hAnsi="Times New Roman" w:cs="Times New Roman" w:eastAsia="Times New Roman" w:hint="default"/>
                <w:sz w:val="18"/>
                <w:szCs w:val="18"/>
              </w:rPr>
            </w:pPr>
            <w:r>
              <w:rPr>
                <w:rFonts w:ascii="Times New Roman"/>
                <w:spacing w:val="-1"/>
                <w:sz w:val="18"/>
              </w:rPr>
              <w:t>477,897,755.00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2"/>
              <w:jc w:val="right"/>
              <w:rPr>
                <w:rFonts w:ascii="Times New Roman" w:hAnsi="Times New Roman" w:cs="Times New Roman" w:eastAsia="Times New Roman" w:hint="default"/>
                <w:sz w:val="18"/>
                <w:szCs w:val="18"/>
              </w:rPr>
            </w:pPr>
            <w:r>
              <w:rPr>
                <w:rFonts w:ascii="Times New Roman"/>
                <w:spacing w:val="-1"/>
                <w:sz w:val="18"/>
              </w:rPr>
              <w:t>488,698,770.00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7" w:right="0"/>
              <w:jc w:val="left"/>
              <w:rPr>
                <w:rFonts w:ascii="Times New Roman" w:hAnsi="Times New Roman" w:cs="Times New Roman" w:eastAsia="Times New Roman" w:hint="default"/>
                <w:sz w:val="18"/>
                <w:szCs w:val="18"/>
              </w:rPr>
            </w:pPr>
            <w:r>
              <w:rPr>
                <w:rFonts w:ascii="Times New Roman"/>
                <w:sz w:val="18"/>
              </w:rPr>
              <w:t>100.00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10,801,015.00</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335" w:lineRule="exact"/>
        <w:ind w:right="10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4"/>
        <w:spacing w:line="240" w:lineRule="auto"/>
        <w:ind w:right="1033"/>
        <w:jc w:val="left"/>
        <w:rPr>
          <w:b w:val="0"/>
          <w:bCs w:val="0"/>
        </w:rPr>
      </w:pPr>
      <w:r>
        <w:rPr/>
        <w:t>三、股东和实际控制人情况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单位：股</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24pt;margin-top:71.999985pt;width:479.3pt;height:692.2pt;mso-position-horizontal-relative:page;mso-position-vertical-relative:page;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0"/>
                    <w:gridCol w:w="1204"/>
                    <w:gridCol w:w="917"/>
                    <w:gridCol w:w="1075"/>
                    <w:gridCol w:w="1052"/>
                    <w:gridCol w:w="1075"/>
                    <w:gridCol w:w="921"/>
                    <w:gridCol w:w="1063"/>
                    <w:gridCol w:w="1064"/>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21,552</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 w:right="167"/>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27,048</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7"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3" w:space="0" w:color="D2D2D2"/>
                        </w:tcBorders>
                      </w:tcPr>
                      <w:p>
                        <w:pPr/>
                      </w:p>
                    </w:tc>
                    <w:tc>
                      <w:tcPr>
                        <w:tcW w:w="917"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 w:right="65"/>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vMerge/>
                        <w:tcBorders>
                          <w:left w:val="single" w:sz="9" w:space="0" w:color="D2D2D2"/>
                          <w:right w:val="single" w:sz="4" w:space="0" w:color="000000"/>
                        </w:tcBorders>
                      </w:tcPr>
                      <w:p>
                        <w:pP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3" w:space="0" w:color="D2D2D2"/>
                        </w:tcBorders>
                      </w:tcPr>
                      <w:p>
                        <w:pPr/>
                      </w:p>
                    </w:tc>
                    <w:tc>
                      <w:tcPr>
                        <w:tcW w:w="917"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3" w:space="0" w:color="D2D2D2"/>
                        </w:tcBorders>
                      </w:tcPr>
                      <w:p>
                        <w:pPr/>
                      </w:p>
                    </w:tc>
                    <w:tc>
                      <w:tcPr>
                        <w:tcW w:w="917"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162"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3" w:space="0" w:color="D2D2D2"/>
                        </w:tcBorders>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2" w:space="0" w:color="D2D2D2"/>
                          <w:bottom w:val="single" w:sz="4" w:space="0" w:color="000000"/>
                          <w:right w:val="single" w:sz="9" w:space="0" w:color="D2D2D2"/>
                        </w:tcBorders>
                      </w:tcPr>
                      <w:p>
                        <w:pPr/>
                      </w:p>
                    </w:tc>
                    <w:tc>
                      <w:tcPr>
                        <w:tcW w:w="19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9" w:space="0" w:color="D2D2D2"/>
                          <w:bottom w:val="single" w:sz="4" w:space="0" w:color="000000"/>
                          <w:right w:val="single" w:sz="4" w:space="0" w:color="000000"/>
                        </w:tcBorders>
                      </w:tcPr>
                      <w:p>
                        <w:pPr/>
                      </w:p>
                    </w:tc>
                  </w:tr>
                  <w:tr>
                    <w:trPr>
                      <w:trHeight w:val="397"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2" w:right="8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2"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2" w:right="8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vMerge/>
                        <w:tcBorders>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right w:val="single" w:sz="4" w:space="0" w:color="000000"/>
                        </w:tcBorders>
                        <w:shd w:val="clear" w:color="auto" w:fill="D2D2D2"/>
                      </w:tcPr>
                      <w:p>
                        <w:pPr/>
                      </w:p>
                    </w:tc>
                  </w:tr>
                  <w:tr>
                    <w:trPr>
                      <w:trHeight w:val="140"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7"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
                          <w:jc w:val="right"/>
                          <w:rPr>
                            <w:rFonts w:ascii="Times New Roman" w:hAnsi="Times New Roman" w:cs="Times New Roman" w:eastAsia="Times New Roman" w:hint="default"/>
                            <w:sz w:val="18"/>
                            <w:szCs w:val="18"/>
                          </w:rPr>
                        </w:pPr>
                        <w:r>
                          <w:rPr>
                            <w:rFonts w:ascii="Times New Roman"/>
                            <w:sz w:val="18"/>
                          </w:rPr>
                          <w:t>28.23%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137,946,987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103,460,240</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34,486,747</w:t>
                        </w:r>
                      </w:p>
                    </w:tc>
                    <w:tc>
                      <w:tcPr>
                        <w:tcW w:w="1063" w:type="dxa"/>
                        <w:tcBorders>
                          <w:top w:val="single" w:sz="44" w:space="0" w:color="D2D2D2"/>
                          <w:left w:val="single" w:sz="4" w:space="0" w:color="000000"/>
                          <w:bottom w:val="single" w:sz="4" w:space="0" w:color="000000"/>
                          <w:right w:val="single" w:sz="4" w:space="0" w:color="000000"/>
                        </w:tcBorders>
                      </w:tcPr>
                      <w:p>
                        <w:pPr/>
                      </w:p>
                    </w:tc>
                    <w:tc>
                      <w:tcPr>
                        <w:tcW w:w="1064" w:type="dxa"/>
                        <w:tcBorders>
                          <w:top w:val="single" w:sz="44" w:space="0" w:color="D2D2D2"/>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7.46%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36,478,805</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34,296,529</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2,182,276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香港中央结算 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4.98%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24,327,846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2,432,784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杨艳</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20,519,254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20,519,254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3.41%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16,667,394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0</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16,667,394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李霞</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3.18%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15,550,000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易方达基金－ 工商银行－外 贸信托－外贸 信托</w:t>
                        </w:r>
                        <w:r>
                          <w:rPr>
                            <w:rFonts w:ascii="Times New Roman" w:hAnsi="Times New Roman" w:cs="Times New Roman" w:eastAsia="Times New Roman" w:hint="default"/>
                            <w:sz w:val="18"/>
                            <w:szCs w:val="18"/>
                          </w:rPr>
                          <w:t>·</w:t>
                        </w:r>
                        <w:r>
                          <w:rPr>
                            <w:rFonts w:ascii="宋体" w:hAnsi="宋体" w:cs="宋体" w:eastAsia="宋体" w:hint="default"/>
                            <w:sz w:val="18"/>
                            <w:szCs w:val="18"/>
                          </w:rPr>
                          <w:t>稳富</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FOF</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单一资金信托</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7,059,524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7,059,524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渤海国际信托 股份有限公司</w:t>
                        </w:r>
                      </w:p>
                      <w:p>
                        <w:pPr>
                          <w:pStyle w:val="TableParagraph"/>
                          <w:spacing w:line="312" w:lineRule="auto" w:before="19"/>
                          <w:ind w:left="24" w:right="83"/>
                          <w:jc w:val="both"/>
                          <w:rPr>
                            <w:rFonts w:ascii="宋体" w:hAnsi="宋体" w:cs="宋体" w:eastAsia="宋体" w:hint="default"/>
                            <w:sz w:val="18"/>
                            <w:szCs w:val="18"/>
                          </w:rPr>
                        </w:pPr>
                        <w:r>
                          <w:rPr>
                            <w:rFonts w:ascii="宋体" w:hAnsi="宋体" w:cs="宋体" w:eastAsia="宋体" w:hint="default"/>
                            <w:sz w:val="18"/>
                            <w:szCs w:val="18"/>
                          </w:rPr>
                          <w:t>－渤海信托－ 恒利丰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215 </w:t>
                        </w:r>
                        <w:r>
                          <w:rPr>
                            <w:rFonts w:ascii="宋体" w:hAnsi="宋体" w:cs="宋体" w:eastAsia="宋体" w:hint="default"/>
                            <w:sz w:val="18"/>
                            <w:szCs w:val="18"/>
                          </w:rPr>
                          <w:t>号 集合资金信托 计划</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6,479,528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6,479,528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全国社保基金 四一二组合</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4,881,939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4,881,939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易方达基金－ 工商银行－易 方达基金臻选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 计划</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0.79%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3,850,880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3,850,880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8"/>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6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2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67"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 w:right="21"/>
                          <w:jc w:val="left"/>
                          <w:rPr>
                            <w:rFonts w:ascii="宋体" w:hAnsi="宋体" w:cs="宋体" w:eastAsia="宋体" w:hint="default"/>
                            <w:sz w:val="18"/>
                            <w:szCs w:val="18"/>
                          </w:rPr>
                        </w:pPr>
                        <w:r>
                          <w:rPr>
                            <w:rFonts w:ascii="宋体" w:hAnsi="宋体" w:cs="宋体" w:eastAsia="宋体" w:hint="default"/>
                            <w:spacing w:val="-5"/>
                            <w:sz w:val="18"/>
                            <w:szCs w:val="18"/>
                          </w:rPr>
                          <w:t>刘亚先生为刘祥先生之兄弟，江汉先生为刘祥先生妹妹之配偶，杨艳女士为刘亚先生之配偶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7"/>
                            <w:sz w:val="18"/>
                            <w:szCs w:val="18"/>
                          </w:rPr>
                          <w:t>杨艳女士与刘亚先生为一致行动人；除此之外，未发现公司股东之间存在关联关系或属于《上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市公司收购管理办法》规定的一致行动人。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line="624" w:lineRule="exact"/>
        <w:ind w:left="5614"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52.6pt;height:31.2pt;mso-position-horizontal-relative:char;mso-position-vertical-relative:line" coordorigin="0,0" coordsize="1052,624">
            <v:group style="position:absolute;left:0;top:0;width:1052;height:624" coordorigin="0,0" coordsize="1052,624">
              <v:shape style="position:absolute;left:0;top:0;width:1052;height:624" coordorigin="0,0" coordsize="1052,624" path="m0,624l1051,624,1051,0,0,0,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0" w:right="1138"/>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44"/>
        <w:ind w:left="0" w:right="1138"/>
        <w:jc w:val="right"/>
      </w:pPr>
      <w:r>
        <w:rPr/>
        <w:pict>
          <v:shape style="position:absolute;margin-left:56.424pt;margin-top:-457.188293pt;width:479.3pt;height:551.7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8"/>
                    <w:gridCol w:w="5046"/>
                    <w:gridCol w:w="1068"/>
                    <w:gridCol w:w="1059"/>
                  </w:tblGrid>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6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398" w:type="dxa"/>
                        <w:vMerge/>
                        <w:tcBorders>
                          <w:left w:val="single" w:sz="4" w:space="0" w:color="000000"/>
                          <w:bottom w:val="single" w:sz="4" w:space="0" w:color="000000"/>
                          <w:right w:val="single" w:sz="4" w:space="0" w:color="000000"/>
                        </w:tcBorders>
                        <w:shd w:val="clear" w:color="auto" w:fill="D2D2D2"/>
                      </w:tcPr>
                      <w:p>
                        <w:pPr/>
                      </w:p>
                    </w:tc>
                    <w:tc>
                      <w:tcPr>
                        <w:tcW w:w="5046"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34,486,747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34,486,747</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24,327,846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24,327,846</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杨艳</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20,519,254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20,519,254</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16,667,394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16,667,394</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李霞</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15,550,000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15,550,000</w:t>
                        </w:r>
                      </w:p>
                    </w:tc>
                  </w:tr>
                  <w:tr>
                    <w:trPr>
                      <w:trHeight w:val="102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易方达基金－工商银行－外贸 信托－外贸信托</w:t>
                        </w:r>
                        <w:r>
                          <w:rPr>
                            <w:rFonts w:ascii="Times New Roman" w:hAnsi="Times New Roman" w:cs="Times New Roman" w:eastAsia="Times New Roman" w:hint="default"/>
                            <w:sz w:val="18"/>
                            <w:szCs w:val="18"/>
                          </w:rPr>
                          <w:t>·</w:t>
                        </w:r>
                        <w:r>
                          <w:rPr>
                            <w:rFonts w:ascii="宋体" w:hAnsi="宋体" w:cs="宋体" w:eastAsia="宋体" w:hint="default"/>
                            <w:sz w:val="18"/>
                            <w:szCs w:val="18"/>
                          </w:rPr>
                          <w:t>稳富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FOF </w:t>
                        </w:r>
                        <w:r>
                          <w:rPr>
                            <w:rFonts w:ascii="宋体" w:hAnsi="宋体" w:cs="宋体" w:eastAsia="宋体" w:hint="default"/>
                            <w:sz w:val="18"/>
                            <w:szCs w:val="18"/>
                          </w:rPr>
                          <w:t>单 一资金信托</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7,059,524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7,059,524</w:t>
                        </w:r>
                      </w:p>
                    </w:tc>
                  </w:tr>
                  <w:tr>
                    <w:trPr>
                      <w:trHeight w:val="102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渤海国际信托股份有限公司－ 渤海信托－恒利丰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215 </w:t>
                        </w:r>
                        <w:r>
                          <w:rPr>
                            <w:rFonts w:ascii="宋体" w:hAnsi="宋体" w:cs="宋体" w:eastAsia="宋体" w:hint="default"/>
                            <w:sz w:val="18"/>
                            <w:szCs w:val="18"/>
                          </w:rPr>
                          <w:t>号集合 资金信托计划</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6,479,528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6,479,528</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全国社保基金四一二组合</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4,881,939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4,881,939</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易方达基金－工商银行－易方 达基金臻选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3,850,880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3,850,880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广发证券股份有限公司－中庚 小盘价值股票型证券投资基金</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2,940,700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2,940,700</w:t>
                        </w:r>
                      </w:p>
                    </w:tc>
                  </w:tr>
                  <w:tr>
                    <w:trPr>
                      <w:trHeight w:val="1340"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1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 w:right="21"/>
                          <w:jc w:val="left"/>
                          <w:rPr>
                            <w:rFonts w:ascii="宋体" w:hAnsi="宋体" w:cs="宋体" w:eastAsia="宋体" w:hint="default"/>
                            <w:sz w:val="18"/>
                            <w:szCs w:val="18"/>
                          </w:rPr>
                        </w:pPr>
                        <w:r>
                          <w:rPr>
                            <w:rFonts w:ascii="宋体" w:hAnsi="宋体" w:cs="宋体" w:eastAsia="宋体" w:hint="default"/>
                            <w:spacing w:val="-5"/>
                            <w:sz w:val="18"/>
                            <w:szCs w:val="18"/>
                          </w:rPr>
                          <w:t>刘亚先生为刘祥先生之弟弟，江汉先生为刘祥先生妹妹之配偶，杨艳女士为刘亚先生之配偶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7"/>
                            <w:sz w:val="18"/>
                            <w:szCs w:val="18"/>
                          </w:rPr>
                          <w:t>杨艳女士与刘亚先生为一致行动人；除此之外，未发现公司股东之间存在关联关系或属于《上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市公司收购管理办法》规定的一致行动人。</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44"/>
        <w:ind w:right="1033"/>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033"/>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2"/>
        <w:rPr>
          <w:rFonts w:ascii="宋体" w:hAnsi="宋体" w:cs="宋体" w:eastAsia="宋体" w:hint="default"/>
          <w:sz w:val="20"/>
          <w:szCs w:val="20"/>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8593"/>
        <w:jc w:val="left"/>
      </w:pPr>
      <w:r>
        <w:rPr/>
        <w:t>控股股东性质：自然人控股 控股股东类型：自然人</w:t>
      </w:r>
    </w:p>
    <w:p>
      <w:pPr>
        <w:spacing w:after="0" w:line="36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18"/>
        <w:gridCol w:w="2031"/>
        <w:gridCol w:w="4119"/>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深圳市新国都股份有限公司董事长兼总经理</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033"/>
        <w:jc w:val="left"/>
      </w:pPr>
      <w:r>
        <w:rPr/>
        <w:t>控股股东报告期内变更</w:t>
      </w:r>
    </w:p>
    <w:p>
      <w:pPr>
        <w:pStyle w:val="BodyText"/>
        <w:spacing w:line="340" w:lineRule="auto" w:before="115"/>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16"/>
          <w:szCs w:val="16"/>
        </w:rPr>
      </w:pPr>
    </w:p>
    <w:p>
      <w:pPr>
        <w:pStyle w:val="Heading5"/>
        <w:spacing w:line="240" w:lineRule="auto"/>
        <w:ind w:right="10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413"/>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深圳市新国都股份有限公司董事长兼总经理</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033"/>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8"/>
        <w:rPr>
          <w:rFonts w:ascii="宋体" w:hAnsi="宋体" w:cs="宋体" w:eastAsia="宋体" w:hint="default"/>
          <w:sz w:val="17"/>
          <w:szCs w:val="17"/>
        </w:rPr>
      </w:pPr>
    </w:p>
    <w:p>
      <w:pPr>
        <w:spacing w:line="4590" w:lineRule="exact"/>
        <w:ind w:left="1355"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4589685" cy="29146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5" cstate="print"/>
                    <a:stretch>
                      <a:fillRect/>
                    </a:stretch>
                  </pic:blipFill>
                  <pic:spPr>
                    <a:xfrm>
                      <a:off x="0" y="0"/>
                      <a:ext cx="4589685" cy="2914650"/>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12"/>
        <w:rPr>
          <w:rFonts w:ascii="宋体" w:hAnsi="宋体" w:cs="宋体" w:eastAsia="宋体" w:hint="default"/>
          <w:sz w:val="15"/>
          <w:szCs w:val="15"/>
        </w:rPr>
      </w:pPr>
    </w:p>
    <w:p>
      <w:pPr>
        <w:spacing w:before="0"/>
        <w:ind w:left="153" w:right="103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after="0"/>
        <w:jc w:val="left"/>
        <w:rPr>
          <w:rFonts w:ascii="宋体" w:hAnsi="宋体" w:cs="宋体" w:eastAsia="宋体" w:hint="default"/>
          <w:sz w:val="24"/>
          <w:szCs w:val="24"/>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5"/>
        <w:spacing w:line="240" w:lineRule="auto"/>
        <w:ind w:right="10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85" w:right="1033"/>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642" w:right="1033"/>
        <w:jc w:val="left"/>
        <w:rPr>
          <w:b w:val="0"/>
          <w:bCs w:val="0"/>
        </w:rPr>
      </w:pPr>
      <w:bookmarkStart w:name="_bookmark7" w:id="8"/>
      <w:bookmarkEnd w:id="8"/>
      <w:r>
        <w:rPr>
          <w:b w:val="0"/>
          <w:bCs w:val="0"/>
        </w:rPr>
      </w:r>
      <w:r>
        <w:rPr/>
        <w:t>第八节 </w:t>
      </w:r>
      <w:r>
        <w:rPr>
          <w:spacing w:val="13"/>
        </w:rPr>
        <w:t> </w:t>
      </w:r>
      <w:r>
        <w:rPr/>
        <w:t>可转换公司债券相关情况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1679" w:right="1033"/>
        <w:jc w:val="left"/>
        <w:rPr>
          <w:b w:val="0"/>
          <w:bCs w:val="0"/>
        </w:rPr>
      </w:pPr>
      <w:bookmarkStart w:name="_bookmark8" w:id="9"/>
      <w:bookmarkEnd w:id="9"/>
      <w:r>
        <w:rPr>
          <w:b w:val="0"/>
          <w:bCs w:val="0"/>
        </w:rPr>
      </w:r>
      <w:r>
        <w:rPr/>
        <w:t>第九节 </w:t>
      </w:r>
      <w:r>
        <w:rPr>
          <w:spacing w:val="18"/>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4"/>
        <w:spacing w:line="240" w:lineRule="auto"/>
        <w:ind w:right="1033"/>
        <w:jc w:val="left"/>
        <w:rPr>
          <w:b w:val="0"/>
          <w:bCs w:val="0"/>
        </w:rPr>
      </w:pP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137,946,9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137,946,9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87</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45,728,70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9,249,900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36,478,80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1,984,428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496,107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1,488,321</w:t>
            </w:r>
          </w:p>
        </w:tc>
      </w:tr>
      <w:tr>
        <w:trPr>
          <w:trHeight w:val="102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2,015,926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503,982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1,511,944</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石晓冬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许映鹏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梅培培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799"/>
        <w:gridCol w:w="797"/>
      </w:tblGrid>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张金燕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财务总 监，董事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431,984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387,082</w:t>
            </w:r>
          </w:p>
        </w:tc>
      </w:tr>
      <w:tr>
        <w:trPr>
          <w:trHeight w:val="102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125,997</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1,521,586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380,397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1,141,189</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545,380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131,150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63,498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477,728</w:t>
            </w:r>
          </w:p>
        </w:tc>
      </w:tr>
      <w:tr>
        <w:trPr>
          <w:trHeight w:val="716"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190,212,7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10,869,43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216,493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179,559,8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53</w:t>
            </w:r>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right="1033"/>
        <w:jc w:val="left"/>
        <w:rPr>
          <w:b w:val="0"/>
          <w:bCs w:val="0"/>
        </w:rPr>
      </w:pP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3"/>
              <w:jc w:val="both"/>
              <w:rPr>
                <w:rFonts w:ascii="宋体" w:hAnsi="宋体" w:cs="宋体" w:eastAsia="宋体" w:hint="default"/>
                <w:sz w:val="18"/>
                <w:szCs w:val="18"/>
              </w:rPr>
            </w:pPr>
            <w:r>
              <w:rPr>
                <w:rFonts w:ascii="宋体" w:hAnsi="宋体" w:cs="宋体" w:eastAsia="宋体" w:hint="default"/>
                <w:sz w:val="18"/>
                <w:szCs w:val="18"/>
              </w:rPr>
              <w:t>江汉先生因公司战略发展需要及个人原因辞去公司副 总经理职务，调整后江汉先生将担任公司副董事长职 务。</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3"/>
              <w:jc w:val="both"/>
              <w:rPr>
                <w:rFonts w:ascii="宋体" w:hAnsi="宋体" w:cs="宋体" w:eastAsia="宋体" w:hint="default"/>
                <w:sz w:val="18"/>
                <w:szCs w:val="18"/>
              </w:rPr>
            </w:pPr>
            <w:r>
              <w:rPr>
                <w:rFonts w:ascii="宋体" w:hAnsi="宋体" w:cs="宋体" w:eastAsia="宋体" w:hint="default"/>
                <w:sz w:val="18"/>
                <w:szCs w:val="18"/>
              </w:rPr>
              <w:t>公司第四届董事会第三十二次会议同意聘任江汉先生 为公司副董事长，任期自该次董事会决议通过之日起 至第四届董事会任期届满之日止。</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0" w:right="1141"/>
        <w:jc w:val="right"/>
      </w:pPr>
      <w:r>
        <w:rPr/>
        <w:pict>
          <v:shape style="position:absolute;margin-left:56.424pt;margin-top:-239.37825pt;width:479.15pt;height:379.75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0"/>
                    <w:gridCol w:w="1330"/>
                    <w:gridCol w:w="4249"/>
                  </w:tblGrid>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石晓冬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公司第四届董事会第三十三次会议同意聘任石晓冬先 生为公司副总经理，任期自该次董事会决议通过之日 起至第四届董事会任期届满之日止。</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石晓冬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年第二次临时股东大会同意选举石晓冬先生 为公司董事，任期自该次临时股东大会决议通过之日 起至第四届董事会任期届满之日止。</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许映鹏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年第一次临时股东大会同意选举许映鹏先生 为公司独立董事，任期自该次临时股东大会决议通过 之日起至第四届董事会任期届满之日止。</w:t>
                        </w:r>
                      </w:p>
                    </w:tc>
                  </w:tr>
                  <w:tr>
                    <w:trPr>
                      <w:trHeight w:val="134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3"/>
                          <w:jc w:val="both"/>
                          <w:rPr>
                            <w:rFonts w:ascii="宋体" w:hAnsi="宋体" w:cs="宋体" w:eastAsia="宋体" w:hint="default"/>
                            <w:sz w:val="18"/>
                            <w:szCs w:val="18"/>
                          </w:rPr>
                        </w:pPr>
                        <w:r>
                          <w:rPr>
                            <w:rFonts w:ascii="宋体" w:hAnsi="宋体" w:cs="宋体" w:eastAsia="宋体" w:hint="default"/>
                            <w:sz w:val="18"/>
                            <w:szCs w:val="18"/>
                          </w:rPr>
                          <w:t>公司第四届董事会第三十二次会议同意聘任宋菁女士 为公司财务总监，任期自该次董事会决议通过之日起 至第四届董事会任期届满之日止。调整后宋菁女士担 任公司财务总监兼董事会秘书。</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3"/>
                          <w:jc w:val="left"/>
                          <w:rPr>
                            <w:rFonts w:ascii="宋体" w:hAnsi="宋体" w:cs="宋体" w:eastAsia="宋体" w:hint="default"/>
                            <w:sz w:val="18"/>
                            <w:szCs w:val="18"/>
                          </w:rPr>
                        </w:pPr>
                        <w:r>
                          <w:rPr>
                            <w:rFonts w:ascii="宋体" w:hAnsi="宋体" w:cs="宋体" w:eastAsia="宋体" w:hint="default"/>
                            <w:sz w:val="18"/>
                            <w:szCs w:val="18"/>
                          </w:rPr>
                          <w:t>赵辉先生因公司战略发展需要及个人原因辞去公司财 </w:t>
                        </w:r>
                        <w:r>
                          <w:rPr>
                            <w:rFonts w:ascii="宋体" w:hAnsi="宋体" w:cs="宋体" w:eastAsia="宋体" w:hint="default"/>
                            <w:spacing w:val="-2"/>
                            <w:sz w:val="18"/>
                            <w:szCs w:val="18"/>
                          </w:rPr>
                          <w:t>务总监职务，辞任后赵辉先生仍在公司担任其他职务</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3"/>
                          <w:jc w:val="both"/>
                          <w:rPr>
                            <w:rFonts w:ascii="宋体" w:hAnsi="宋体" w:cs="宋体" w:eastAsia="宋体" w:hint="default"/>
                            <w:sz w:val="18"/>
                            <w:szCs w:val="18"/>
                          </w:rPr>
                        </w:pPr>
                        <w:r>
                          <w:rPr>
                            <w:rFonts w:ascii="宋体" w:hAnsi="宋体" w:cs="宋体" w:eastAsia="宋体" w:hint="default"/>
                            <w:sz w:val="18"/>
                            <w:szCs w:val="18"/>
                          </w:rPr>
                          <w:t>童卫东先生因公司战略发展需要及个人原因辞去公司 副总经理职务，辞任后童卫东先生仍在公司担任其他 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3"/>
                          <w:jc w:val="left"/>
                          <w:rPr>
                            <w:rFonts w:ascii="宋体" w:hAnsi="宋体" w:cs="宋体" w:eastAsia="宋体" w:hint="default"/>
                            <w:sz w:val="18"/>
                            <w:szCs w:val="18"/>
                          </w:rPr>
                        </w:pPr>
                        <w:r>
                          <w:rPr>
                            <w:rFonts w:ascii="宋体" w:hAnsi="宋体" w:cs="宋体" w:eastAsia="宋体" w:hint="default"/>
                            <w:sz w:val="18"/>
                            <w:szCs w:val="18"/>
                          </w:rPr>
                          <w:t>何佳先生因个人原因辞去公司第四届董事会独立董事 职务，辞任后何佳先生不再在公司担任任何职务。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53"/>
                          <w:jc w:val="left"/>
                          <w:rPr>
                            <w:rFonts w:ascii="宋体" w:hAnsi="宋体" w:cs="宋体" w:eastAsia="宋体" w:hint="default"/>
                            <w:sz w:val="18"/>
                            <w:szCs w:val="18"/>
                          </w:rPr>
                        </w:pPr>
                        <w:r>
                          <w:rPr>
                            <w:rFonts w:ascii="宋体" w:hAnsi="宋体" w:cs="宋体" w:eastAsia="宋体" w:hint="default"/>
                            <w:sz w:val="18"/>
                            <w:szCs w:val="18"/>
                          </w:rPr>
                          <w:t>贾巍女士因个人原因辞去公司第四届董事会董事职 务，辞任后贾巍女士不再在公司担任任何职务。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367" w:lineRule="exact"/>
        <w:ind w:right="1033"/>
        <w:jc w:val="left"/>
        <w:rPr>
          <w:b w:val="0"/>
          <w:bCs w:val="0"/>
        </w:rPr>
      </w:pPr>
      <w:r>
        <w:rPr/>
        <w:t>三、任职情况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3"/>
        <w:jc w:val="left"/>
      </w:pPr>
      <w:r>
        <w:rPr/>
        <w:t>公司现任董事、监事、高级管理人员专业背景、主要工作经历以及目前在公司的主要职责</w:t>
      </w:r>
    </w:p>
    <w:p>
      <w:pPr>
        <w:pStyle w:val="BodyText"/>
        <w:spacing w:line="376" w:lineRule="auto" w:before="115"/>
        <w:ind w:right="1033"/>
        <w:jc w:val="left"/>
      </w:pPr>
      <w:r>
        <w:rPr>
          <w:rFonts w:ascii="Times New Roman" w:hAnsi="Times New Roman" w:cs="Times New Roman" w:eastAsia="Times New Roman" w:hint="default"/>
        </w:rPr>
        <w:t>1</w:t>
      </w:r>
      <w:r>
        <w:rPr/>
        <w:t>、董事会成员简介 </w:t>
      </w:r>
      <w:r>
        <w:rPr>
          <w:spacing w:val="-2"/>
        </w:rPr>
        <w:t>刘祥，男，</w:t>
      </w:r>
      <w:r>
        <w:rPr>
          <w:rFonts w:ascii="Times New Roman" w:hAnsi="Times New Roman" w:cs="Times New Roman" w:eastAsia="Times New Roman" w:hint="default"/>
          <w:spacing w:val="-2"/>
        </w:rPr>
        <w:t>53</w:t>
      </w:r>
      <w:r>
        <w:rPr>
          <w:spacing w:val="-2"/>
        </w:rPr>
        <w:t>岁，中国国籍，无境外居留权，毕业于东南大学，本科学历，现任本公司董事长兼总经理，现任嘉联支付有限</w:t>
      </w:r>
    </w:p>
    <w:p>
      <w:pPr>
        <w:pStyle w:val="BodyText"/>
        <w:spacing w:line="463" w:lineRule="auto" w:before="105"/>
        <w:ind w:right="1033"/>
        <w:jc w:val="left"/>
      </w:pPr>
      <w:r>
        <w:rPr>
          <w:spacing w:val="-2"/>
        </w:rPr>
        <w:t>公司董事。</w:t>
      </w:r>
      <w:r>
        <w:rPr>
          <w:rFonts w:ascii="Times New Roman" w:hAnsi="Times New Roman" w:cs="Times New Roman" w:eastAsia="Times New Roman" w:hint="default"/>
          <w:spacing w:val="-2"/>
        </w:rPr>
        <w:t>2001</w:t>
      </w:r>
      <w:r>
        <w:rPr>
          <w:spacing w:val="-2"/>
        </w:rPr>
        <w:t>年创建深圳市新国都技术有限公司，现兼任深圳市泰德信实业有限公司董事长，怒江长庚实业股份有限公司</w:t>
      </w:r>
      <w:r>
        <w:rPr>
          <w:spacing w:val="-61"/>
        </w:rPr>
        <w:t> </w:t>
      </w:r>
      <w:r>
        <w:rPr>
          <w:spacing w:val="-61"/>
        </w:rPr>
      </w:r>
      <w:r>
        <w:rPr/>
        <w:t>董事长。 江汉，男，</w:t>
      </w:r>
      <w:r>
        <w:rPr>
          <w:rFonts w:ascii="Times New Roman" w:hAnsi="Times New Roman" w:cs="Times New Roman" w:eastAsia="Times New Roman" w:hint="default"/>
        </w:rPr>
        <w:t>49</w:t>
      </w:r>
      <w:r>
        <w:rPr/>
        <w:t>岁，中国国籍，无境外居留权，工商管理硕士（</w:t>
      </w:r>
      <w:r>
        <w:rPr>
          <w:rFonts w:ascii="Times New Roman" w:hAnsi="Times New Roman" w:cs="Times New Roman" w:eastAsia="Times New Roman" w:hint="default"/>
        </w:rPr>
        <w:t>MBA</w:t>
      </w:r>
      <w:r>
        <w:rPr/>
        <w:t>），现任本公司副董事长。现任深圳市新国都金服技术 </w:t>
      </w:r>
      <w:r>
        <w:rPr>
          <w:spacing w:val="-2"/>
        </w:rPr>
        <w:t>有限公司董事长，深圳市信联征信有限公司执行董事。兼任深圳市泰德信实业有限公司董事，怒江长庚实业股份有限公司董</w:t>
      </w:r>
      <w:r>
        <w:rPr>
          <w:spacing w:val="-63"/>
        </w:rPr>
        <w:t> </w:t>
      </w:r>
      <w:r>
        <w:rPr>
          <w:spacing w:val="-63"/>
        </w:rPr>
      </w:r>
      <w:r>
        <w:rPr/>
        <w:t>事。 </w:t>
      </w:r>
      <w:r>
        <w:rPr>
          <w:spacing w:val="-2"/>
        </w:rPr>
        <w:t>汪洋，男，</w:t>
      </w:r>
      <w:r>
        <w:rPr>
          <w:rFonts w:ascii="Times New Roman" w:hAnsi="Times New Roman" w:cs="Times New Roman" w:eastAsia="Times New Roman" w:hint="default"/>
          <w:spacing w:val="-2"/>
        </w:rPr>
        <w:t>57</w:t>
      </w:r>
      <w:r>
        <w:rPr>
          <w:spacing w:val="-2"/>
        </w:rPr>
        <w:t>岁，中国国籍，无境外居留权，本科学历，现任本公司董事兼副总经理。现任深圳市新国都支付技术有限公司</w:t>
      </w:r>
      <w:r>
        <w:rPr>
          <w:spacing w:val="-69"/>
        </w:rPr>
        <w:t> </w:t>
      </w:r>
      <w:r>
        <w:rPr>
          <w:spacing w:val="-69"/>
        </w:rPr>
      </w:r>
      <w:r>
        <w:rPr/>
        <w:t>执行董事，浙江中正智能科技有限公司董事长。 </w:t>
      </w:r>
      <w:r>
        <w:rPr>
          <w:spacing w:val="-2"/>
        </w:rPr>
        <w:t>韦余红，男，</w:t>
      </w:r>
      <w:r>
        <w:rPr>
          <w:rFonts w:ascii="Times New Roman" w:hAnsi="Times New Roman" w:cs="Times New Roman" w:eastAsia="Times New Roman" w:hint="default"/>
          <w:spacing w:val="-2"/>
        </w:rPr>
        <w:t>51</w:t>
      </w:r>
      <w:r>
        <w:rPr>
          <w:spacing w:val="-2"/>
        </w:rPr>
        <w:t>岁，中国国籍，无境外居留权，研究生学历，现任本公司董事兼副总经理，现任深圳市新国都支付技术有限</w:t>
      </w:r>
      <w:r>
        <w:rPr>
          <w:spacing w:val="-72"/>
        </w:rPr>
        <w:t> </w:t>
      </w:r>
      <w:r>
        <w:rPr>
          <w:spacing w:val="-72"/>
        </w:rPr>
      </w:r>
      <w:r>
        <w:rPr/>
        <w:t>公司监事。</w:t>
      </w:r>
    </w:p>
    <w:p>
      <w:pPr>
        <w:spacing w:after="0" w:line="463"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1033"/>
        <w:jc w:val="left"/>
      </w:pPr>
      <w:r>
        <w:rPr>
          <w:spacing w:val="-2"/>
        </w:rPr>
        <w:t>石晓冬，男，</w:t>
      </w:r>
      <w:r>
        <w:rPr>
          <w:rFonts w:ascii="Times New Roman" w:hAnsi="Times New Roman" w:cs="Times New Roman" w:eastAsia="Times New Roman" w:hint="default"/>
          <w:spacing w:val="-2"/>
        </w:rPr>
        <w:t>42</w:t>
      </w:r>
      <w:r>
        <w:rPr>
          <w:spacing w:val="-2"/>
        </w:rPr>
        <w:t>岁，中国国籍，无境外居留权，本科学历，现任本公司董事兼副总经理，担任嘉联支付有限公司董事、总经</w:t>
      </w:r>
      <w:r>
        <w:rPr>
          <w:spacing w:val="-67"/>
        </w:rPr>
        <w:t> </w:t>
      </w:r>
      <w:r>
        <w:rPr>
          <w:spacing w:val="-67"/>
        </w:rPr>
      </w:r>
      <w:r>
        <w:rPr>
          <w:spacing w:val="-2"/>
        </w:rPr>
        <w:t>理，担任深圳市嘉联云科技有限公司执行董事。石晓冬于</w:t>
      </w:r>
      <w:r>
        <w:rPr>
          <w:rFonts w:ascii="Times New Roman" w:hAnsi="Times New Roman" w:cs="Times New Roman" w:eastAsia="Times New Roman" w:hint="default"/>
          <w:spacing w:val="-2"/>
        </w:rPr>
        <w:t>2016</w:t>
      </w:r>
      <w:r>
        <w:rPr>
          <w:spacing w:val="-2"/>
        </w:rPr>
        <w:t>年加入嘉联支付有限公司，历任产品经理、首席产品官及技术</w:t>
      </w:r>
      <w:r>
        <w:rPr>
          <w:spacing w:val="-61"/>
        </w:rPr>
        <w:t> </w:t>
      </w:r>
      <w:r>
        <w:rPr>
          <w:spacing w:val="-61"/>
        </w:rPr>
      </w:r>
      <w:r>
        <w:rPr/>
        <w:t>总监、首席执行官、执行董事，负责嘉联支付有限公司经营管理工作。 </w:t>
      </w:r>
      <w:r>
        <w:rPr>
          <w:spacing w:val="-2"/>
        </w:rPr>
        <w:t>陈京琳，男，</w:t>
      </w:r>
      <w:r>
        <w:rPr>
          <w:rFonts w:ascii="Times New Roman" w:hAnsi="Times New Roman" w:cs="Times New Roman" w:eastAsia="Times New Roman" w:hint="default"/>
          <w:spacing w:val="-2"/>
        </w:rPr>
        <w:t>48</w:t>
      </w:r>
      <w:r>
        <w:rPr>
          <w:spacing w:val="-2"/>
        </w:rPr>
        <w:t>岁，中国国籍，无境外居留权，硕士研究生学历，毕业于中欧工商管理学院，现任本公司独立董事，任职于</w:t>
      </w:r>
      <w:r>
        <w:rPr>
          <w:spacing w:val="-64"/>
        </w:rPr>
        <w:t> </w:t>
      </w:r>
      <w:r>
        <w:rPr>
          <w:spacing w:val="-64"/>
        </w:rPr>
      </w:r>
      <w:r>
        <w:rPr>
          <w:spacing w:val="-2"/>
        </w:rPr>
        <w:t>广东华商律师事务所，担任高级合伙人职务，兼任深圳市英可瑞科技股份有限公司董事、深圳威迈斯新能源股份有限公司董</w:t>
      </w:r>
      <w:r>
        <w:rPr>
          <w:spacing w:val="-63"/>
        </w:rPr>
        <w:t> </w:t>
      </w:r>
      <w:r>
        <w:rPr>
          <w:spacing w:val="-63"/>
        </w:rPr>
      </w:r>
      <w:r>
        <w:rPr/>
        <w:t>事。 </w:t>
      </w:r>
      <w:r>
        <w:rPr>
          <w:spacing w:val="-2"/>
        </w:rPr>
        <w:t>蔡艳红，女，</w:t>
      </w:r>
      <w:r>
        <w:rPr>
          <w:rFonts w:ascii="Times New Roman" w:hAnsi="Times New Roman" w:cs="Times New Roman" w:eastAsia="Times New Roman" w:hint="default"/>
          <w:spacing w:val="-2"/>
        </w:rPr>
        <w:t>46</w:t>
      </w:r>
      <w:r>
        <w:rPr>
          <w:spacing w:val="-2"/>
        </w:rPr>
        <w:t>岁，中国国籍，无境外居留权，本科学历，中国注册会计师协会非执业会员。现任本公司独立董事。兼任湖</w:t>
      </w:r>
      <w:r>
        <w:rPr>
          <w:spacing w:val="-68"/>
        </w:rPr>
        <w:t> </w:t>
      </w:r>
      <w:r>
        <w:rPr>
          <w:spacing w:val="-68"/>
        </w:rPr>
      </w:r>
      <w:r>
        <w:rPr/>
        <w:t>南科力远新能源股份有限公司独立董事，深圳市杨邦胜室内设计有限公司任财务总监、董事会秘书。 许映鹏，男，</w:t>
      </w:r>
      <w:r>
        <w:rPr>
          <w:rFonts w:ascii="Times New Roman" w:hAnsi="Times New Roman" w:cs="Times New Roman" w:eastAsia="Times New Roman" w:hint="default"/>
        </w:rPr>
        <w:t>53</w:t>
      </w:r>
      <w:r>
        <w:rPr/>
        <w:t>岁，中国国籍，无境外居留权，通信与电子系统硕士，</w:t>
      </w:r>
      <w:r>
        <w:rPr>
          <w:spacing w:val="-21"/>
        </w:rPr>
        <w:t> </w:t>
      </w:r>
      <w:r>
        <w:rPr/>
        <w:t>现任本公司独立董事。</w:t>
      </w:r>
      <w:r>
        <w:rPr>
          <w:rFonts w:ascii="Times New Roman" w:hAnsi="Times New Roman" w:cs="Times New Roman" w:eastAsia="Times New Roman" w:hint="default"/>
        </w:rPr>
        <w:t>2009</w:t>
      </w:r>
      <w:r>
        <w:rPr/>
        <w:t>年获得独立董事资格， 曾担任公司第一、二届董事会独立董事。现兼任凯斯泰尔通信设备（深圳）有限公司副总经理。</w:t>
      </w:r>
    </w:p>
    <w:p>
      <w:pPr>
        <w:pStyle w:val="BodyText"/>
        <w:spacing w:line="451" w:lineRule="auto" w:before="65"/>
        <w:ind w:right="1753" w:firstLine="72"/>
        <w:jc w:val="left"/>
      </w:pPr>
      <w:r>
        <w:rPr>
          <w:rFonts w:ascii="Times New Roman" w:hAnsi="Times New Roman" w:cs="Times New Roman" w:eastAsia="Times New Roman" w:hint="default"/>
        </w:rPr>
        <w:t>2</w:t>
      </w:r>
      <w:r>
        <w:rPr/>
        <w:t>、监事会成员简介 梅培培，女，</w:t>
      </w:r>
      <w:r>
        <w:rPr>
          <w:rFonts w:ascii="Times New Roman" w:hAnsi="Times New Roman" w:cs="Times New Roman" w:eastAsia="Times New Roman" w:hint="default"/>
        </w:rPr>
        <w:t>32</w:t>
      </w:r>
      <w:r>
        <w:rPr/>
        <w:t>岁，中国国籍，无境外居留权，研究生学历，现任本公司监事会主席兼品牌管理部总监。 钱瑜，女，</w:t>
      </w:r>
      <w:r>
        <w:rPr>
          <w:rFonts w:ascii="Times New Roman" w:hAnsi="Times New Roman" w:cs="Times New Roman" w:eastAsia="Times New Roman" w:hint="default"/>
        </w:rPr>
        <w:t>39</w:t>
      </w:r>
      <w:r>
        <w:rPr/>
        <w:t>岁，中国国籍，无境外居留权，本科学历，现任本公司职工监事兼任计划财务中心会计核算部经理。 张金燕，女，</w:t>
      </w:r>
      <w:r>
        <w:rPr>
          <w:rFonts w:ascii="Times New Roman" w:hAnsi="Times New Roman" w:cs="Times New Roman" w:eastAsia="Times New Roman" w:hint="default"/>
        </w:rPr>
        <w:t>41</w:t>
      </w:r>
      <w:r>
        <w:rPr/>
        <w:t>岁，中国国籍，无境外居留权，本科学历，现任本公司职工监事兼计划财务中心资金部出纳。</w:t>
      </w:r>
    </w:p>
    <w:p>
      <w:pPr>
        <w:pStyle w:val="BodyText"/>
        <w:spacing w:line="213" w:lineRule="exact"/>
        <w:ind w:left="225" w:right="1033"/>
        <w:jc w:val="left"/>
      </w:pPr>
      <w:r>
        <w:rPr>
          <w:rFonts w:ascii="Times New Roman" w:hAnsi="Times New Roman" w:cs="Times New Roman" w:eastAsia="Times New Roman" w:hint="default"/>
        </w:rPr>
        <w:t>3</w:t>
      </w:r>
      <w:r>
        <w:rPr/>
        <w:t>、高级管理人员简介</w:t>
      </w:r>
    </w:p>
    <w:p>
      <w:pPr>
        <w:pStyle w:val="BodyText"/>
        <w:spacing w:line="477" w:lineRule="auto" w:before="142"/>
        <w:ind w:right="6793"/>
        <w:jc w:val="left"/>
      </w:pPr>
      <w:r>
        <w:rPr/>
        <w:t>刘祥，总经理，简介及工作经历见董事介绍。 汪洋，副总经理，简介及工作经历见董事介绍。 韦余红，副总经理，简介及工作经历见董事介绍。 石晓冬，副总经理，简介及工作经历见董事介绍。</w:t>
      </w:r>
    </w:p>
    <w:p>
      <w:pPr>
        <w:pStyle w:val="BodyText"/>
        <w:spacing w:line="451" w:lineRule="auto" w:before="54"/>
        <w:ind w:right="1033"/>
        <w:jc w:val="left"/>
      </w:pPr>
      <w:r>
        <w:rPr/>
        <w:t>宋菁，女，</w:t>
      </w:r>
      <w:r>
        <w:rPr>
          <w:rFonts w:ascii="Times New Roman" w:hAnsi="Times New Roman" w:cs="Times New Roman" w:eastAsia="Times New Roman" w:hint="default"/>
        </w:rPr>
        <w:t>34</w:t>
      </w:r>
      <w:r>
        <w:rPr/>
        <w:t>岁，中国国籍，无境外居留权，硕士研究生学历，现任公司财务总监、董事会秘书。 </w:t>
      </w:r>
      <w:r>
        <w:rPr>
          <w:spacing w:val="-2"/>
        </w:rPr>
        <w:t>姚骏，男，</w:t>
      </w:r>
      <w:r>
        <w:rPr>
          <w:rFonts w:ascii="Times New Roman" w:hAnsi="Times New Roman" w:cs="Times New Roman" w:eastAsia="Times New Roman" w:hint="default"/>
          <w:spacing w:val="-2"/>
        </w:rPr>
        <w:t>42</w:t>
      </w:r>
      <w:r>
        <w:rPr>
          <w:spacing w:val="-2"/>
        </w:rPr>
        <w:t>岁，中国国籍，无境外居留权，本科学历，中级人力资源管理师职称，深圳市人力资源开发研究协会会员，现</w:t>
      </w:r>
      <w:r>
        <w:rPr>
          <w:spacing w:val="-65"/>
        </w:rPr>
        <w:t> </w:t>
      </w:r>
      <w:r>
        <w:rPr>
          <w:spacing w:val="-65"/>
        </w:rPr>
      </w:r>
      <w:r>
        <w:rPr/>
        <w:t>任公司副总经理。</w:t>
      </w:r>
    </w:p>
    <w:p>
      <w:pPr>
        <w:pStyle w:val="BodyText"/>
        <w:spacing w:line="451" w:lineRule="auto" w:before="74"/>
        <w:ind w:right="1033"/>
        <w:jc w:val="left"/>
      </w:pPr>
      <w:r>
        <w:rPr/>
        <w:t>李健，男，</w:t>
      </w:r>
      <w:r>
        <w:rPr>
          <w:rFonts w:ascii="Times New Roman" w:hAnsi="Times New Roman" w:cs="Times New Roman" w:eastAsia="Times New Roman" w:hint="default"/>
        </w:rPr>
        <w:t>52</w:t>
      </w:r>
      <w:r>
        <w:rPr/>
        <w:t>岁，中国国籍，无境外居留权，硕士学历，现任本公司副总经理。 </w:t>
      </w:r>
      <w:r>
        <w:rPr>
          <w:spacing w:val="-4"/>
        </w:rPr>
        <w:t>江勇，男，</w:t>
      </w:r>
      <w:r>
        <w:rPr>
          <w:rFonts w:ascii="Times New Roman" w:hAnsi="Times New Roman" w:cs="Times New Roman" w:eastAsia="Times New Roman" w:hint="default"/>
          <w:spacing w:val="-4"/>
        </w:rPr>
        <w:t>49</w:t>
      </w:r>
      <w:r>
        <w:rPr>
          <w:spacing w:val="-4"/>
        </w:rPr>
        <w:t>岁，中国国籍，无境外居留权，本科学历，现任本公司副总经理，长沙公信诚丰信息技术服务有限公司董事长。</w:t>
      </w:r>
      <w:r>
        <w:rPr>
          <w:spacing w:val="-39"/>
        </w:rPr>
        <w:t> </w:t>
      </w:r>
      <w:r>
        <w:rPr>
          <w:spacing w:val="-39"/>
        </w:rPr>
      </w:r>
      <w:r>
        <w:rPr/>
        <w:t>公司上述现任及历任董事、监事、高级管理人员不存在近三年受证券监管机构处罚的情况。</w:t>
      </w:r>
    </w:p>
    <w:p>
      <w:pPr>
        <w:pStyle w:val="BodyText"/>
        <w:spacing w:line="240" w:lineRule="auto" w:before="35"/>
        <w:ind w:right="1033"/>
        <w:jc w:val="left"/>
      </w:pPr>
      <w:r>
        <w:rPr/>
        <w:t>在股东单位任职情况</w:t>
      </w:r>
    </w:p>
    <w:p>
      <w:pPr>
        <w:pStyle w:val="BodyText"/>
        <w:spacing w:line="340" w:lineRule="auto" w:before="11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3"/>
        <w:gridCol w:w="1196"/>
        <w:gridCol w:w="1325"/>
        <w:gridCol w:w="1594"/>
      </w:tblGrid>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bl>
    <w:p>
      <w:pPr>
        <w:spacing w:after="0" w:line="316" w:lineRule="auto"/>
        <w:jc w:val="left"/>
        <w:rPr>
          <w:rFonts w:ascii="宋体" w:hAnsi="宋体" w:cs="宋体" w:eastAsia="宋体" w:hint="default"/>
          <w:sz w:val="18"/>
          <w:szCs w:val="18"/>
        </w:rPr>
        <w:sectPr>
          <w:footerReference w:type="default" r:id="rId26"/>
          <w:pgSz w:w="11910" w:h="16840"/>
          <w:pgMar w:footer="979" w:header="745"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广东华商律师事务所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vMerge/>
            <w:tcBorders>
              <w:left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深圳市英可瑞科技股份有限公司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vMerge/>
            <w:tcBorders>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深圳威迈斯新能源股份有限公司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湖南科力远新能源股份有限公司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vMerge/>
            <w:tcBorders>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深圳市杨邦胜室内设计有限公司</w:t>
            </w:r>
          </w:p>
        </w:tc>
        <w:tc>
          <w:tcPr>
            <w:tcW w:w="1063"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董事会秘书 财务总监</w:t>
            </w:r>
          </w:p>
        </w:tc>
        <w:tc>
          <w:tcPr>
            <w:tcW w:w="119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47"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许映鹏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凯斯泰尔通信设备（深圳）有限公司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033"/>
        <w:jc w:val="left"/>
      </w:pPr>
      <w:r>
        <w:rPr/>
        <w:t>公司现任及报告期内离任董事、监事和高级管理人员近三年证券监管机构处罚的情况</w:t>
      </w:r>
    </w:p>
    <w:p>
      <w:pPr>
        <w:pStyle w:val="BodyText"/>
        <w:spacing w:line="240" w:lineRule="auto" w:before="115"/>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1033"/>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3"/>
        <w:jc w:val="left"/>
      </w:pPr>
      <w:r>
        <w:rPr/>
        <w:t>董事、监事、高级管理人员报酬的决策程序、确定依据、实际支付情况</w:t>
      </w:r>
    </w:p>
    <w:p>
      <w:pPr>
        <w:pStyle w:val="BodyText"/>
        <w:spacing w:line="309" w:lineRule="auto" w:before="115"/>
        <w:ind w:right="1033"/>
        <w:jc w:val="left"/>
      </w:pPr>
      <w:r>
        <w:rPr>
          <w:rFonts w:ascii="Times New Roman" w:hAnsi="Times New Roman" w:cs="Times New Roman" w:eastAsia="Times New Roman" w:hint="default"/>
        </w:rPr>
        <w:t>1</w:t>
      </w:r>
      <w:r>
        <w:rPr/>
        <w:t>、董事、监事、高级管理人员报酬的决策程序 </w:t>
      </w:r>
      <w:r>
        <w:rPr>
          <w:spacing w:val="-2"/>
        </w:rPr>
        <w:t>公司董事、监事、高级管理人员的薪酬需提请公司股东大会予以审议，董事、监事、高级管理人员报酬由公司支付；独立董</w:t>
      </w:r>
      <w:r>
        <w:rPr>
          <w:spacing w:val="-68"/>
        </w:rPr>
        <w:t> </w:t>
      </w:r>
      <w:r>
        <w:rPr>
          <w:spacing w:val="-68"/>
        </w:rPr>
      </w:r>
      <w:r>
        <w:rPr/>
        <w:t>事津贴需经股东大会审议决策。</w:t>
      </w:r>
    </w:p>
    <w:p>
      <w:pPr>
        <w:pStyle w:val="BodyText"/>
        <w:spacing w:line="309" w:lineRule="auto" w:before="24"/>
        <w:ind w:right="1033"/>
        <w:jc w:val="left"/>
      </w:pPr>
      <w:r>
        <w:rPr>
          <w:rFonts w:ascii="Times New Roman" w:hAnsi="Times New Roman" w:cs="Times New Roman" w:eastAsia="Times New Roman" w:hint="default"/>
        </w:rPr>
        <w:t>2</w:t>
      </w:r>
      <w:r>
        <w:rPr/>
        <w:t>、董事、监事、高级管理人员报酬确定依据 </w:t>
      </w:r>
      <w:r>
        <w:rPr>
          <w:spacing w:val="-4"/>
        </w:rPr>
        <w:t>公司董事、监事和高级管理人员的报酬按照公司董事会《薪酬与考核委员会工作细则》的规定，结合其经营绩效、工作能力、</w:t>
      </w:r>
      <w:r>
        <w:rPr>
          <w:spacing w:val="-43"/>
        </w:rPr>
        <w:t> </w:t>
      </w:r>
      <w:r>
        <w:rPr>
          <w:spacing w:val="-43"/>
        </w:rPr>
      </w:r>
      <w:r>
        <w:rPr/>
        <w:t>岗位职级等为依据考核确定并发放。</w:t>
      </w:r>
    </w:p>
    <w:p>
      <w:pPr>
        <w:pStyle w:val="BodyText"/>
        <w:spacing w:line="321" w:lineRule="auto" w:before="24"/>
        <w:ind w:right="4453"/>
        <w:jc w:val="left"/>
      </w:pPr>
      <w:r>
        <w:rPr/>
        <w:t>董</w:t>
      </w:r>
      <w:r>
        <w:rPr>
          <w:rFonts w:ascii="Times New Roman" w:hAnsi="Times New Roman" w:cs="Times New Roman" w:eastAsia="Times New Roman" w:hint="default"/>
        </w:rPr>
        <w:t>3</w:t>
      </w:r>
      <w:r>
        <w:rPr/>
        <w:t>、事、监事和高级管理人员报酬的实际支付情况 公司董事、监事、高级管理人员</w:t>
      </w:r>
      <w:r>
        <w:rPr>
          <w:rFonts w:ascii="Times New Roman" w:hAnsi="Times New Roman" w:cs="Times New Roman" w:eastAsia="Times New Roman" w:hint="default"/>
        </w:rPr>
        <w:t>2019</w:t>
      </w:r>
      <w:r>
        <w:rPr/>
        <w:t>年度在公司领取的报酬总额为</w:t>
      </w:r>
      <w:r>
        <w:rPr>
          <w:rFonts w:ascii="宋体" w:hAnsi="宋体" w:cs="宋体" w:eastAsia="宋体" w:hint="default"/>
        </w:rPr>
        <w:t>828.31</w:t>
      </w:r>
      <w:r>
        <w:rPr/>
        <w:t>万元。 公司报告期内董事、监事和高级管理人员报酬情况</w:t>
      </w:r>
    </w:p>
    <w:p>
      <w:pPr>
        <w:pStyle w:val="BodyText"/>
        <w:spacing w:line="240" w:lineRule="auto" w:before="56"/>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石晓冬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7"/>
          <w:pgSz w:w="11910" w:h="16840"/>
          <w:pgMar w:footer="979" w:header="745"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许映鹏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梅培培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宋菁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财务总监，董事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江勇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828.31</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033"/>
        <w:jc w:val="left"/>
      </w:pPr>
      <w:r>
        <w:rPr/>
        <w:t>公司董事、高级管理人员报告期内被授予的股权激励情况</w:t>
      </w:r>
    </w:p>
    <w:p>
      <w:pPr>
        <w:pStyle w:val="BodyText"/>
        <w:spacing w:line="240" w:lineRule="auto" w:before="115"/>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1033"/>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2,046</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职能人员</w:t>
            </w:r>
          </w:p>
        </w:tc>
        <w:tc>
          <w:tcPr>
            <w:tcW w:w="4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2,046</w:t>
            </w:r>
          </w:p>
        </w:tc>
      </w:tr>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872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2,046</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10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3"/>
        <w:rPr>
          <w:rFonts w:ascii="Microsoft JhengHei" w:hAnsi="Microsoft JhengHei" w:cs="Microsoft JhengHei" w:eastAsia="Microsoft JhengHei" w:hint="default"/>
          <w:b/>
          <w:bCs/>
          <w:sz w:val="23"/>
          <w:szCs w:val="23"/>
        </w:rPr>
      </w:pPr>
    </w:p>
    <w:p>
      <w:pPr>
        <w:pStyle w:val="BodyText"/>
        <w:spacing w:line="456" w:lineRule="auto"/>
        <w:ind w:right="1119"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日公司根据发展现状及人力资源管理战略制定《薪酬管理制度》</w:t>
      </w:r>
      <w:r>
        <w:rPr>
          <w:rFonts w:ascii="Times New Roman" w:hAnsi="Times New Roman" w:cs="Times New Roman" w:eastAsia="Times New Roman" w:hint="default"/>
        </w:rPr>
        <w:t>A0</w:t>
      </w:r>
      <w:r>
        <w:rPr/>
        <w:t>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日公司发布《薪酬管 </w:t>
      </w:r>
      <w:r>
        <w:rPr>
          <w:spacing w:val="-1"/>
        </w:rPr>
        <w:t>理制度》</w:t>
      </w:r>
      <w:r>
        <w:rPr>
          <w:rFonts w:ascii="Times New Roman" w:hAnsi="Times New Roman" w:cs="Times New Roman" w:eastAsia="Times New Roman" w:hint="default"/>
          <w:spacing w:val="-1"/>
        </w:rPr>
        <w:t>A1</w:t>
      </w:r>
      <w:r>
        <w:rPr>
          <w:spacing w:val="-1"/>
        </w:rPr>
        <w:t>版，对此制度进行修订，增加</w:t>
      </w:r>
      <w:r>
        <w:rPr>
          <w:rFonts w:ascii="Times New Roman" w:hAnsi="Times New Roman" w:cs="Times New Roman" w:eastAsia="Times New Roman" w:hint="default"/>
          <w:spacing w:val="-1"/>
        </w:rPr>
        <w:t>“</w:t>
      </w:r>
      <w:r>
        <w:rPr>
          <w:spacing w:val="-1"/>
        </w:rPr>
        <w:t>办公地点变动调薪</w:t>
      </w:r>
      <w:r>
        <w:rPr>
          <w:rFonts w:ascii="Times New Roman" w:hAnsi="Times New Roman" w:cs="Times New Roman" w:eastAsia="Times New Roman" w:hint="default"/>
          <w:spacing w:val="-1"/>
        </w:rPr>
        <w:t>”</w:t>
      </w:r>
      <w:r>
        <w:rPr>
          <w:spacing w:val="-1"/>
        </w:rPr>
        <w:t>相关规定；</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22</w:t>
      </w:r>
      <w:r>
        <w:rPr>
          <w:spacing w:val="-1"/>
        </w:rPr>
        <w:t>日，发布《薪酬管理制度》</w:t>
      </w:r>
      <w:r>
        <w:rPr>
          <w:rFonts w:ascii="Times New Roman" w:hAnsi="Times New Roman" w:cs="Times New Roman" w:eastAsia="Times New Roman" w:hint="default"/>
          <w:spacing w:val="-1"/>
        </w:rPr>
        <w:t>A2</w:t>
      </w:r>
      <w:r>
        <w:rPr>
          <w:spacing w:val="-1"/>
        </w:rPr>
        <w:t>版，对</w:t>
      </w:r>
      <w:r>
        <w:rPr/>
        <w:t> </w:t>
      </w:r>
      <w:r>
        <w:rPr>
          <w:spacing w:val="-1"/>
        </w:rPr>
        <w:t>此制度进行修订，增加</w:t>
      </w:r>
      <w:r>
        <w:rPr>
          <w:rFonts w:ascii="Times New Roman" w:hAnsi="Times New Roman" w:cs="Times New Roman" w:eastAsia="Times New Roman" w:hint="default"/>
          <w:spacing w:val="-1"/>
        </w:rPr>
        <w:t>“3.6.6</w:t>
      </w:r>
      <w:r>
        <w:rPr>
          <w:spacing w:val="-1"/>
        </w:rPr>
        <w:t>办公地点调动增减特殊津贴</w:t>
      </w:r>
      <w:r>
        <w:rPr>
          <w:rFonts w:ascii="Times New Roman" w:hAnsi="Times New Roman" w:cs="Times New Roman" w:eastAsia="Times New Roman" w:hint="default"/>
          <w:spacing w:val="-1"/>
        </w:rPr>
        <w:t>”</w:t>
      </w:r>
      <w:r>
        <w:rPr>
          <w:spacing w:val="-1"/>
        </w:rPr>
        <w:t>和修订</w:t>
      </w:r>
      <w:r>
        <w:rPr>
          <w:rFonts w:ascii="Times New Roman" w:hAnsi="Times New Roman" w:cs="Times New Roman" w:eastAsia="Times New Roman" w:hint="default"/>
          <w:spacing w:val="-1"/>
        </w:rPr>
        <w:t>“3.6.7</w:t>
      </w:r>
      <w:r>
        <w:rPr>
          <w:spacing w:val="-1"/>
        </w:rPr>
        <w:t>办公地点变动的调薪</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02</w:t>
      </w:r>
      <w:r>
        <w:rPr>
          <w:spacing w:val="-1"/>
        </w:rPr>
        <w:t>日，发布《薪酬</w:t>
      </w:r>
      <w:r>
        <w:rPr>
          <w:spacing w:val="-76"/>
        </w:rPr>
        <w:t> </w:t>
      </w:r>
      <w:r>
        <w:rPr>
          <w:spacing w:val="-76"/>
        </w:rPr>
      </w:r>
      <w:r>
        <w:rPr/>
        <w:t>管理制度》</w:t>
      </w:r>
      <w:r>
        <w:rPr>
          <w:rFonts w:ascii="Times New Roman" w:hAnsi="Times New Roman" w:cs="Times New Roman" w:eastAsia="Times New Roman" w:hint="default"/>
        </w:rPr>
        <w:t>A3</w:t>
      </w:r>
      <w:r>
        <w:rPr/>
        <w:t>版，修订</w:t>
      </w:r>
      <w:r>
        <w:rPr>
          <w:rFonts w:ascii="Times New Roman" w:hAnsi="Times New Roman" w:cs="Times New Roman" w:eastAsia="Times New Roman" w:hint="default"/>
        </w:rPr>
        <w:t>“6.6.6 </w:t>
      </w:r>
      <w:r>
        <w:rPr/>
        <w:t>办公地点调动增减特殊津贴</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和修订</w:t>
      </w:r>
      <w:r>
        <w:rPr>
          <w:rFonts w:ascii="Times New Roman" w:hAnsi="Times New Roman" w:cs="Times New Roman" w:eastAsia="Times New Roman" w:hint="default"/>
        </w:rPr>
        <w:t>“</w:t>
      </w:r>
      <w:r>
        <w:rPr/>
        <w:t>人力资源部</w:t>
      </w:r>
      <w:r>
        <w:rPr>
          <w:rFonts w:ascii="Times New Roman" w:hAnsi="Times New Roman" w:cs="Times New Roman" w:eastAsia="Times New Roman" w:hint="default"/>
        </w:rPr>
        <w:t>”</w:t>
      </w:r>
      <w:r>
        <w:rPr/>
        <w:t>为</w:t>
      </w:r>
      <w:r>
        <w:rPr>
          <w:rFonts w:ascii="Times New Roman" w:hAnsi="Times New Roman" w:cs="Times New Roman" w:eastAsia="Times New Roman" w:hint="default"/>
        </w:rPr>
        <w:t>“</w:t>
      </w:r>
      <w:r>
        <w:rPr/>
        <w:t>人力资源中心</w:t>
      </w:r>
      <w:r>
        <w:rPr>
          <w:rFonts w:ascii="Times New Roman" w:hAnsi="Times New Roman" w:cs="Times New Roman" w:eastAsia="Times New Roman" w:hint="default"/>
        </w:rPr>
        <w:t>”</w:t>
      </w:r>
      <w:r>
        <w:rPr/>
        <w:t>，旨在更好的实施保障与 </w:t>
      </w:r>
      <w:r>
        <w:rPr>
          <w:spacing w:val="-2"/>
        </w:rPr>
        <w:t>激励相结合的薪酬分配制度，建立兼顾内部公平性及外部竞争力的薪酬体系，体现以岗定级、以绩定奖的薪酬理念，实现价</w:t>
      </w:r>
      <w:r>
        <w:rPr>
          <w:spacing w:val="-64"/>
        </w:rPr>
        <w:t> </w:t>
      </w:r>
      <w:r>
        <w:rPr>
          <w:spacing w:val="-64"/>
        </w:rPr>
      </w:r>
      <w:r>
        <w:rPr/>
        <w:t>值差异和宽带薪酬结构。从制度上来规范公司的薪酬管理工作，促进薪酬管理工作持续、稳定、健康的开展。</w:t>
      </w:r>
    </w:p>
    <w:p>
      <w:pPr>
        <w:spacing w:line="240" w:lineRule="auto" w:before="8"/>
        <w:rPr>
          <w:rFonts w:ascii="宋体" w:hAnsi="宋体" w:cs="宋体" w:eastAsia="宋体" w:hint="default"/>
          <w:sz w:val="15"/>
          <w:szCs w:val="15"/>
        </w:rPr>
      </w:pPr>
    </w:p>
    <w:p>
      <w:pPr>
        <w:pStyle w:val="Heading5"/>
        <w:spacing w:line="240" w:lineRule="auto"/>
        <w:ind w:right="10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5"/>
        <w:rPr>
          <w:rFonts w:ascii="Microsoft JhengHei" w:hAnsi="Microsoft JhengHei" w:cs="Microsoft JhengHei" w:eastAsia="Microsoft JhengHei" w:hint="default"/>
          <w:b/>
          <w:bCs/>
          <w:sz w:val="23"/>
          <w:szCs w:val="23"/>
        </w:rPr>
      </w:pPr>
    </w:p>
    <w:p>
      <w:pPr>
        <w:pStyle w:val="BodyText"/>
        <w:spacing w:line="477" w:lineRule="auto"/>
        <w:ind w:right="1132" w:firstLine="420"/>
        <w:jc w:val="both"/>
      </w:pPr>
      <w:r>
        <w:rPr/>
        <w:t>培训计划分为公司级培训计划、部门内部培训计划、外派学习培训计划及各类型外聘内训培训计划，其中以部门内训 </w:t>
      </w:r>
      <w:r>
        <w:rPr>
          <w:spacing w:val="-2"/>
        </w:rPr>
        <w:t>为主，其他类型培训为辅。部门内部培训方面，部门内部根据各自工作情况，制定部门内部培训计划，并组织实施。人力资</w:t>
      </w:r>
      <w:r>
        <w:rPr>
          <w:spacing w:val="-68"/>
        </w:rPr>
        <w:t> </w:t>
      </w:r>
      <w:r>
        <w:rPr>
          <w:spacing w:val="-68"/>
        </w:rPr>
      </w:r>
      <w:r>
        <w:rPr/>
        <w:t>源中心根据各部门的培训计划进行各部门培训学习的跟踪和监督，确保部门内部培训的落实。</w:t>
      </w:r>
    </w:p>
    <w:p>
      <w:pPr>
        <w:pStyle w:val="BodyText"/>
        <w:spacing w:line="451" w:lineRule="auto" w:before="54"/>
        <w:ind w:right="1125" w:firstLine="420"/>
        <w:jc w:val="left"/>
      </w:pPr>
      <w:r>
        <w:rPr>
          <w:rFonts w:ascii="Times New Roman" w:hAnsi="Times New Roman" w:cs="Times New Roman" w:eastAsia="Times New Roman" w:hint="default"/>
          <w:spacing w:val="-1"/>
        </w:rPr>
        <w:t>2019</w:t>
      </w:r>
      <w:r>
        <w:rPr>
          <w:spacing w:val="-1"/>
        </w:rPr>
        <w:t>年，公司累计开展</w:t>
      </w:r>
      <w:r>
        <w:rPr>
          <w:rFonts w:ascii="Times New Roman" w:hAnsi="Times New Roman" w:cs="Times New Roman" w:eastAsia="Times New Roman" w:hint="default"/>
          <w:spacing w:val="-1"/>
        </w:rPr>
        <w:t>127</w:t>
      </w:r>
      <w:r>
        <w:rPr>
          <w:spacing w:val="-1"/>
        </w:rPr>
        <w:t>场培训，覆盖人数</w:t>
      </w:r>
      <w:r>
        <w:rPr>
          <w:rFonts w:ascii="Times New Roman" w:hAnsi="Times New Roman" w:cs="Times New Roman" w:eastAsia="Times New Roman" w:hint="default"/>
          <w:spacing w:val="-1"/>
        </w:rPr>
        <w:t>3,448</w:t>
      </w:r>
      <w:r>
        <w:rPr>
          <w:spacing w:val="-1"/>
        </w:rPr>
        <w:t>人次，培训整体满意度达</w:t>
      </w:r>
      <w:r>
        <w:rPr>
          <w:rFonts w:ascii="Times New Roman" w:hAnsi="Times New Roman" w:cs="Times New Roman" w:eastAsia="Times New Roman" w:hint="default"/>
          <w:spacing w:val="-1"/>
        </w:rPr>
        <w:t>93.9</w:t>
      </w:r>
      <w:r>
        <w:rPr>
          <w:spacing w:val="-1"/>
        </w:rPr>
        <w:t>分，相较于</w:t>
      </w:r>
      <w:r>
        <w:rPr>
          <w:rFonts w:ascii="Times New Roman" w:hAnsi="Times New Roman" w:cs="Times New Roman" w:eastAsia="Times New Roman" w:hint="default"/>
          <w:spacing w:val="-1"/>
        </w:rPr>
        <w:t>2018</w:t>
      </w:r>
      <w:r>
        <w:rPr>
          <w:spacing w:val="-1"/>
        </w:rPr>
        <w:t>年略微上升，连续五年</w:t>
      </w:r>
      <w:r>
        <w:rPr/>
        <w:t> 保持高满意度水平，为保证公司业务可持续性发展做出重要贡献。</w:t>
      </w:r>
    </w:p>
    <w:p>
      <w:pPr>
        <w:spacing w:line="240" w:lineRule="auto" w:before="11"/>
        <w:rPr>
          <w:rFonts w:ascii="宋体" w:hAnsi="宋体" w:cs="宋体" w:eastAsia="宋体" w:hint="default"/>
          <w:sz w:val="15"/>
          <w:szCs w:val="15"/>
        </w:rPr>
      </w:pPr>
    </w:p>
    <w:p>
      <w:pPr>
        <w:pStyle w:val="Heading5"/>
        <w:spacing w:line="240" w:lineRule="auto"/>
        <w:ind w:right="10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3768"/>
        <w:jc w:val="center"/>
        <w:rPr>
          <w:b w:val="0"/>
          <w:bCs w:val="0"/>
        </w:rPr>
      </w:pPr>
      <w:bookmarkStart w:name="_bookmark9" w:id="10"/>
      <w:bookmarkEnd w:id="10"/>
      <w:r>
        <w:rPr>
          <w:b w:val="0"/>
          <w:bCs w:val="0"/>
        </w:rPr>
      </w:r>
      <w:r>
        <w:rPr/>
        <w:t>第十节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4"/>
        <w:spacing w:line="367" w:lineRule="exact"/>
        <w:ind w:right="1033"/>
        <w:jc w:val="left"/>
        <w:rPr>
          <w:b w:val="0"/>
          <w:bCs w:val="0"/>
        </w:rPr>
      </w:pPr>
      <w:r>
        <w:rPr/>
        <w:t>一、公司治理的基本状况</w:t>
      </w:r>
      <w:r>
        <w:rPr>
          <w:b w:val="0"/>
          <w:bCs w:val="0"/>
        </w:rPr>
      </w:r>
    </w:p>
    <w:p>
      <w:pPr>
        <w:spacing w:line="240" w:lineRule="auto" w:before="13"/>
        <w:rPr>
          <w:rFonts w:ascii="Microsoft JhengHei" w:hAnsi="Microsoft JhengHei" w:cs="Microsoft JhengHei" w:eastAsia="Microsoft JhengHei" w:hint="default"/>
          <w:b/>
          <w:bCs/>
          <w:sz w:val="22"/>
          <w:szCs w:val="22"/>
        </w:rPr>
      </w:pPr>
    </w:p>
    <w:p>
      <w:pPr>
        <w:pStyle w:val="BodyText"/>
        <w:spacing w:line="240" w:lineRule="auto"/>
        <w:ind w:left="573" w:right="1033"/>
        <w:jc w:val="left"/>
      </w:pPr>
      <w:r>
        <w:rPr>
          <w:spacing w:val="-5"/>
        </w:rPr>
        <w:t>报告期内，公司严格按照《公司法》、《证券法》、《上市公司治理准则》、《深圳证券交易所创业板股票上市规则》、</w:t>
      </w:r>
    </w:p>
    <w:p>
      <w:pPr>
        <w:spacing w:line="240" w:lineRule="auto" w:before="10"/>
        <w:rPr>
          <w:rFonts w:ascii="宋体" w:hAnsi="宋体" w:cs="宋体" w:eastAsia="宋体" w:hint="default"/>
          <w:sz w:val="17"/>
          <w:szCs w:val="17"/>
        </w:rPr>
      </w:pPr>
    </w:p>
    <w:p>
      <w:pPr>
        <w:pStyle w:val="BodyText"/>
        <w:spacing w:line="477" w:lineRule="auto"/>
        <w:ind w:right="1033"/>
        <w:jc w:val="left"/>
      </w:pPr>
      <w:r>
        <w:rPr>
          <w:spacing w:val="-2"/>
        </w:rPr>
        <w:t>《深圳证券交易所创业板上市公司规范运作指引》等法律、法规和中国证监会有关法律法规等的要求，不断完善公司的法人</w:t>
      </w:r>
      <w:r>
        <w:rPr>
          <w:spacing w:val="-65"/>
        </w:rPr>
        <w:t> </w:t>
      </w:r>
      <w:r>
        <w:rPr>
          <w:spacing w:val="-65"/>
        </w:rPr>
      </w:r>
      <w:r>
        <w:rPr/>
        <w:t>治理结构，建立健全公司内部管理和控制制度，持续深入开展公司治理活动，促进了公司规范运作，提高了公司治理水平。 </w:t>
      </w:r>
      <w:r>
        <w:rPr>
          <w:spacing w:val="-4"/>
        </w:rPr>
        <w:t>截至报告期末，公司治理的实际状况符合《上市公司治理准则》和《深圳证券交易所创业板上市公司规范运作指引》的要求。</w:t>
      </w:r>
    </w:p>
    <w:p>
      <w:pPr>
        <w:pStyle w:val="BodyText"/>
        <w:spacing w:line="477" w:lineRule="auto" w:before="54"/>
        <w:ind w:right="1134" w:firstLine="420"/>
        <w:jc w:val="both"/>
      </w:pPr>
      <w:r>
        <w:rPr/>
        <w:t>（一）关于股东与股东大会：公司严格按照《上市公司股东大会规则》、《公司章程》、《股东大会议事规则》等规 </w:t>
      </w:r>
      <w:r>
        <w:rPr>
          <w:spacing w:val="-2"/>
        </w:rPr>
        <w:t>定和要求，规范地召集、召开股东大会，平等对待所有股东，并尽可能为股东参加股东大会提供便利，使其充分行使股东权</w:t>
      </w:r>
      <w:r>
        <w:rPr>
          <w:spacing w:val="-67"/>
        </w:rPr>
        <w:t> </w:t>
      </w:r>
      <w:r>
        <w:rPr>
          <w:spacing w:val="-67"/>
        </w:rPr>
      </w:r>
      <w:r>
        <w:rPr/>
        <w:t>利。</w:t>
      </w:r>
    </w:p>
    <w:p>
      <w:pPr>
        <w:pStyle w:val="BodyText"/>
        <w:spacing w:line="477" w:lineRule="auto" w:before="54"/>
        <w:ind w:right="1129" w:firstLine="420"/>
        <w:jc w:val="both"/>
      </w:pPr>
      <w:r>
        <w:rPr/>
        <w:t>（二）关于公司与控股股东：公司控股股东严格规范自己的行为，没有超越股东大会直接或间接干预公司的决策和经 </w:t>
      </w:r>
      <w:r>
        <w:rPr>
          <w:spacing w:val="-2"/>
        </w:rPr>
        <w:t>营活动。公司拥有独立完整的业务和自主经营能力，在业务、人员、资产、机构、财务上独立于控股股东，公司董事会、监</w:t>
      </w:r>
      <w:r>
        <w:rPr>
          <w:spacing w:val="-65"/>
        </w:rPr>
        <w:t> </w:t>
      </w:r>
      <w:r>
        <w:rPr>
          <w:spacing w:val="-65"/>
        </w:rPr>
      </w:r>
      <w:r>
        <w:rPr/>
        <w:t>事会和内部机构独立运作。</w:t>
      </w:r>
    </w:p>
    <w:p>
      <w:pPr>
        <w:pStyle w:val="BodyText"/>
        <w:spacing w:line="240" w:lineRule="auto" w:before="54"/>
        <w:ind w:left="573" w:right="1033"/>
        <w:jc w:val="left"/>
      </w:pPr>
      <w:r>
        <w:rPr/>
        <w:t>（三）关于董事和董事会：公司董事会设有董事</w:t>
      </w:r>
      <w:r>
        <w:rPr>
          <w:rFonts w:ascii="Times New Roman" w:hAnsi="Times New Roman" w:cs="Times New Roman" w:eastAsia="Times New Roman" w:hint="default"/>
        </w:rPr>
        <w:t>8</w:t>
      </w:r>
      <w:r>
        <w:rPr/>
        <w:t>名，其中独立董事</w:t>
      </w:r>
      <w:r>
        <w:rPr>
          <w:rFonts w:ascii="Times New Roman" w:hAnsi="Times New Roman" w:cs="Times New Roman" w:eastAsia="Times New Roman" w:hint="default"/>
        </w:rPr>
        <w:t>3</w:t>
      </w:r>
      <w:r>
        <w:rPr/>
        <w:t>名。董事会的人数及人员构成符合法律、法规和</w:t>
      </w:r>
    </w:p>
    <w:p>
      <w:pPr>
        <w:spacing w:line="240" w:lineRule="auto" w:before="9"/>
        <w:rPr>
          <w:rFonts w:ascii="宋体" w:hAnsi="宋体" w:cs="宋体" w:eastAsia="宋体" w:hint="default"/>
          <w:sz w:val="16"/>
          <w:szCs w:val="16"/>
        </w:rPr>
      </w:pPr>
    </w:p>
    <w:p>
      <w:pPr>
        <w:pStyle w:val="BodyText"/>
        <w:spacing w:line="477" w:lineRule="auto"/>
        <w:ind w:right="1033"/>
        <w:jc w:val="left"/>
      </w:pPr>
      <w:r>
        <w:rPr>
          <w:spacing w:val="-2"/>
        </w:rPr>
        <w:t>《公司章程》的要求。各位董事能够依据《董事会议事规则》、《独立董事工作细则》、《深圳证券交易所创业板上市公司</w:t>
      </w:r>
      <w:r>
        <w:rPr>
          <w:spacing w:val="-70"/>
        </w:rPr>
        <w:t> </w:t>
      </w:r>
      <w:r>
        <w:rPr>
          <w:spacing w:val="-70"/>
        </w:rPr>
      </w:r>
      <w:r>
        <w:rPr>
          <w:spacing w:val="-4"/>
        </w:rPr>
        <w:t>规范运作指引》等开展工作，出席董事会和股东大会，尽责地履行职责和义务。公司董事通过自学熟悉并掌握相关法律法规，</w:t>
      </w:r>
      <w:r>
        <w:rPr>
          <w:spacing w:val="-46"/>
        </w:rPr>
        <w:t> </w:t>
      </w:r>
      <w:r>
        <w:rPr>
          <w:spacing w:val="-46"/>
        </w:rPr>
      </w:r>
      <w:r>
        <w:rPr/>
        <w:t>从根本上保证董事立足于维护公司和全体股东的最大利益，忠实、诚信、勤勉地履行职责，全体董事均能做到以认真负责， 勤勉诚信的态度忠实履行职责。</w:t>
      </w:r>
    </w:p>
    <w:p>
      <w:pPr>
        <w:pStyle w:val="BodyText"/>
        <w:spacing w:line="468" w:lineRule="auto" w:before="54"/>
        <w:ind w:right="1033" w:firstLine="420"/>
        <w:jc w:val="left"/>
      </w:pPr>
      <w:r>
        <w:rPr/>
        <w:t>（四）关于监事和监事会：公司监事会设有监事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2</w:t>
      </w:r>
      <w:r>
        <w:rPr/>
        <w:t>名，人数和人员构成符合法律、法规和《公司章 </w:t>
      </w:r>
      <w:r>
        <w:rPr>
          <w:spacing w:val="-4"/>
        </w:rPr>
        <w:t>程》的规定与要求；监事会会议的召集、召开程序，完全按照《监事会议事规则》的要求履行，并按照拟定的会议议程进行。</w:t>
      </w:r>
      <w:r>
        <w:rPr>
          <w:spacing w:val="-41"/>
        </w:rPr>
        <w:t> </w:t>
      </w:r>
      <w:r>
        <w:rPr>
          <w:spacing w:val="-41"/>
        </w:rPr>
      </w:r>
      <w:r>
        <w:rPr>
          <w:spacing w:val="-2"/>
        </w:rPr>
        <w:t>公司监事能够认真履行自己的职责，本着对公司和全体股东负责的精神，依法、独立对公司财务及公司董事、经理和其他高</w:t>
      </w:r>
      <w:r>
        <w:rPr>
          <w:spacing w:val="-64"/>
        </w:rPr>
        <w:t> </w:t>
      </w:r>
      <w:r>
        <w:rPr>
          <w:spacing w:val="-64"/>
        </w:rPr>
      </w:r>
      <w:r>
        <w:rPr/>
        <w:t>级管理人员履行职责的合法性、合规性进行监督。</w:t>
      </w:r>
    </w:p>
    <w:p>
      <w:pPr>
        <w:pStyle w:val="BodyText"/>
        <w:spacing w:line="477" w:lineRule="auto" w:before="61"/>
        <w:ind w:right="1171" w:firstLine="420"/>
        <w:jc w:val="both"/>
      </w:pPr>
      <w:r>
        <w:rPr/>
        <w:t>（五）关于绩效评价与激励约束机制：公司董事会下设的薪酬与考核委员会，负责对公司的董事、监事、高管进行绩 效考核，公司现有的考核及激励约束机制符合公司的发展现状并且在不断完善。</w:t>
      </w:r>
    </w:p>
    <w:p>
      <w:pPr>
        <w:pStyle w:val="BodyText"/>
        <w:spacing w:line="460" w:lineRule="auto" w:before="54"/>
        <w:ind w:right="1041" w:firstLine="420"/>
        <w:jc w:val="both"/>
      </w:pPr>
      <w:r>
        <w:rPr/>
        <w:t>（六）关于信息披露与透明度：公司严格按照有关法律法规以及《信息披露管理制度》、《投资者管理制度》、《重 </w:t>
      </w:r>
      <w:r>
        <w:rPr>
          <w:spacing w:val="-2"/>
        </w:rPr>
        <w:t>大信息内部报告和保密制度》等要求，真实、准确、及时、公平、完整地披露有关信息。</w:t>
      </w:r>
      <w:r>
        <w:rPr>
          <w:rFonts w:ascii="Times New Roman" w:hAnsi="Times New Roman" w:cs="Times New Roman" w:eastAsia="Times New Roman" w:hint="default"/>
          <w:spacing w:val="-2"/>
        </w:rPr>
        <w:t>2016</w:t>
      </w:r>
      <w:r>
        <w:rPr>
          <w:spacing w:val="-2"/>
        </w:rPr>
        <w:t>年公司设立信息披露委员会并</w:t>
      </w:r>
      <w:r>
        <w:rPr>
          <w:spacing w:val="-63"/>
        </w:rPr>
        <w:t> </w:t>
      </w:r>
      <w:r>
        <w:rPr>
          <w:spacing w:val="-63"/>
        </w:rPr>
      </w:r>
      <w:r>
        <w:rPr/>
        <w:t>选举</w:t>
      </w:r>
      <w:r>
        <w:rPr>
          <w:rFonts w:ascii="Times New Roman" w:hAnsi="Times New Roman" w:cs="Times New Roman" w:eastAsia="Times New Roman" w:hint="default"/>
        </w:rPr>
        <w:t>5</w:t>
      </w:r>
      <w:r>
        <w:rPr/>
        <w:t>名委员定期对公司信息披露工作进行考核。同时公司指定董事会秘书负责信息披露工作，协调公司与投资者的关系， </w:t>
      </w:r>
      <w:r>
        <w:rPr>
          <w:spacing w:val="-4"/>
        </w:rPr>
        <w:t>接待股东来访，回答投资者咨询，向投资者提供公司已披露的资料；并指定《中国证券报》、《证券时报》、《上海证券报》</w:t>
      </w:r>
    </w:p>
    <w:p>
      <w:pPr>
        <w:spacing w:after="0" w:line="460"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和巨潮资讯网（</w:t>
      </w:r>
      <w:hyperlink r:id="rId13">
        <w:r>
          <w:rPr>
            <w:rFonts w:ascii="Times New Roman" w:hAnsi="Times New Roman" w:cs="Times New Roman" w:eastAsia="Times New Roman" w:hint="default"/>
          </w:rPr>
          <w:t>www.cninfo.com.cn</w:t>
        </w:r>
      </w:hyperlink>
      <w:r>
        <w:rPr/>
        <w:t>）为公司信息披露的指定报纸和网站，确保公司所有股东能够以平等的机会获得信息。</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t>（七）关于相关利益者：公司充分尊重和维护相关利益者的合法权益，实现股东、员工、社会等各方利益的协调平衡，</w:t>
      </w:r>
    </w:p>
    <w:p>
      <w:pPr>
        <w:spacing w:line="240" w:lineRule="auto" w:before="10"/>
        <w:rPr>
          <w:rFonts w:ascii="宋体" w:hAnsi="宋体" w:cs="宋体" w:eastAsia="宋体" w:hint="default"/>
          <w:sz w:val="17"/>
          <w:szCs w:val="17"/>
        </w:rPr>
      </w:pPr>
    </w:p>
    <w:p>
      <w:pPr>
        <w:pStyle w:val="BodyText"/>
        <w:spacing w:line="436" w:lineRule="auto"/>
        <w:ind w:right="3553"/>
        <w:jc w:val="left"/>
      </w:pPr>
      <w:r>
        <w:rPr/>
        <w:t>共同推动公司持续、健康的发展。 公司治理的实际状况与中国证监会发布的有关上市公司治理的规范性文件是否存在重大差异</w:t>
      </w:r>
    </w:p>
    <w:p>
      <w:pPr>
        <w:pStyle w:val="BodyText"/>
        <w:spacing w:line="216" w:lineRule="exact"/>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both"/>
      </w:pPr>
      <w:r>
        <w:rPr/>
        <w:t>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4"/>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16"/>
        <w:rPr>
          <w:rFonts w:ascii="Microsoft JhengHei" w:hAnsi="Microsoft JhengHei" w:cs="Microsoft JhengHei" w:eastAsia="Microsoft JhengHei" w:hint="default"/>
          <w:b/>
          <w:bCs/>
          <w:sz w:val="22"/>
          <w:szCs w:val="22"/>
        </w:rPr>
      </w:pPr>
    </w:p>
    <w:p>
      <w:pPr>
        <w:pStyle w:val="BodyText"/>
        <w:spacing w:line="240" w:lineRule="auto"/>
        <w:ind w:left="573" w:right="0"/>
        <w:jc w:val="left"/>
      </w:pPr>
      <w:r>
        <w:rPr/>
        <w:t>为防止控股股东及关联方占用公司资金，杜绝控股股东及关联方资金占用行为的发生，根据《公司法》、《证券法》、</w:t>
      </w:r>
    </w:p>
    <w:p>
      <w:pPr>
        <w:spacing w:line="240" w:lineRule="auto" w:before="10"/>
        <w:rPr>
          <w:rFonts w:ascii="宋体" w:hAnsi="宋体" w:cs="宋体" w:eastAsia="宋体" w:hint="default"/>
          <w:sz w:val="17"/>
          <w:szCs w:val="17"/>
        </w:rPr>
      </w:pPr>
    </w:p>
    <w:p>
      <w:pPr>
        <w:pStyle w:val="BodyText"/>
        <w:spacing w:line="477" w:lineRule="auto"/>
        <w:ind w:right="1132"/>
        <w:jc w:val="both"/>
      </w:pPr>
      <w:r>
        <w:rPr>
          <w:spacing w:val="-2"/>
        </w:rPr>
        <w:t>《深圳证券交易所创业板股票上市规则》、《深圳证券交易所创业板上市公司规范运作指引》等有关法律法规和《深圳市新</w:t>
      </w:r>
      <w:r>
        <w:rPr>
          <w:spacing w:val="-65"/>
        </w:rPr>
        <w:t> </w:t>
      </w:r>
      <w:r>
        <w:rPr>
          <w:spacing w:val="-65"/>
        </w:rPr>
      </w:r>
      <w:r>
        <w:rPr>
          <w:spacing w:val="-2"/>
        </w:rPr>
        <w:t>国都股份有限公司章程》，公司制定了《防范控股股东及关联方占用公司资金制度》，明确关联方占用情况及相关责任追究</w:t>
      </w:r>
      <w:r>
        <w:rPr>
          <w:spacing w:val="-67"/>
        </w:rPr>
        <w:t> </w:t>
      </w:r>
      <w:r>
        <w:rPr>
          <w:spacing w:val="-67"/>
        </w:rPr>
      </w:r>
      <w:r>
        <w:rPr/>
        <w:t>制度。独立董事及监事会对关联方资金占用情况进行监督检查。</w:t>
      </w:r>
    </w:p>
    <w:p>
      <w:pPr>
        <w:pStyle w:val="BodyText"/>
        <w:spacing w:line="477" w:lineRule="auto" w:before="54"/>
        <w:ind w:right="1033" w:firstLine="420"/>
        <w:jc w:val="left"/>
      </w:pPr>
      <w:r>
        <w:rPr/>
        <w:t>本报告期内，公司不存在与控股股东在业务、人员、资产、机构、财务等方面存在不能保证独立性、不能保持自主经 营能力的情况。</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Heading4"/>
        <w:spacing w:line="240" w:lineRule="auto"/>
        <w:ind w:right="0"/>
        <w:jc w:val="both"/>
        <w:rPr>
          <w:b w:val="0"/>
          <w:bCs w:val="0"/>
        </w:rPr>
      </w:pPr>
      <w:r>
        <w:rPr/>
        <w:t>三、同业竞争情况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0"/>
        <w:jc w:val="both"/>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5"/>
          <w:szCs w:val="15"/>
        </w:rPr>
      </w:pPr>
    </w:p>
    <w:p>
      <w:pPr>
        <w:pStyle w:val="BodyText"/>
        <w:spacing w:line="240" w:lineRule="auto" w:before="44"/>
        <w:ind w:left="0" w:right="1148"/>
        <w:jc w:val="right"/>
      </w:pPr>
      <w:r>
        <w:rPr/>
        <w:pict>
          <v:shape style="position:absolute;margin-left:56.424pt;margin-top:-118.955261pt;width:479.15pt;height:170.1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年年度股东大会会 </w:t>
                        </w:r>
                        <w:r>
                          <w:rPr>
                            <w:rFonts w:ascii="宋体" w:hAnsi="宋体" w:cs="宋体" w:eastAsia="宋体" w:hint="default"/>
                            <w:spacing w:val="-11"/>
                            <w:sz w:val="18"/>
                            <w:szCs w:val="18"/>
                          </w:rPr>
                          <w:t>议决议公告》（公告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2019-063</w:t>
                        </w:r>
                        <w:r>
                          <w:rPr>
                            <w:rFonts w:ascii="宋体" w:hAnsi="宋体" w:cs="宋体" w:eastAsia="宋体" w:hint="default"/>
                            <w:sz w:val="18"/>
                            <w:szCs w:val="18"/>
                          </w:rPr>
                          <w:t>）</w:t>
                        </w:r>
                      </w:p>
                    </w:tc>
                  </w:tr>
                  <w:tr>
                    <w:trPr>
                      <w:trHeight w:val="165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年第一次临时股东 大会会议决议公告</w:t>
                        </w:r>
                      </w:p>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2019-093</w:t>
                        </w:r>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44"/>
        <w:ind w:left="0" w:right="1148"/>
        <w:jc w:val="right"/>
      </w:pPr>
      <w:r>
        <w:rPr/>
        <w:pict>
          <v:shape style="position:absolute;margin-left:56.424pt;margin-top:-31.948271pt;width:479.15pt;height:248.1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年第二次临时股东 大会会议决议公告</w:t>
                        </w:r>
                      </w:p>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2019-102</w:t>
                        </w:r>
                        <w:r>
                          <w:rPr>
                            <w:rFonts w:ascii="宋体" w:hAnsi="宋体" w:cs="宋体" w:eastAsia="宋体" w:hint="default"/>
                            <w:sz w:val="18"/>
                            <w:szCs w:val="18"/>
                          </w:rPr>
                          <w:t>）</w:t>
                        </w:r>
                      </w:p>
                    </w:tc>
                  </w:tr>
                  <w:tr>
                    <w:trPr>
                      <w:trHeight w:val="165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年第三次临时股东 大会会议决议公告</w:t>
                        </w:r>
                      </w:p>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2019-126</w:t>
                        </w:r>
                        <w:r>
                          <w:rPr>
                            <w:rFonts w:ascii="宋体" w:hAnsi="宋体" w:cs="宋体" w:eastAsia="宋体" w:hint="default"/>
                            <w:sz w:val="18"/>
                            <w:szCs w:val="18"/>
                          </w:rPr>
                          <w:t>）</w:t>
                        </w: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年第四次临时股东 大会会议决议公告</w:t>
                        </w:r>
                      </w:p>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2019-161</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44"/>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before="44"/>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5"/>
        <w:spacing w:line="335" w:lineRule="exact"/>
        <w:ind w:right="10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1033"/>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487" w:right="34"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96" w:right="36"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许映鹏</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1033"/>
        <w:jc w:val="left"/>
      </w:pPr>
      <w:r>
        <w:rPr/>
        <w:t>连续两次未亲自出席董事会的说明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t>独立董事对公司有关事项是否提出异议</w:t>
      </w:r>
    </w:p>
    <w:p>
      <w:pPr>
        <w:pStyle w:val="BodyText"/>
        <w:spacing w:line="340" w:lineRule="auto" w:before="115"/>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独立董事对公司有关建议是否被采纳</w:t>
      </w:r>
    </w:p>
    <w:p>
      <w:pPr>
        <w:pStyle w:val="BodyText"/>
        <w:spacing w:line="340" w:lineRule="auto" w:before="115"/>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468" w:lineRule="auto" w:before="121"/>
        <w:ind w:right="1033" w:firstLine="420"/>
        <w:jc w:val="left"/>
      </w:pPr>
      <w:r>
        <w:rPr/>
        <w:t>针对第四届董事会第三十一次会议议案《关于终止拟与关联方共同参与发起设立公开募集证券投资基金管理有限公司 </w:t>
      </w:r>
      <w:r>
        <w:rPr>
          <w:spacing w:val="-2"/>
        </w:rPr>
        <w:t>暨关联交易的议案》，独立董事蔡艳红女士建议，该投资项目于</w:t>
      </w:r>
      <w:r>
        <w:rPr>
          <w:rFonts w:ascii="Times New Roman" w:hAnsi="Times New Roman" w:cs="Times New Roman" w:eastAsia="Times New Roman" w:hint="default"/>
          <w:spacing w:val="-2"/>
        </w:rPr>
        <w:t>2016</w:t>
      </w:r>
      <w:r>
        <w:rPr>
          <w:spacing w:val="-2"/>
        </w:rPr>
        <w:t>年经公司董事会审议同意发起至今，参与各方尚未签署</w:t>
      </w:r>
      <w:r>
        <w:rPr>
          <w:spacing w:val="-61"/>
        </w:rPr>
        <w:t> </w:t>
      </w:r>
      <w:r>
        <w:rPr>
          <w:spacing w:val="-61"/>
        </w:rPr>
      </w:r>
      <w:r>
        <w:rPr/>
        <w:t>发起人协议，公司亦尚未实际出资，且设立公开募集证券投资基金管理有限公司的政策、市场等外部环境已发生巨大变化，</w:t>
      </w:r>
      <w:r>
        <w:rPr/>
        <w:t> 为减少关联交易，建议公司终止设立公开募集证券投资基金管理有限公司。该建议已被采纳。</w:t>
      </w:r>
    </w:p>
    <w:p>
      <w:pPr>
        <w:pStyle w:val="BodyText"/>
        <w:spacing w:line="463" w:lineRule="auto" w:before="61"/>
        <w:ind w:right="1033" w:firstLine="420"/>
        <w:jc w:val="left"/>
      </w:pPr>
      <w:r>
        <w:rPr>
          <w:spacing w:val="-2"/>
        </w:rPr>
        <w:t>针对第四届董事会第三十二次会议议案《关于修订</w:t>
      </w:r>
      <w:r>
        <w:rPr>
          <w:rFonts w:ascii="Times New Roman" w:hAnsi="Times New Roman" w:cs="Times New Roman" w:eastAsia="Times New Roman" w:hint="default"/>
          <w:spacing w:val="-2"/>
        </w:rPr>
        <w:t>&lt;</w:t>
      </w:r>
      <w:r>
        <w:rPr>
          <w:spacing w:val="-2"/>
        </w:rPr>
        <w:t>公司章程</w:t>
      </w:r>
      <w:r>
        <w:rPr>
          <w:rFonts w:ascii="Times New Roman" w:hAnsi="Times New Roman" w:cs="Times New Roman" w:eastAsia="Times New Roman" w:hint="default"/>
          <w:spacing w:val="-2"/>
        </w:rPr>
        <w:t>&gt;</w:t>
      </w:r>
      <w:r>
        <w:rPr>
          <w:spacing w:val="-2"/>
        </w:rPr>
        <w:t>的议案》，中国证监会于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月公布《关于修改〈上</w:t>
      </w:r>
      <w:r>
        <w:rPr/>
        <w:t> 市公司章程指引〉的决定》，为维护公司、股东和债权人的合法权益，规范公司的组织和行为，独立董事陈京琳先生建议， 公司应根据公司实际情况，参照新的《上市公司章程指引》，对本公司的公司章程进行修订。该建议已被采纳。</w:t>
      </w:r>
    </w:p>
    <w:p>
      <w:pPr>
        <w:pStyle w:val="BodyText"/>
        <w:spacing w:line="477" w:lineRule="auto" w:before="65"/>
        <w:ind w:right="1129" w:firstLine="420"/>
        <w:jc w:val="both"/>
      </w:pPr>
      <w:r>
        <w:rPr/>
        <w:t>针对第四届董事会第三十八次会议议案《关于转让控股子公司股权的议案》，独立董事许映鹏先生认为，控股子公司 </w:t>
      </w:r>
      <w:r>
        <w:rPr>
          <w:spacing w:val="-2"/>
        </w:rPr>
        <w:t>电子支付技术苏州研发基地处于空置状态，但转让控股子公司资产价值较大，建议公司在办理股权转让过程中，仔细梳理本</w:t>
      </w:r>
      <w:r>
        <w:rPr>
          <w:spacing w:val="-63"/>
        </w:rPr>
        <w:t> </w:t>
      </w:r>
      <w:r>
        <w:rPr>
          <w:spacing w:val="-63"/>
        </w:rPr>
      </w:r>
      <w:r>
        <w:rPr>
          <w:spacing w:val="-2"/>
        </w:rPr>
        <w:t>次交易可能涉及的抵押、质押、诉讼、仲裁、人员安置、土地租赁、债权债务转移等事项，顺利完成本次股权转让事项，优</w:t>
      </w:r>
      <w:r>
        <w:rPr>
          <w:spacing w:val="-65"/>
        </w:rPr>
        <w:t> </w:t>
      </w:r>
      <w:r>
        <w:rPr>
          <w:spacing w:val="-65"/>
        </w:rPr>
      </w:r>
      <w:r>
        <w:rPr/>
        <w:t>化公司整体资产结构，降低经营风险。该建议已被采纳。</w:t>
      </w:r>
    </w:p>
    <w:p>
      <w:pPr>
        <w:pStyle w:val="Heading4"/>
        <w:spacing w:line="240" w:lineRule="auto" w:before="152"/>
        <w:ind w:right="0"/>
        <w:jc w:val="both"/>
        <w:rPr>
          <w:b w:val="0"/>
          <w:bCs w:val="0"/>
        </w:rPr>
      </w:pPr>
      <w:r>
        <w:rPr/>
        <w:t>六、董事会下设专门委员会在报告期内履行职责情况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both"/>
      </w:pPr>
      <w:r>
        <w:rPr/>
        <w:t>（一）第四届董事会审计委员会</w:t>
      </w:r>
    </w:p>
    <w:p>
      <w:pPr>
        <w:pStyle w:val="BodyText"/>
        <w:spacing w:line="240" w:lineRule="auto" w:before="155"/>
        <w:ind w:left="573" w:right="10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日，公司召开第四届董事会审计委员会第八次会议，审议通过《关于</w:t>
      </w:r>
      <w:r>
        <w:rPr>
          <w:rFonts w:ascii="Times New Roman" w:hAnsi="Times New Roman" w:cs="Times New Roman" w:eastAsia="Times New Roman" w:hint="default"/>
        </w:rPr>
        <w:t>2018</w:t>
      </w:r>
      <w:r>
        <w:rPr/>
        <w:t>年度利润分配的议案》、《关于</w:t>
      </w:r>
    </w:p>
    <w:p>
      <w:pPr>
        <w:spacing w:line="240" w:lineRule="auto" w:before="9"/>
        <w:rPr>
          <w:rFonts w:ascii="宋体" w:hAnsi="宋体" w:cs="宋体" w:eastAsia="宋体" w:hint="default"/>
          <w:sz w:val="16"/>
          <w:szCs w:val="16"/>
        </w:rPr>
      </w:pPr>
    </w:p>
    <w:p>
      <w:pPr>
        <w:pStyle w:val="BodyText"/>
        <w:spacing w:line="451" w:lineRule="auto"/>
        <w:ind w:right="1130"/>
        <w:jc w:val="both"/>
      </w:pPr>
      <w:r>
        <w:rPr>
          <w:rFonts w:ascii="Times New Roman" w:hAnsi="Times New Roman" w:cs="Times New Roman" w:eastAsia="Times New Roman" w:hint="default"/>
          <w:spacing w:val="-2"/>
        </w:rPr>
        <w:t>2018</w:t>
      </w:r>
      <w:r>
        <w:rPr>
          <w:spacing w:val="-2"/>
        </w:rPr>
        <w:t>年度募集资金存放与使用情况专项报告的议案》、《关于</w:t>
      </w:r>
      <w:r>
        <w:rPr>
          <w:rFonts w:ascii="Times New Roman" w:hAnsi="Times New Roman" w:cs="Times New Roman" w:eastAsia="Times New Roman" w:hint="default"/>
          <w:spacing w:val="-2"/>
        </w:rPr>
        <w:t>2018</w:t>
      </w:r>
      <w:r>
        <w:rPr>
          <w:spacing w:val="-2"/>
        </w:rPr>
        <w:t>年度财务决算报告的议案》、《关于</w:t>
      </w:r>
      <w:r>
        <w:rPr>
          <w:rFonts w:ascii="Times New Roman" w:hAnsi="Times New Roman" w:cs="Times New Roman" w:eastAsia="Times New Roman" w:hint="default"/>
          <w:spacing w:val="-2"/>
        </w:rPr>
        <w:t>2018</w:t>
      </w:r>
      <w:r>
        <w:rPr>
          <w:spacing w:val="-2"/>
        </w:rPr>
        <w:t>年度内部控制自</w:t>
      </w:r>
      <w:r>
        <w:rPr>
          <w:spacing w:val="-59"/>
        </w:rPr>
        <w:t> </w:t>
      </w:r>
      <w:r>
        <w:rPr>
          <w:spacing w:val="-59"/>
        </w:rPr>
      </w:r>
      <w:r>
        <w:rPr>
          <w:spacing w:val="-2"/>
        </w:rPr>
        <w:t>我评价报告的议案》、《关于</w:t>
      </w:r>
      <w:r>
        <w:rPr>
          <w:rFonts w:ascii="Times New Roman" w:hAnsi="Times New Roman" w:cs="Times New Roman" w:eastAsia="Times New Roman" w:hint="default"/>
          <w:spacing w:val="-2"/>
        </w:rPr>
        <w:t>2018</w:t>
      </w:r>
      <w:r>
        <w:rPr>
          <w:spacing w:val="-2"/>
        </w:rPr>
        <w:t>年度审计监察部工作总结及</w:t>
      </w:r>
      <w:r>
        <w:rPr>
          <w:rFonts w:ascii="Times New Roman" w:hAnsi="Times New Roman" w:cs="Times New Roman" w:eastAsia="Times New Roman" w:hint="default"/>
          <w:spacing w:val="-2"/>
        </w:rPr>
        <w:t>2019</w:t>
      </w:r>
      <w:r>
        <w:rPr>
          <w:spacing w:val="-2"/>
        </w:rPr>
        <w:t>年审计监察部工作计划的议案》、《关于聘请</w:t>
      </w:r>
      <w:r>
        <w:rPr>
          <w:rFonts w:ascii="Times New Roman" w:hAnsi="Times New Roman" w:cs="Times New Roman" w:eastAsia="Times New Roman" w:hint="default"/>
          <w:spacing w:val="-2"/>
        </w:rPr>
        <w:t>2019</w:t>
      </w:r>
      <w:r>
        <w:rPr>
          <w:spacing w:val="-2"/>
        </w:rPr>
        <w:t>年度审</w:t>
      </w:r>
      <w:r>
        <w:rPr>
          <w:spacing w:val="-57"/>
        </w:rPr>
        <w:t> </w:t>
      </w:r>
      <w:r>
        <w:rPr>
          <w:spacing w:val="-57"/>
        </w:rPr>
      </w:r>
      <w:r>
        <w:rPr/>
        <w:t>计机构的议案》。</w:t>
      </w:r>
    </w:p>
    <w:p>
      <w:pPr>
        <w:pStyle w:val="BodyText"/>
        <w:spacing w:line="451" w:lineRule="auto" w:before="74"/>
        <w:ind w:right="1120" w:firstLine="42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22</w:t>
      </w:r>
      <w:r>
        <w:rPr>
          <w:spacing w:val="-1"/>
        </w:rPr>
        <w:t>日，公司召开第四届董事会审计委员会第九次会议，审议通过《</w:t>
      </w:r>
      <w:r>
        <w:rPr>
          <w:rFonts w:ascii="Times New Roman" w:hAnsi="Times New Roman" w:cs="Times New Roman" w:eastAsia="Times New Roman" w:hint="default"/>
          <w:spacing w:val="-1"/>
        </w:rPr>
        <w:t>2019</w:t>
      </w:r>
      <w:r>
        <w:rPr>
          <w:spacing w:val="-1"/>
        </w:rPr>
        <w:t>年第一季度募集资金存放与使用情况</w:t>
      </w:r>
      <w:r>
        <w:rPr/>
        <w:t> 的专项报告的议案》、《</w:t>
      </w:r>
      <w:r>
        <w:rPr>
          <w:rFonts w:ascii="Times New Roman" w:hAnsi="Times New Roman" w:cs="Times New Roman" w:eastAsia="Times New Roman" w:hint="default"/>
        </w:rPr>
        <w:t>2019</w:t>
      </w:r>
      <w:r>
        <w:rPr/>
        <w:t>年审计监察部一季度工作总结及二季度工作计划的议案》。</w:t>
      </w:r>
    </w:p>
    <w:p>
      <w:pPr>
        <w:pStyle w:val="BodyText"/>
        <w:spacing w:line="451" w:lineRule="auto" w:before="43"/>
        <w:ind w:right="1033" w:firstLine="42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日，公司召开第四届董事会审计委员会第十次会议，审议通过了《关于</w:t>
      </w:r>
      <w:r>
        <w:rPr>
          <w:rFonts w:ascii="Times New Roman" w:hAnsi="Times New Roman" w:cs="Times New Roman" w:eastAsia="Times New Roman" w:hint="default"/>
          <w:spacing w:val="-2"/>
        </w:rPr>
        <w:t>2019</w:t>
      </w:r>
      <w:r>
        <w:rPr>
          <w:spacing w:val="-2"/>
        </w:rPr>
        <w:t>年半年度募集资金存放与使用</w:t>
      </w:r>
      <w:r>
        <w:rPr/>
        <w:t> 情况专项报告的议案》、《关于</w:t>
      </w:r>
      <w:r>
        <w:rPr>
          <w:rFonts w:ascii="Times New Roman" w:hAnsi="Times New Roman" w:cs="Times New Roman" w:eastAsia="Times New Roman" w:hint="default"/>
        </w:rPr>
        <w:t>2019</w:t>
      </w:r>
      <w:r>
        <w:rPr/>
        <w:t>年审计监察部半年度工作总结及第三季度工作计划的议案》。</w:t>
      </w:r>
    </w:p>
    <w:p>
      <w:pPr>
        <w:pStyle w:val="BodyText"/>
        <w:spacing w:line="451" w:lineRule="auto" w:before="43"/>
        <w:ind w:right="1153"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日，公司召开第四届董事会审计委员会第十一次会议，审议通过了《关于</w:t>
      </w:r>
      <w:r>
        <w:rPr>
          <w:rFonts w:ascii="Times New Roman" w:hAnsi="Times New Roman" w:cs="Times New Roman" w:eastAsia="Times New Roman" w:hint="default"/>
        </w:rPr>
        <w:t>2019</w:t>
      </w:r>
      <w:r>
        <w:rPr/>
        <w:t>年第三季度募集资金存放 与使用情况专项报告的议案》、《关于</w:t>
      </w:r>
      <w:r>
        <w:rPr>
          <w:rFonts w:ascii="Times New Roman" w:hAnsi="Times New Roman" w:cs="Times New Roman" w:eastAsia="Times New Roman" w:hint="default"/>
        </w:rPr>
        <w:t>2019</w:t>
      </w:r>
      <w:r>
        <w:rPr/>
        <w:t>年审计监察部第三季度工作总结及第四季度工作计划的议案》。</w:t>
      </w:r>
    </w:p>
    <w:p>
      <w:pPr>
        <w:pStyle w:val="BodyText"/>
        <w:spacing w:line="200" w:lineRule="exact"/>
        <w:ind w:right="0"/>
        <w:jc w:val="both"/>
      </w:pPr>
      <w:r>
        <w:rPr/>
        <w:t>（二）第四届董事会薪酬与考核委员会</w:t>
      </w:r>
    </w:p>
    <w:p>
      <w:pPr>
        <w:pStyle w:val="BodyText"/>
        <w:spacing w:line="451" w:lineRule="auto" w:before="155"/>
        <w:ind w:right="1033"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日，公司召开第四届董事会薪酬与考核委员会第五次会议，审议通过了《关于公司</w:t>
      </w:r>
      <w:r>
        <w:rPr>
          <w:rFonts w:ascii="Times New Roman" w:hAnsi="Times New Roman" w:cs="Times New Roman" w:eastAsia="Times New Roman" w:hint="default"/>
        </w:rPr>
        <w:t>2015</w:t>
      </w:r>
      <w:r>
        <w:rPr/>
        <w:t>年股票期权激励计 </w:t>
      </w:r>
      <w:r>
        <w:rPr>
          <w:spacing w:val="-2"/>
        </w:rPr>
        <w:t>划第三个行权期未达到行权条件予以注销的议案》、关于公司</w:t>
      </w:r>
      <w:r>
        <w:rPr>
          <w:rFonts w:ascii="Times New Roman" w:hAnsi="Times New Roman" w:cs="Times New Roman" w:eastAsia="Times New Roman" w:hint="default"/>
          <w:spacing w:val="-2"/>
        </w:rPr>
        <w:t>2017</w:t>
      </w:r>
      <w:r>
        <w:rPr>
          <w:spacing w:val="-2"/>
        </w:rPr>
        <w:t>年股票期权激励计划第二个行权期符合行权条件暨可行权</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213" w:right="1033"/>
        <w:jc w:val="left"/>
      </w:pPr>
      <w:r>
        <w:rPr>
          <w:spacing w:val="-2"/>
        </w:rPr>
        <w:t>的议案》、《关于公司</w:t>
      </w:r>
      <w:r>
        <w:rPr>
          <w:rFonts w:ascii="Times New Roman" w:hAnsi="Times New Roman" w:cs="Times New Roman" w:eastAsia="Times New Roman" w:hint="default"/>
          <w:spacing w:val="-2"/>
        </w:rPr>
        <w:t>2018</w:t>
      </w:r>
      <w:r>
        <w:rPr>
          <w:spacing w:val="-2"/>
        </w:rPr>
        <w:t>年股票期权激励计划第一个行权期符合行权条件暨可行权的议案》、《关于确认公司高级管理人</w:t>
      </w:r>
      <w:r>
        <w:rPr>
          <w:spacing w:val="-64"/>
        </w:rPr>
        <w:t> </w:t>
      </w:r>
      <w:r>
        <w:rPr>
          <w:spacing w:val="-64"/>
        </w:rPr>
      </w:r>
      <w:r>
        <w:rPr/>
        <w:t>员</w:t>
      </w:r>
      <w:r>
        <w:rPr>
          <w:rFonts w:ascii="Times New Roman" w:hAnsi="Times New Roman" w:cs="Times New Roman" w:eastAsia="Times New Roman" w:hint="default"/>
        </w:rPr>
        <w:t>2018</w:t>
      </w:r>
      <w:r>
        <w:rPr/>
        <w:t>年绩效及薪酬情况的议案》。</w:t>
      </w:r>
    </w:p>
    <w:p>
      <w:pPr>
        <w:pStyle w:val="BodyText"/>
        <w:spacing w:line="200" w:lineRule="exact"/>
        <w:ind w:left="213" w:right="4943"/>
        <w:jc w:val="left"/>
      </w:pPr>
      <w:r>
        <w:rPr/>
        <w:t>（三）第四届董事会提名委员会</w:t>
      </w:r>
    </w:p>
    <w:p>
      <w:pPr>
        <w:pStyle w:val="BodyText"/>
        <w:spacing w:line="451" w:lineRule="auto" w:before="155"/>
        <w:ind w:left="213" w:right="1033"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日，公司召开第四届董事会提名委员会第一次会议，审议通过了《关于独立董事辞职及提名为独立董事候 选人的议案》、《关于选举副董事长的议案》、《关于变更高级管理人员的议案》、《关于变更专门委员会委员的议案》、</w:t>
      </w:r>
    </w:p>
    <w:p>
      <w:pPr>
        <w:pStyle w:val="BodyText"/>
        <w:spacing w:line="240" w:lineRule="auto" w:before="74"/>
        <w:ind w:left="213" w:right="1198"/>
        <w:jc w:val="left"/>
      </w:pPr>
      <w:r>
        <w:rPr/>
        <w:t>《关于聘任审计监察部负责人的议案》、《关于提名公司董事会董事候选人及聘任公司高级管理人员的议案》。</w:t>
      </w:r>
    </w:p>
    <w:p>
      <w:pPr>
        <w:spacing w:line="240" w:lineRule="auto" w:before="10"/>
        <w:rPr>
          <w:rFonts w:ascii="宋体" w:hAnsi="宋体" w:cs="宋体" w:eastAsia="宋体" w:hint="default"/>
          <w:sz w:val="17"/>
          <w:szCs w:val="17"/>
        </w:rPr>
      </w:pPr>
    </w:p>
    <w:p>
      <w:pPr>
        <w:pStyle w:val="BodyText"/>
        <w:spacing w:line="451" w:lineRule="auto"/>
        <w:ind w:left="213" w:right="1153"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日，公司召开第四届董事会提名委员会第二次会议，审议通过了《关于提名公司董事会董事候选人及聘任 公司高级管理人员的议案》。</w:t>
      </w:r>
    </w:p>
    <w:p>
      <w:pPr>
        <w:pStyle w:val="BodyText"/>
        <w:spacing w:line="451" w:lineRule="auto" w:before="74"/>
        <w:ind w:left="213" w:right="1243"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日，公司召开第四届董事会提名委员会第三次会议，审议通过了《关于变更董事会专门委员会委员的议 案</w:t>
      </w:r>
      <w:r>
        <w:rPr>
          <w:spacing w:val="54"/>
        </w:rPr>
        <w:t> </w:t>
      </w:r>
      <w:r>
        <w:rPr/>
        <w:t>》。</w:t>
      </w:r>
    </w:p>
    <w:p>
      <w:pPr>
        <w:pStyle w:val="BodyText"/>
        <w:spacing w:line="477" w:lineRule="auto" w:before="74"/>
        <w:ind w:left="633" w:right="6373" w:hanging="420"/>
        <w:jc w:val="left"/>
      </w:pPr>
      <w:r>
        <w:rPr/>
        <w:t>（四）第四届董事会战略委员会 报告期内，第四届董事会战略委员会未召开会议。</w:t>
      </w:r>
    </w:p>
    <w:p>
      <w:pPr>
        <w:pStyle w:val="Heading4"/>
        <w:spacing w:line="240" w:lineRule="auto" w:before="152"/>
        <w:ind w:left="213" w:right="4943"/>
        <w:jc w:val="left"/>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213" w:right="4943"/>
        <w:jc w:val="left"/>
      </w:pPr>
      <w:r>
        <w:rPr/>
        <w:t>监事会在报告期内的监督活动中发现公司是否存在风险</w:t>
      </w:r>
    </w:p>
    <w:p>
      <w:pPr>
        <w:pStyle w:val="BodyText"/>
        <w:spacing w:line="340" w:lineRule="auto" w:before="115"/>
        <w:ind w:left="213"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3"/>
          <w:szCs w:val="13"/>
        </w:rPr>
      </w:pPr>
    </w:p>
    <w:p>
      <w:pPr>
        <w:pStyle w:val="Heading4"/>
        <w:spacing w:line="240" w:lineRule="auto"/>
        <w:ind w:left="213" w:right="4943"/>
        <w:jc w:val="left"/>
        <w:rPr>
          <w:b w:val="0"/>
          <w:bCs w:val="0"/>
        </w:rPr>
      </w:pPr>
      <w:r>
        <w:rPr/>
        <w:t>八、高级管理人员的考评及激励情况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left="573" w:right="4943"/>
        <w:jc w:val="left"/>
      </w:pPr>
      <w:r>
        <w:rPr>
          <w:rFonts w:ascii="Times New Roman" w:hAnsi="Times New Roman" w:cs="Times New Roman" w:eastAsia="Times New Roman" w:hint="default"/>
        </w:rPr>
        <w:t>1</w:t>
      </w:r>
      <w:r>
        <w:rPr/>
        <w:t>、考评情况</w:t>
      </w: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4074"/>
        <w:gridCol w:w="1023"/>
        <w:gridCol w:w="1363"/>
        <w:gridCol w:w="2175"/>
        <w:gridCol w:w="1222"/>
      </w:tblGrid>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考核对象</w:t>
            </w:r>
            <w:r>
              <w:rPr>
                <w:rFonts w:ascii="Microsoft JhengHei" w:hAnsi="Microsoft JhengHei" w:cs="Microsoft JhengHei" w:eastAsia="Microsoft JhengHei" w:hint="default"/>
                <w:sz w:val="18"/>
                <w:szCs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考核周期</w:t>
            </w:r>
            <w:r>
              <w:rPr>
                <w:rFonts w:ascii="Microsoft JhengHei" w:hAnsi="Microsoft JhengHei" w:cs="Microsoft JhengHei" w:eastAsia="Microsoft JhengHei" w:hint="default"/>
                <w:sz w:val="18"/>
                <w:szCs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31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考核维度</w:t>
            </w:r>
            <w:r>
              <w:rPr>
                <w:rFonts w:ascii="Microsoft JhengHei" w:hAnsi="Microsoft JhengHei" w:cs="Microsoft JhengHei" w:eastAsia="Microsoft JhengHei" w:hint="default"/>
                <w:sz w:val="18"/>
                <w:szCs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考核内容</w:t>
            </w:r>
            <w:r>
              <w:rPr>
                <w:rFonts w:ascii="Microsoft JhengHei" w:hAnsi="Microsoft JhengHei" w:cs="Microsoft JhengHei" w:eastAsia="Microsoft JhengHei" w:hint="default"/>
                <w:sz w:val="18"/>
                <w:szCs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权重</w:t>
            </w:r>
            <w:r>
              <w:rPr>
                <w:rFonts w:ascii="Microsoft JhengHei" w:hAnsi="Microsoft JhengHei" w:cs="Microsoft JhengHei" w:eastAsia="Microsoft JhengHei" w:hint="default"/>
                <w:sz w:val="18"/>
                <w:szCs w:val="18"/>
              </w:rPr>
            </w:r>
          </w:p>
        </w:tc>
      </w:tr>
      <w:tr>
        <w:trPr>
          <w:trHeight w:val="404"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center"/>
              <w:rPr>
                <w:rFonts w:ascii="宋体" w:hAnsi="宋体" w:cs="宋体" w:eastAsia="宋体" w:hint="default"/>
                <w:sz w:val="18"/>
                <w:szCs w:val="18"/>
              </w:rPr>
            </w:pPr>
            <w:r>
              <w:rPr>
                <w:rFonts w:ascii="宋体" w:hAnsi="宋体" w:cs="宋体" w:eastAsia="宋体" w:hint="default"/>
                <w:spacing w:val="-1"/>
                <w:sz w:val="18"/>
                <w:szCs w:val="18"/>
              </w:rPr>
              <w:t>高管（母公司及各子公司一级部门长及以上人员）</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年度</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KPI</w:t>
            </w:r>
            <w:r>
              <w:rPr>
                <w:rFonts w:ascii="宋体" w:hAnsi="宋体" w:cs="宋体" w:eastAsia="宋体" w:hint="default"/>
                <w:sz w:val="18"/>
                <w:szCs w:val="18"/>
              </w:rPr>
              <w:t>考核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r>
              <w:rPr>
                <w:rFonts w:ascii="Times New Roman" w:hAnsi="Times New Roman" w:cs="Times New Roman" w:eastAsia="Times New Roman" w:hint="default"/>
                <w:sz w:val="18"/>
                <w:szCs w:val="18"/>
              </w:rPr>
              <w:t>KPI</w:t>
            </w:r>
            <w:r>
              <w:rPr>
                <w:rFonts w:ascii="宋体" w:hAnsi="宋体" w:cs="宋体" w:eastAsia="宋体" w:hint="default"/>
                <w:sz w:val="18"/>
                <w:szCs w:val="18"/>
              </w:rPr>
              <w:t>达成情况</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477" w:lineRule="auto" w:before="87"/>
        <w:ind w:left="213" w:right="1033" w:firstLine="420"/>
        <w:jc w:val="left"/>
      </w:pPr>
      <w:r>
        <w:rPr/>
        <w:t>为进一步完善公司法人治理，健全内部约束和责任追究机制，提高公司决策与经营管理水平，建设廉洁、务实、高效 </w:t>
      </w:r>
      <w:r>
        <w:rPr>
          <w:spacing w:val="-4"/>
        </w:rPr>
        <w:t>的管理团队，公司建立《总经理工作细则》、《董事会秘书工作制度》、《财务会计相关负责人管理制度》、《董事、监事、</w:t>
      </w:r>
      <w:r>
        <w:rPr>
          <w:spacing w:val="-47"/>
        </w:rPr>
        <w:t> </w:t>
      </w:r>
      <w:r>
        <w:rPr>
          <w:spacing w:val="-47"/>
        </w:rPr>
      </w:r>
      <w:r>
        <w:rPr/>
        <w:t>高级管理人员内部问责制度》等管理制度。此外定期对高级管理人员实施绩效考核。</w:t>
      </w:r>
    </w:p>
    <w:p>
      <w:pPr>
        <w:pStyle w:val="BodyText"/>
        <w:spacing w:line="240" w:lineRule="auto" w:before="54"/>
        <w:ind w:left="213" w:right="4943"/>
        <w:jc w:val="left"/>
      </w:pPr>
      <w:r>
        <w:rPr/>
        <w:t>实施情况：</w:t>
      </w:r>
    </w:p>
    <w:p>
      <w:pPr>
        <w:spacing w:line="240" w:lineRule="auto" w:before="10"/>
        <w:rPr>
          <w:rFonts w:ascii="宋体" w:hAnsi="宋体" w:cs="宋体" w:eastAsia="宋体" w:hint="default"/>
          <w:sz w:val="17"/>
          <w:szCs w:val="17"/>
        </w:rPr>
      </w:pPr>
    </w:p>
    <w:p>
      <w:pPr>
        <w:pStyle w:val="BodyText"/>
        <w:tabs>
          <w:tab w:pos="633" w:val="left" w:leader="none"/>
        </w:tabs>
        <w:spacing w:line="240" w:lineRule="auto"/>
        <w:ind w:left="213" w:right="4943"/>
        <w:jc w:val="left"/>
      </w:pPr>
      <w:r>
        <w:rPr>
          <w:rFonts w:ascii="Times New Roman" w:hAnsi="Times New Roman" w:cs="Times New Roman" w:eastAsia="Times New Roman" w:hint="default"/>
        </w:rPr>
        <w:t>•</w:t>
        <w:tab/>
      </w:r>
      <w:r>
        <w:rPr>
          <w:rFonts w:ascii="Times New Roman" w:hAnsi="Times New Roman" w:cs="Times New Roman" w:eastAsia="Times New Roman" w:hint="default"/>
        </w:rPr>
        <w:t>KPI</w:t>
      </w:r>
      <w:r>
        <w:rPr/>
        <w:t>述职汇报：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w:t>
      </w:r>
    </w:p>
    <w:p>
      <w:pPr>
        <w:spacing w:line="240" w:lineRule="auto" w:before="9"/>
        <w:rPr>
          <w:rFonts w:ascii="宋体" w:hAnsi="宋体" w:cs="宋体" w:eastAsia="宋体" w:hint="default"/>
          <w:sz w:val="16"/>
          <w:szCs w:val="16"/>
        </w:rPr>
      </w:pPr>
    </w:p>
    <w:p>
      <w:pPr>
        <w:pStyle w:val="BodyText"/>
        <w:tabs>
          <w:tab w:pos="633" w:val="left" w:leader="none"/>
        </w:tabs>
        <w:spacing w:line="240" w:lineRule="auto"/>
        <w:ind w:left="213" w:right="4943"/>
        <w:jc w:val="left"/>
      </w:pPr>
      <w:r>
        <w:rPr>
          <w:rFonts w:ascii="Times New Roman" w:hAnsi="Times New Roman" w:cs="Times New Roman" w:eastAsia="Times New Roman" w:hint="default"/>
        </w:rPr>
        <w:t>•</w:t>
        <w:tab/>
      </w:r>
      <w:r>
        <w:rPr/>
        <w:t>汇总</w:t>
      </w:r>
      <w:r>
        <w:rPr>
          <w:rFonts w:ascii="Times New Roman" w:hAnsi="Times New Roman" w:cs="Times New Roman" w:eastAsia="Times New Roman" w:hint="default"/>
        </w:rPr>
        <w:t>&amp;</w:t>
      </w:r>
      <w:r>
        <w:rPr/>
        <w:t>公司审批：</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-29</w:t>
      </w:r>
      <w:r>
        <w:rPr/>
        <w:t>日</w:t>
      </w:r>
    </w:p>
    <w:p>
      <w:pPr>
        <w:spacing w:line="240" w:lineRule="auto" w:before="10"/>
        <w:rPr>
          <w:rFonts w:ascii="宋体" w:hAnsi="宋体" w:cs="宋体" w:eastAsia="宋体" w:hint="default"/>
          <w:sz w:val="16"/>
          <w:szCs w:val="16"/>
        </w:rPr>
      </w:pPr>
    </w:p>
    <w:p>
      <w:pPr>
        <w:pStyle w:val="BodyText"/>
        <w:tabs>
          <w:tab w:pos="633" w:val="left" w:leader="none"/>
        </w:tabs>
        <w:spacing w:line="240" w:lineRule="auto"/>
        <w:ind w:left="213" w:right="4943"/>
        <w:jc w:val="left"/>
      </w:pPr>
      <w:r>
        <w:rPr>
          <w:rFonts w:ascii="Times New Roman" w:hAnsi="Times New Roman" w:cs="Times New Roman" w:eastAsia="Times New Roman" w:hint="default"/>
        </w:rPr>
        <w:t>•</w:t>
        <w:tab/>
      </w:r>
      <w:r>
        <w:rPr/>
        <w:t>考核结果反馈：</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w:t>
      </w:r>
    </w:p>
    <w:p>
      <w:pPr>
        <w:spacing w:line="240" w:lineRule="auto" w:before="9"/>
        <w:rPr>
          <w:rFonts w:ascii="宋体" w:hAnsi="宋体" w:cs="宋体" w:eastAsia="宋体" w:hint="default"/>
          <w:sz w:val="16"/>
          <w:szCs w:val="16"/>
        </w:rPr>
      </w:pPr>
    </w:p>
    <w:p>
      <w:pPr>
        <w:pStyle w:val="BodyText"/>
        <w:spacing w:line="240" w:lineRule="auto"/>
        <w:ind w:left="213" w:right="4943"/>
        <w:jc w:val="left"/>
      </w:pPr>
      <w:r>
        <w:rPr>
          <w:rFonts w:ascii="Times New Roman" w:hAnsi="Times New Roman" w:cs="Times New Roman" w:eastAsia="Times New Roman" w:hint="default"/>
        </w:rPr>
        <w:t>2</w:t>
      </w:r>
      <w:r>
        <w:rPr/>
        <w:t>、激励情况</w:t>
      </w:r>
    </w:p>
    <w:p>
      <w:pPr>
        <w:spacing w:line="240" w:lineRule="auto" w:before="9"/>
        <w:rPr>
          <w:rFonts w:ascii="宋体" w:hAnsi="宋体" w:cs="宋体" w:eastAsia="宋体" w:hint="default"/>
          <w:sz w:val="16"/>
          <w:szCs w:val="16"/>
        </w:rPr>
      </w:pPr>
    </w:p>
    <w:p>
      <w:pPr>
        <w:pStyle w:val="BodyText"/>
        <w:spacing w:line="240" w:lineRule="auto"/>
        <w:ind w:left="633" w:right="1033"/>
        <w:jc w:val="left"/>
      </w:pPr>
      <w:r>
        <w:rPr/>
        <w:t>公司建立了完善的高级管理人员激励体系，薪酬理念与公司价值取向和企业文化相一致，支持公司发展战略的实施。</w:t>
      </w:r>
    </w:p>
    <w:p>
      <w:pPr>
        <w:spacing w:after="0" w:line="240" w:lineRule="auto"/>
        <w:jc w:val="left"/>
        <w:sectPr>
          <w:pgSz w:w="11910" w:h="16840"/>
          <w:pgMar w:header="745" w:footer="979" w:top="1060" w:bottom="1160" w:left="9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033"/>
        <w:jc w:val="left"/>
      </w:pPr>
      <w:r>
        <w:rPr>
          <w:spacing w:val="-2"/>
        </w:rPr>
        <w:t>高级管理人员全薪收入由固定月薪、年度绩效奖金、长期激励和福利补贴构成。公司每年对高级管理人员进行绩效考评，工</w:t>
      </w:r>
      <w:r>
        <w:rPr>
          <w:spacing w:val="-66"/>
        </w:rPr>
        <w:t> </w:t>
      </w:r>
      <w:r>
        <w:rPr>
          <w:spacing w:val="-66"/>
        </w:rPr>
      </w:r>
      <w:r>
        <w:rPr/>
        <w:t>作绩效应用于调薪、奖金分配中，与个人收入直接挂钩。</w:t>
      </w:r>
    </w:p>
    <w:p>
      <w:pPr>
        <w:pStyle w:val="Heading4"/>
        <w:spacing w:line="240" w:lineRule="auto" w:before="152"/>
        <w:ind w:right="1033"/>
        <w:jc w:val="left"/>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27"/>
          <w:szCs w:val="27"/>
        </w:rPr>
      </w:pPr>
    </w:p>
    <w:p>
      <w:pPr>
        <w:pStyle w:val="BodyText"/>
        <w:spacing w:line="240" w:lineRule="auto" w:before="44"/>
        <w:ind w:left="0" w:right="1139"/>
        <w:jc w:val="right"/>
      </w:pPr>
      <w:r>
        <w:rPr/>
        <w:pict>
          <v:shape style="position:absolute;margin-left:56.424pt;margin-top:-199.228271pt;width:479.3pt;height:502.4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27"/>
                    <w:gridCol w:w="3054"/>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巨潮资讯网《深圳市新国都股份有限公司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年度内部控制自我评价报告》</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72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具有以下特征的缺陷，应认定为重大缺陷</w:t>
                        </w:r>
                        <w:r>
                          <w:rPr>
                            <w:rFonts w:ascii="Times New Roman" w:hAnsi="Times New Roman" w:cs="Times New Roman" w:eastAsia="Times New Roman" w:hint="default"/>
                            <w:sz w:val="18"/>
                            <w:szCs w:val="18"/>
                          </w:rPr>
                          <w:t>:</w:t>
                        </w:r>
                      </w:p>
                      <w:p>
                        <w:pPr>
                          <w:pStyle w:val="TableParagraph"/>
                          <w:spacing w:line="316" w:lineRule="auto" w:before="60"/>
                          <w:ind w:left="23" w:right="19"/>
                          <w:jc w:val="both"/>
                          <w:rPr>
                            <w:rFonts w:ascii="宋体" w:hAnsi="宋体" w:cs="宋体" w:eastAsia="宋体" w:hint="default"/>
                            <w:sz w:val="18"/>
                            <w:szCs w:val="18"/>
                          </w:rPr>
                        </w:pPr>
                        <w:r>
                          <w:rPr>
                            <w:rFonts w:ascii="宋体" w:hAnsi="宋体" w:cs="宋体" w:eastAsia="宋体" w:hint="default"/>
                            <w:spacing w:val="-9"/>
                            <w:sz w:val="18"/>
                            <w:szCs w:val="18"/>
                          </w:rPr>
                          <w:t>（一）财务报表造假；（二）更正或重述已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公布的关键财务数据；三）注册会计师出 </w:t>
                        </w:r>
                        <w:r>
                          <w:rPr>
                            <w:rFonts w:ascii="宋体" w:hAnsi="宋体" w:cs="宋体" w:eastAsia="宋体" w:hint="default"/>
                            <w:spacing w:val="-2"/>
                            <w:sz w:val="18"/>
                            <w:szCs w:val="18"/>
                          </w:rPr>
                          <w:t>具保留、否定意见审计报告等</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如果发现的</w:t>
                        </w:r>
                        <w:r>
                          <w:rPr>
                            <w:rFonts w:ascii="宋体" w:hAnsi="宋体" w:cs="宋体" w:eastAsia="宋体" w:hint="default"/>
                            <w:spacing w:val="-77"/>
                            <w:sz w:val="18"/>
                            <w:szCs w:val="18"/>
                          </w:rPr>
                          <w:t> </w:t>
                        </w:r>
                        <w:r>
                          <w:rPr>
                            <w:rFonts w:ascii="宋体" w:hAnsi="宋体" w:cs="宋体" w:eastAsia="宋体" w:hint="default"/>
                            <w:sz w:val="18"/>
                            <w:szCs w:val="18"/>
                          </w:rPr>
                          <w:t>缺陷符合以下任何一条，应当认定为财务 </w:t>
                        </w:r>
                        <w:r>
                          <w:rPr>
                            <w:rFonts w:ascii="宋体" w:hAnsi="宋体" w:cs="宋体" w:eastAsia="宋体" w:hint="default"/>
                            <w:spacing w:val="-9"/>
                            <w:sz w:val="18"/>
                            <w:szCs w:val="18"/>
                          </w:rPr>
                          <w:t>报告内部控制重要缺陷：（一）未正确执行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9"/>
                            <w:sz w:val="18"/>
                            <w:szCs w:val="18"/>
                          </w:rPr>
                          <w:t>国家相关会计政策；（二）外部审计发现的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9"/>
                            <w:sz w:val="18"/>
                            <w:szCs w:val="18"/>
                          </w:rPr>
                          <w:t>重大财务报表差错；（三）对财务报告的产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生缺乏有效审核、监督机制等。除重大缺 陷、重要缺陷以外的其他财务报告内部控 制缺陷认定为一般缺陷。</w:t>
                        </w:r>
                      </w:p>
                    </w:tc>
                    <w:tc>
                      <w:tcPr>
                        <w:tcW w:w="3054"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43" w:firstLine="91"/>
                          <w:jc w:val="left"/>
                          <w:rPr>
                            <w:rFonts w:ascii="宋体" w:hAnsi="宋体" w:cs="宋体" w:eastAsia="宋体" w:hint="default"/>
                            <w:sz w:val="18"/>
                            <w:szCs w:val="18"/>
                          </w:rPr>
                        </w:pPr>
                        <w:r>
                          <w:rPr>
                            <w:rFonts w:ascii="宋体" w:hAnsi="宋体" w:cs="宋体" w:eastAsia="宋体" w:hint="default"/>
                            <w:sz w:val="18"/>
                            <w:szCs w:val="18"/>
                          </w:rPr>
                          <w:t>具有以下特征的缺陷，应认定为重大 </w:t>
                        </w:r>
                        <w:r>
                          <w:rPr>
                            <w:rFonts w:ascii="宋体" w:hAnsi="宋体" w:cs="宋体" w:eastAsia="宋体" w:hint="default"/>
                            <w:spacing w:val="-11"/>
                            <w:sz w:val="18"/>
                            <w:szCs w:val="18"/>
                          </w:rPr>
                          <w:t>缺陷：（一）企业高管存在舞弊；（二）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严重的违规、违纪且遭受处罚、警告；</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7"/>
                            <w:sz w:val="18"/>
                            <w:szCs w:val="18"/>
                          </w:rPr>
                          <w:t>）</w:t>
                        </w:r>
                        <w:r>
                          <w:rPr>
                            <w:rFonts w:ascii="宋体" w:hAnsi="宋体" w:cs="宋体" w:eastAsia="宋体" w:hint="default"/>
                            <w:sz w:val="18"/>
                            <w:szCs w:val="18"/>
                          </w:rPr>
                          <w:t>被媒体负面报道</w:t>
                        </w:r>
                        <w:r>
                          <w:rPr>
                            <w:rFonts w:ascii="宋体" w:hAnsi="宋体" w:cs="宋体" w:eastAsia="宋体" w:hint="default"/>
                            <w:spacing w:val="-77"/>
                            <w:sz w:val="18"/>
                            <w:szCs w:val="18"/>
                          </w:rPr>
                          <w:t>，</w:t>
                        </w:r>
                        <w:r>
                          <w:rPr>
                            <w:rFonts w:ascii="宋体" w:hAnsi="宋体" w:cs="宋体" w:eastAsia="宋体" w:hint="default"/>
                            <w:sz w:val="18"/>
                            <w:szCs w:val="18"/>
                          </w:rPr>
                          <w:t>难以</w:t>
                        </w:r>
                        <w:r>
                          <w:rPr>
                            <w:rFonts w:ascii="宋体" w:hAnsi="宋体" w:cs="宋体" w:eastAsia="宋体" w:hint="default"/>
                            <w:spacing w:val="-3"/>
                            <w:sz w:val="18"/>
                            <w:szCs w:val="18"/>
                          </w:rPr>
                          <w:t>恢</w:t>
                        </w:r>
                        <w:r>
                          <w:rPr>
                            <w:rFonts w:ascii="宋体" w:hAnsi="宋体" w:cs="宋体" w:eastAsia="宋体" w:hint="default"/>
                            <w:sz w:val="18"/>
                            <w:szCs w:val="18"/>
                          </w:rPr>
                          <w:t>复声誉</w:t>
                        </w:r>
                      </w:p>
                      <w:p>
                        <w:pPr>
                          <w:pStyle w:val="TableParagraph"/>
                          <w:spacing w:line="316" w:lineRule="auto" w:before="76"/>
                          <w:ind w:left="26" w:right="-44"/>
                          <w:jc w:val="both"/>
                          <w:rPr>
                            <w:rFonts w:ascii="宋体" w:hAnsi="宋体" w:cs="宋体" w:eastAsia="宋体" w:hint="default"/>
                            <w:sz w:val="18"/>
                            <w:szCs w:val="18"/>
                          </w:rPr>
                        </w:pPr>
                        <w:r>
                          <w:rPr>
                            <w:rFonts w:ascii="宋体" w:hAnsi="宋体" w:cs="宋体" w:eastAsia="宋体" w:hint="default"/>
                            <w:spacing w:val="-4"/>
                            <w:sz w:val="18"/>
                            <w:szCs w:val="18"/>
                          </w:rPr>
                          <w:t>（四）已知的重大缺陷未得到整改。如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果发现的缺陷符合以下任何一条，应当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认定为非财务报告内部控制重要缺陷：</w:t>
                        </w:r>
                      </w:p>
                      <w:p>
                        <w:pPr>
                          <w:pStyle w:val="TableParagraph"/>
                          <w:spacing w:line="240" w:lineRule="auto" w:before="19"/>
                          <w:ind w:left="26" w:right="-43"/>
                          <w:jc w:val="left"/>
                          <w:rPr>
                            <w:rFonts w:ascii="宋体" w:hAnsi="宋体" w:cs="宋体" w:eastAsia="宋体" w:hint="default"/>
                            <w:sz w:val="18"/>
                            <w:szCs w:val="18"/>
                          </w:rPr>
                        </w:pPr>
                        <w:r>
                          <w:rPr>
                            <w:rFonts w:ascii="宋体" w:hAnsi="宋体" w:cs="宋体" w:eastAsia="宋体" w:hint="default"/>
                            <w:sz w:val="18"/>
                            <w:szCs w:val="18"/>
                          </w:rPr>
                          <w:t>（一）未建立反舞弊程序和控制措施；</w:t>
                        </w:r>
                      </w:p>
                      <w:p>
                        <w:pPr>
                          <w:pStyle w:val="TableParagraph"/>
                          <w:spacing w:line="316" w:lineRule="auto" w:before="77"/>
                          <w:ind w:left="26" w:right="-43"/>
                          <w:jc w:val="left"/>
                          <w:rPr>
                            <w:rFonts w:ascii="宋体" w:hAnsi="宋体" w:cs="宋体" w:eastAsia="宋体" w:hint="default"/>
                            <w:sz w:val="18"/>
                            <w:szCs w:val="18"/>
                          </w:rPr>
                        </w:pPr>
                        <w:r>
                          <w:rPr>
                            <w:rFonts w:ascii="宋体" w:hAnsi="宋体" w:cs="宋体" w:eastAsia="宋体" w:hint="default"/>
                            <w:spacing w:val="-4"/>
                            <w:sz w:val="18"/>
                            <w:szCs w:val="18"/>
                          </w:rPr>
                          <w:t>（二）缺失有效的内部管理与监督机制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等；（三）已知的重要缺陷未得到整改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除重大缺陷、重要缺陷以外的其他非财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务报告内部控制缺陷认定为一般缺陷。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4" w:type="dxa"/>
                        <w:vMerge/>
                        <w:tcBorders>
                          <w:left w:val="single" w:sz="4" w:space="0" w:color="000000"/>
                          <w:right w:val="single" w:sz="4" w:space="0" w:color="000000"/>
                        </w:tcBorders>
                      </w:tcPr>
                      <w:p>
                        <w:pPr/>
                      </w:p>
                    </w:tc>
                  </w:tr>
                  <w:tr>
                    <w:trPr>
                      <w:trHeight w:val="172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4" w:type="dxa"/>
                        <w:vMerge/>
                        <w:tcBorders>
                          <w:left w:val="single" w:sz="4" w:space="0" w:color="000000"/>
                          <w:bottom w:val="single" w:sz="4" w:space="0" w:color="000000"/>
                          <w:right w:val="single" w:sz="4" w:space="0" w:color="000000"/>
                        </w:tcBorders>
                      </w:tcPr>
                      <w:p>
                        <w:pPr/>
                      </w:p>
                    </w:tc>
                  </w:tr>
                  <w:tr>
                    <w:trPr>
                      <w:trHeight w:val="785"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10" w:space="0" w:color="FFFFFF"/>
                        </w:tcBorders>
                      </w:tcPr>
                      <w:p>
                        <w:pPr>
                          <w:pStyle w:val="TableParagraph"/>
                          <w:spacing w:line="300" w:lineRule="auto" w:before="49"/>
                          <w:ind w:left="23" w:right="-44"/>
                          <w:jc w:val="both"/>
                          <w:rPr>
                            <w:rFonts w:ascii="Times New Roman" w:hAnsi="Times New Roman" w:cs="Times New Roman" w:eastAsia="Times New Roman" w:hint="default"/>
                            <w:sz w:val="18"/>
                            <w:szCs w:val="18"/>
                          </w:rPr>
                        </w:pPr>
                        <w:r>
                          <w:rPr>
                            <w:rFonts w:ascii="宋体" w:hAnsi="宋体" w:cs="宋体" w:eastAsia="宋体" w:hint="default"/>
                            <w:sz w:val="18"/>
                            <w:szCs w:val="18"/>
                          </w:rPr>
                          <w:t>重大缺陷：资产潜在错报：错报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0.25%</w:t>
                        </w:r>
                        <w:r>
                          <w:rPr>
                            <w:rFonts w:ascii="宋体" w:hAnsi="宋体" w:cs="宋体" w:eastAsia="宋体" w:hint="default"/>
                            <w:sz w:val="18"/>
                            <w:szCs w:val="18"/>
                          </w:rPr>
                          <w:t>， </w:t>
                        </w:r>
                        <w:r>
                          <w:rPr>
                            <w:rFonts w:ascii="宋体" w:hAnsi="宋体" w:cs="宋体" w:eastAsia="宋体" w:hint="default"/>
                            <w:spacing w:val="-10"/>
                            <w:w w:val="100"/>
                            <w:sz w:val="18"/>
                            <w:szCs w:val="18"/>
                          </w:rPr>
                          <w:t>营业收入潜在错报：错报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spacing w:val="-10"/>
                            <w:w w:val="100"/>
                            <w:sz w:val="18"/>
                            <w:szCs w:val="18"/>
                          </w:rPr>
                          <w:t>0.5%</w:t>
                        </w:r>
                        <w:r>
                          <w:rPr>
                            <w:rFonts w:ascii="宋体" w:hAnsi="宋体" w:cs="宋体" w:eastAsia="宋体" w:hint="default"/>
                            <w:spacing w:val="-10"/>
                            <w:w w:val="100"/>
                            <w:sz w:val="18"/>
                            <w:szCs w:val="18"/>
                          </w:rPr>
                          <w:t>；重要缺陷：</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资产潜在错报：</w:t>
                        </w:r>
                        <w:r>
                          <w:rPr>
                            <w:rFonts w:ascii="Times New Roman" w:hAnsi="Times New Roman" w:cs="Times New Roman" w:eastAsia="Times New Roman" w:hint="default"/>
                            <w:sz w:val="18"/>
                            <w:szCs w:val="18"/>
                          </w:rPr>
                          <w:t>0.25%&gt;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0.05%</w:t>
                        </w:r>
                        <w:r>
                          <w:rPr>
                            <w:rFonts w:ascii="宋体" w:hAnsi="宋体" w:cs="宋体" w:eastAsia="宋体" w:hint="default"/>
                            <w:sz w:val="18"/>
                            <w:szCs w:val="18"/>
                          </w:rPr>
                          <w:t>，营业 收入潜在错报：</w:t>
                        </w:r>
                        <w:r>
                          <w:rPr>
                            <w:rFonts w:ascii="Times New Roman" w:hAnsi="Times New Roman" w:cs="Times New Roman" w:eastAsia="Times New Roman" w:hint="default"/>
                            <w:sz w:val="18"/>
                            <w:szCs w:val="18"/>
                          </w:rPr>
                          <w:t>0.5%&gt;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r>
                          <w:rPr>
                            <w:rFonts w:ascii="宋体" w:hAnsi="宋体" w:cs="宋体" w:eastAsia="宋体" w:hint="default"/>
                            <w:sz w:val="18"/>
                            <w:szCs w:val="18"/>
                          </w:rPr>
                          <w:t>；一般缺 陷：资产潜在错报：错报</w:t>
                        </w:r>
                        <w:r>
                          <w:rPr>
                            <w:rFonts w:ascii="Times New Roman" w:hAnsi="Times New Roman" w:cs="Times New Roman" w:eastAsia="Times New Roman" w:hint="default"/>
                            <w:sz w:val="18"/>
                            <w:szCs w:val="18"/>
                          </w:rPr>
                          <w:t>&lt;0.05%</w:t>
                        </w:r>
                        <w:r>
                          <w:rPr>
                            <w:rFonts w:ascii="宋体" w:hAnsi="宋体" w:cs="宋体" w:eastAsia="宋体" w:hint="default"/>
                            <w:sz w:val="18"/>
                            <w:szCs w:val="18"/>
                          </w:rPr>
                          <w:t>，营业收 入潜在错报：错报</w:t>
                        </w:r>
                        <w:r>
                          <w:rPr>
                            <w:rFonts w:ascii="Times New Roman" w:hAnsi="Times New Roman" w:cs="Times New Roman" w:eastAsia="Times New Roman" w:hint="default"/>
                            <w:sz w:val="18"/>
                            <w:szCs w:val="18"/>
                          </w:rPr>
                          <w:t>&lt;0.1%</w:t>
                        </w:r>
                      </w:p>
                    </w:tc>
                    <w:tc>
                      <w:tcPr>
                        <w:tcW w:w="3054"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19" w:right="77"/>
                          <w:jc w:val="both"/>
                          <w:rPr>
                            <w:rFonts w:ascii="宋体" w:hAnsi="宋体" w:cs="宋体" w:eastAsia="宋体" w:hint="default"/>
                            <w:sz w:val="18"/>
                            <w:szCs w:val="18"/>
                          </w:rPr>
                        </w:pPr>
                        <w:r>
                          <w:rPr>
                            <w:rFonts w:ascii="宋体" w:hAnsi="宋体" w:cs="宋体" w:eastAsia="宋体" w:hint="default"/>
                            <w:sz w:val="18"/>
                            <w:szCs w:val="18"/>
                          </w:rPr>
                          <w:t>重大缺陷：金额影响绝对值金额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万；重要缺陷：</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&gt;</w:t>
                        </w:r>
                        <w:r>
                          <w:rPr>
                            <w:rFonts w:ascii="宋体" w:hAnsi="宋体" w:cs="宋体" w:eastAsia="宋体" w:hint="default"/>
                            <w:sz w:val="18"/>
                            <w:szCs w:val="18"/>
                          </w:rPr>
                          <w:t>金额影响绝对 值金额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万；一般缺陷：金额影响 绝对值金额</w:t>
                        </w:r>
                        <w:r>
                          <w:rPr>
                            <w:rFonts w:ascii="Times New Roman" w:hAnsi="Times New Roman" w:cs="Times New Roman" w:eastAsia="Times New Roman" w:hint="default"/>
                            <w:sz w:val="18"/>
                            <w:szCs w:val="18"/>
                          </w:rPr>
                          <w:t>&lt;100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10" w:space="0" w:color="FFFFFF"/>
                        </w:tcBorders>
                      </w:tcPr>
                      <w:p>
                        <w:pPr/>
                      </w:p>
                    </w:tc>
                    <w:tc>
                      <w:tcPr>
                        <w:tcW w:w="3054" w:type="dxa"/>
                        <w:vMerge/>
                        <w:tcBorders>
                          <w:left w:val="single" w:sz="10" w:space="0" w:color="FFFFFF"/>
                          <w:right w:val="single" w:sz="4" w:space="0" w:color="000000"/>
                        </w:tcBorders>
                      </w:tcPr>
                      <w:p>
                        <w:pPr/>
                      </w:p>
                    </w:tc>
                  </w:tr>
                  <w:tr>
                    <w:trPr>
                      <w:trHeight w:val="785"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10" w:space="0" w:color="FFFFFF"/>
                        </w:tcBorders>
                      </w:tcPr>
                      <w:p>
                        <w:pPr/>
                      </w:p>
                    </w:tc>
                    <w:tc>
                      <w:tcPr>
                        <w:tcW w:w="3054" w:type="dxa"/>
                        <w:vMerge/>
                        <w:tcBorders>
                          <w:left w:val="single" w:sz="10" w:space="0" w:color="FFFFFF"/>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line="352" w:lineRule="exact"/>
        <w:ind w:left="6701"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49.7pt;height:17.650pt;mso-position-horizontal-relative:char;mso-position-vertical-relative:line" coordorigin="0,0" coordsize="2994,353">
            <v:group style="position:absolute;left:0;top:0;width:2994;height:353" coordorigin="0,0" coordsize="2994,353">
              <v:shape style="position:absolute;left:0;top:0;width:2994;height:353" coordorigin="0,0" coordsize="2994,353" path="m0,353l2994,353,2994,0,0,0,0,353xe" filled="true" fillcolor="#ffffff" stroked="false">
                <v:path arrowok="t"/>
                <v:fill type="solid"/>
              </v:shape>
            </v:group>
          </v:group>
        </w:pict>
      </w:r>
      <w:r>
        <w:rPr>
          <w:rFonts w:ascii="宋体" w:hAnsi="宋体" w:cs="宋体" w:eastAsia="宋体" w:hint="default"/>
          <w:position w:val="-6"/>
          <w:sz w:val="20"/>
          <w:szCs w:val="20"/>
        </w:rPr>
      </w:r>
    </w:p>
    <w:p>
      <w:pPr>
        <w:spacing w:after="0" w:line="352" w:lineRule="exact"/>
        <w:rPr>
          <w:rFonts w:ascii="宋体" w:hAnsi="宋体" w:cs="宋体" w:eastAsia="宋体" w:hint="default"/>
          <w:sz w:val="20"/>
          <w:szCs w:val="20"/>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3"/>
        <w:gridCol w:w="6387"/>
      </w:tblGrid>
      <w:tr>
        <w:trPr>
          <w:trHeight w:val="40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4"/>
        <w:spacing w:line="367" w:lineRule="exact"/>
        <w:ind w:right="1033"/>
        <w:jc w:val="left"/>
        <w:rPr>
          <w:b w:val="0"/>
          <w:bCs w:val="0"/>
        </w:rPr>
      </w:pPr>
      <w:r>
        <w:rPr/>
        <w:t>十、内部控制审计报告或鉴证报告</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1033"/>
        <w:jc w:val="left"/>
      </w:pPr>
      <w:r>
        <w:rPr/>
        <w:t>不适用</w:t>
      </w:r>
    </w:p>
    <w:p>
      <w:pPr>
        <w:spacing w:after="0" w:line="240" w:lineRule="auto"/>
        <w:jc w:val="left"/>
        <w:sectPr>
          <w:footerReference w:type="default" r:id="rId28"/>
          <w:pgSz w:w="11910" w:h="16840"/>
          <w:pgMar w:footer="979" w:header="745" w:top="1060" w:bottom="1160" w:left="980" w:right="0"/>
          <w:pgNumType w:start="1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964" w:right="1033"/>
        <w:jc w:val="left"/>
        <w:rPr>
          <w:b w:val="0"/>
          <w:bCs w:val="0"/>
        </w:rPr>
      </w:pPr>
      <w:bookmarkStart w:name="_bookmark10" w:id="11"/>
      <w:bookmarkEnd w:id="11"/>
      <w:r>
        <w:rPr>
          <w:b w:val="0"/>
          <w:bCs w:val="0"/>
        </w:rPr>
      </w:r>
      <w:r>
        <w:rPr/>
        <w:t>第十一节 </w:t>
      </w:r>
      <w:r>
        <w:rPr>
          <w:spacing w:val="11"/>
        </w:rPr>
        <w:t> </w:t>
      </w:r>
      <w:r>
        <w:rPr/>
        <w:t>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2113"/>
        <w:jc w:val="left"/>
      </w:pPr>
      <w:r>
        <w:rPr/>
        <w:t>公司是否存在公开发行并在证券交易所上市，且在年度报告批准报出日未到期或到期未能全额兑付的公司债券 参照披露</w:t>
      </w:r>
    </w:p>
    <w:p>
      <w:pPr>
        <w:spacing w:line="240" w:lineRule="auto" w:before="9"/>
        <w:rPr>
          <w:rFonts w:ascii="宋体" w:hAnsi="宋体" w:cs="宋体" w:eastAsia="宋体" w:hint="default"/>
          <w:sz w:val="12"/>
          <w:szCs w:val="12"/>
        </w:rPr>
      </w:pPr>
    </w:p>
    <w:p>
      <w:pPr>
        <w:pStyle w:val="Heading4"/>
        <w:spacing w:line="240" w:lineRule="auto"/>
        <w:ind w:right="1033"/>
        <w:jc w:val="left"/>
        <w:rPr>
          <w:b w:val="0"/>
          <w:bCs w:val="0"/>
        </w:rPr>
      </w:pPr>
      <w:r>
        <w:rPr/>
        <w:t>一、公司债券基本信息</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5"/>
          <w:szCs w:val="15"/>
        </w:rPr>
      </w:pPr>
    </w:p>
    <w:p>
      <w:pPr>
        <w:pStyle w:val="BodyText"/>
        <w:spacing w:line="240" w:lineRule="auto" w:before="44"/>
        <w:ind w:left="0" w:right="1140"/>
        <w:jc w:val="right"/>
      </w:pPr>
      <w:r>
        <w:rPr/>
        <w:pict>
          <v:shape style="position:absolute;margin-left:56.424pt;margin-top:-67.598274pt;width:479.3pt;height:370.8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8"/>
                    <w:gridCol w:w="1196"/>
                    <w:gridCol w:w="1195"/>
                    <w:gridCol w:w="1196"/>
                    <w:gridCol w:w="1198"/>
                    <w:gridCol w:w="1196"/>
                    <w:gridCol w:w="1195"/>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90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314" w:lineRule="auto"/>
                          <w:ind w:left="24" w:right="33"/>
                          <w:jc w:val="both"/>
                          <w:rPr>
                            <w:rFonts w:ascii="宋体" w:hAnsi="宋体" w:cs="宋体" w:eastAsia="宋体" w:hint="default"/>
                            <w:sz w:val="18"/>
                            <w:szCs w:val="18"/>
                          </w:rPr>
                        </w:pPr>
                        <w:r>
                          <w:rPr>
                            <w:rFonts w:ascii="宋体" w:hAnsi="宋体" w:cs="宋体" w:eastAsia="宋体" w:hint="default"/>
                            <w:sz w:val="18"/>
                            <w:szCs w:val="18"/>
                          </w:rPr>
                          <w:t>深圳市新国都 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 发行创新创业 公司债券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新国都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114645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22"/>
                            <w:szCs w:val="22"/>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30,000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22"/>
                            <w:szCs w:val="22"/>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本次债券采用 单利按年计 </w:t>
                        </w:r>
                        <w:r>
                          <w:rPr>
                            <w:rFonts w:ascii="宋体" w:hAnsi="宋体" w:cs="宋体" w:eastAsia="宋体" w:hint="default"/>
                            <w:spacing w:val="-6"/>
                            <w:sz w:val="18"/>
                            <w:szCs w:val="18"/>
                          </w:rPr>
                          <w:t>息，不计复利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每年付息一 次，到期一次 还本，最后一 期利息随本金 的兑付一起支 付</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027"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本次债券仅面向合格机构投资者非公开发行，合格机构投资者应当具备相应的风险识别和承</w:t>
                        </w:r>
                        <w:r>
                          <w:rPr>
                            <w:rFonts w:ascii="宋体" w:hAnsi="宋体" w:cs="宋体" w:eastAsia="宋体" w:hint="default"/>
                            <w:sz w:val="18"/>
                            <w:szCs w:val="18"/>
                          </w:rPr>
                          <w:t> </w:t>
                        </w:r>
                        <w:r>
                          <w:rPr>
                            <w:rFonts w:ascii="宋体" w:hAnsi="宋体" w:cs="宋体" w:eastAsia="宋体" w:hint="default"/>
                            <w:spacing w:val="-3"/>
                            <w:sz w:val="18"/>
                            <w:szCs w:val="18"/>
                          </w:rPr>
                          <w:t>担能力，知悉并自行承担公司债券的投资风险，并符合一定的资质条件，相应资质条件请参</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6"/>
                            <w:sz w:val="18"/>
                            <w:szCs w:val="18"/>
                          </w:rPr>
                          <w:t>照《公司债券发行与交易管理办法》。</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40"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367" w:lineRule="exact"/>
        <w:ind w:right="1033"/>
        <w:jc w:val="left"/>
        <w:rPr>
          <w:b w:val="0"/>
          <w:bCs w:val="0"/>
        </w:rPr>
      </w:pPr>
      <w:r>
        <w:rPr/>
        <w:t>二、债券受托管理人和资信评级机构信息</w:t>
      </w:r>
      <w:r>
        <w:rPr>
          <w:b w:val="0"/>
          <w:bCs w:val="0"/>
        </w:rPr>
      </w:r>
    </w:p>
    <w:p>
      <w:pPr>
        <w:spacing w:line="240" w:lineRule="auto" w:before="14"/>
        <w:rPr>
          <w:rFonts w:ascii="Microsoft JhengHei" w:hAnsi="Microsoft JhengHei" w:cs="Microsoft JhengHei" w:eastAsia="Microsoft JhengHei"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1190"/>
        <w:gridCol w:w="1196"/>
        <w:gridCol w:w="1198"/>
        <w:gridCol w:w="1196"/>
        <w:gridCol w:w="1200"/>
        <w:gridCol w:w="1191"/>
        <w:gridCol w:w="1195"/>
        <w:gridCol w:w="1198"/>
      </w:tblGrid>
      <w:tr>
        <w:trPr>
          <w:trHeight w:val="397" w:hRule="exact"/>
        </w:trPr>
        <w:tc>
          <w:tcPr>
            <w:tcW w:w="956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634"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316" w:lineRule="auto"/>
              <w:ind w:left="18" w:right="74"/>
              <w:jc w:val="left"/>
              <w:rPr>
                <w:rFonts w:ascii="宋体" w:hAnsi="宋体" w:cs="宋体" w:eastAsia="宋体" w:hint="default"/>
                <w:sz w:val="18"/>
                <w:szCs w:val="18"/>
              </w:rPr>
            </w:pPr>
            <w:r>
              <w:rPr>
                <w:rFonts w:ascii="宋体" w:hAnsi="宋体" w:cs="宋体" w:eastAsia="宋体" w:hint="default"/>
                <w:sz w:val="18"/>
                <w:szCs w:val="18"/>
              </w:rPr>
              <w:t>长城证券股份 有限公司</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10" w:space="0" w:color="D2D2D2"/>
            </w:tcBorders>
          </w:tcPr>
          <w:p>
            <w:pPr>
              <w:pStyle w:val="TableParagraph"/>
              <w:spacing w:line="314" w:lineRule="auto" w:before="53"/>
              <w:ind w:left="16" w:right="72"/>
              <w:jc w:val="both"/>
              <w:rPr>
                <w:rFonts w:ascii="宋体" w:hAnsi="宋体" w:cs="宋体" w:eastAsia="宋体" w:hint="default"/>
                <w:sz w:val="18"/>
                <w:szCs w:val="18"/>
              </w:rPr>
            </w:pPr>
            <w:r>
              <w:rPr>
                <w:rFonts w:ascii="宋体" w:hAnsi="宋体" w:cs="宋体" w:eastAsia="宋体" w:hint="default"/>
                <w:sz w:val="18"/>
                <w:szCs w:val="18"/>
              </w:rPr>
              <w:t>深圳市福田区 福田街道金田 路 </w:t>
            </w:r>
            <w:r>
              <w:rPr>
                <w:rFonts w:ascii="Times New Roman" w:hAnsi="Times New Roman" w:cs="Times New Roman" w:eastAsia="Times New Roman" w:hint="default"/>
                <w:sz w:val="18"/>
                <w:szCs w:val="18"/>
              </w:rPr>
              <w:t>2026 </w:t>
            </w:r>
            <w:r>
              <w:rPr>
                <w:rFonts w:ascii="宋体" w:hAnsi="宋体" w:cs="宋体" w:eastAsia="宋体" w:hint="default"/>
                <w:sz w:val="18"/>
                <w:szCs w:val="18"/>
              </w:rPr>
              <w:t>号能 源大厦南塔楼 </w:t>
            </w:r>
            <w:r>
              <w:rPr>
                <w:rFonts w:ascii="Times New Roman" w:hAnsi="Times New Roman" w:cs="Times New Roman" w:eastAsia="Times New Roman" w:hint="default"/>
                <w:sz w:val="18"/>
                <w:szCs w:val="18"/>
              </w:rPr>
              <w:t>10-19  </w:t>
            </w:r>
            <w:r>
              <w:rPr>
                <w:rFonts w:ascii="宋体" w:hAnsi="宋体" w:cs="宋体" w:eastAsia="宋体" w:hint="default"/>
                <w:sz w:val="18"/>
                <w:szCs w:val="18"/>
              </w:rPr>
              <w:t>层</w:t>
            </w:r>
          </w:p>
        </w:tc>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1"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陈阳、张子忺</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23"/>
                <w:szCs w:val="23"/>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0755-83516072</w:t>
            </w:r>
          </w:p>
        </w:tc>
      </w:tr>
      <w:tr>
        <w:trPr>
          <w:trHeight w:val="392"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6" w:type="dxa"/>
            <w:vMerge/>
            <w:tcBorders>
              <w:left w:val="single" w:sz="9" w:space="0" w:color="D2D2D2"/>
              <w:right w:val="single" w:sz="9" w:space="0" w:color="D2D2D2"/>
            </w:tcBorders>
          </w:tcPr>
          <w:p>
            <w:pP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6" w:type="dxa"/>
            <w:vMerge/>
            <w:tcBorders>
              <w:left w:val="single" w:sz="10" w:space="0" w:color="D2D2D2"/>
              <w:right w:val="single" w:sz="10" w:space="0" w:color="D2D2D2"/>
            </w:tcBorders>
          </w:tcPr>
          <w:p>
            <w:pPr/>
          </w:p>
        </w:tc>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1" w:type="dxa"/>
            <w:vMerge/>
            <w:tcBorders>
              <w:left w:val="single" w:sz="9" w:space="0" w:color="D2D2D2"/>
              <w:right w:val="single" w:sz="9" w:space="0" w:color="D2D2D2"/>
            </w:tcBorders>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8" w:type="dxa"/>
            <w:vMerge/>
            <w:tcBorders>
              <w:left w:val="single" w:sz="10" w:space="0" w:color="D2D2D2"/>
              <w:right w:val="single" w:sz="4" w:space="0" w:color="000000"/>
            </w:tcBorders>
          </w:tcPr>
          <w:p>
            <w:pPr/>
          </w:p>
        </w:tc>
      </w:tr>
      <w:tr>
        <w:trPr>
          <w:trHeight w:val="636"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9" w:space="0" w:color="D2D2D2"/>
              <w:bottom w:val="single" w:sz="4" w:space="0" w:color="000000"/>
              <w:right w:val="single" w:sz="9" w:space="0" w:color="D2D2D2"/>
            </w:tcBorders>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10" w:space="0" w:color="D2D2D2"/>
            </w:tcBorders>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1" w:type="dxa"/>
            <w:vMerge/>
            <w:tcBorders>
              <w:left w:val="single" w:sz="9" w:space="0" w:color="D2D2D2"/>
              <w:bottom w:val="single" w:sz="4" w:space="0" w:color="000000"/>
              <w:right w:val="single" w:sz="9" w:space="0" w:color="D2D2D2"/>
            </w:tcBorders>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r>
      <w:tr>
        <w:trPr>
          <w:trHeight w:val="396" w:hRule="exact"/>
        </w:trPr>
        <w:tc>
          <w:tcPr>
            <w:tcW w:w="956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3"/>
        <w:rPr>
          <w:rFonts w:ascii="Microsoft JhengHei" w:hAnsi="Microsoft JhengHei" w:cs="Microsoft JhengHei" w:eastAsia="Microsoft JhengHei" w:hint="default"/>
          <w:b/>
          <w:bCs/>
          <w:sz w:val="21"/>
          <w:szCs w:val="21"/>
        </w:rPr>
      </w:pPr>
    </w:p>
    <w:p>
      <w:pPr>
        <w:spacing w:line="1759" w:lineRule="exact"/>
        <w:ind w:left="14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34"/>
          <w:sz w:val="20"/>
          <w:szCs w:val="20"/>
        </w:rPr>
        <w:pict>
          <v:group style="width:479.3pt;height:88pt;mso-position-horizontal-relative:char;mso-position-vertical-relative:line" coordorigin="0,0" coordsize="9586,176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1192;top:14;width:2;height:392" coordorigin="1192,14" coordsize="2,392">
              <v:shape style="position:absolute;left:1192;top:14;width:2;height:392" coordorigin="1192,14" coordsize="0,392" path="m1192,14l1192,406e" filled="false" stroked="true" strokeweight="1.08pt" strokecolor="#d2d2d2">
                <v:path arrowok="t"/>
              </v:shape>
            </v:group>
            <v:group style="position:absolute;left:34;top:14;width:1148;height:392" coordorigin="34,14" coordsize="1148,392">
              <v:shape style="position:absolute;left:34;top:14;width:1148;height:392" coordorigin="34,14" coordsize="1148,392" path="m34,406l1181,406,1181,14,34,14,34,406xe" filled="true" fillcolor="#d2d2d2" stroked="false">
                <v:path arrowok="t"/>
                <v:fill type="solid"/>
              </v:shape>
            </v:group>
            <v:group style="position:absolute;left:10;top:10;width:1193;height:2" coordorigin="10,10" coordsize="1193,2">
              <v:shape style="position:absolute;left:10;top:10;width:1193;height:2" coordorigin="10,10" coordsize="1193,0" path="m10,10l1202,10e" filled="false" stroked="true" strokeweight=".48pt" strokecolor="#000000">
                <v:path arrowok="t"/>
              </v:shape>
            </v:group>
            <v:group style="position:absolute;left:4813;top:14;width:2;height:392" coordorigin="4813,14" coordsize="2,392">
              <v:shape style="position:absolute;left:4813;top:14;width:2;height:392" coordorigin="4813,14" coordsize="0,392" path="m4813,14l4813,406e" filled="false" stroked="true" strokeweight="1.2pt" strokecolor="#d2d2d2">
                <v:path arrowok="t"/>
              </v:shape>
            </v:group>
            <v:group style="position:absolute;left:5981;top:14;width:2;height:392" coordorigin="5981,14" coordsize="2,392">
              <v:shape style="position:absolute;left:5981;top:14;width:2;height:392" coordorigin="5981,14" coordsize="0,392" path="m5981,14l5981,406e" filled="false" stroked="true" strokeweight="1.08pt" strokecolor="#d2d2d2">
                <v:path arrowok="t"/>
              </v:shape>
            </v:group>
            <v:group style="position:absolute;left:4825;top:14;width:1145;height:392" coordorigin="4825,14" coordsize="1145,392">
              <v:shape style="position:absolute;left:4825;top:14;width:1145;height:392" coordorigin="4825,14" coordsize="1145,392" path="m4825,406l5970,406,5970,14,4825,14,4825,406xe" filled="true" fillcolor="#d2d2d2" stroked="false">
                <v:path arrowok="t"/>
                <v:fill type="solid"/>
              </v:shape>
            </v:group>
            <v:group style="position:absolute;left:1212;top:10;width:3580;height:2" coordorigin="1212,10" coordsize="3580,2">
              <v:shape style="position:absolute;left:1212;top:10;width:3580;height:2" coordorigin="1212,10" coordsize="3580,0" path="m1212,10l4791,10e" filled="false" stroked="true" strokeweight=".48pt" strokecolor="#000000">
                <v:path arrowok="t"/>
              </v:shape>
            </v:group>
            <v:group style="position:absolute;left:4801;top:10;width:1191;height:2" coordorigin="4801,10" coordsize="1191,2">
              <v:shape style="position:absolute;left:4801;top:10;width:1191;height:2" coordorigin="4801,10" coordsize="1191,0" path="m4801,10l5991,10e" filled="false" stroked="true" strokeweight=".48pt" strokecolor="#000000">
                <v:path arrowok="t"/>
              </v:shape>
            </v:group>
            <v:group style="position:absolute;left:6001;top:10;width:3575;height:2" coordorigin="6001,10" coordsize="3575,2">
              <v:shape style="position:absolute;left:6001;top:10;width:3575;height:2" coordorigin="6001,10" coordsize="3575,0" path="m6001,10l9576,10e" filled="false" stroked="true" strokeweight=".48pt" strokecolor="#000000">
                <v:path arrowok="t"/>
              </v:shape>
            </v:group>
            <v:group style="position:absolute;left:1207;top:5;width:2;height:411" coordorigin="1207,5" coordsize="2,411">
              <v:shape style="position:absolute;left:1207;top:5;width:2;height:411" coordorigin="1207,5" coordsize="0,411" path="m1207,5l1207,416e" filled="false" stroked="true" strokeweight=".48pt" strokecolor="#000000">
                <v:path arrowok="t"/>
              </v:shape>
            </v:group>
            <v:group style="position:absolute;left:4796;top:5;width:2;height:411" coordorigin="4796,5" coordsize="2,411">
              <v:shape style="position:absolute;left:4796;top:5;width:2;height:411" coordorigin="4796,5" coordsize="0,411" path="m4796,5l4796,416e" filled="false" stroked="true" strokeweight=".48001pt" strokecolor="#000000">
                <v:path arrowok="t"/>
              </v:shape>
            </v:group>
            <v:group style="position:absolute;left:5996;top:5;width:2;height:411" coordorigin="5996,5" coordsize="2,411">
              <v:shape style="position:absolute;left:5996;top:5;width:2;height:411" coordorigin="5996,5" coordsize="0,411" path="m5996,5l5996,416e" filled="false" stroked="true" strokeweight=".48001pt" strokecolor="#000000">
                <v:path arrowok="t"/>
              </v:shape>
            </v:group>
            <v:group style="position:absolute;left:23;top:418;width:2;height:1328" coordorigin="23,418" coordsize="2,1328">
              <v:shape style="position:absolute;left:23;top:418;width:2;height:1328" coordorigin="23,418" coordsize="0,1328" path="m23,418l23,1745e" filled="false" stroked="true" strokeweight="1.08pt" strokecolor="#d2d2d2">
                <v:path arrowok="t"/>
              </v:shape>
            </v:group>
            <v:group style="position:absolute;left:3184;top:418;width:2;height:1328" coordorigin="3184,418" coordsize="2,1328">
              <v:shape style="position:absolute;left:3184;top:418;width:2;height:1328" coordorigin="3184,418" coordsize="0,1328" path="m3184,418l3184,1745e" filled="false" stroked="true" strokeweight="1.08pt" strokecolor="#d2d2d2">
                <v:path arrowok="t"/>
              </v:shape>
            </v:group>
            <v:group style="position:absolute;left:34;top:418;width:3140;height:351" coordorigin="34,418" coordsize="3140,351">
              <v:shape style="position:absolute;left:34;top:418;width:3140;height:351" coordorigin="34,418" coordsize="3140,351" path="m34,768l3173,768,3173,418,34,418,34,768xe" filled="true" fillcolor="#d2d2d2" stroked="false">
                <v:path arrowok="t"/>
                <v:fill type="solid"/>
              </v:shape>
            </v:group>
            <v:group style="position:absolute;left:34;top:768;width:3140;height:312" coordorigin="34,768" coordsize="3140,312">
              <v:shape style="position:absolute;left:34;top:768;width:3140;height:312" coordorigin="34,768" coordsize="3140,312" path="m34,1080l3173,1080,3173,768,34,768,34,1080xe" filled="true" fillcolor="#d2d2d2" stroked="false">
                <v:path arrowok="t"/>
                <v:fill type="solid"/>
              </v:shape>
            </v:group>
            <v:group style="position:absolute;left:34;top:1080;width:3140;height:312" coordorigin="34,1080" coordsize="3140,312">
              <v:shape style="position:absolute;left:34;top:1080;width:3140;height:312" coordorigin="34,1080" coordsize="3140,312" path="m34,1392l3173,1392,3173,1080,34,1080,34,1392xe" filled="true" fillcolor="#d2d2d2" stroked="false">
                <v:path arrowok="t"/>
                <v:fill type="solid"/>
              </v:shape>
            </v:group>
            <v:group style="position:absolute;left:34;top:1392;width:3140;height:353" coordorigin="34,1392" coordsize="3140,353">
              <v:shape style="position:absolute;left:34;top:1392;width:3140;height:353" coordorigin="34,1392" coordsize="3140,353" path="m34,1745l3173,1745,3173,1392,34,1392,34,1745xe" filled="true" fillcolor="#d2d2d2" stroked="false">
                <v:path arrowok="t"/>
                <v:fill type="solid"/>
              </v:shape>
            </v:group>
            <v:group style="position:absolute;left:3205;top:418;width:6371;height:468" coordorigin="3205,418" coordsize="6371,468">
              <v:shape style="position:absolute;left:3205;top:418;width:6371;height:468" coordorigin="3205,418" coordsize="6371,468" path="m3205,886l9576,886,9576,418,3205,418,3205,886xe" filled="true" fillcolor="#ffffff" stroked="false">
                <v:path arrowok="t"/>
                <v:fill type="solid"/>
              </v:shape>
            </v:group>
            <v:group style="position:absolute;left:3217;top:886;width:2;height:392" coordorigin="3217,886" coordsize="2,392">
              <v:shape style="position:absolute;left:3217;top:886;width:2;height:392" coordorigin="3217,886" coordsize="0,392" path="m3217,886l3217,1277e" filled="false" stroked="true" strokeweight="1.2pt" strokecolor="#ffffff">
                <v:path arrowok="t"/>
              </v:shape>
            </v:group>
            <v:group style="position:absolute;left:3229;top:886;width:6326;height:392" coordorigin="3229,886" coordsize="6326,392">
              <v:shape style="position:absolute;left:3229;top:886;width:6326;height:392" coordorigin="3229,886" coordsize="6326,392" path="m3229,1277l9554,1277,9554,886,3229,886,3229,1277xe" filled="true" fillcolor="#ffffff" stroked="false">
                <v:path arrowok="t"/>
                <v:fill type="solid"/>
              </v:shape>
            </v:group>
            <v:group style="position:absolute;left:10;top:411;width:1193;height:2" coordorigin="10,411" coordsize="1193,2">
              <v:shape style="position:absolute;left:10;top:411;width:1193;height:2" coordorigin="10,411" coordsize="1193,0" path="m10,411l1202,411e" filled="false" stroked="true" strokeweight=".48pt" strokecolor="#000000">
                <v:path arrowok="t"/>
              </v:shape>
            </v:group>
            <v:group style="position:absolute;left:1212;top:411;width:1983;height:2" coordorigin="1212,411" coordsize="1983,2">
              <v:shape style="position:absolute;left:1212;top:411;width:1983;height:2" coordorigin="1212,411" coordsize="1983,0" path="m1212,411l3195,411e" filled="false" stroked="true" strokeweight=".48pt" strokecolor="#000000">
                <v:path arrowok="t"/>
              </v:shape>
            </v:group>
            <v:group style="position:absolute;left:3205;top:411;width:1587;height:2" coordorigin="3205,411" coordsize="1587,2">
              <v:shape style="position:absolute;left:3205;top:411;width:1587;height:2" coordorigin="3205,411" coordsize="1587,0" path="m3205,411l4791,411e" filled="false" stroked="true" strokeweight=".48pt" strokecolor="#000000">
                <v:path arrowok="t"/>
              </v:shape>
            </v:group>
            <v:group style="position:absolute;left:4801;top:411;width:1191;height:2" coordorigin="4801,411" coordsize="1191,2">
              <v:shape style="position:absolute;left:4801;top:411;width:1191;height:2" coordorigin="4801,411" coordsize="1191,0" path="m4801,411l5991,411e" filled="false" stroked="true" strokeweight=".48pt" strokecolor="#000000">
                <v:path arrowok="t"/>
              </v:shape>
            </v:group>
            <v:group style="position:absolute;left:6001;top:411;width:3575;height:2" coordorigin="6001,411" coordsize="3575,2">
              <v:shape style="position:absolute;left:6001;top:411;width:3575;height:2" coordorigin="6001,411" coordsize="3575,0" path="m6001,411l9576,411e" filled="false" stroked="true" strokeweight=".48pt" strokecolor="#000000">
                <v:path arrowok="t"/>
              </v:shape>
            </v:group>
            <v:group style="position:absolute;left:5;top:5;width:2;height:1750" coordorigin="5,5" coordsize="2,1750">
              <v:shape style="position:absolute;left:5;top:5;width:2;height:1750" coordorigin="5,5" coordsize="0,1750" path="m5,5l5,1755e" filled="false" stroked="true" strokeweight=".48pt" strokecolor="#000000">
                <v:path arrowok="t"/>
              </v:shape>
            </v:group>
            <v:group style="position:absolute;left:10;top:1750;width:3186;height:2" coordorigin="10,1750" coordsize="3186,2">
              <v:shape style="position:absolute;left:10;top:1750;width:3186;height:2" coordorigin="10,1750" coordsize="3186,0" path="m10,1750l3195,1750e" filled="false" stroked="true" strokeweight=".48pt" strokecolor="#000000">
                <v:path arrowok="t"/>
              </v:shape>
            </v:group>
            <v:group style="position:absolute;left:3200;top:406;width:2;height:1349" coordorigin="3200,406" coordsize="2,1349">
              <v:shape style="position:absolute;left:3200;top:406;width:2;height:1349" coordorigin="3200,406" coordsize="0,1349" path="m3200,406l3200,1755e" filled="false" stroked="true" strokeweight=".48pt" strokecolor="#000000">
                <v:path arrowok="t"/>
              </v:shape>
            </v:group>
            <v:group style="position:absolute;left:3205;top:1750;width:6371;height:2" coordorigin="3205,1750" coordsize="6371,2">
              <v:shape style="position:absolute;left:3205;top:1750;width:6371;height:2" coordorigin="3205,1750" coordsize="6371,0" path="m3205,1750l9576,1750e" filled="false" stroked="true" strokeweight=".48pt" strokecolor="#000000">
                <v:path arrowok="t"/>
              </v:shape>
            </v:group>
            <v:group style="position:absolute;left:9580;top:5;width:2;height:1750" coordorigin="9580,5" coordsize="2,1750">
              <v:shape style="position:absolute;left:9580;top:5;width:2;height:1750" coordorigin="9580,5" coordsize="0,1750" path="m9580,5l9580,1755e" filled="false" stroked="true" strokeweight=".47998pt" strokecolor="#000000">
                <v:path arrowok="t"/>
              </v:shape>
              <v:shape style="position:absolute;left:17;top:10;width:1180;height:403" type="#_x0000_t202" filled="false" stroked="false">
                <v:textbox inset="0,0,0,0">
                  <w:txbxContent>
                    <w:p>
                      <w:pPr>
                        <w:spacing w:before="54"/>
                        <w:ind w:left="16" w:right="0" w:firstLine="0"/>
                        <w:jc w:val="left"/>
                        <w:rPr>
                          <w:rFonts w:ascii="宋体" w:hAnsi="宋体" w:cs="宋体" w:eastAsia="宋体" w:hint="default"/>
                          <w:sz w:val="18"/>
                          <w:szCs w:val="18"/>
                        </w:rPr>
                      </w:pPr>
                      <w:r>
                        <w:rPr>
                          <w:rFonts w:ascii="宋体" w:hAnsi="宋体" w:cs="宋体" w:eastAsia="宋体" w:hint="default"/>
                          <w:sz w:val="18"/>
                          <w:szCs w:val="18"/>
                        </w:rPr>
                        <w:t>名称</w:t>
                      </w:r>
                    </w:p>
                  </w:txbxContent>
                </v:textbox>
                <w10:wrap type="none"/>
              </v:shape>
              <v:shape style="position:absolute;left:1196;top:10;width:3600;height:403" type="#_x0000_t202" filled="false" stroked="false">
                <v:textbox inset="0,0,0,0">
                  <w:txbxContent>
                    <w:p>
                      <w:pPr>
                        <w:spacing w:before="54"/>
                        <w:ind w:left="39" w:right="0" w:firstLine="0"/>
                        <w:jc w:val="left"/>
                        <w:rPr>
                          <w:rFonts w:ascii="宋体" w:hAnsi="宋体" w:cs="宋体" w:eastAsia="宋体" w:hint="default"/>
                          <w:sz w:val="18"/>
                          <w:szCs w:val="18"/>
                        </w:rPr>
                      </w:pPr>
                      <w:r>
                        <w:rPr>
                          <w:rFonts w:ascii="宋体" w:hAnsi="宋体" w:cs="宋体" w:eastAsia="宋体" w:hint="default"/>
                          <w:sz w:val="18"/>
                          <w:szCs w:val="18"/>
                        </w:rPr>
                        <w:t>中证鹏元资信评估股份有限公司</w:t>
                      </w:r>
                    </w:p>
                  </w:txbxContent>
                </v:textbox>
                <w10:wrap type="none"/>
              </v:shape>
              <v:shape style="position:absolute;left:4796;top:10;width:1190;height:403" type="#_x0000_t202" filled="false" stroked="false">
                <v:textbox inset="0,0,0,0">
                  <w:txbxContent>
                    <w:p>
                      <w:pPr>
                        <w:spacing w:before="54"/>
                        <w:ind w:left="28" w:right="0" w:firstLine="0"/>
                        <w:jc w:val="left"/>
                        <w:rPr>
                          <w:rFonts w:ascii="宋体" w:hAnsi="宋体" w:cs="宋体" w:eastAsia="宋体" w:hint="default"/>
                          <w:sz w:val="18"/>
                          <w:szCs w:val="18"/>
                        </w:rPr>
                      </w:pPr>
                      <w:r>
                        <w:rPr>
                          <w:rFonts w:ascii="宋体" w:hAnsi="宋体" w:cs="宋体" w:eastAsia="宋体" w:hint="default"/>
                          <w:sz w:val="18"/>
                          <w:szCs w:val="18"/>
                        </w:rPr>
                        <w:t>办公地址</w:t>
                      </w:r>
                    </w:p>
                  </w:txbxContent>
                </v:textbox>
                <w10:wrap type="none"/>
              </v:shape>
              <v:shape style="position:absolute;left:5985;top:10;width:3595;height:403" type="#_x0000_t202" filled="false" stroked="false">
                <v:textbox inset="0,0,0,0">
                  <w:txbxContent>
                    <w:p>
                      <w:pPr>
                        <w:spacing w:before="54"/>
                        <w:ind w:left="39" w:right="0" w:firstLine="0"/>
                        <w:jc w:val="left"/>
                        <w:rPr>
                          <w:rFonts w:ascii="宋体" w:hAnsi="宋体" w:cs="宋体" w:eastAsia="宋体" w:hint="default"/>
                          <w:sz w:val="18"/>
                          <w:szCs w:val="18"/>
                        </w:rPr>
                      </w:pPr>
                      <w:r>
                        <w:rPr>
                          <w:rFonts w:ascii="宋体" w:hAnsi="宋体" w:cs="宋体" w:eastAsia="宋体" w:hint="default"/>
                          <w:sz w:val="18"/>
                          <w:szCs w:val="18"/>
                        </w:rPr>
                        <w:t>深圳市深南大道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号阳光高尔夫大厦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楼</w:t>
                      </w:r>
                    </w:p>
                  </w:txbxContent>
                </v:textbox>
                <w10:wrap type="none"/>
              </v:shape>
              <v:shape style="position:absolute;left:17;top:412;width:3173;height:1338" type="#_x0000_t202" filled="false" stroked="false">
                <v:textbox inset="0,0,0,0">
                  <w:txbxContent>
                    <w:p>
                      <w:pPr>
                        <w:spacing w:line="316" w:lineRule="auto" w:before="55"/>
                        <w:ind w:left="16" w:right="14" w:firstLine="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适用）</w:t>
                      </w:r>
                    </w:p>
                  </w:txbxContent>
                </v:textbox>
                <w10:wrap type="none"/>
              </v:shape>
              <v:shape style="position:absolute;left:3082;top:832;width:687;height:339" type="#_x0000_t202" filled="false" stroked="false">
                <v:textbox inset="0,0,0,0">
                  <w:txbxContent>
                    <w:p>
                      <w:pPr>
                        <w:spacing w:line="141"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197" w:lineRule="exact" w:before="0"/>
                        <w:ind w:left="146" w:right="0" w:firstLine="0"/>
                        <w:jc w:val="left"/>
                        <w:rPr>
                          <w:rFonts w:ascii="宋体" w:hAnsi="宋体" w:cs="宋体" w:eastAsia="宋体" w:hint="default"/>
                          <w:sz w:val="18"/>
                          <w:szCs w:val="18"/>
                        </w:rPr>
                      </w:pPr>
                      <w:r>
                        <w:rPr>
                          <w:rFonts w:ascii="宋体" w:hAnsi="宋体" w:cs="宋体" w:eastAsia="宋体" w:hint="default"/>
                          <w:sz w:val="18"/>
                          <w:szCs w:val="18"/>
                        </w:rPr>
                        <w:t>不适用</w:t>
                      </w:r>
                    </w:p>
                  </w:txbxContent>
                </v:textbox>
                <w10:wrap type="none"/>
              </v:shape>
            </v:group>
          </v:group>
        </w:pict>
      </w:r>
      <w:r>
        <w:rPr>
          <w:rFonts w:ascii="Microsoft JhengHei" w:hAnsi="Microsoft JhengHei" w:cs="Microsoft JhengHei" w:eastAsia="Microsoft JhengHei" w:hint="default"/>
          <w:position w:val="-34"/>
          <w:sz w:val="20"/>
          <w:szCs w:val="20"/>
        </w:rPr>
      </w:r>
    </w:p>
    <w:p>
      <w:pPr>
        <w:spacing w:line="240" w:lineRule="auto" w:before="6"/>
        <w:rPr>
          <w:rFonts w:ascii="Microsoft JhengHei" w:hAnsi="Microsoft JhengHei" w:cs="Microsoft JhengHei" w:eastAsia="Microsoft JhengHei" w:hint="default"/>
          <w:b/>
          <w:bCs/>
          <w:sz w:val="13"/>
          <w:szCs w:val="13"/>
        </w:rPr>
      </w:pPr>
    </w:p>
    <w:p>
      <w:pPr>
        <w:pStyle w:val="Heading4"/>
        <w:spacing w:line="367" w:lineRule="exact"/>
        <w:ind w:right="1033"/>
        <w:jc w:val="left"/>
        <w:rPr>
          <w:b w:val="0"/>
          <w:bCs w:val="0"/>
        </w:rPr>
      </w:pPr>
      <w:r>
        <w:rPr/>
        <w:t>三、公司债券募集资金使用情况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8"/>
          <w:szCs w:val="18"/>
        </w:rPr>
      </w:pPr>
    </w:p>
    <w:p>
      <w:pPr>
        <w:pStyle w:val="BodyText"/>
        <w:spacing w:line="240" w:lineRule="auto" w:before="44"/>
        <w:ind w:left="0" w:right="1139"/>
        <w:jc w:val="right"/>
      </w:pPr>
      <w:r>
        <w:rPr/>
        <w:pict>
          <v:shape style="position:absolute;margin-left:56.484001pt;margin-top:-87.758301pt;width:479.2pt;height:236.9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6381"/>
                  </w:tblGrid>
                  <w:tr>
                    <w:trPr>
                      <w:trHeight w:val="133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94"/>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经公司第四届董事会第三十五次会议、第四届监事会第三十二次会议及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w:t>
                        </w:r>
                      </w:p>
                      <w:p>
                        <w:pPr>
                          <w:pStyle w:val="TableParagraph"/>
                          <w:spacing w:line="309"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三次临时股东大会审议，同意本次非公开发行债券募集资金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万元用于偿还 金融机构借款，剩余资金用于补充营运资金。截至报告期末，募集资金已使用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万元用于偿还金融机构借款，剩余</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9,640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万元存于募集专户。</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9,640</w:t>
                        </w:r>
                      </w:p>
                    </w:tc>
                  </w:tr>
                  <w:tr>
                    <w:trPr>
                      <w:trHeight w:val="227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为保证本次债券募集资金的合规使用以及保证偿债资金的归集，保护投资者权益 经第四届董事会第四十一次会议审议，公司与长城证券股份有限公司、中国民生 </w:t>
                        </w:r>
                        <w:r>
                          <w:rPr>
                            <w:rFonts w:ascii="宋体" w:hAnsi="宋体" w:cs="宋体" w:eastAsia="宋体" w:hint="default"/>
                            <w:spacing w:val="-3"/>
                            <w:sz w:val="18"/>
                            <w:szCs w:val="18"/>
                          </w:rPr>
                          <w:t>银行股份有限公司深圳分行签订了《深圳市新国都股份有限公司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年非公开发</w:t>
                        </w:r>
                        <w:r>
                          <w:rPr>
                            <w:rFonts w:ascii="宋体" w:hAnsi="宋体" w:cs="宋体" w:eastAsia="宋体" w:hint="default"/>
                            <w:spacing w:val="-88"/>
                            <w:sz w:val="18"/>
                            <w:szCs w:val="18"/>
                          </w:rPr>
                          <w:t> </w:t>
                        </w:r>
                        <w:r>
                          <w:rPr>
                            <w:rFonts w:ascii="宋体" w:hAnsi="宋体" w:cs="宋体" w:eastAsia="宋体" w:hint="default"/>
                            <w:spacing w:val="-5"/>
                            <w:sz w:val="18"/>
                            <w:szCs w:val="18"/>
                          </w:rPr>
                          <w:t>行创新创业公司债券之募集资金及偿债资金监管协议》，扣除本次发行的承销费用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后，募集资金净额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29,640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万元已汇入公司指定的募集资金专项账户。截至报告期</w:t>
                        </w:r>
                      </w:p>
                      <w:p>
                        <w:pPr>
                          <w:pStyle w:val="TableParagraph"/>
                          <w:spacing w:line="300" w:lineRule="auto" w:before="1"/>
                          <w:ind w:left="23" w:right="41"/>
                          <w:jc w:val="left"/>
                          <w:rPr>
                            <w:rFonts w:ascii="宋体" w:hAnsi="宋体" w:cs="宋体" w:eastAsia="宋体" w:hint="default"/>
                            <w:sz w:val="18"/>
                            <w:szCs w:val="18"/>
                          </w:rPr>
                        </w:pPr>
                        <w:r>
                          <w:rPr>
                            <w:rFonts w:ascii="宋体" w:hAnsi="宋体" w:cs="宋体" w:eastAsia="宋体" w:hint="default"/>
                            <w:sz w:val="18"/>
                            <w:szCs w:val="18"/>
                          </w:rPr>
                          <w:t>末，募集资金已使用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万元用于偿还金融机构借款，剩余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9,640 </w:t>
                        </w:r>
                        <w:r>
                          <w:rPr>
                            <w:rFonts w:ascii="宋体" w:hAnsi="宋体" w:cs="宋体" w:eastAsia="宋体" w:hint="default"/>
                            <w:sz w:val="18"/>
                            <w:szCs w:val="18"/>
                          </w:rPr>
                          <w:t>万元存于募 集专户。</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4"/>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4"/>
        <w:spacing w:line="367" w:lineRule="exact"/>
        <w:ind w:right="1033"/>
        <w:jc w:val="left"/>
        <w:rPr>
          <w:b w:val="0"/>
          <w:bCs w:val="0"/>
        </w:rPr>
      </w:pPr>
      <w:r>
        <w:rPr/>
        <w:t>四、公司债券信息评级情况</w:t>
      </w:r>
      <w:r>
        <w:rPr>
          <w:b w:val="0"/>
          <w:bCs w:val="0"/>
        </w:rPr>
      </w:r>
    </w:p>
    <w:p>
      <w:pPr>
        <w:spacing w:line="240" w:lineRule="auto" w:before="13"/>
        <w:rPr>
          <w:rFonts w:ascii="Microsoft JhengHei" w:hAnsi="Microsoft JhengHei" w:cs="Microsoft JhengHei" w:eastAsia="Microsoft JhengHei" w:hint="default"/>
          <w:b/>
          <w:bCs/>
          <w:sz w:val="22"/>
          <w:szCs w:val="22"/>
        </w:rPr>
      </w:pPr>
    </w:p>
    <w:p>
      <w:pPr>
        <w:pStyle w:val="BodyText"/>
        <w:spacing w:line="451" w:lineRule="auto"/>
        <w:ind w:right="1131" w:firstLine="42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日，经中证鹏元资信评估股份有限公司中鹏信评【</w:t>
      </w:r>
      <w:r>
        <w:rPr>
          <w:rFonts w:ascii="Times New Roman" w:hAnsi="Times New Roman" w:cs="Times New Roman" w:eastAsia="Times New Roman" w:hint="default"/>
          <w:spacing w:val="-2"/>
        </w:rPr>
        <w:t>2019</w:t>
      </w:r>
      <w:r>
        <w:rPr>
          <w:spacing w:val="-2"/>
        </w:rPr>
        <w:t>】第</w:t>
      </w:r>
      <w:r>
        <w:rPr>
          <w:rFonts w:ascii="Times New Roman" w:hAnsi="Times New Roman" w:cs="Times New Roman" w:eastAsia="Times New Roman" w:hint="default"/>
          <w:spacing w:val="-2"/>
        </w:rPr>
        <w:t>Z</w:t>
      </w:r>
      <w:r>
        <w:rPr>
          <w:spacing w:val="-2"/>
        </w:rPr>
        <w:t>【</w:t>
      </w:r>
      <w:r>
        <w:rPr>
          <w:rFonts w:ascii="Times New Roman" w:hAnsi="Times New Roman" w:cs="Times New Roman" w:eastAsia="Times New Roman" w:hint="default"/>
          <w:spacing w:val="-2"/>
        </w:rPr>
        <w:t>566</w:t>
      </w:r>
      <w:r>
        <w:rPr>
          <w:spacing w:val="-2"/>
        </w:rPr>
        <w:t>】号</w:t>
      </w:r>
      <w:r>
        <w:rPr>
          <w:rFonts w:ascii="Times New Roman" w:hAnsi="Times New Roman" w:cs="Times New Roman" w:eastAsia="Times New Roman" w:hint="default"/>
          <w:spacing w:val="-2"/>
        </w:rPr>
        <w:t>02</w:t>
      </w:r>
      <w:r>
        <w:rPr>
          <w:spacing w:val="-2"/>
        </w:rPr>
        <w:t>综合评定，公司主体长期信用等</w:t>
      </w:r>
      <w:r>
        <w:rPr/>
        <w:t> 级为</w:t>
      </w:r>
      <w:r>
        <w:rPr>
          <w:rFonts w:ascii="Times New Roman" w:hAnsi="Times New Roman" w:cs="Times New Roman" w:eastAsia="Times New Roman" w:hint="default"/>
        </w:rPr>
        <w:t>AA-</w:t>
      </w:r>
      <w:r>
        <w:rPr/>
        <w:t>，评级展望为稳定，</w:t>
      </w:r>
      <w:r>
        <w:rPr>
          <w:rFonts w:ascii="Times New Roman" w:hAnsi="Times New Roman" w:cs="Times New Roman" w:eastAsia="Times New Roman" w:hint="default"/>
        </w:rPr>
        <w:t>AA</w:t>
      </w:r>
      <w:r>
        <w:rPr/>
        <w:t>等级反映公司偿还债务的能力很强，受不利经济环境的影响不大，违约风险很低，</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w:t>
      </w:r>
      <w:r>
        <w:rPr/>
        <w:t>符号</w:t>
      </w:r>
      <w:r>
        <w:rPr>
          <w:spacing w:val="2"/>
        </w:rPr>
        <w:t> </w:t>
      </w:r>
      <w:r>
        <w:rPr>
          <w:spacing w:val="-1"/>
        </w:rPr>
        <w:t>表示略低于本等级；公司本次拟非公开发行总额不超过</w:t>
      </w:r>
      <w:r>
        <w:rPr>
          <w:rFonts w:ascii="Times New Roman" w:hAnsi="Times New Roman" w:cs="Times New Roman" w:eastAsia="Times New Roman" w:hint="default"/>
          <w:spacing w:val="-1"/>
        </w:rPr>
        <w:t>3</w:t>
      </w:r>
      <w:r>
        <w:rPr>
          <w:spacing w:val="-1"/>
        </w:rPr>
        <w:t>亿元（含）创新创业公司债券的评级结果为</w:t>
      </w:r>
      <w:r>
        <w:rPr>
          <w:rFonts w:ascii="Times New Roman" w:hAnsi="Times New Roman" w:cs="Times New Roman" w:eastAsia="Times New Roman" w:hint="default"/>
          <w:spacing w:val="-1"/>
        </w:rPr>
        <w:t>AAA</w:t>
      </w:r>
      <w:r>
        <w:rPr>
          <w:spacing w:val="-1"/>
        </w:rPr>
        <w:t>，该级别反映了本</w:t>
      </w:r>
      <w:r>
        <w:rPr>
          <w:spacing w:val="-61"/>
        </w:rPr>
        <w:t> </w:t>
      </w:r>
      <w:r>
        <w:rPr>
          <w:spacing w:val="-61"/>
        </w:rPr>
      </w:r>
      <w:r>
        <w:rPr/>
        <w:t>次债券安全性极高，违约风险极低。</w:t>
      </w:r>
    </w:p>
    <w:p>
      <w:pPr>
        <w:pStyle w:val="BodyText"/>
        <w:spacing w:line="477" w:lineRule="auto" w:before="74"/>
        <w:ind w:right="1043" w:firstLine="420"/>
        <w:jc w:val="both"/>
      </w:pPr>
      <w:r>
        <w:rPr>
          <w:spacing w:val="-1"/>
        </w:rPr>
        <w:t>中证鹏元资信评估股份有限公司在初次评级结束后，将在公司本次债券存续期间对公司开展定期以及不定期跟踪评级。</w:t>
      </w:r>
      <w:r>
        <w:rPr/>
        <w:t> 定期跟踪评级每年进行一次，本期公司债券最新定期跟踪评级报告预计将于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日之前出具。</w:t>
      </w:r>
    </w:p>
    <w:p>
      <w:pPr>
        <w:pStyle w:val="Heading4"/>
        <w:spacing w:line="240" w:lineRule="auto" w:before="120"/>
        <w:ind w:right="1033"/>
        <w:jc w:val="left"/>
        <w:rPr>
          <w:b w:val="0"/>
          <w:bCs w:val="0"/>
        </w:rPr>
      </w:pPr>
      <w:r>
        <w:rPr/>
        <w:t>五、公司债券增信机制、偿债计划及其他偿债保障措施</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477" w:lineRule="auto"/>
        <w:ind w:right="1171" w:firstLine="420"/>
        <w:jc w:val="both"/>
      </w:pPr>
      <w:r>
        <w:rPr/>
        <w:t>本次债券发行后，公司将根据债务结构进一步加强资产负债管理、流动性管理和募集资金运用管理，保证资金按计划 调度，及时、足额准备资金用于每年的利息支付和到期的本金兑付，以充分保障投资者的利益。</w:t>
      </w:r>
    </w:p>
    <w:p>
      <w:pPr>
        <w:pStyle w:val="BodyText"/>
        <w:spacing w:line="240" w:lineRule="auto" w:before="54"/>
        <w:ind w:right="1033"/>
        <w:jc w:val="left"/>
      </w:pPr>
      <w:r>
        <w:rPr/>
        <w:t>（一）</w:t>
      </w:r>
      <w:r>
        <w:rPr>
          <w:spacing w:val="-18"/>
        </w:rPr>
        <w:t> </w:t>
      </w:r>
      <w:r>
        <w:rPr/>
        <w:t>增信机制</w:t>
      </w:r>
    </w:p>
    <w:p>
      <w:pPr>
        <w:spacing w:line="240" w:lineRule="auto" w:before="10"/>
        <w:rPr>
          <w:rFonts w:ascii="宋体" w:hAnsi="宋体" w:cs="宋体" w:eastAsia="宋体" w:hint="default"/>
          <w:sz w:val="17"/>
          <w:szCs w:val="17"/>
        </w:rPr>
      </w:pPr>
    </w:p>
    <w:p>
      <w:pPr>
        <w:pStyle w:val="BodyText"/>
        <w:spacing w:line="240" w:lineRule="auto"/>
        <w:ind w:left="573" w:right="1033"/>
        <w:jc w:val="left"/>
      </w:pPr>
      <w:r>
        <w:rPr/>
        <w:t>本次债券由深圳担保集团有限公司（以下简称</w:t>
      </w:r>
      <w:r>
        <w:rPr>
          <w:rFonts w:ascii="Times New Roman" w:hAnsi="Times New Roman" w:cs="Times New Roman" w:eastAsia="Times New Roman" w:hint="default"/>
        </w:rPr>
        <w:t>“</w:t>
      </w:r>
      <w:r>
        <w:rPr/>
        <w:t>担保人</w:t>
      </w:r>
      <w:r>
        <w:rPr>
          <w:rFonts w:ascii="Times New Roman" w:hAnsi="Times New Roman" w:cs="Times New Roman" w:eastAsia="Times New Roman" w:hint="default"/>
        </w:rPr>
        <w:t>”</w:t>
      </w:r>
      <w:r>
        <w:rPr/>
        <w:t>）提供无条件不可撤销的连带责任保证担保。担保人资本实力</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201"/>
        <w:jc w:val="both"/>
      </w:pPr>
      <w:r>
        <w:rPr/>
        <w:t>雄厚，抗风险能力强，具有极强的代偿能力。经中证鹏元评定，担保人主体信用评级为</w:t>
      </w:r>
      <w:r>
        <w:rPr>
          <w:rFonts w:ascii="Times New Roman" w:hAnsi="Times New Roman" w:cs="Times New Roman" w:eastAsia="Times New Roman" w:hint="default"/>
        </w:rPr>
        <w:t>AAA</w:t>
      </w:r>
      <w:r>
        <w:rPr/>
        <w:t>，评级展望为稳定。因此，担 保人为本次债券提供的无条件不可撤销的连带责任保证担保具有很强的增信作用。</w:t>
      </w:r>
    </w:p>
    <w:p>
      <w:pPr>
        <w:pStyle w:val="BodyText"/>
        <w:spacing w:line="477" w:lineRule="auto" w:before="74"/>
        <w:ind w:left="573" w:right="1033" w:hanging="420"/>
        <w:jc w:val="left"/>
      </w:pPr>
      <w:r>
        <w:rPr/>
        <w:t>（二）反担保措施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日召开第四届董事会第三十五次会议，审议通过了《关于全资子公司嘉联支付拟为公司发行债券提</w:t>
      </w:r>
    </w:p>
    <w:p>
      <w:pPr>
        <w:pStyle w:val="BodyText"/>
        <w:spacing w:line="463" w:lineRule="auto" w:before="21"/>
        <w:ind w:right="1133"/>
        <w:jc w:val="both"/>
      </w:pPr>
      <w:r>
        <w:rPr>
          <w:spacing w:val="-2"/>
        </w:rPr>
        <w:t>供反担保的议案》、《关于控股子公司拟为公司发行债券提供反担保的议案》、《关于公司实际控制人拟为公司发行债券提</w:t>
      </w:r>
      <w:r>
        <w:rPr>
          <w:spacing w:val="-66"/>
        </w:rPr>
        <w:t> </w:t>
      </w:r>
      <w:r>
        <w:rPr>
          <w:spacing w:val="-66"/>
        </w:rPr>
      </w:r>
      <w:r>
        <w:rPr/>
        <w:t>供保证反担保暨关联交易的议案》。公司于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日召开</w:t>
      </w:r>
      <w:r>
        <w:rPr>
          <w:rFonts w:ascii="Times New Roman" w:hAnsi="Times New Roman" w:cs="Times New Roman" w:eastAsia="Times New Roman" w:hint="default"/>
        </w:rPr>
        <w:t>2019</w:t>
      </w:r>
      <w:r>
        <w:rPr/>
        <w:t>年第三次临时股东大会，审议通过了董事会提交的上述 三项议案。</w:t>
      </w:r>
    </w:p>
    <w:p>
      <w:pPr>
        <w:pStyle w:val="BodyText"/>
        <w:spacing w:line="240" w:lineRule="auto" w:before="65"/>
        <w:ind w:left="573" w:right="1033"/>
        <w:jc w:val="left"/>
      </w:pPr>
      <w:r>
        <w:rPr/>
        <w:t>根据上述议案，本次债券发行所对应的反担保措施为：</w:t>
      </w:r>
    </w:p>
    <w:p>
      <w:pPr>
        <w:spacing w:line="240" w:lineRule="auto" w:before="10"/>
        <w:rPr>
          <w:rFonts w:ascii="宋体" w:hAnsi="宋体" w:cs="宋体" w:eastAsia="宋体" w:hint="default"/>
          <w:sz w:val="17"/>
          <w:szCs w:val="17"/>
        </w:rPr>
      </w:pPr>
    </w:p>
    <w:p>
      <w:pPr>
        <w:pStyle w:val="BodyText"/>
        <w:spacing w:line="451" w:lineRule="auto"/>
        <w:ind w:right="1115" w:firstLine="420"/>
        <w:jc w:val="left"/>
      </w:pPr>
      <w:r>
        <w:rPr>
          <w:rFonts w:ascii="Times New Roman" w:hAnsi="Times New Roman" w:cs="Times New Roman" w:eastAsia="Times New Roman" w:hint="default"/>
          <w:spacing w:val="-1"/>
        </w:rPr>
        <w:t>1</w:t>
      </w:r>
      <w:r>
        <w:rPr>
          <w:spacing w:val="-1"/>
        </w:rPr>
        <w:t>、公司控股子公司苏州新国都电子技术有限公司拟为公司非公开发行公司债事项向深圳担保集团有限公司提供保证反</w:t>
      </w:r>
      <w:r>
        <w:rPr/>
        <w:t> 担保。</w:t>
      </w:r>
    </w:p>
    <w:p>
      <w:pPr>
        <w:pStyle w:val="BodyText"/>
        <w:spacing w:line="240" w:lineRule="auto" w:before="74"/>
        <w:ind w:left="573" w:right="1033"/>
        <w:jc w:val="left"/>
      </w:pPr>
      <w:r>
        <w:rPr>
          <w:rFonts w:ascii="Times New Roman" w:hAnsi="Times New Roman" w:cs="Times New Roman" w:eastAsia="Times New Roman" w:hint="default"/>
        </w:rPr>
        <w:t>2</w:t>
      </w:r>
      <w:r>
        <w:rPr/>
        <w:t>、公司全资子公司嘉联支付有限公司拟为公司非公开发行公司债券事项向深圳担保集团有限公司提供保证反担保。</w:t>
      </w:r>
    </w:p>
    <w:p>
      <w:pPr>
        <w:spacing w:line="240" w:lineRule="auto" w:before="9"/>
        <w:rPr>
          <w:rFonts w:ascii="宋体" w:hAnsi="宋体" w:cs="宋体" w:eastAsia="宋体" w:hint="default"/>
          <w:sz w:val="16"/>
          <w:szCs w:val="16"/>
        </w:rPr>
      </w:pPr>
    </w:p>
    <w:p>
      <w:pPr>
        <w:pStyle w:val="BodyText"/>
        <w:spacing w:line="451" w:lineRule="auto"/>
        <w:ind w:right="1115" w:firstLine="420"/>
        <w:jc w:val="left"/>
      </w:pPr>
      <w:r>
        <w:rPr>
          <w:rFonts w:ascii="Times New Roman" w:hAnsi="Times New Roman" w:cs="Times New Roman" w:eastAsia="Times New Roman" w:hint="default"/>
          <w:spacing w:val="-1"/>
        </w:rPr>
        <w:t>3</w:t>
      </w:r>
      <w:r>
        <w:rPr>
          <w:spacing w:val="-1"/>
        </w:rPr>
        <w:t>、公司实际控制人刘祥先生以其拥有合法处分权的财产为公司非公开发行公司债券事项向深圳担保集团有限公司提供</w:t>
      </w:r>
      <w:r>
        <w:rPr/>
        <w:t> 保证反担保。</w:t>
      </w:r>
    </w:p>
    <w:p>
      <w:pPr>
        <w:pStyle w:val="BodyText"/>
        <w:spacing w:line="240" w:lineRule="auto" w:before="74"/>
        <w:ind w:left="573" w:right="1033"/>
        <w:jc w:val="left"/>
      </w:pPr>
      <w:r>
        <w:rPr/>
        <w:t>以上保证反担保的范围为：深圳市新国都股份有限公司未清偿深圳担保集团有限公司或者本期债券持有人的全部款项</w:t>
      </w:r>
    </w:p>
    <w:p>
      <w:pPr>
        <w:spacing w:line="240" w:lineRule="auto" w:before="10"/>
        <w:rPr>
          <w:rFonts w:ascii="宋体" w:hAnsi="宋体" w:cs="宋体" w:eastAsia="宋体" w:hint="default"/>
          <w:sz w:val="17"/>
          <w:szCs w:val="17"/>
        </w:rPr>
      </w:pPr>
    </w:p>
    <w:p>
      <w:pPr>
        <w:pStyle w:val="BodyText"/>
        <w:spacing w:line="477" w:lineRule="auto"/>
        <w:ind w:right="1132"/>
        <w:jc w:val="both"/>
      </w:pPr>
      <w:r>
        <w:rPr>
          <w:spacing w:val="-2"/>
        </w:rPr>
        <w:t>（包括本期债券本金和利息、违约金、损害赔偿金、实现债权的费用）；深圳市新国都股份有限公司应向深圳担保集团有限</w:t>
      </w:r>
      <w:r>
        <w:rPr>
          <w:spacing w:val="-67"/>
        </w:rPr>
        <w:t> </w:t>
      </w:r>
      <w:r>
        <w:rPr>
          <w:spacing w:val="-67"/>
        </w:rPr>
      </w:r>
      <w:r>
        <w:rPr>
          <w:spacing w:val="-2"/>
        </w:rPr>
        <w:t>公司支付的逾期担保费；深圳市新国都股份有限公司应向深圳担保集团有限公司支付的违约金等款项；深圳担保集团有限公</w:t>
      </w:r>
      <w:r>
        <w:rPr>
          <w:spacing w:val="-64"/>
        </w:rPr>
        <w:t> </w:t>
      </w:r>
      <w:r>
        <w:rPr>
          <w:spacing w:val="-64"/>
        </w:rPr>
      </w:r>
      <w:r>
        <w:rPr>
          <w:spacing w:val="-2"/>
        </w:rPr>
        <w:t>司垫付的以及深圳担保集团有限公司为实现债权支出的全部费用（包括但不限于律师费、诉讼费、拍卖费、保险费及审计评</w:t>
      </w:r>
      <w:r>
        <w:rPr>
          <w:spacing w:val="-66"/>
        </w:rPr>
        <w:t> </w:t>
      </w:r>
      <w:r>
        <w:rPr>
          <w:spacing w:val="-66"/>
        </w:rPr>
      </w:r>
      <w:r>
        <w:rPr/>
        <w:t>估费等）。</w:t>
      </w:r>
    </w:p>
    <w:p>
      <w:pPr>
        <w:pStyle w:val="BodyText"/>
        <w:spacing w:line="477" w:lineRule="auto" w:before="54"/>
        <w:ind w:right="1153" w:firstLine="420"/>
        <w:jc w:val="left"/>
      </w:pPr>
      <w:r>
        <w:rPr/>
        <w:t>以上保证反担保的期间：自保证反担保合同签订之日起至《委托保证合同》项下深圳市新国都股份有限公司对深圳担 保集团有限公司的全部债务履行期（还款期）届满之日起另加两年止。</w:t>
      </w:r>
    </w:p>
    <w:p>
      <w:pPr>
        <w:pStyle w:val="BodyText"/>
        <w:spacing w:line="451" w:lineRule="auto" w:before="55"/>
        <w:ind w:right="1130" w:firstLine="420"/>
        <w:jc w:val="both"/>
      </w:pPr>
      <w:r>
        <w:rPr/>
        <w:t>因公司于</w:t>
      </w:r>
      <w:r>
        <w:rPr>
          <w:rFonts w:ascii="Times New Roman" w:hAnsi="Times New Roman" w:cs="Times New Roman" w:eastAsia="Times New Roman" w:hint="default"/>
        </w:rPr>
        <w:t>2019</w:t>
      </w:r>
      <w:r>
        <w:rPr/>
        <w:t>年转让苏州新国都</w:t>
      </w:r>
      <w:r>
        <w:rPr>
          <w:rFonts w:ascii="Times New Roman" w:hAnsi="Times New Roman" w:cs="Times New Roman" w:eastAsia="Times New Roman" w:hint="default"/>
        </w:rPr>
        <w:t>96.32%</w:t>
      </w:r>
      <w:r>
        <w:rPr/>
        <w:t>股权，苏州新国都为公司非公开发行公司债事项向深圳担保集团有限公司提供 </w:t>
      </w:r>
      <w:r>
        <w:rPr>
          <w:spacing w:val="-2"/>
        </w:rPr>
        <w:t>保证反担保事项取消。具体内容详见公司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日披露于巨潮资讯网的《关于转让控股子公司股权的进展公告》（公</w:t>
      </w:r>
      <w:r>
        <w:rPr>
          <w:spacing w:val="-59"/>
        </w:rPr>
        <w:t> </w:t>
      </w:r>
      <w:r>
        <w:rPr>
          <w:spacing w:val="-59"/>
        </w:rPr>
      </w:r>
      <w:r>
        <w:rPr/>
        <w:t>告编号：</w:t>
      </w:r>
      <w:r>
        <w:rPr>
          <w:rFonts w:ascii="Times New Roman" w:hAnsi="Times New Roman" w:cs="Times New Roman" w:eastAsia="Times New Roman" w:hint="default"/>
        </w:rPr>
        <w:t>2019-174</w:t>
      </w:r>
      <w:r>
        <w:rPr/>
        <w:t>）。</w:t>
      </w:r>
    </w:p>
    <w:p>
      <w:pPr>
        <w:pStyle w:val="BodyText"/>
        <w:spacing w:line="477" w:lineRule="auto" w:before="43"/>
        <w:ind w:right="9493"/>
        <w:jc w:val="left"/>
      </w:pPr>
      <w:r>
        <w:rPr/>
        <w:t>（三）偿债计划 </w:t>
      </w:r>
      <w:r>
        <w:rPr>
          <w:rFonts w:ascii="宋体" w:hAnsi="宋体" w:cs="宋体" w:eastAsia="宋体" w:hint="default"/>
        </w:rPr>
        <w:t>1</w:t>
      </w:r>
      <w:r>
        <w:rPr/>
        <w:t>、利息的支付</w:t>
      </w:r>
    </w:p>
    <w:p>
      <w:pPr>
        <w:pStyle w:val="BodyText"/>
        <w:spacing w:line="451" w:lineRule="auto" w:before="54"/>
        <w:ind w:right="1033" w:firstLine="420"/>
        <w:jc w:val="left"/>
      </w:pPr>
      <w:r>
        <w:rPr>
          <w:spacing w:val="-5"/>
        </w:rPr>
        <w:t>（</w:t>
      </w:r>
      <w:r>
        <w:rPr>
          <w:rFonts w:ascii="Times New Roman" w:hAnsi="Times New Roman" w:cs="Times New Roman" w:eastAsia="Times New Roman" w:hint="default"/>
          <w:spacing w:val="-5"/>
        </w:rPr>
        <w:t>1</w:t>
      </w:r>
      <w:r>
        <w:rPr>
          <w:spacing w:val="-5"/>
        </w:rPr>
        <w:t>）本次债券在存续期内每年付息一次，最后一期利息随本金的兑付一起支付。本次公司债券的付息日为</w:t>
      </w:r>
      <w:r>
        <w:rPr>
          <w:rFonts w:ascii="Times New Roman" w:hAnsi="Times New Roman" w:cs="Times New Roman" w:eastAsia="Times New Roman" w:hint="default"/>
          <w:spacing w:val="-5"/>
        </w:rPr>
        <w:t>2020</w:t>
      </w:r>
      <w:r>
        <w:rPr>
          <w:spacing w:val="-5"/>
        </w:rPr>
        <w:t>年至</w:t>
      </w:r>
      <w:r>
        <w:rPr>
          <w:rFonts w:ascii="Times New Roman" w:hAnsi="Times New Roman" w:cs="Times New Roman" w:eastAsia="Times New Roman" w:hint="default"/>
          <w:spacing w:val="-5"/>
        </w:rPr>
        <w:t>2022</w:t>
      </w:r>
      <w:r>
        <w:rPr>
          <w:rFonts w:ascii="Times New Roman" w:hAnsi="Times New Roman" w:cs="Times New Roman" w:eastAsia="Times New Roman" w:hint="default"/>
        </w:rPr>
        <w:t> </w:t>
      </w:r>
      <w:r>
        <w:rPr/>
        <w:t>年每年的</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日（如遇法定节假日或休息日，则顺延至其后的第</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个工作日；每次付息款项不另计利息）。</w:t>
      </w:r>
    </w:p>
    <w:p>
      <w:pPr>
        <w:pStyle w:val="BodyText"/>
        <w:spacing w:line="451" w:lineRule="auto" w:before="43"/>
        <w:ind w:right="1115" w:firstLine="420"/>
        <w:jc w:val="left"/>
      </w:pPr>
      <w:r>
        <w:rPr>
          <w:spacing w:val="-1"/>
        </w:rPr>
        <w:t>（</w:t>
      </w:r>
      <w:r>
        <w:rPr>
          <w:rFonts w:ascii="Times New Roman" w:hAnsi="Times New Roman" w:cs="Times New Roman" w:eastAsia="Times New Roman" w:hint="default"/>
          <w:spacing w:val="-1"/>
        </w:rPr>
        <w:t>2</w:t>
      </w:r>
      <w:r>
        <w:rPr>
          <w:spacing w:val="-1"/>
        </w:rPr>
        <w:t>）本次债券利息的支付通过登记机构和有关机构办理。利息支付的具体事项将按照国家有关规定，由发行人在中国</w:t>
      </w:r>
      <w:r>
        <w:rPr/>
        <w:t> 证监会指定媒体上发布的付息公告中加以说明。</w:t>
      </w:r>
    </w:p>
    <w:p>
      <w:pPr>
        <w:pStyle w:val="BodyText"/>
        <w:spacing w:line="240" w:lineRule="auto" w:before="74"/>
        <w:ind w:left="573" w:right="1033"/>
        <w:jc w:val="left"/>
      </w:pPr>
      <w:r>
        <w:rPr/>
        <w:t>（</w:t>
      </w:r>
      <w:r>
        <w:rPr>
          <w:rFonts w:ascii="Times New Roman" w:hAnsi="Times New Roman" w:cs="Times New Roman" w:eastAsia="Times New Roman" w:hint="default"/>
        </w:rPr>
        <w:t>3</w:t>
      </w:r>
      <w:r>
        <w:rPr/>
        <w:t>）根据国家税收法律、法规，投资者投资本次债券应缴纳的有关税金由投资者自行承担。</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033"/>
        <w:jc w:val="left"/>
      </w:pPr>
      <w:r>
        <w:rPr>
          <w:rFonts w:ascii="宋体" w:hAnsi="宋体" w:cs="宋体" w:eastAsia="宋体" w:hint="default"/>
        </w:rPr>
        <w:t>2</w:t>
      </w:r>
      <w:r>
        <w:rPr/>
        <w:t>、本金的偿付</w:t>
      </w:r>
    </w:p>
    <w:p>
      <w:pPr>
        <w:spacing w:line="240" w:lineRule="auto" w:before="10"/>
        <w:rPr>
          <w:rFonts w:ascii="宋体" w:hAnsi="宋体" w:cs="宋体" w:eastAsia="宋体" w:hint="default"/>
          <w:sz w:val="17"/>
          <w:szCs w:val="17"/>
        </w:rPr>
      </w:pPr>
    </w:p>
    <w:p>
      <w:pPr>
        <w:pStyle w:val="BodyText"/>
        <w:spacing w:line="451" w:lineRule="auto"/>
        <w:ind w:right="1129" w:firstLine="420"/>
        <w:jc w:val="both"/>
      </w:pPr>
      <w:r>
        <w:rPr>
          <w:spacing w:val="-1"/>
        </w:rPr>
        <w:t>（</w:t>
      </w:r>
      <w:r>
        <w:rPr>
          <w:rFonts w:ascii="Times New Roman" w:hAnsi="Times New Roman" w:cs="Times New Roman" w:eastAsia="Times New Roman" w:hint="default"/>
          <w:spacing w:val="-1"/>
        </w:rPr>
        <w:t>1</w:t>
      </w:r>
      <w:r>
        <w:rPr>
          <w:spacing w:val="-1"/>
        </w:rPr>
        <w:t>）本次债券到期一次还本。本次债券的本金兑付日为</w:t>
      </w:r>
      <w:r>
        <w:rPr>
          <w:rFonts w:ascii="Times New Roman" w:hAnsi="Times New Roman" w:cs="Times New Roman" w:eastAsia="Times New Roman" w:hint="default"/>
          <w:spacing w:val="-1"/>
        </w:rPr>
        <w:t>2022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27</w:t>
      </w:r>
      <w:r>
        <w:rPr>
          <w:spacing w:val="-1"/>
        </w:rPr>
        <w:t>日，如遇法定节假日或休息日，则顺延至其后的</w:t>
      </w:r>
      <w:r>
        <w:rPr/>
        <w:t> 第</w:t>
      </w:r>
      <w:r>
        <w:rPr>
          <w:rFonts w:ascii="Times New Roman" w:hAnsi="Times New Roman" w:cs="Times New Roman" w:eastAsia="Times New Roman" w:hint="default"/>
        </w:rPr>
        <w:t>1</w:t>
      </w:r>
      <w:r>
        <w:rPr/>
        <w:t>个工作日；顺延期间兑付款项不另计利息）。若本次债券触发加速清偿，则加速清偿条款约定的到期日亦为本次债券本 金兑付日。</w:t>
      </w:r>
    </w:p>
    <w:p>
      <w:pPr>
        <w:pStyle w:val="BodyText"/>
        <w:spacing w:line="451" w:lineRule="auto" w:before="74"/>
        <w:ind w:right="1115" w:firstLine="420"/>
        <w:jc w:val="left"/>
      </w:pPr>
      <w:r>
        <w:rPr>
          <w:spacing w:val="-1"/>
        </w:rPr>
        <w:t>（</w:t>
      </w:r>
      <w:r>
        <w:rPr>
          <w:rFonts w:ascii="Times New Roman" w:hAnsi="Times New Roman" w:cs="Times New Roman" w:eastAsia="Times New Roman" w:hint="default"/>
          <w:spacing w:val="-1"/>
        </w:rPr>
        <w:t>2</w:t>
      </w:r>
      <w:r>
        <w:rPr>
          <w:spacing w:val="-1"/>
        </w:rPr>
        <w:t>）本次债券本金的偿付通过债券登记机构和有关机构办理。本金偿付的具体事项将按照国家有关规定，由发行人在</w:t>
      </w:r>
      <w:r>
        <w:rPr/>
        <w:t> 中国证监会指定媒体上发布的兑付公告中加以说明。</w:t>
      </w:r>
    </w:p>
    <w:p>
      <w:pPr>
        <w:pStyle w:val="BodyText"/>
        <w:spacing w:line="477" w:lineRule="auto" w:before="74"/>
        <w:ind w:left="573" w:right="1153" w:hanging="420"/>
        <w:jc w:val="left"/>
      </w:pPr>
      <w:r>
        <w:rPr/>
        <w:t>（四）偿债应急保障方案 长期以来，公司财务政策稳健，注重对流动性的管理，资产流动性良好，必要时可以通过流动资产变现来补充偿债资</w:t>
      </w:r>
    </w:p>
    <w:p>
      <w:pPr>
        <w:pStyle w:val="BodyText"/>
        <w:spacing w:line="477" w:lineRule="auto" w:before="54"/>
        <w:ind w:right="1123"/>
        <w:jc w:val="left"/>
      </w:pPr>
      <w:r>
        <w:rPr/>
        <w:t>金。截至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日，公司流动资产余额</w:t>
      </w:r>
      <w:r>
        <w:rPr>
          <w:rFonts w:ascii="宋体" w:hAnsi="宋体" w:cs="宋体" w:eastAsia="宋体" w:hint="default"/>
        </w:rPr>
        <w:t>225,619.18</w:t>
      </w:r>
      <w:r>
        <w:rPr/>
        <w:t>万元，主要包括货币资金</w:t>
      </w:r>
      <w:r>
        <w:rPr>
          <w:rFonts w:ascii="宋体" w:hAnsi="宋体" w:cs="宋体" w:eastAsia="宋体" w:hint="default"/>
        </w:rPr>
        <w:t>118,138.41</w:t>
      </w:r>
      <w:r>
        <w:rPr/>
        <w:t>万元、应收账款</w:t>
      </w:r>
      <w:r>
        <w:rPr>
          <w:rFonts w:ascii="宋体" w:hAnsi="宋体" w:cs="宋体" w:eastAsia="宋体" w:hint="default"/>
        </w:rPr>
        <w:t>47,142.32</w:t>
      </w:r>
      <w:r>
        <w:rPr/>
        <w:t>万 元、存货</w:t>
      </w:r>
      <w:r>
        <w:rPr>
          <w:rFonts w:ascii="宋体" w:hAnsi="宋体" w:cs="宋体" w:eastAsia="宋体" w:hint="default"/>
        </w:rPr>
        <w:t>16,030.96</w:t>
      </w:r>
      <w:r>
        <w:rPr/>
        <w:t>万元及其他流动资产</w:t>
      </w:r>
      <w:r>
        <w:rPr>
          <w:rFonts w:ascii="宋体" w:hAnsi="宋体" w:cs="宋体" w:eastAsia="宋体" w:hint="default"/>
        </w:rPr>
        <w:t>44,307.49</w:t>
      </w:r>
      <w:r>
        <w:rPr/>
        <w:t>万元。</w:t>
      </w:r>
    </w:p>
    <w:p>
      <w:pPr>
        <w:pStyle w:val="BodyText"/>
        <w:spacing w:line="477" w:lineRule="auto" w:before="54"/>
        <w:ind w:left="573" w:right="3673" w:hanging="420"/>
        <w:jc w:val="left"/>
      </w:pPr>
      <w:r>
        <w:rPr/>
        <w:t>（五）偿债保障措施 为维护本次债券持有人的合法权益，本公司为本次债券采取了如下的偿债保障措施：</w:t>
      </w:r>
    </w:p>
    <w:p>
      <w:pPr>
        <w:pStyle w:val="BodyText"/>
        <w:spacing w:line="477" w:lineRule="auto" w:before="54"/>
        <w:ind w:left="573" w:right="1153" w:hanging="420"/>
        <w:jc w:val="left"/>
      </w:pPr>
      <w:r>
        <w:rPr>
          <w:rFonts w:ascii="宋体" w:hAnsi="宋体" w:cs="宋体" w:eastAsia="宋体" w:hint="default"/>
        </w:rPr>
        <w:t>1</w:t>
      </w:r>
      <w:r>
        <w:rPr/>
        <w:t>、设立专门的偿付工作小组 公司指定计划财务中心牵头负责协调本次债券的偿付工作，并通过公司其他相关部门，在每年的财务预算中落实安排</w:t>
      </w:r>
    </w:p>
    <w:p>
      <w:pPr>
        <w:pStyle w:val="BodyText"/>
        <w:spacing w:line="477" w:lineRule="auto" w:before="54"/>
        <w:ind w:right="1033"/>
        <w:jc w:val="left"/>
      </w:pPr>
      <w:r>
        <w:rPr/>
        <w:t>本次债券本息的兑付资金，保证本息的如期偿付，保证债券持有人的利益。 </w:t>
      </w:r>
      <w:r>
        <w:rPr>
          <w:spacing w:val="-2"/>
        </w:rPr>
        <w:t>在债券存续期间，由计划财务中心牵头组成偿付工作小组，组成人员来自计划财务中心等相关部门，负责本金和利息的偿付</w:t>
      </w:r>
      <w:r>
        <w:rPr>
          <w:spacing w:val="-63"/>
        </w:rPr>
        <w:t> </w:t>
      </w:r>
      <w:r>
        <w:rPr>
          <w:spacing w:val="-63"/>
        </w:rPr>
      </w:r>
      <w:r>
        <w:rPr/>
        <w:t>及与之相关的工作。</w:t>
      </w:r>
    </w:p>
    <w:p>
      <w:pPr>
        <w:pStyle w:val="BodyText"/>
        <w:spacing w:line="477" w:lineRule="auto" w:before="54"/>
        <w:ind w:left="573" w:right="1153" w:hanging="420"/>
        <w:jc w:val="left"/>
      </w:pPr>
      <w:r>
        <w:rPr>
          <w:rFonts w:ascii="宋体" w:hAnsi="宋体" w:cs="宋体" w:eastAsia="宋体" w:hint="default"/>
        </w:rPr>
        <w:t>2</w:t>
      </w:r>
      <w:r>
        <w:rPr/>
        <w:t>、切实做到专款专用 发行人将制定专门的债券募集资金使用计划，相关业务部门对资金使用情况将进行严格检查，切实做到专款专用，保</w:t>
      </w:r>
    </w:p>
    <w:p>
      <w:pPr>
        <w:pStyle w:val="BodyText"/>
        <w:spacing w:line="477" w:lineRule="auto" w:before="54"/>
        <w:ind w:right="1033"/>
        <w:jc w:val="left"/>
      </w:pPr>
      <w:r>
        <w:rPr>
          <w:spacing w:val="-2"/>
        </w:rPr>
        <w:t>证募集资金的投入、运用、稽核等方面的顺畅运作，并确保本次债券募集资金根据股东大会决议并按照本募集说明书披露的</w:t>
      </w:r>
      <w:r>
        <w:rPr>
          <w:spacing w:val="-66"/>
        </w:rPr>
        <w:t> </w:t>
      </w:r>
      <w:r>
        <w:rPr>
          <w:spacing w:val="-66"/>
        </w:rPr>
      </w:r>
      <w:r>
        <w:rPr/>
        <w:t>用途使用。</w:t>
      </w:r>
    </w:p>
    <w:p>
      <w:pPr>
        <w:pStyle w:val="BodyText"/>
        <w:spacing w:line="477" w:lineRule="auto" w:before="54"/>
        <w:ind w:left="573" w:right="1153" w:hanging="420"/>
        <w:jc w:val="left"/>
      </w:pPr>
      <w:r>
        <w:rPr>
          <w:rFonts w:ascii="宋体" w:hAnsi="宋体" w:cs="宋体" w:eastAsia="宋体" w:hint="default"/>
        </w:rPr>
        <w:t>3</w:t>
      </w:r>
      <w:r>
        <w:rPr/>
        <w:t>、引入了债券受托管理人制度 本次债券引入了债券受托管理人制度，由债券受托管理人代表债券持有人对发行人的相关情况进行监督，并在本次债</w:t>
      </w:r>
    </w:p>
    <w:p>
      <w:pPr>
        <w:pStyle w:val="BodyText"/>
        <w:spacing w:line="477" w:lineRule="auto" w:before="54"/>
        <w:ind w:right="1033"/>
        <w:jc w:val="left"/>
      </w:pPr>
      <w:r>
        <w:rPr>
          <w:spacing w:val="-2"/>
        </w:rPr>
        <w:t>券本息无法按约定偿付时，根据《债券持有人会议规则》及《债券受托管理协议》的规定，采取必要及可行的措施，保护债</w:t>
      </w:r>
      <w:r>
        <w:rPr>
          <w:spacing w:val="-73"/>
        </w:rPr>
        <w:t> </w:t>
      </w:r>
      <w:r>
        <w:rPr>
          <w:spacing w:val="-73"/>
        </w:rPr>
      </w:r>
      <w:r>
        <w:rPr/>
        <w:t>券持有人的正当利益。</w:t>
      </w:r>
    </w:p>
    <w:p>
      <w:pPr>
        <w:pStyle w:val="BodyText"/>
        <w:spacing w:line="477" w:lineRule="auto" w:before="54"/>
        <w:ind w:right="1033" w:firstLine="420"/>
        <w:jc w:val="left"/>
      </w:pPr>
      <w:r>
        <w:rPr/>
        <w:t>《债券受托管理协议》规定发行人在本次债券付息日五个交易日前，将应付利息全额存入偿债资金专户；在本期债券 </w:t>
      </w:r>
      <w:r>
        <w:rPr>
          <w:spacing w:val="-2"/>
        </w:rPr>
        <w:t>到期日（包括回售日、赎回日及提前兑付日等）十个交易日前，将应偿付或者可能偿付的债券本息的百分之二十以上存入偿</w:t>
      </w:r>
      <w:r>
        <w:rPr>
          <w:spacing w:val="-64"/>
        </w:rPr>
        <w:t> </w:t>
      </w:r>
      <w:r>
        <w:rPr>
          <w:spacing w:val="-64"/>
        </w:rPr>
      </w:r>
      <w:r>
        <w:rPr/>
        <w:t>债资金专户，并在到期日二个交易日前，将应偿付或者可能偿付的债券本息全额存入偿债资金专户。 </w:t>
      </w:r>
      <w:r>
        <w:rPr>
          <w:rFonts w:ascii="宋体" w:hAnsi="宋体" w:cs="宋体" w:eastAsia="宋体" w:hint="default"/>
        </w:rPr>
        <w:t>4</w:t>
      </w:r>
      <w:r>
        <w:rPr/>
        <w:t>、公司将严格按照债券受托管理协议的规定，配合债券受托管理人履行职责，定期向债券受托管理人报送公司承诺履行情 况，并在可能出现债券违约时及时通知债券受托管理人，便于债券受托管理人根据债券受托管理协议采取其他必要的措施。</w:t>
      </w:r>
    </w:p>
    <w:p>
      <w:pPr>
        <w:spacing w:after="0" w:line="477"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033"/>
        <w:jc w:val="left"/>
      </w:pPr>
      <w:r>
        <w:rPr>
          <w:spacing w:val="-2"/>
        </w:rPr>
        <w:t>制定债券持有人会议规则发行人已按照《管理办法》的要求制定了《债券持有人会议规则》，约定债券持有人通过债券持有</w:t>
      </w:r>
      <w:r>
        <w:rPr>
          <w:spacing w:val="-67"/>
        </w:rPr>
        <w:t> </w:t>
      </w:r>
      <w:r>
        <w:rPr>
          <w:spacing w:val="-67"/>
        </w:rPr>
      </w:r>
      <w:r>
        <w:rPr/>
        <w:t>人会议行使权利的范围、程序和其他重要事项，为保障本次债券本息的按约偿付做出了合理的制度安排。 </w:t>
      </w:r>
      <w:r>
        <w:rPr>
          <w:rFonts w:ascii="宋体" w:hAnsi="宋体" w:cs="宋体" w:eastAsia="宋体" w:hint="default"/>
        </w:rPr>
        <w:t>5</w:t>
      </w:r>
      <w:r>
        <w:rPr/>
        <w:t>、严格的信息披露</w:t>
      </w:r>
    </w:p>
    <w:p>
      <w:pPr>
        <w:pStyle w:val="BodyText"/>
        <w:spacing w:line="477" w:lineRule="auto" w:before="54"/>
        <w:ind w:right="1153" w:firstLine="420"/>
        <w:jc w:val="left"/>
      </w:pPr>
      <w:r>
        <w:rPr/>
        <w:t>公司将遵循真实、准确、完整的信息披露原则，使公司偿债能力、募集资金使用等情况受到债券持有人和债券受托管 理人的监督，防范偿债风险。公司将按《债券受托管理协议》及中国证监会的有关规定进行重大事项信息披露。 </w:t>
      </w:r>
      <w:r>
        <w:rPr>
          <w:rFonts w:ascii="宋体" w:hAnsi="宋体" w:cs="宋体" w:eastAsia="宋体" w:hint="default"/>
        </w:rPr>
        <w:t>6</w:t>
      </w:r>
      <w:r>
        <w:rPr/>
        <w:t>、发行人承诺</w:t>
      </w:r>
    </w:p>
    <w:p>
      <w:pPr>
        <w:pStyle w:val="BodyText"/>
        <w:spacing w:line="451" w:lineRule="auto" w:before="54"/>
        <w:ind w:right="1153" w:firstLine="420"/>
        <w:jc w:val="left"/>
      </w:pPr>
      <w:r>
        <w:rPr/>
        <w:t>根据公司</w:t>
      </w:r>
      <w:r>
        <w:rPr>
          <w:rFonts w:ascii="Times New Roman" w:hAnsi="Times New Roman" w:cs="Times New Roman" w:eastAsia="Times New Roman" w:hint="default"/>
        </w:rPr>
        <w:t>2019</w:t>
      </w:r>
      <w:r>
        <w:rPr/>
        <w:t>年度第三次临时股东大会决议，公司股东大会授权董事会在出现预计不能按期偿付债券本息或者到期未 能按期偿付债券本息时，将至少采取如下措施：</w:t>
      </w:r>
    </w:p>
    <w:p>
      <w:pPr>
        <w:pStyle w:val="BodyText"/>
        <w:spacing w:line="240" w:lineRule="auto" w:before="74"/>
        <w:ind w:left="573" w:right="1033"/>
        <w:jc w:val="left"/>
      </w:pPr>
      <w:r>
        <w:rPr/>
        <w:t>（</w:t>
      </w:r>
      <w:r>
        <w:rPr>
          <w:rFonts w:ascii="Times New Roman" w:hAnsi="Times New Roman" w:cs="Times New Roman" w:eastAsia="Times New Roman" w:hint="default"/>
        </w:rPr>
        <w:t>1</w:t>
      </w:r>
      <w:r>
        <w:rPr/>
        <w:t>）不向股东分配利润；</w:t>
      </w:r>
    </w:p>
    <w:p>
      <w:pPr>
        <w:spacing w:line="240" w:lineRule="auto" w:before="9"/>
        <w:rPr>
          <w:rFonts w:ascii="宋体" w:hAnsi="宋体" w:cs="宋体" w:eastAsia="宋体" w:hint="default"/>
          <w:sz w:val="16"/>
          <w:szCs w:val="16"/>
        </w:rPr>
      </w:pPr>
    </w:p>
    <w:p>
      <w:pPr>
        <w:pStyle w:val="BodyText"/>
        <w:spacing w:line="240" w:lineRule="auto"/>
        <w:ind w:left="573" w:right="1033"/>
        <w:jc w:val="left"/>
      </w:pPr>
      <w:r>
        <w:rPr/>
        <w:t>（</w:t>
      </w:r>
      <w:r>
        <w:rPr>
          <w:rFonts w:ascii="Times New Roman" w:hAnsi="Times New Roman" w:cs="Times New Roman" w:eastAsia="Times New Roman" w:hint="default"/>
        </w:rPr>
        <w:t>2</w:t>
      </w:r>
      <w:r>
        <w:rPr/>
        <w:t>）暂缓重大对外投资、收购兼并等资本性支出项目的实施；</w:t>
      </w:r>
    </w:p>
    <w:p>
      <w:pPr>
        <w:spacing w:line="240" w:lineRule="auto" w:before="9"/>
        <w:rPr>
          <w:rFonts w:ascii="宋体" w:hAnsi="宋体" w:cs="宋体" w:eastAsia="宋体" w:hint="default"/>
          <w:sz w:val="16"/>
          <w:szCs w:val="16"/>
        </w:rPr>
      </w:pPr>
    </w:p>
    <w:p>
      <w:pPr>
        <w:pStyle w:val="BodyText"/>
        <w:spacing w:line="240" w:lineRule="auto"/>
        <w:ind w:left="573" w:right="1033"/>
        <w:jc w:val="left"/>
      </w:pPr>
      <w:r>
        <w:rPr/>
        <w:t>（</w:t>
      </w:r>
      <w:r>
        <w:rPr>
          <w:rFonts w:ascii="Times New Roman" w:hAnsi="Times New Roman" w:cs="Times New Roman" w:eastAsia="Times New Roman" w:hint="default"/>
        </w:rPr>
        <w:t>3</w:t>
      </w:r>
      <w:r>
        <w:rPr/>
        <w:t>）调减或停发董事和高级管理人员的工资和奖金；</w:t>
      </w:r>
    </w:p>
    <w:p>
      <w:pPr>
        <w:spacing w:line="240" w:lineRule="auto" w:before="9"/>
        <w:rPr>
          <w:rFonts w:ascii="宋体" w:hAnsi="宋体" w:cs="宋体" w:eastAsia="宋体" w:hint="default"/>
          <w:sz w:val="16"/>
          <w:szCs w:val="16"/>
        </w:rPr>
      </w:pPr>
    </w:p>
    <w:p>
      <w:pPr>
        <w:pStyle w:val="BodyText"/>
        <w:spacing w:line="240" w:lineRule="auto"/>
        <w:ind w:left="573" w:right="1033"/>
        <w:jc w:val="left"/>
      </w:pPr>
      <w:r>
        <w:rPr/>
        <w:t>（</w:t>
      </w:r>
      <w:r>
        <w:rPr>
          <w:rFonts w:ascii="Times New Roman" w:hAnsi="Times New Roman" w:cs="Times New Roman" w:eastAsia="Times New Roman" w:hint="default"/>
        </w:rPr>
        <w:t>4</w:t>
      </w:r>
      <w:r>
        <w:rPr/>
        <w:t>）主要责任人不得调离。</w:t>
      </w:r>
    </w:p>
    <w:p>
      <w:pPr>
        <w:spacing w:line="240" w:lineRule="auto" w:before="3"/>
        <w:rPr>
          <w:rFonts w:ascii="宋体" w:hAnsi="宋体" w:cs="宋体" w:eastAsia="宋体" w:hint="default"/>
          <w:sz w:val="24"/>
          <w:szCs w:val="24"/>
        </w:rPr>
      </w:pPr>
    </w:p>
    <w:p>
      <w:pPr>
        <w:pStyle w:val="Heading4"/>
        <w:spacing w:line="240" w:lineRule="auto"/>
        <w:ind w:right="1033"/>
        <w:jc w:val="left"/>
        <w:rPr>
          <w:b w:val="0"/>
          <w:bCs w:val="0"/>
        </w:rPr>
      </w:pPr>
      <w:r>
        <w:rPr/>
        <w:t>六、报告期内债券持有人会议的召开情况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3"/>
        <w:jc w:val="left"/>
      </w:pPr>
      <w:r>
        <w:rPr/>
        <w:t>报告期内未召开债券持有人会议。</w:t>
      </w:r>
    </w:p>
    <w:p>
      <w:pPr>
        <w:spacing w:line="240" w:lineRule="auto" w:before="5"/>
        <w:rPr>
          <w:rFonts w:ascii="宋体" w:hAnsi="宋体" w:cs="宋体" w:eastAsia="宋体" w:hint="default"/>
          <w:sz w:val="19"/>
          <w:szCs w:val="19"/>
        </w:rPr>
      </w:pPr>
    </w:p>
    <w:p>
      <w:pPr>
        <w:pStyle w:val="Heading4"/>
        <w:spacing w:line="240" w:lineRule="auto"/>
        <w:ind w:right="1033"/>
        <w:jc w:val="left"/>
        <w:rPr>
          <w:b w:val="0"/>
          <w:bCs w:val="0"/>
        </w:rPr>
      </w:pPr>
      <w:r>
        <w:rPr/>
        <w:t>七、报告期内债券受托管理人履行职责的情况</w:t>
      </w:r>
      <w:r>
        <w:rPr>
          <w:b w:val="0"/>
          <w:bCs w:val="0"/>
        </w:rPr>
      </w:r>
    </w:p>
    <w:p>
      <w:pPr>
        <w:spacing w:line="240" w:lineRule="auto" w:before="13"/>
        <w:rPr>
          <w:rFonts w:ascii="Microsoft JhengHei" w:hAnsi="Microsoft JhengHei" w:cs="Microsoft JhengHei" w:eastAsia="Microsoft JhengHei" w:hint="default"/>
          <w:b/>
          <w:bCs/>
          <w:sz w:val="22"/>
          <w:szCs w:val="22"/>
        </w:rPr>
      </w:pPr>
    </w:p>
    <w:p>
      <w:pPr>
        <w:pStyle w:val="BodyText"/>
        <w:spacing w:line="477" w:lineRule="auto"/>
        <w:ind w:right="1033" w:firstLine="420"/>
        <w:jc w:val="left"/>
      </w:pPr>
      <w:r>
        <w:rPr/>
        <w:t>报告期内，本次债券受托管理人长城证券证券有限公司依照根据法律、法规和规则的规定及受托管理协议的约定制定 受托管理业务内部操作规则，对公司履行募集说明书及受托管理协议约定义务的情况进行持续跟踪和监督。包括但不限于：</w:t>
      </w:r>
    </w:p>
    <w:p>
      <w:pPr>
        <w:pStyle w:val="BodyText"/>
        <w:spacing w:line="451" w:lineRule="auto" w:before="54"/>
        <w:ind w:right="1033" w:firstLine="420"/>
        <w:jc w:val="left"/>
      </w:pPr>
      <w:r>
        <w:rPr>
          <w:rFonts w:ascii="Times New Roman" w:hAnsi="Times New Roman" w:cs="Times New Roman" w:eastAsia="Times New Roman" w:hint="default"/>
          <w:spacing w:val="-2"/>
        </w:rPr>
        <w:t>1</w:t>
      </w:r>
      <w:r>
        <w:rPr>
          <w:spacing w:val="-2"/>
        </w:rPr>
        <w:t>、持续关注公司和保证人的资信状况、担保物状况、内外部增信机制及偿债保障措施的实施情况。可采取包括但不限</w:t>
      </w:r>
      <w:r>
        <w:rPr/>
        <w:t> 于如下方式进行核查：</w:t>
      </w:r>
    </w:p>
    <w:p>
      <w:pPr>
        <w:pStyle w:val="BodyText"/>
        <w:spacing w:line="240" w:lineRule="auto" w:before="74"/>
        <w:ind w:right="1033"/>
        <w:jc w:val="left"/>
      </w:pPr>
      <w:r>
        <w:rPr/>
        <w:t>（</w:t>
      </w:r>
      <w:r>
        <w:rPr>
          <w:rFonts w:ascii="Times New Roman" w:hAnsi="Times New Roman" w:cs="Times New Roman" w:eastAsia="Times New Roman" w:hint="default"/>
        </w:rPr>
        <w:t>1</w:t>
      </w:r>
      <w:r>
        <w:rPr/>
        <w:t>）就受托管理协议第</w:t>
      </w:r>
      <w:r>
        <w:rPr>
          <w:rFonts w:ascii="Times New Roman" w:hAnsi="Times New Roman" w:cs="Times New Roman" w:eastAsia="Times New Roman" w:hint="default"/>
        </w:rPr>
        <w:t>3.4</w:t>
      </w:r>
      <w:r>
        <w:rPr>
          <w:rFonts w:ascii="Times New Roman" w:hAnsi="Times New Roman" w:cs="Times New Roman" w:eastAsia="Times New Roman" w:hint="default"/>
          <w:spacing w:val="24"/>
        </w:rPr>
        <w:t> </w:t>
      </w:r>
      <w:r>
        <w:rPr/>
        <w:t>条约定的情形，列席发行人和保证人的内部有权机构的决策会议；</w:t>
      </w:r>
    </w:p>
    <w:p>
      <w:pPr>
        <w:spacing w:line="240" w:lineRule="auto" w:before="9"/>
        <w:rPr>
          <w:rFonts w:ascii="宋体" w:hAnsi="宋体" w:cs="宋体" w:eastAsia="宋体" w:hint="default"/>
          <w:sz w:val="16"/>
          <w:szCs w:val="16"/>
        </w:rPr>
      </w:pPr>
    </w:p>
    <w:p>
      <w:pPr>
        <w:pStyle w:val="BodyText"/>
        <w:spacing w:line="240" w:lineRule="auto"/>
        <w:ind w:right="1033"/>
        <w:jc w:val="left"/>
      </w:pPr>
      <w:r>
        <w:rPr/>
        <w:t>（</w:t>
      </w:r>
      <w:r>
        <w:rPr>
          <w:rFonts w:ascii="Times New Roman" w:hAnsi="Times New Roman" w:cs="Times New Roman" w:eastAsia="Times New Roman" w:hint="default"/>
        </w:rPr>
        <w:t>2</w:t>
      </w:r>
      <w:r>
        <w:rPr/>
        <w:t>）受托管理人至少每半年查阅一次前项所述的会议资料、财务会计报告和会计账簿；</w:t>
      </w:r>
    </w:p>
    <w:p>
      <w:pPr>
        <w:spacing w:line="240" w:lineRule="auto" w:before="9"/>
        <w:rPr>
          <w:rFonts w:ascii="宋体" w:hAnsi="宋体" w:cs="宋体" w:eastAsia="宋体" w:hint="default"/>
          <w:sz w:val="16"/>
          <w:szCs w:val="16"/>
        </w:rPr>
      </w:pPr>
    </w:p>
    <w:p>
      <w:pPr>
        <w:pStyle w:val="BodyText"/>
        <w:spacing w:line="240" w:lineRule="auto"/>
        <w:ind w:right="1033"/>
        <w:jc w:val="left"/>
      </w:pPr>
      <w:r>
        <w:rPr/>
        <w:t>（</w:t>
      </w:r>
      <w:r>
        <w:rPr>
          <w:rFonts w:ascii="Times New Roman" w:hAnsi="Times New Roman" w:cs="Times New Roman" w:eastAsia="Times New Roman" w:hint="default"/>
        </w:rPr>
        <w:t>3</w:t>
      </w:r>
      <w:r>
        <w:rPr/>
        <w:t>）调取发行人、保证人银行征信记录；</w:t>
      </w:r>
    </w:p>
    <w:p>
      <w:pPr>
        <w:spacing w:line="240" w:lineRule="auto" w:before="9"/>
        <w:rPr>
          <w:rFonts w:ascii="宋体" w:hAnsi="宋体" w:cs="宋体" w:eastAsia="宋体" w:hint="default"/>
          <w:sz w:val="16"/>
          <w:szCs w:val="16"/>
        </w:rPr>
      </w:pPr>
    </w:p>
    <w:p>
      <w:pPr>
        <w:pStyle w:val="BodyText"/>
        <w:spacing w:line="240" w:lineRule="auto"/>
        <w:ind w:right="1033"/>
        <w:jc w:val="left"/>
      </w:pPr>
      <w:r>
        <w:rPr/>
        <w:t>（</w:t>
      </w:r>
      <w:r>
        <w:rPr>
          <w:rFonts w:ascii="Times New Roman" w:hAnsi="Times New Roman" w:cs="Times New Roman" w:eastAsia="Times New Roman" w:hint="default"/>
        </w:rPr>
        <w:t>4</w:t>
      </w:r>
      <w:r>
        <w:rPr/>
        <w:t>）对发行人和保证人进行现场检查；</w:t>
      </w:r>
    </w:p>
    <w:p>
      <w:pPr>
        <w:spacing w:line="240" w:lineRule="auto" w:before="9"/>
        <w:rPr>
          <w:rFonts w:ascii="宋体" w:hAnsi="宋体" w:cs="宋体" w:eastAsia="宋体" w:hint="default"/>
          <w:sz w:val="16"/>
          <w:szCs w:val="16"/>
        </w:rPr>
      </w:pPr>
    </w:p>
    <w:p>
      <w:pPr>
        <w:pStyle w:val="BodyText"/>
        <w:spacing w:line="240" w:lineRule="auto"/>
        <w:ind w:right="1033"/>
        <w:jc w:val="left"/>
      </w:pPr>
      <w:r>
        <w:rPr/>
        <w:t>（</w:t>
      </w:r>
      <w:r>
        <w:rPr>
          <w:rFonts w:ascii="Times New Roman" w:hAnsi="Times New Roman" w:cs="Times New Roman" w:eastAsia="Times New Roman" w:hint="default"/>
        </w:rPr>
        <w:t>5</w:t>
      </w:r>
      <w:r>
        <w:rPr/>
        <w:t>）约见发行人或者保证人进行谈话。</w:t>
      </w:r>
    </w:p>
    <w:p>
      <w:pPr>
        <w:spacing w:line="240" w:lineRule="auto" w:before="9"/>
        <w:rPr>
          <w:rFonts w:ascii="宋体" w:hAnsi="宋体" w:cs="宋体" w:eastAsia="宋体" w:hint="default"/>
          <w:sz w:val="16"/>
          <w:szCs w:val="16"/>
        </w:rPr>
      </w:pPr>
    </w:p>
    <w:p>
      <w:pPr>
        <w:pStyle w:val="BodyText"/>
        <w:spacing w:line="451" w:lineRule="auto"/>
        <w:ind w:right="1033" w:firstLine="420"/>
        <w:jc w:val="left"/>
      </w:pPr>
      <w:r>
        <w:rPr>
          <w:rFonts w:ascii="Times New Roman" w:hAnsi="Times New Roman" w:cs="Times New Roman" w:eastAsia="Times New Roman" w:hint="default"/>
          <w:spacing w:val="-2"/>
        </w:rPr>
        <w:t>2</w:t>
      </w:r>
      <w:r>
        <w:rPr>
          <w:spacing w:val="-2"/>
        </w:rPr>
        <w:t>、对公司专项账户募集资金的接收、存储、划转与本息偿付进行监督。在本次债券存续期内，受托管理人应当每个计</w:t>
      </w:r>
      <w:r>
        <w:rPr/>
        <w:t> 息年度至少检查一次发行人募集资金的使用情况是否与募集说明书约定一致。</w:t>
      </w:r>
    </w:p>
    <w:p>
      <w:pPr>
        <w:pStyle w:val="BodyText"/>
        <w:spacing w:line="451" w:lineRule="auto" w:before="74"/>
        <w:ind w:right="1115" w:firstLine="420"/>
        <w:jc w:val="left"/>
      </w:pPr>
      <w:r>
        <w:rPr>
          <w:rFonts w:ascii="Times New Roman" w:hAnsi="Times New Roman" w:cs="Times New Roman" w:eastAsia="Times New Roman" w:hint="default"/>
          <w:spacing w:val="-1"/>
        </w:rPr>
        <w:t>3</w:t>
      </w:r>
      <w:r>
        <w:rPr>
          <w:spacing w:val="-1"/>
        </w:rPr>
        <w:t>、督促发行人公司在募集说明书中披露受托管理协议、债券持有人会议规则的主要内容，并定向披露受托管理事务报</w:t>
      </w:r>
      <w:r>
        <w:rPr/>
        <w:t> 告、本次债券到期不能偿还的法律程序以及其他需要向债券持有人披露的重大事项。</w:t>
      </w:r>
    </w:p>
    <w:p>
      <w:pPr>
        <w:spacing w:after="0" w:line="451"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213" w:right="1130" w:firstLine="420"/>
        <w:jc w:val="both"/>
      </w:pPr>
      <w:r>
        <w:rPr>
          <w:rFonts w:ascii="Times New Roman" w:hAnsi="Times New Roman" w:cs="Times New Roman" w:eastAsia="Times New Roman" w:hint="default"/>
        </w:rPr>
        <w:t>4</w:t>
      </w:r>
      <w:r>
        <w:rPr/>
        <w:t>、每年至少一次对发行人进行回访，监督发行人对募集说明书约定义务的执行情况，并做好回访记录，在每年</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日前出具上一年度的受托管理事务报告。</w:t>
      </w:r>
    </w:p>
    <w:p>
      <w:pPr>
        <w:pStyle w:val="BodyText"/>
        <w:spacing w:line="463" w:lineRule="auto" w:before="74"/>
        <w:ind w:left="213" w:right="1130" w:firstLine="420"/>
        <w:jc w:val="both"/>
      </w:pPr>
      <w:r>
        <w:rPr>
          <w:rFonts w:ascii="Times New Roman" w:hAnsi="Times New Roman" w:cs="Times New Roman" w:eastAsia="Times New Roman" w:hint="default"/>
          <w:spacing w:val="-2"/>
        </w:rPr>
        <w:t>5</w:t>
      </w:r>
      <w:r>
        <w:rPr>
          <w:spacing w:val="-2"/>
        </w:rPr>
        <w:t>、在债券存续期内持续督促发行人履行信息披露义务。受托管理人应当关注发行人的信息披露情况，收集、保存与本</w:t>
      </w:r>
      <w:r>
        <w:rPr/>
        <w:t> </w:t>
      </w:r>
      <w:r>
        <w:rPr>
          <w:spacing w:val="-2"/>
        </w:rPr>
        <w:t>次债券偿付相关的所有信息资料，根据所获信息判断对本次债券本息偿付的影响，并按照受托管理协议的约定报告债券持有</w:t>
      </w:r>
      <w:r>
        <w:rPr>
          <w:spacing w:val="-65"/>
        </w:rPr>
        <w:t> </w:t>
      </w:r>
      <w:r>
        <w:rPr>
          <w:spacing w:val="-65"/>
        </w:rPr>
      </w:r>
      <w:r>
        <w:rPr/>
        <w:t>人。</w:t>
      </w:r>
    </w:p>
    <w:p>
      <w:pPr>
        <w:pStyle w:val="BodyText"/>
        <w:spacing w:line="451" w:lineRule="auto" w:before="65"/>
        <w:ind w:left="213" w:right="1132" w:firstLine="420"/>
        <w:jc w:val="both"/>
      </w:pPr>
      <w:r>
        <w:rPr>
          <w:rFonts w:ascii="Times New Roman" w:hAnsi="Times New Roman" w:cs="Times New Roman" w:eastAsia="Times New Roman" w:hint="default"/>
          <w:spacing w:val="-1"/>
        </w:rPr>
        <w:t>6</w:t>
      </w:r>
      <w:r>
        <w:rPr>
          <w:spacing w:val="-1"/>
        </w:rPr>
        <w:t>、公司为本次债券设定担保，受托管理人在本次债券发行前或募集说明书约定的时间内取得担保的权利证明或者其他</w:t>
      </w:r>
      <w:r>
        <w:rPr/>
        <w:t> 有关文件，并在担保期间妥善保管。</w:t>
      </w:r>
    </w:p>
    <w:p>
      <w:pPr>
        <w:pStyle w:val="BodyText"/>
        <w:spacing w:line="477" w:lineRule="auto" w:before="74"/>
        <w:ind w:left="213" w:right="1171" w:firstLine="420"/>
        <w:jc w:val="both"/>
      </w:pPr>
      <w:r>
        <w:rPr/>
        <w:t>报告期内债券受托管理人已按照约定履行相关职责，不存在履行受托管理职责时发生利益冲突的情形。受托管理人预 计将于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日前出具</w:t>
      </w:r>
      <w:r>
        <w:rPr>
          <w:rFonts w:ascii="Times New Roman" w:hAnsi="Times New Roman" w:cs="Times New Roman" w:eastAsia="Times New Roman" w:hint="default"/>
        </w:rPr>
        <w:t>2019</w:t>
      </w:r>
      <w:r>
        <w:rPr/>
        <w:t>年度受托管理事务报告。</w:t>
      </w:r>
    </w:p>
    <w:p>
      <w:pPr>
        <w:pStyle w:val="Heading4"/>
        <w:spacing w:line="240" w:lineRule="auto" w:before="120"/>
        <w:ind w:left="213" w:right="1198"/>
        <w:jc w:val="left"/>
        <w:rPr>
          <w:b w:val="0"/>
          <w:bCs w:val="0"/>
        </w:rPr>
      </w:pPr>
      <w:r>
        <w:rPr/>
        <w:t>八、截至报告期末公司近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年的主要会计数据和财务指标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463"/>
        <w:gridCol w:w="2465"/>
        <w:gridCol w:w="2463"/>
        <w:gridCol w:w="2465"/>
      </w:tblGrid>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32,304.14</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37,047.59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-12.80%</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401.16%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131.26%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269.90%</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27.26%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49.02%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-21.76%</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372.65%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117.22%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255.43%</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35.13%</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18.16%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16.97%</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8.02</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66.05%</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5.66</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7.40%</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9.53</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75.51%</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27"/>
          <w:szCs w:val="27"/>
        </w:rPr>
      </w:pPr>
    </w:p>
    <w:p>
      <w:pPr>
        <w:pStyle w:val="BodyText"/>
        <w:spacing w:line="240" w:lineRule="auto" w:before="44"/>
        <w:ind w:left="213" w:right="4943"/>
        <w:jc w:val="left"/>
      </w:pPr>
      <w:r>
        <w:rPr/>
        <w:t>上述会计数据和财务指标同比变动超过</w:t>
      </w:r>
      <w:r>
        <w:rPr>
          <w:spacing w:val="-44"/>
        </w:rPr>
        <w:t> </w:t>
      </w:r>
      <w:r>
        <w:rPr>
          <w:rFonts w:ascii="Times New Roman" w:hAnsi="Times New Roman" w:cs="Times New Roman" w:eastAsia="Times New Roman" w:hint="default"/>
        </w:rPr>
        <w:t>30%</w:t>
      </w:r>
      <w:r>
        <w:rPr/>
        <w:t>的主要原因</w:t>
      </w:r>
    </w:p>
    <w:p>
      <w:pPr>
        <w:pStyle w:val="BodyText"/>
        <w:spacing w:line="432" w:lineRule="auto" w:before="103"/>
        <w:ind w:left="213" w:right="49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流动比率同比增长</w:t>
      </w:r>
      <w:r>
        <w:rPr>
          <w:rFonts w:ascii="Times New Roman" w:hAnsi="Times New Roman" w:cs="Times New Roman" w:eastAsia="Times New Roman" w:hint="default"/>
        </w:rPr>
        <w:t>269.90%</w:t>
      </w:r>
      <w:r>
        <w:rPr/>
        <w:t>，主要系公司本年流动负债明显减少所致； 速动比率同比增长</w:t>
      </w:r>
      <w:r>
        <w:rPr>
          <w:rFonts w:ascii="Times New Roman" w:hAnsi="Times New Roman" w:cs="Times New Roman" w:eastAsia="Times New Roman" w:hint="default"/>
        </w:rPr>
        <w:t>255.43%</w:t>
      </w:r>
      <w:r>
        <w:rPr/>
        <w:t>，主要系公司本年流动负债明显减少所致；</w:t>
      </w:r>
    </w:p>
    <w:p>
      <w:pPr>
        <w:pStyle w:val="BodyText"/>
        <w:spacing w:line="240" w:lineRule="auto" w:before="59"/>
        <w:ind w:left="213" w:right="1198"/>
        <w:jc w:val="left"/>
      </w:pPr>
      <w:r>
        <w:rPr/>
        <w:t>利息保障系数同比增长</w:t>
      </w:r>
      <w:r>
        <w:rPr>
          <w:rFonts w:ascii="Times New Roman" w:hAnsi="Times New Roman" w:cs="Times New Roman" w:eastAsia="Times New Roman" w:hint="default"/>
        </w:rPr>
        <w:t>65.97%</w:t>
      </w:r>
      <w:r>
        <w:rPr/>
        <w:t>，主要系公司本年度利息及所得税费减少所致；</w:t>
      </w:r>
    </w:p>
    <w:p>
      <w:pPr>
        <w:spacing w:line="240" w:lineRule="auto" w:before="10"/>
        <w:rPr>
          <w:rFonts w:ascii="宋体" w:hAnsi="宋体" w:cs="宋体" w:eastAsia="宋体" w:hint="default"/>
          <w:sz w:val="16"/>
          <w:szCs w:val="16"/>
        </w:rPr>
      </w:pPr>
    </w:p>
    <w:p>
      <w:pPr>
        <w:pStyle w:val="BodyText"/>
        <w:spacing w:line="240" w:lineRule="auto"/>
        <w:ind w:left="213" w:right="1198"/>
        <w:jc w:val="left"/>
      </w:pPr>
      <w:r>
        <w:rPr>
          <w:rFonts w:ascii="Times New Roman" w:hAnsi="Times New Roman" w:cs="Times New Roman" w:eastAsia="Times New Roman" w:hint="default"/>
        </w:rPr>
        <w:t>EBITDA</w:t>
      </w:r>
      <w:r>
        <w:rPr/>
        <w:t>利息保障倍数同比增长</w:t>
      </w:r>
      <w:r>
        <w:rPr>
          <w:rFonts w:ascii="Times New Roman" w:hAnsi="Times New Roman" w:cs="Times New Roman" w:eastAsia="Times New Roman" w:hint="default"/>
        </w:rPr>
        <w:t>75.44%</w:t>
      </w:r>
      <w:r>
        <w:rPr/>
        <w:t>，主要系公司本年度利息及所得税费减少所致。</w:t>
      </w:r>
    </w:p>
    <w:p>
      <w:pPr>
        <w:spacing w:after="0" w:line="240" w:lineRule="auto"/>
        <w:jc w:val="left"/>
        <w:sectPr>
          <w:pgSz w:w="11910" w:h="16840"/>
          <w:pgMar w:header="745" w:footer="979" w:top="1060" w:bottom="1160" w:left="920" w:right="0"/>
        </w:sectPr>
      </w:pPr>
    </w:p>
    <w:p>
      <w:pPr>
        <w:spacing w:line="240" w:lineRule="auto" w:before="8"/>
        <w:rPr>
          <w:rFonts w:ascii="宋体" w:hAnsi="宋体" w:cs="宋体" w:eastAsia="宋体" w:hint="default"/>
          <w:sz w:val="23"/>
          <w:szCs w:val="23"/>
        </w:rPr>
      </w:pPr>
    </w:p>
    <w:p>
      <w:pPr>
        <w:pStyle w:val="Heading4"/>
        <w:spacing w:line="367" w:lineRule="exact"/>
        <w:ind w:right="1033"/>
        <w:jc w:val="left"/>
        <w:rPr>
          <w:b w:val="0"/>
          <w:bCs w:val="0"/>
        </w:rPr>
      </w:pPr>
      <w:r>
        <w:rPr/>
        <w:t>九、报告期内对其他债券和债务融资工具的付息兑付情况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451" w:lineRule="auto"/>
        <w:ind w:right="1130" w:firstLine="420"/>
        <w:jc w:val="left"/>
      </w:pPr>
      <w:r>
        <w:rPr>
          <w:spacing w:val="-1"/>
        </w:rPr>
        <w:t>公司发行的</w:t>
      </w:r>
      <w:r>
        <w:rPr>
          <w:rFonts w:ascii="Times New Roman" w:hAnsi="Times New Roman" w:cs="Times New Roman" w:eastAsia="Times New Roman" w:hint="default"/>
          <w:spacing w:val="-1"/>
        </w:rPr>
        <w:t>2016</w:t>
      </w:r>
      <w:r>
        <w:rPr>
          <w:spacing w:val="-1"/>
        </w:rPr>
        <w:t>年面向合格投资者公开发行公司债券（债券简称：</w:t>
      </w:r>
      <w:r>
        <w:rPr>
          <w:rFonts w:ascii="Times New Roman" w:hAnsi="Times New Roman" w:cs="Times New Roman" w:eastAsia="Times New Roman" w:hint="default"/>
          <w:spacing w:val="-1"/>
        </w:rPr>
        <w:t>“16</w:t>
      </w:r>
      <w:r>
        <w:rPr>
          <w:spacing w:val="-1"/>
        </w:rPr>
        <w:t>新国都</w:t>
      </w:r>
      <w:r>
        <w:rPr>
          <w:rFonts w:ascii="Times New Roman" w:hAnsi="Times New Roman" w:cs="Times New Roman" w:eastAsia="Times New Roman" w:hint="default"/>
          <w:spacing w:val="-1"/>
        </w:rPr>
        <w:t>”</w:t>
      </w:r>
      <w:r>
        <w:rPr>
          <w:spacing w:val="-1"/>
        </w:rPr>
        <w:t>，债券代码：</w:t>
      </w:r>
      <w:r>
        <w:rPr>
          <w:rFonts w:ascii="Times New Roman" w:hAnsi="Times New Roman" w:cs="Times New Roman" w:eastAsia="Times New Roman" w:hint="default"/>
          <w:spacing w:val="-1"/>
        </w:rPr>
        <w:t>112379</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15</w:t>
      </w:r>
      <w:r>
        <w:rPr>
          <w:spacing w:val="-1"/>
        </w:rPr>
        <w:t>日</w:t>
      </w:r>
      <w:r>
        <w:rPr/>
        <w:t> 期满三年，公司于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日在巨潮资讯网披露《</w:t>
      </w:r>
      <w:r>
        <w:rPr>
          <w:rFonts w:ascii="Times New Roman" w:hAnsi="Times New Roman" w:cs="Times New Roman" w:eastAsia="Times New Roman" w:hint="default"/>
        </w:rPr>
        <w:t>2016</w:t>
      </w:r>
      <w:r>
        <w:rPr/>
        <w:t>年面向合格投资者公开发行公司债券本息兑付暨摘牌公告》（公 告编号：</w:t>
      </w:r>
      <w:r>
        <w:rPr>
          <w:rFonts w:ascii="Times New Roman" w:hAnsi="Times New Roman" w:cs="Times New Roman" w:eastAsia="Times New Roman" w:hint="default"/>
        </w:rPr>
        <w:t>2019-027</w:t>
      </w:r>
      <w:r>
        <w:rPr/>
        <w:t>），本次到期公司债券</w:t>
      </w:r>
      <w:r>
        <w:rPr>
          <w:rFonts w:ascii="Times New Roman" w:hAnsi="Times New Roman" w:cs="Times New Roman" w:eastAsia="Times New Roman" w:hint="default"/>
        </w:rPr>
        <w:t>400</w:t>
      </w:r>
      <w:r>
        <w:rPr/>
        <w:t>万张，每张兑付兑息</w:t>
      </w:r>
      <w:r>
        <w:rPr>
          <w:rFonts w:ascii="Times New Roman" w:hAnsi="Times New Roman" w:cs="Times New Roman" w:eastAsia="Times New Roman" w:hint="default"/>
        </w:rPr>
        <w:t>105.6</w:t>
      </w:r>
      <w:r>
        <w:rPr/>
        <w:t>元（含税），公司如期于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日完成支付利 息及本金合计</w:t>
      </w:r>
      <w:r>
        <w:rPr>
          <w:rFonts w:ascii="Times New Roman" w:hAnsi="Times New Roman" w:cs="Times New Roman" w:eastAsia="Times New Roman" w:hint="default"/>
        </w:rPr>
        <w:t>42,240</w:t>
      </w:r>
      <w:r>
        <w:rPr/>
        <w:t>万元。</w:t>
      </w:r>
    </w:p>
    <w:p>
      <w:pPr>
        <w:pStyle w:val="Heading4"/>
        <w:spacing w:line="240" w:lineRule="auto" w:before="141"/>
        <w:ind w:right="1033"/>
        <w:jc w:val="left"/>
        <w:rPr>
          <w:b w:val="0"/>
          <w:bCs w:val="0"/>
        </w:rPr>
      </w:pPr>
      <w:r>
        <w:rPr/>
        <w:t>十、报告期内获得的银行授信情况、使用情况以及偿还银行贷款的情况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51" w:lineRule="auto"/>
        <w:ind w:right="1033" w:firstLine="420"/>
        <w:jc w:val="left"/>
      </w:pPr>
      <w:r>
        <w:rPr>
          <w:spacing w:val="-2"/>
        </w:rPr>
        <w:t>公司资信良好，无不良贷款记录。报告期内，公司获得银行授信额度合计</w:t>
      </w:r>
      <w:r>
        <w:rPr>
          <w:rFonts w:ascii="Times New Roman" w:hAnsi="Times New Roman" w:cs="Times New Roman" w:eastAsia="Times New Roman" w:hint="default"/>
          <w:spacing w:val="-2"/>
        </w:rPr>
        <w:t>237,500</w:t>
      </w:r>
      <w:r>
        <w:rPr>
          <w:spacing w:val="-2"/>
        </w:rPr>
        <w:t>万元，已使用银行授信额度</w:t>
      </w:r>
      <w:r>
        <w:rPr>
          <w:rFonts w:ascii="Times New Roman" w:hAnsi="Times New Roman" w:cs="Times New Roman" w:eastAsia="Times New Roman" w:hint="default"/>
          <w:spacing w:val="-2"/>
        </w:rPr>
        <w:t>111,071.25</w:t>
      </w:r>
      <w:r>
        <w:rPr>
          <w:rFonts w:ascii="Times New Roman" w:hAnsi="Times New Roman" w:cs="Times New Roman" w:eastAsia="Times New Roman" w:hint="default"/>
        </w:rPr>
        <w:t> </w:t>
      </w:r>
      <w:r>
        <w:rPr/>
        <w:t>万元，偿还银行贷款</w:t>
      </w:r>
      <w:r>
        <w:rPr>
          <w:rFonts w:ascii="Times New Roman" w:hAnsi="Times New Roman" w:cs="Times New Roman" w:eastAsia="Times New Roman" w:hint="default"/>
        </w:rPr>
        <w:t>110,000</w:t>
      </w:r>
      <w:r>
        <w:rPr/>
        <w:t>万元。</w:t>
      </w:r>
    </w:p>
    <w:p>
      <w:pPr>
        <w:pStyle w:val="Heading4"/>
        <w:spacing w:line="240" w:lineRule="auto" w:before="141"/>
        <w:ind w:right="1033"/>
        <w:jc w:val="left"/>
        <w:rPr>
          <w:b w:val="0"/>
          <w:bCs w:val="0"/>
        </w:rPr>
      </w:pPr>
      <w:r>
        <w:rPr/>
        <w:t>十一、报告期内执行公司债券募集说明书相关约定或承诺的情况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pStyle w:val="BodyText"/>
        <w:spacing w:line="477" w:lineRule="auto"/>
        <w:ind w:right="1130" w:firstLine="420"/>
        <w:jc w:val="both"/>
      </w:pPr>
      <w:r>
        <w:rPr/>
        <w:t>报告期内，本次公司债券募集资金已按照《募集说明书》要求用于偿还金融机构借款及补充营运资金，受托管理人严 </w:t>
      </w:r>
      <w:r>
        <w:rPr>
          <w:spacing w:val="-2"/>
        </w:rPr>
        <w:t>格按照相关监管机构及自律组织的规定、募集说明书及受托管理协议等文件的约定，履行相关职责，不存在违反公司债券募</w:t>
      </w:r>
      <w:r>
        <w:rPr>
          <w:spacing w:val="-63"/>
        </w:rPr>
        <w:t> </w:t>
      </w:r>
      <w:r>
        <w:rPr>
          <w:spacing w:val="-63"/>
        </w:rPr>
      </w:r>
      <w:r>
        <w:rPr/>
        <w:t>集说明书相关约定或承诺的情况或者情形。</w:t>
      </w:r>
    </w:p>
    <w:p>
      <w:pPr>
        <w:pStyle w:val="Heading4"/>
        <w:spacing w:line="240" w:lineRule="auto" w:before="152"/>
        <w:ind w:right="1033"/>
        <w:jc w:val="left"/>
        <w:rPr>
          <w:b w:val="0"/>
          <w:bCs w:val="0"/>
        </w:rPr>
      </w:pPr>
      <w:r>
        <w:rPr/>
        <w:t>十二、报告期内发生的重大事项</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1033"/>
        <w:jc w:val="left"/>
      </w:pPr>
      <w:r>
        <w:rPr/>
        <w:t>报告期内，本次公司债券存续期内公司未发生重大事项。</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pStyle w:val="Heading4"/>
        <w:spacing w:line="240" w:lineRule="auto"/>
        <w:ind w:right="1033"/>
        <w:jc w:val="left"/>
        <w:rPr>
          <w:b w:val="0"/>
          <w:bCs w:val="0"/>
        </w:rPr>
      </w:pPr>
      <w:r>
        <w:rPr/>
        <w:t>十三、公司债券是否存在保证人</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75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公司债券的保证人是否为法人或其他组织</w:t>
      </w:r>
    </w:p>
    <w:p>
      <w:pPr>
        <w:pStyle w:val="BodyText"/>
        <w:spacing w:line="240" w:lineRule="auto" w:before="43"/>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00" w:lineRule="auto" w:before="103"/>
        <w:ind w:right="1122"/>
        <w:jc w:val="left"/>
      </w:pPr>
      <w:r>
        <w:rPr/>
        <w:t>是否在每个会计年度结束之日起</w:t>
      </w:r>
      <w:r>
        <w:rPr>
          <w:spacing w:val="-31"/>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spacing w:val="-3"/>
        </w:rPr>
        <w:t>个月内单独披露保证人报告期财务报表，包括资产负债表、利润表、现金流量表、所有者</w:t>
      </w:r>
      <w:r>
        <w:rPr>
          <w:spacing w:val="-88"/>
        </w:rPr>
        <w:t> </w:t>
      </w:r>
      <w:r>
        <w:rPr>
          <w:spacing w:val="-88"/>
        </w:rPr>
      </w:r>
      <w:r>
        <w:rPr/>
        <w:t>权益（股东权益）变动表和财务报表附注</w:t>
      </w:r>
    </w:p>
    <w:p>
      <w:pPr>
        <w:pStyle w:val="BodyText"/>
        <w:spacing w:line="240" w:lineRule="auto" w:before="70"/>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607" w:right="1033"/>
        <w:jc w:val="left"/>
        <w:rPr>
          <w:b w:val="0"/>
          <w:bCs w:val="0"/>
        </w:rPr>
      </w:pPr>
      <w:bookmarkStart w:name="_bookmark11" w:id="12"/>
      <w:bookmarkEnd w:id="12"/>
      <w:r>
        <w:rPr>
          <w:b w:val="0"/>
          <w:bCs w:val="0"/>
        </w:rPr>
      </w:r>
      <w:r>
        <w:rPr/>
        <w:t>第十二节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4"/>
        <w:spacing w:line="367" w:lineRule="exact"/>
        <w:ind w:right="1033"/>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[2020]004825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刘高科、周灵芝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5"/>
        <w:rPr>
          <w:rFonts w:ascii="Microsoft JhengHei" w:hAnsi="Microsoft JhengHei" w:cs="Microsoft JhengHei" w:eastAsia="Microsoft JhengHei" w:hint="default"/>
          <w:b/>
          <w:bCs/>
          <w:sz w:val="22"/>
          <w:szCs w:val="22"/>
        </w:rPr>
      </w:pPr>
    </w:p>
    <w:p>
      <w:pPr>
        <w:pStyle w:val="Heading2"/>
        <w:spacing w:line="240" w:lineRule="auto"/>
        <w:ind w:right="-19"/>
        <w:jc w:val="left"/>
        <w:rPr>
          <w:b w:val="0"/>
          <w:bCs w:val="0"/>
        </w:rPr>
      </w:pPr>
      <w:r>
        <w:rPr>
          <w:rFonts w:ascii="Arial" w:hAnsi="Arial" w:cs="Arial" w:eastAsia="Arial" w:hint="default"/>
          <w:w w:val="105"/>
        </w:rPr>
        <w:t>1.</w:t>
      </w:r>
      <w:r>
        <w:rPr>
          <w:rFonts w:ascii="Arial" w:hAnsi="Arial" w:cs="Arial" w:eastAsia="Arial" w:hint="default"/>
          <w:spacing w:val="-19"/>
          <w:w w:val="105"/>
        </w:rPr>
        <w:t> </w:t>
      </w:r>
      <w:r>
        <w:rPr>
          <w:w w:val="105"/>
        </w:rPr>
        <w:t>审计意见</w:t>
      </w:r>
      <w:r>
        <w:rPr>
          <w:b w:val="0"/>
          <w:bCs w:val="0"/>
          <w:w w:val="105"/>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1639" w:space="2640"/>
            <w:col w:w="6651"/>
          </w:cols>
        </w:sectPr>
      </w:pPr>
    </w:p>
    <w:p>
      <w:pPr>
        <w:spacing w:line="240" w:lineRule="auto" w:before="2"/>
        <w:rPr>
          <w:rFonts w:ascii="宋体" w:hAnsi="宋体" w:cs="宋体" w:eastAsia="宋体" w:hint="default"/>
          <w:sz w:val="16"/>
          <w:szCs w:val="16"/>
        </w:rPr>
      </w:pPr>
    </w:p>
    <w:p>
      <w:pPr>
        <w:pStyle w:val="Heading3"/>
        <w:spacing w:line="393" w:lineRule="auto" w:before="14"/>
        <w:ind w:left="513" w:right="1121"/>
        <w:jc w:val="both"/>
      </w:pPr>
      <w:r>
        <w:rPr>
          <w:spacing w:val="2"/>
        </w:rPr>
        <w:t>我们审计了深圳市新国都股份有限公司</w:t>
      </w:r>
      <w:r>
        <w:rPr>
          <w:rFonts w:ascii="Times New Roman" w:hAnsi="Times New Roman" w:cs="Times New Roman" w:eastAsia="Times New Roman" w:hint="default"/>
          <w:spacing w:val="2"/>
        </w:rPr>
        <w:t>(</w:t>
      </w:r>
      <w:r>
        <w:rPr>
          <w:spacing w:val="2"/>
        </w:rPr>
        <w:t>以下简称新国都股份公司</w:t>
      </w:r>
      <w:r>
        <w:rPr>
          <w:rFonts w:ascii="Times New Roman" w:hAnsi="Times New Roman" w:cs="Times New Roman" w:eastAsia="Times New Roman" w:hint="default"/>
          <w:spacing w:val="2"/>
        </w:rPr>
        <w:t>)</w:t>
      </w:r>
      <w:r>
        <w:rPr>
          <w:spacing w:val="2"/>
        </w:rPr>
        <w:t>财务</w:t>
      </w:r>
      <w:r>
        <w:rPr>
          <w:spacing w:val="4"/>
          <w:w w:val="100"/>
        </w:rPr>
        <w:t> </w:t>
      </w:r>
      <w:r>
        <w:rPr/>
        <w:t>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2019</w:t>
      </w:r>
      <w:r>
        <w:rPr/>
        <w:t>年度的合并及</w:t>
      </w:r>
      <w:r>
        <w:rPr>
          <w:spacing w:val="-110"/>
        </w:rPr>
        <w:t> </w:t>
      </w:r>
      <w:r>
        <w:rPr>
          <w:spacing w:val="-110"/>
        </w:rPr>
      </w:r>
      <w:r>
        <w:rPr/>
        <w:t>母公司利润表、合并及母公司现金流量表、合并及母公司股东权益变动表以</w:t>
      </w:r>
      <w:r>
        <w:rPr>
          <w:spacing w:val="-106"/>
        </w:rPr>
        <w:t> </w:t>
      </w:r>
      <w:r>
        <w:rPr>
          <w:spacing w:val="-106"/>
        </w:rPr>
      </w:r>
      <w:r>
        <w:rPr/>
        <w:t>及相关财务报表附注。</w:t>
      </w:r>
    </w:p>
    <w:p>
      <w:pPr>
        <w:pStyle w:val="Heading3"/>
        <w:spacing w:line="398" w:lineRule="auto" w:before="78"/>
        <w:ind w:left="513" w:right="1129"/>
        <w:jc w:val="both"/>
      </w:pPr>
      <w:r>
        <w:rPr/>
        <w:t>我们认为，后附的财务报表在所有重大方面按照企业会计准则的规定编</w:t>
      </w:r>
      <w:r>
        <w:rPr>
          <w:w w:val="100"/>
        </w:rPr>
        <w:t> </w:t>
      </w:r>
      <w:r>
        <w:rPr/>
        <w:t>制，公允反映了新国都股份公司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w:t>
      </w:r>
      <w:r>
        <w:rPr>
          <w:spacing w:val="-111"/>
        </w:rPr>
        <w:t> </w:t>
      </w:r>
      <w:r>
        <w:rPr>
          <w:spacing w:val="-111"/>
        </w:rPr>
      </w:r>
      <w:r>
        <w:rPr/>
        <w:t>及</w:t>
      </w:r>
      <w:r>
        <w:rPr>
          <w:rFonts w:ascii="Times New Roman" w:hAnsi="Times New Roman" w:cs="Times New Roman" w:eastAsia="Times New Roman" w:hint="default"/>
        </w:rPr>
        <w:t>2019</w:t>
      </w:r>
      <w:r>
        <w:rPr/>
        <w:t>年度的合并及母公司经营成果和现金流量。</w:t>
      </w:r>
    </w:p>
    <w:p>
      <w:pPr>
        <w:pStyle w:val="Heading2"/>
        <w:spacing w:line="431" w:lineRule="exact"/>
        <w:ind w:right="1033"/>
        <w:jc w:val="left"/>
        <w:rPr>
          <w:b w:val="0"/>
          <w:bCs w:val="0"/>
        </w:rPr>
      </w:pPr>
      <w:r>
        <w:rPr>
          <w:rFonts w:ascii="Arial" w:hAnsi="Arial" w:cs="Arial" w:eastAsia="Arial" w:hint="default"/>
        </w:rPr>
        <w:t>1.</w:t>
      </w:r>
      <w:r>
        <w:rPr>
          <w:rFonts w:ascii="Arial" w:hAnsi="Arial" w:cs="Arial" w:eastAsia="Arial" w:hint="default"/>
          <w:spacing w:val="57"/>
        </w:rPr>
        <w:t> </w:t>
      </w:r>
      <w:r>
        <w:rPr/>
        <w:t>形成审计意见的基础</w:t>
      </w:r>
      <w:r>
        <w:rPr>
          <w:b w:val="0"/>
          <w:bCs w:val="0"/>
        </w:rPr>
      </w:r>
    </w:p>
    <w:p>
      <w:pPr>
        <w:pStyle w:val="Heading3"/>
        <w:spacing w:line="403" w:lineRule="auto" w:before="225"/>
        <w:ind w:left="513" w:right="1129"/>
        <w:jc w:val="both"/>
      </w:pPr>
      <w:r>
        <w:rPr/>
        <w:t>我们按照中国注册会计师审计准则的规定执行了审计工作。审计报告的</w:t>
      </w:r>
      <w:r>
        <w:rPr>
          <w:w w:val="100"/>
        </w:rPr>
        <w:t> </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部分进一步阐述了我们在这些准则下的</w:t>
      </w:r>
      <w:r>
        <w:rPr>
          <w:spacing w:val="-75"/>
        </w:rPr>
        <w:t> </w:t>
      </w:r>
      <w:r>
        <w:rPr>
          <w:spacing w:val="-75"/>
        </w:rPr>
      </w:r>
      <w:r>
        <w:rPr/>
        <w:t>责任。按照中国注册会计师职业道德守则，我们独立于新国都股份公司，并</w:t>
      </w:r>
      <w:r>
        <w:rPr>
          <w:spacing w:val="-106"/>
        </w:rPr>
        <w:t> </w:t>
      </w:r>
      <w:r>
        <w:rPr>
          <w:spacing w:val="-106"/>
        </w:rPr>
      </w:r>
      <w:r>
        <w:rPr/>
        <w:t>履行了职业道德方面的其他责任。我们相信，我们获取的审计证据是充分、</w:t>
      </w:r>
      <w:r>
        <w:rPr>
          <w:spacing w:val="-106"/>
        </w:rPr>
        <w:t> </w:t>
      </w:r>
      <w:r>
        <w:rPr>
          <w:spacing w:val="-106"/>
        </w:rPr>
      </w:r>
      <w:r>
        <w:rPr/>
        <w:t>适当的，为发表审计意见提供了基础。</w:t>
      </w:r>
    </w:p>
    <w:p>
      <w:pPr>
        <w:pStyle w:val="Heading2"/>
        <w:spacing w:line="465" w:lineRule="exact"/>
        <w:ind w:right="1033"/>
        <w:jc w:val="left"/>
        <w:rPr>
          <w:b w:val="0"/>
          <w:bCs w:val="0"/>
        </w:rPr>
      </w:pPr>
      <w:r>
        <w:rPr>
          <w:rFonts w:ascii="Arial" w:hAnsi="Arial" w:cs="Arial" w:eastAsia="Arial" w:hint="default"/>
          <w:w w:val="105"/>
        </w:rPr>
        <w:t>1.</w:t>
      </w:r>
      <w:r>
        <w:rPr>
          <w:rFonts w:ascii="Arial" w:hAnsi="Arial" w:cs="Arial" w:eastAsia="Arial" w:hint="default"/>
          <w:spacing w:val="-45"/>
          <w:w w:val="105"/>
        </w:rPr>
        <w:t> </w:t>
      </w:r>
      <w:r>
        <w:rPr>
          <w:w w:val="105"/>
        </w:rPr>
        <w:t>关键审计事项</w:t>
      </w:r>
      <w:r>
        <w:rPr>
          <w:b w:val="0"/>
          <w:bCs w:val="0"/>
          <w:w w:val="105"/>
        </w:rPr>
      </w:r>
    </w:p>
    <w:p>
      <w:pPr>
        <w:spacing w:after="0" w:line="465" w:lineRule="exact"/>
        <w:jc w:val="left"/>
        <w:sectPr>
          <w:type w:val="continuous"/>
          <w:pgSz w:w="11910" w:h="16840"/>
          <w:pgMar w:top="1060" w:bottom="1160" w:left="980" w:right="0"/>
        </w:sectPr>
      </w:pPr>
    </w:p>
    <w:p>
      <w:pPr>
        <w:spacing w:line="240" w:lineRule="auto" w:before="10"/>
        <w:rPr>
          <w:rFonts w:ascii="Microsoft JhengHei" w:hAnsi="Microsoft JhengHei" w:cs="Microsoft JhengHei" w:eastAsia="Microsoft JhengHei" w:hint="default"/>
          <w:b/>
          <w:bCs/>
          <w:sz w:val="25"/>
          <w:szCs w:val="25"/>
        </w:rPr>
      </w:pPr>
    </w:p>
    <w:p>
      <w:pPr>
        <w:pStyle w:val="Heading3"/>
        <w:spacing w:line="408" w:lineRule="auto" w:before="14"/>
        <w:ind w:right="1130"/>
        <w:jc w:val="both"/>
      </w:pPr>
      <w:r>
        <w:rPr>
          <w:spacing w:val="2"/>
        </w:rPr>
        <w:t>关键审计事项是我们根据职业判断，认为对本期财务报表审计最为重要的</w:t>
      </w:r>
      <w:r>
        <w:rPr>
          <w:w w:val="100"/>
        </w:rPr>
        <w:t> </w:t>
      </w:r>
      <w:r>
        <w:rPr>
          <w:spacing w:val="2"/>
        </w:rPr>
        <w:t>事项。这些事项的应对以对财务报表整体进行审计并形成审计意见为背景，我</w:t>
      </w:r>
      <w:r>
        <w:rPr>
          <w:spacing w:val="-103"/>
        </w:rPr>
        <w:t> </w:t>
      </w:r>
      <w:r>
        <w:rPr>
          <w:spacing w:val="-103"/>
        </w:rPr>
      </w:r>
      <w:r>
        <w:rPr/>
        <w:t>们不对这些事项单独发表意见。</w:t>
      </w:r>
    </w:p>
    <w:p>
      <w:pPr>
        <w:pStyle w:val="Heading3"/>
        <w:spacing w:line="408" w:lineRule="auto"/>
        <w:ind w:right="2421"/>
        <w:jc w:val="left"/>
      </w:pPr>
      <w:r>
        <w:rPr>
          <w:spacing w:val="-1"/>
        </w:rPr>
        <w:t>我们确定下列事项是需要在审计报告中沟通的关键审计事项。</w:t>
      </w:r>
      <w:r>
        <w:rPr>
          <w:w w:val="100"/>
        </w:rPr>
        <w:t> </w:t>
      </w:r>
      <w:r>
        <w:rPr>
          <w:rFonts w:ascii="宋体" w:hAnsi="宋体" w:cs="宋体" w:eastAsia="宋体" w:hint="default"/>
        </w:rPr>
        <w:t>1.</w:t>
      </w:r>
      <w:r>
        <w:rPr>
          <w:rFonts w:ascii="宋体" w:hAnsi="宋体" w:cs="宋体" w:eastAsia="宋体" w:hint="default"/>
          <w:spacing w:val="-63"/>
        </w:rPr>
        <w:t> </w:t>
      </w:r>
      <w:r>
        <w:rPr/>
        <w:t>商品销售及收单业务相关收入的确认</w:t>
      </w:r>
    </w:p>
    <w:p>
      <w:pPr>
        <w:pStyle w:val="Heading3"/>
        <w:spacing w:line="240" w:lineRule="auto" w:before="62"/>
        <w:ind w:right="1033" w:firstLine="0"/>
        <w:jc w:val="left"/>
      </w:pPr>
      <w:r>
        <w:rPr>
          <w:rFonts w:ascii="宋体" w:hAnsi="宋体" w:cs="宋体" w:eastAsia="宋体" w:hint="default"/>
        </w:rPr>
        <w:t>2.</w:t>
      </w:r>
      <w:r>
        <w:rPr>
          <w:rFonts w:ascii="宋体" w:hAnsi="宋体" w:cs="宋体" w:eastAsia="宋体" w:hint="default"/>
          <w:spacing w:val="-57"/>
        </w:rPr>
        <w:t> </w:t>
      </w:r>
      <w:r>
        <w:rPr/>
        <w:t>商誉减值</w:t>
      </w:r>
    </w:p>
    <w:p>
      <w:pPr>
        <w:spacing w:line="240" w:lineRule="auto" w:before="9"/>
        <w:rPr>
          <w:rFonts w:ascii="宋体" w:hAnsi="宋体" w:cs="宋体" w:eastAsia="宋体" w:hint="default"/>
          <w:sz w:val="19"/>
          <w:szCs w:val="19"/>
        </w:rPr>
      </w:pPr>
    </w:p>
    <w:p>
      <w:pPr>
        <w:pStyle w:val="Heading3"/>
        <w:spacing w:line="240" w:lineRule="auto" w:before="0"/>
        <w:ind w:left="772" w:right="1033" w:firstLine="0"/>
        <w:jc w:val="left"/>
      </w:pPr>
      <w:r>
        <w:rPr>
          <w:rFonts w:ascii="宋体" w:hAnsi="宋体" w:cs="宋体" w:eastAsia="宋体" w:hint="default"/>
        </w:rPr>
        <w:t>3.</w:t>
      </w:r>
      <w:r>
        <w:rPr>
          <w:rFonts w:ascii="宋体" w:hAnsi="宋体" w:cs="宋体" w:eastAsia="宋体" w:hint="default"/>
          <w:spacing w:val="-64"/>
        </w:rPr>
        <w:t> </w:t>
      </w:r>
      <w:r>
        <w:rPr/>
        <w:t>商品销售及收单业务相关收入的确认</w:t>
      </w:r>
    </w:p>
    <w:p>
      <w:pPr>
        <w:spacing w:line="240" w:lineRule="auto" w:before="9"/>
        <w:rPr>
          <w:rFonts w:ascii="宋体" w:hAnsi="宋体" w:cs="宋体" w:eastAsia="宋体" w:hint="default"/>
          <w:sz w:val="19"/>
          <w:szCs w:val="19"/>
        </w:rPr>
      </w:pPr>
    </w:p>
    <w:p>
      <w:pPr>
        <w:pStyle w:val="Heading3"/>
        <w:spacing w:line="240" w:lineRule="auto" w:before="0"/>
        <w:ind w:right="1033" w:firstLine="0"/>
        <w:jc w:val="left"/>
      </w:pPr>
      <w:r>
        <w:rPr>
          <w:rFonts w:ascii="宋体" w:hAnsi="宋体" w:cs="宋体" w:eastAsia="宋体" w:hint="default"/>
        </w:rPr>
        <w:t>4.</w:t>
      </w:r>
      <w:r>
        <w:rPr>
          <w:rFonts w:ascii="宋体" w:hAnsi="宋体" w:cs="宋体" w:eastAsia="宋体" w:hint="default"/>
          <w:spacing w:val="-57"/>
        </w:rPr>
        <w:t> </w:t>
      </w:r>
      <w:r>
        <w:rPr/>
        <w:t>事项描述</w:t>
      </w:r>
    </w:p>
    <w:p>
      <w:pPr>
        <w:spacing w:line="240" w:lineRule="auto" w:before="9"/>
        <w:rPr>
          <w:rFonts w:ascii="宋体" w:hAnsi="宋体" w:cs="宋体" w:eastAsia="宋体" w:hint="default"/>
          <w:sz w:val="19"/>
          <w:szCs w:val="19"/>
        </w:rPr>
      </w:pPr>
    </w:p>
    <w:p>
      <w:pPr>
        <w:pStyle w:val="Heading3"/>
        <w:spacing w:line="398" w:lineRule="auto" w:before="0"/>
        <w:ind w:left="513" w:right="1130" w:firstLine="566"/>
        <w:jc w:val="both"/>
      </w:pPr>
      <w:r>
        <w:rPr/>
        <w:t>收入确认政策和账面金额请参阅合并财务报表附注四、（二十六）及附</w:t>
      </w:r>
      <w:r>
        <w:rPr>
          <w:w w:val="100"/>
        </w:rPr>
        <w:t> </w:t>
      </w:r>
      <w:r>
        <w:rPr/>
        <w:t>注</w:t>
      </w:r>
      <w:r>
        <w:rPr>
          <w:spacing w:val="-98"/>
        </w:rPr>
        <w:t> </w:t>
      </w:r>
      <w:r>
        <w:rPr/>
        <w:t>六</w:t>
      </w:r>
      <w:r>
        <w:rPr>
          <w:spacing w:val="-98"/>
        </w:rPr>
        <w:t> </w:t>
      </w:r>
      <w:r>
        <w:rPr/>
        <w:t>、</w:t>
      </w:r>
      <w:r>
        <w:rPr>
          <w:spacing w:val="-100"/>
        </w:rPr>
        <w:t> </w:t>
      </w:r>
      <w:r>
        <w:rPr/>
        <w:t>注</w:t>
      </w:r>
      <w:r>
        <w:rPr>
          <w:spacing w:val="-98"/>
        </w:rPr>
        <w:t> </w:t>
      </w:r>
      <w:r>
        <w:rPr/>
        <w:t>释</w:t>
      </w:r>
      <w:r>
        <w:rPr>
          <w:spacing w:val="-99"/>
        </w:rPr>
        <w:t> </w:t>
      </w:r>
      <w:r>
        <w:rPr>
          <w:rFonts w:ascii="Times New Roman" w:hAnsi="Times New Roman" w:cs="Times New Roman" w:eastAsia="Times New Roman" w:hint="default"/>
        </w:rPr>
        <w:t>37</w:t>
      </w:r>
      <w:r>
        <w:rPr>
          <w:rFonts w:ascii="Times New Roman" w:hAnsi="Times New Roman" w:cs="Times New Roman" w:eastAsia="Times New Roman" w:hint="default"/>
          <w:spacing w:val="-25"/>
        </w:rPr>
        <w:t> </w:t>
      </w:r>
      <w:r>
        <w:rPr/>
        <w:t>所</w:t>
      </w:r>
      <w:r>
        <w:rPr>
          <w:spacing w:val="-100"/>
        </w:rPr>
        <w:t> </w:t>
      </w:r>
      <w:r>
        <w:rPr/>
        <w:t>述</w:t>
      </w:r>
      <w:r>
        <w:rPr>
          <w:spacing w:val="-98"/>
        </w:rPr>
        <w:t> </w:t>
      </w:r>
      <w:r>
        <w:rPr/>
        <w:t>，</w:t>
      </w:r>
      <w:r>
        <w:rPr>
          <w:spacing w:val="-9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6"/>
        </w:rPr>
        <w:t> </w:t>
      </w:r>
      <w:r>
        <w:rPr/>
        <w:t>年</w:t>
      </w:r>
      <w:r>
        <w:rPr>
          <w:spacing w:val="-100"/>
        </w:rPr>
        <w:t> </w:t>
      </w:r>
      <w:r>
        <w:rPr/>
        <w:t>度</w:t>
      </w:r>
      <w:r>
        <w:rPr>
          <w:spacing w:val="-98"/>
        </w:rPr>
        <w:t> </w:t>
      </w:r>
      <w:r>
        <w:rPr/>
        <w:t>新</w:t>
      </w:r>
      <w:r>
        <w:rPr>
          <w:spacing w:val="-100"/>
        </w:rPr>
        <w:t> </w:t>
      </w:r>
      <w:r>
        <w:rPr/>
        <w:t>国</w:t>
      </w:r>
      <w:r>
        <w:rPr>
          <w:spacing w:val="-98"/>
        </w:rPr>
        <w:t> </w:t>
      </w:r>
      <w:r>
        <w:rPr/>
        <w:t>都</w:t>
      </w:r>
      <w:r>
        <w:rPr>
          <w:spacing w:val="-98"/>
        </w:rPr>
        <w:t> </w:t>
      </w:r>
      <w:r>
        <w:rPr/>
        <w:t>股</w:t>
      </w:r>
      <w:r>
        <w:rPr>
          <w:spacing w:val="-100"/>
        </w:rPr>
        <w:t> </w:t>
      </w:r>
      <w:r>
        <w:rPr/>
        <w:t>份</w:t>
      </w:r>
      <w:r>
        <w:rPr>
          <w:spacing w:val="-98"/>
        </w:rPr>
        <w:t> </w:t>
      </w:r>
      <w:r>
        <w:rPr/>
        <w:t>公</w:t>
      </w:r>
      <w:r>
        <w:rPr>
          <w:spacing w:val="-100"/>
        </w:rPr>
        <w:t> </w:t>
      </w:r>
      <w:r>
        <w:rPr/>
        <w:t>司</w:t>
      </w:r>
      <w:r>
        <w:rPr>
          <w:spacing w:val="-98"/>
        </w:rPr>
        <w:t> </w:t>
      </w:r>
      <w:r>
        <w:rPr/>
        <w:t>营</w:t>
      </w:r>
      <w:r>
        <w:rPr>
          <w:spacing w:val="-100"/>
        </w:rPr>
        <w:t> </w:t>
      </w:r>
      <w:r>
        <w:rPr/>
        <w:t>业</w:t>
      </w:r>
      <w:r>
        <w:rPr>
          <w:spacing w:val="-98"/>
        </w:rPr>
        <w:t> </w:t>
      </w:r>
      <w:r>
        <w:rPr/>
        <w:t>总</w:t>
      </w:r>
      <w:r>
        <w:rPr>
          <w:spacing w:val="-98"/>
        </w:rPr>
        <w:t> </w:t>
      </w:r>
      <w:r>
        <w:rPr/>
        <w:t>收</w:t>
      </w:r>
      <w:r>
        <w:rPr>
          <w:spacing w:val="-100"/>
        </w:rPr>
        <w:t> </w:t>
      </w:r>
      <w:r>
        <w:rPr/>
        <w:t>入</w:t>
      </w:r>
      <w:r>
        <w:rPr>
          <w:spacing w:val="-98"/>
        </w:rPr>
        <w:t> </w:t>
      </w:r>
      <w:r>
        <w:rPr/>
        <w:t>为</w:t>
      </w:r>
      <w:r>
        <w:rPr>
          <w:spacing w:val="-100"/>
        </w:rPr>
        <w:t> </w:t>
      </w:r>
      <w:r>
        <w:rPr/>
        <w:t>人</w:t>
      </w:r>
      <w:r>
        <w:rPr>
          <w:spacing w:val="-98"/>
        </w:rPr>
        <w:t> </w:t>
      </w:r>
      <w:r>
        <w:rPr/>
        <w:t>民</w:t>
      </w:r>
      <w:r>
        <w:rPr>
          <w:spacing w:val="-100"/>
        </w:rPr>
        <w:t> </w:t>
      </w:r>
      <w:r>
        <w:rPr/>
        <w:t>币</w:t>
      </w:r>
      <w:r>
        <w:rPr>
          <w:w w:val="100"/>
        </w:rPr>
        <w:t> </w:t>
      </w:r>
      <w:r>
        <w:rPr>
          <w:rFonts w:ascii="Times New Roman" w:hAnsi="Times New Roman" w:cs="Times New Roman" w:eastAsia="Times New Roman" w:hint="default"/>
        </w:rPr>
        <w:t>3,027,887,474.72 </w:t>
      </w:r>
      <w:r>
        <w:rPr>
          <w:rFonts w:ascii="Times New Roman" w:hAnsi="Times New Roman" w:cs="Times New Roman" w:eastAsia="Times New Roman" w:hint="default"/>
          <w:spacing w:val="13"/>
        </w:rPr>
        <w:t> </w:t>
      </w:r>
      <w:r>
        <w:rPr>
          <w:spacing w:val="4"/>
        </w:rPr>
        <w:t>元，其中商品销售收入</w:t>
      </w:r>
      <w:r>
        <w:rPr>
          <w:rFonts w:ascii="Times New Roman" w:hAnsi="Times New Roman" w:cs="Times New Roman" w:eastAsia="Times New Roman" w:hint="default"/>
          <w:spacing w:val="4"/>
        </w:rPr>
        <w:t>1,161,800,107.86</w:t>
      </w:r>
      <w:r>
        <w:rPr>
          <w:spacing w:val="4"/>
        </w:rPr>
        <w:t>元；收单业务收入</w:t>
      </w:r>
    </w:p>
    <w:p>
      <w:pPr>
        <w:pStyle w:val="Heading3"/>
        <w:spacing w:line="403" w:lineRule="auto" w:before="31"/>
        <w:ind w:left="513" w:right="1131" w:firstLine="0"/>
        <w:jc w:val="both"/>
      </w:pPr>
      <w:r>
        <w:rPr>
          <w:rFonts w:ascii="Times New Roman" w:hAnsi="Times New Roman" w:cs="Times New Roman" w:eastAsia="Times New Roman" w:hint="default"/>
        </w:rPr>
        <w:t>1,609,731,610.02</w:t>
      </w:r>
      <w:r>
        <w:rPr>
          <w:rFonts w:ascii="Times New Roman" w:hAnsi="Times New Roman" w:cs="Times New Roman" w:eastAsia="Times New Roman" w:hint="default"/>
          <w:spacing w:val="64"/>
        </w:rPr>
        <w:t> </w:t>
      </w:r>
      <w:r>
        <w:rPr>
          <w:spacing w:val="-5"/>
        </w:rPr>
        <w:t>元，合计占总收入比重</w:t>
      </w:r>
      <w:r>
        <w:rPr>
          <w:rFonts w:ascii="Times New Roman" w:hAnsi="Times New Roman" w:cs="Times New Roman" w:eastAsia="Times New Roman" w:hint="default"/>
          <w:spacing w:val="-5"/>
        </w:rPr>
        <w:t>91.53%</w:t>
      </w:r>
      <w:r>
        <w:rPr>
          <w:spacing w:val="-5"/>
        </w:rPr>
        <w:t>。商品销售及收单业务相关收</w:t>
      </w:r>
      <w:r>
        <w:rPr>
          <w:spacing w:val="-135"/>
        </w:rPr>
        <w:t> </w:t>
      </w:r>
      <w:r>
        <w:rPr>
          <w:spacing w:val="-135"/>
        </w:rPr>
      </w:r>
      <w:r>
        <w:rPr/>
        <w:t>入规模增长较快，且由于收入是新国都股份公司的关键业绩指标之一，从而</w:t>
      </w:r>
      <w:r>
        <w:rPr>
          <w:spacing w:val="-106"/>
        </w:rPr>
        <w:t> </w:t>
      </w:r>
      <w:r>
        <w:rPr>
          <w:spacing w:val="-106"/>
        </w:rPr>
      </w:r>
      <w:r>
        <w:rPr/>
        <w:t>存在新国都股份公司管理层（以下简称管理层）为了达到特定目标或期望而</w:t>
      </w:r>
      <w:r>
        <w:rPr>
          <w:spacing w:val="-106"/>
        </w:rPr>
        <w:t> </w:t>
      </w:r>
      <w:r>
        <w:rPr>
          <w:spacing w:val="-106"/>
        </w:rPr>
      </w:r>
      <w:r>
        <w:rPr/>
        <w:t>操纵收入确认时点的固有风险，因此我们将新国都股份公司商品销售及收单</w:t>
      </w:r>
      <w:r>
        <w:rPr>
          <w:spacing w:val="-106"/>
        </w:rPr>
        <w:t> </w:t>
      </w:r>
      <w:r>
        <w:rPr>
          <w:spacing w:val="-106"/>
        </w:rPr>
      </w:r>
      <w:r>
        <w:rPr/>
        <w:t>业务收入的确认识别为关键审计事项。</w:t>
      </w:r>
    </w:p>
    <w:p>
      <w:pPr>
        <w:pStyle w:val="Heading3"/>
        <w:spacing w:line="240" w:lineRule="auto" w:before="67"/>
        <w:ind w:right="1033" w:firstLine="0"/>
        <w:jc w:val="left"/>
      </w:pPr>
      <w:r>
        <w:rPr>
          <w:rFonts w:ascii="宋体" w:hAnsi="宋体" w:cs="宋体" w:eastAsia="宋体" w:hint="default"/>
        </w:rPr>
        <w:t>1.</w:t>
      </w:r>
      <w:r>
        <w:rPr>
          <w:rFonts w:ascii="宋体" w:hAnsi="宋体" w:cs="宋体" w:eastAsia="宋体" w:hint="default"/>
          <w:spacing w:val="-57"/>
        </w:rPr>
        <w:t> </w:t>
      </w:r>
      <w:r>
        <w:rPr/>
        <w:t>审计应对</w:t>
      </w:r>
    </w:p>
    <w:p>
      <w:pPr>
        <w:spacing w:line="240" w:lineRule="auto" w:before="9"/>
        <w:rPr>
          <w:rFonts w:ascii="宋体" w:hAnsi="宋体" w:cs="宋体" w:eastAsia="宋体" w:hint="default"/>
          <w:sz w:val="19"/>
          <w:szCs w:val="19"/>
        </w:rPr>
      </w:pPr>
    </w:p>
    <w:p>
      <w:pPr>
        <w:pStyle w:val="Heading3"/>
        <w:spacing w:line="240" w:lineRule="auto" w:before="0"/>
        <w:ind w:left="712" w:right="1033" w:firstLine="0"/>
        <w:jc w:val="left"/>
      </w:pPr>
      <w:r>
        <w:rPr/>
        <w:t>（</w:t>
      </w:r>
      <w:r>
        <w:rPr>
          <w:rFonts w:ascii="Times New Roman" w:hAnsi="Times New Roman" w:cs="Times New Roman" w:eastAsia="Times New Roman" w:hint="default"/>
        </w:rPr>
        <w:t>1</w:t>
      </w:r>
      <w:r>
        <w:rPr/>
        <w:t>）我们对于商品销售收入所实施的重要程序包括：</w:t>
      </w:r>
    </w:p>
    <w:p>
      <w:pPr>
        <w:pStyle w:val="Heading3"/>
        <w:spacing w:line="408" w:lineRule="auto" w:before="236"/>
        <w:ind w:right="1033"/>
        <w:jc w:val="left"/>
      </w:pPr>
      <w:r>
        <w:rPr>
          <w:spacing w:val="2"/>
        </w:rPr>
        <w:t>①了解并测试管理层与商品销售收入相关的内部控制，以评价收入确认内</w:t>
      </w:r>
      <w:r>
        <w:rPr>
          <w:w w:val="100"/>
        </w:rPr>
        <w:t> </w:t>
      </w:r>
      <w:r>
        <w:rPr/>
        <w:t>部控制的设计和运行有效性；</w:t>
      </w:r>
    </w:p>
    <w:p>
      <w:pPr>
        <w:pStyle w:val="Heading3"/>
        <w:spacing w:line="408" w:lineRule="auto" w:before="62"/>
        <w:ind w:right="1033"/>
        <w:jc w:val="left"/>
      </w:pPr>
      <w:r>
        <w:rPr>
          <w:spacing w:val="2"/>
        </w:rPr>
        <w:t>②通过检查销售主要合同，评价相关业务收入确认时点是否符合企业会计</w:t>
      </w:r>
      <w:r>
        <w:rPr>
          <w:w w:val="100"/>
        </w:rPr>
        <w:t> </w:t>
      </w:r>
      <w:r>
        <w:rPr/>
        <w:t>准则的规定；</w:t>
      </w:r>
    </w:p>
    <w:p>
      <w:pPr>
        <w:spacing w:after="0" w:line="40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408" w:lineRule="auto" w:before="14"/>
        <w:ind w:right="1033"/>
        <w:jc w:val="left"/>
      </w:pPr>
      <w:r>
        <w:rPr>
          <w:spacing w:val="2"/>
        </w:rPr>
        <w:t>③通过查询客户的工商资料，询问新国都股份公司相关人员，以确认客户</w:t>
      </w:r>
      <w:r>
        <w:rPr>
          <w:w w:val="100"/>
        </w:rPr>
        <w:t> </w:t>
      </w:r>
      <w:r>
        <w:rPr/>
        <w:t>与新国都股份公司是否存在关联关系；</w:t>
      </w:r>
    </w:p>
    <w:p>
      <w:pPr>
        <w:pStyle w:val="Heading3"/>
        <w:spacing w:line="408" w:lineRule="auto"/>
        <w:ind w:right="0"/>
        <w:jc w:val="left"/>
      </w:pPr>
      <w:r>
        <w:rPr>
          <w:spacing w:val="-2"/>
        </w:rPr>
        <w:t>④选取样本检查与收入确认相关的支持性文件，包括销售合同、销售发票、</w:t>
      </w:r>
      <w:r>
        <w:rPr>
          <w:w w:val="100"/>
        </w:rPr>
        <w:t> </w:t>
      </w:r>
      <w:r>
        <w:rPr/>
        <w:t>出库单、客户签收单等；</w:t>
      </w:r>
    </w:p>
    <w:p>
      <w:pPr>
        <w:pStyle w:val="Heading3"/>
        <w:spacing w:line="240" w:lineRule="auto"/>
        <w:ind w:left="712" w:right="1033" w:firstLine="0"/>
        <w:jc w:val="left"/>
      </w:pPr>
      <w:r>
        <w:rPr/>
        <w:t>⑤结合应收账款针对客户选取样本实施了函证程序。</w:t>
      </w:r>
    </w:p>
    <w:p>
      <w:pPr>
        <w:spacing w:line="240" w:lineRule="auto" w:before="10"/>
        <w:rPr>
          <w:rFonts w:ascii="宋体" w:hAnsi="宋体" w:cs="宋体" w:eastAsia="宋体" w:hint="default"/>
          <w:sz w:val="19"/>
          <w:szCs w:val="19"/>
        </w:rPr>
      </w:pPr>
    </w:p>
    <w:p>
      <w:pPr>
        <w:pStyle w:val="Heading3"/>
        <w:spacing w:line="408" w:lineRule="auto" w:before="0"/>
        <w:ind w:right="1033"/>
        <w:jc w:val="left"/>
      </w:pPr>
      <w:r>
        <w:rPr>
          <w:spacing w:val="2"/>
        </w:rPr>
        <w:t>⑥针对资产负债表日前后确认的销售收入核对相关支持性文件，以评估销</w:t>
      </w:r>
      <w:r>
        <w:rPr>
          <w:w w:val="100"/>
        </w:rPr>
        <w:t> </w:t>
      </w:r>
      <w:r>
        <w:rPr/>
        <w:t>售收入是否在恰当的期间确认。</w:t>
      </w:r>
    </w:p>
    <w:p>
      <w:pPr>
        <w:pStyle w:val="Heading3"/>
        <w:spacing w:line="240" w:lineRule="auto"/>
        <w:ind w:left="712" w:right="1033" w:firstLine="0"/>
        <w:jc w:val="left"/>
      </w:pPr>
      <w:r>
        <w:rPr/>
        <w:t>（</w:t>
      </w:r>
      <w:r>
        <w:rPr>
          <w:rFonts w:ascii="Times New Roman" w:hAnsi="Times New Roman" w:cs="Times New Roman" w:eastAsia="Times New Roman" w:hint="default"/>
        </w:rPr>
        <w:t>2</w:t>
      </w:r>
      <w:r>
        <w:rPr/>
        <w:t>）我们对于收单业务收入所实施的重要审计程序包括：</w:t>
      </w:r>
    </w:p>
    <w:p>
      <w:pPr>
        <w:pStyle w:val="Heading3"/>
        <w:spacing w:line="408" w:lineRule="auto" w:before="236"/>
        <w:ind w:right="1134" w:firstLine="679"/>
        <w:jc w:val="both"/>
      </w:pPr>
      <w:r>
        <w:rPr>
          <w:spacing w:val="-2"/>
        </w:rPr>
        <w:t>①了解并测试管理层与收单业务收入确认相关的内部控制，以评价收入确</w:t>
      </w:r>
      <w:r>
        <w:rPr>
          <w:w w:val="100"/>
        </w:rPr>
        <w:t> </w:t>
      </w:r>
      <w:r>
        <w:rPr/>
        <w:t>认内部控制的设计和运行有效性；</w:t>
      </w:r>
    </w:p>
    <w:p>
      <w:pPr>
        <w:pStyle w:val="Heading3"/>
        <w:spacing w:line="240" w:lineRule="auto" w:before="62"/>
        <w:ind w:left="861" w:right="1033" w:firstLine="0"/>
        <w:jc w:val="left"/>
      </w:pPr>
      <w:r>
        <w:rPr/>
        <w:t>②针对收单业务系统执行了</w:t>
      </w:r>
      <w:r>
        <w:rPr>
          <w:rFonts w:ascii="Times New Roman" w:hAnsi="Times New Roman" w:cs="Times New Roman" w:eastAsia="Times New Roman" w:hint="default"/>
        </w:rPr>
        <w:t>IT</w:t>
      </w:r>
      <w:r>
        <w:rPr/>
        <w:t>测试；</w:t>
      </w:r>
    </w:p>
    <w:p>
      <w:pPr>
        <w:pStyle w:val="Heading3"/>
        <w:spacing w:line="408" w:lineRule="auto" w:before="236"/>
        <w:ind w:right="1133" w:firstLine="708"/>
        <w:jc w:val="both"/>
      </w:pPr>
      <w:r>
        <w:rPr>
          <w:spacing w:val="-2"/>
        </w:rPr>
        <w:t>③通过询问管理层和检查主要合同，评价相关业务收入确认时点是否符合</w:t>
      </w:r>
      <w:r>
        <w:rPr>
          <w:w w:val="100"/>
        </w:rPr>
        <w:t> </w:t>
      </w:r>
      <w:r>
        <w:rPr/>
        <w:t>企业会计准则的规定；</w:t>
      </w:r>
    </w:p>
    <w:p>
      <w:pPr>
        <w:pStyle w:val="Heading3"/>
        <w:spacing w:line="408" w:lineRule="auto"/>
        <w:ind w:right="1133" w:firstLine="708"/>
        <w:jc w:val="both"/>
      </w:pPr>
      <w:r>
        <w:rPr>
          <w:spacing w:val="-2"/>
        </w:rPr>
        <w:t>④选取样本检查与收入确认相关的支持性文件，包括：比对银联对账文件</w:t>
      </w:r>
      <w:r>
        <w:rPr>
          <w:w w:val="100"/>
        </w:rPr>
        <w:t> </w:t>
      </w:r>
      <w:r>
        <w:rPr>
          <w:spacing w:val="2"/>
        </w:rPr>
        <w:t>与业务日报表是否相符、账面确认收入与收单业务系统数据是否相符、商户交</w:t>
      </w:r>
      <w:r>
        <w:rPr>
          <w:spacing w:val="-106"/>
        </w:rPr>
        <w:t> </w:t>
      </w:r>
      <w:r>
        <w:rPr>
          <w:spacing w:val="-106"/>
        </w:rPr>
      </w:r>
      <w:r>
        <w:rPr>
          <w:spacing w:val="2"/>
        </w:rPr>
        <w:t>易流水及应清分款项与业务平台数据是否相符、手续费率与合同约定是否相符</w:t>
      </w:r>
      <w:r>
        <w:rPr>
          <w:spacing w:val="-106"/>
        </w:rPr>
        <w:t> </w:t>
      </w:r>
      <w:r>
        <w:rPr>
          <w:spacing w:val="-106"/>
        </w:rPr>
      </w:r>
      <w:r>
        <w:rPr/>
        <w:t>等；</w:t>
      </w:r>
    </w:p>
    <w:p>
      <w:pPr>
        <w:pStyle w:val="Heading3"/>
        <w:spacing w:line="240" w:lineRule="auto"/>
        <w:ind w:left="861" w:right="1033" w:firstLine="0"/>
        <w:jc w:val="left"/>
      </w:pPr>
      <w:r>
        <w:rPr>
          <w:spacing w:val="6"/>
        </w:rPr>
        <w:t>⑤检查期后清分款项收付款情况，以确认是否存在重要期后收入调整事</w:t>
      </w:r>
      <w:r>
        <w:rPr/>
      </w:r>
    </w:p>
    <w:p>
      <w:pPr>
        <w:spacing w:line="240" w:lineRule="auto" w:before="9"/>
        <w:rPr>
          <w:rFonts w:ascii="宋体" w:hAnsi="宋体" w:cs="宋体" w:eastAsia="宋体" w:hint="default"/>
          <w:sz w:val="19"/>
          <w:szCs w:val="19"/>
        </w:rPr>
      </w:pPr>
    </w:p>
    <w:p>
      <w:pPr>
        <w:pStyle w:val="Heading3"/>
        <w:spacing w:line="240" w:lineRule="auto" w:before="0"/>
        <w:ind w:right="1033" w:firstLine="0"/>
        <w:jc w:val="left"/>
      </w:pPr>
      <w:r>
        <w:rPr/>
        <w:t>项。</w:t>
      </w:r>
    </w:p>
    <w:p>
      <w:pPr>
        <w:spacing w:line="240" w:lineRule="auto" w:before="9"/>
        <w:rPr>
          <w:rFonts w:ascii="宋体" w:hAnsi="宋体" w:cs="宋体" w:eastAsia="宋体" w:hint="default"/>
          <w:sz w:val="19"/>
          <w:szCs w:val="19"/>
        </w:rPr>
      </w:pPr>
    </w:p>
    <w:p>
      <w:pPr>
        <w:pStyle w:val="Heading3"/>
        <w:spacing w:line="240" w:lineRule="auto" w:before="0"/>
        <w:ind w:right="1033" w:firstLine="0"/>
        <w:jc w:val="left"/>
      </w:pPr>
      <w:r>
        <w:rPr>
          <w:rFonts w:ascii="宋体" w:hAnsi="宋体" w:cs="宋体" w:eastAsia="宋体" w:hint="default"/>
        </w:rPr>
        <w:t>1.</w:t>
      </w:r>
      <w:r>
        <w:rPr>
          <w:rFonts w:ascii="宋体" w:hAnsi="宋体" w:cs="宋体" w:eastAsia="宋体" w:hint="default"/>
          <w:spacing w:val="-57"/>
        </w:rPr>
        <w:t> </w:t>
      </w:r>
      <w:r>
        <w:rPr/>
        <w:t>商誉减值</w:t>
      </w:r>
    </w:p>
    <w:p>
      <w:pPr>
        <w:spacing w:line="240" w:lineRule="auto" w:before="9"/>
        <w:rPr>
          <w:rFonts w:ascii="宋体" w:hAnsi="宋体" w:cs="宋体" w:eastAsia="宋体" w:hint="default"/>
          <w:sz w:val="19"/>
          <w:szCs w:val="19"/>
        </w:rPr>
      </w:pPr>
    </w:p>
    <w:p>
      <w:pPr>
        <w:pStyle w:val="Heading3"/>
        <w:spacing w:line="408" w:lineRule="auto" w:before="0"/>
        <w:ind w:left="1079" w:right="1033" w:firstLine="206"/>
        <w:jc w:val="left"/>
      </w:pPr>
      <w:r>
        <w:rPr>
          <w:rFonts w:ascii="宋体" w:hAnsi="宋体" w:cs="宋体" w:eastAsia="宋体" w:hint="default"/>
        </w:rPr>
        <w:t>2.</w:t>
      </w:r>
      <w:r>
        <w:rPr>
          <w:rFonts w:ascii="宋体" w:hAnsi="宋体" w:cs="宋体" w:eastAsia="宋体" w:hint="default"/>
          <w:spacing w:val="-62"/>
        </w:rPr>
        <w:t> </w:t>
      </w:r>
      <w:r>
        <w:rPr/>
        <w:t>事项描述</w:t>
      </w:r>
      <w:r>
        <w:rPr>
          <w:w w:val="100"/>
        </w:rPr>
        <w:t> </w:t>
      </w:r>
      <w:r>
        <w:rPr/>
        <w:t>如合并财务报表附注四（二十一）及附注六、注释</w:t>
      </w:r>
      <w:r>
        <w:rPr>
          <w:rFonts w:ascii="Times New Roman" w:hAnsi="Times New Roman" w:cs="Times New Roman" w:eastAsia="Times New Roman" w:hint="default"/>
        </w:rPr>
        <w:t>15</w:t>
      </w:r>
      <w:r>
        <w:rPr/>
        <w:t>所述，截至</w:t>
      </w:r>
      <w:r>
        <w:rPr>
          <w:rFonts w:ascii="Times New Roman" w:hAnsi="Times New Roman" w:cs="Times New Roman" w:eastAsia="Times New Roman" w:hint="default"/>
        </w:rPr>
        <w:t>2019</w:t>
      </w:r>
      <w:r>
        <w:rPr/>
        <w:t>年</w:t>
      </w:r>
    </w:p>
    <w:p>
      <w:pPr>
        <w:spacing w:after="0" w:line="408" w:lineRule="auto"/>
        <w:jc w:val="left"/>
        <w:sectPr>
          <w:footerReference w:type="default" r:id="rId29"/>
          <w:pgSz w:w="11910" w:h="16840"/>
          <w:pgMar w:footer="979" w:header="745" w:top="1060" w:bottom="1160" w:left="980" w:right="0"/>
          <w:pgNumType w:start="1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405" w:lineRule="auto" w:before="14"/>
        <w:ind w:left="513" w:right="1130" w:firstLine="0"/>
        <w:jc w:val="both"/>
      </w:pP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日，商誉账面价值为</w:t>
      </w:r>
      <w:r>
        <w:rPr>
          <w:rFonts w:ascii="Times New Roman" w:hAnsi="Times New Roman" w:cs="Times New Roman" w:eastAsia="Times New Roman" w:hint="default"/>
          <w:spacing w:val="-2"/>
        </w:rPr>
        <w:t>899,469,835.30</w:t>
      </w:r>
      <w:r>
        <w:rPr>
          <w:spacing w:val="-2"/>
        </w:rPr>
        <w:t>元，为新国都股份公司历年收购子</w:t>
      </w:r>
      <w:r>
        <w:rPr>
          <w:spacing w:val="-101"/>
        </w:rPr>
        <w:t> </w:t>
      </w:r>
      <w:r>
        <w:rPr>
          <w:spacing w:val="-101"/>
        </w:rPr>
      </w:r>
      <w:r>
        <w:rPr/>
        <w:t>公司形成，属于新国都股份公司重要资产。管理层在每年年度终了对商誉进</w:t>
      </w:r>
      <w:r>
        <w:rPr>
          <w:spacing w:val="-106"/>
        </w:rPr>
        <w:t> </w:t>
      </w:r>
      <w:r>
        <w:rPr>
          <w:spacing w:val="-106"/>
        </w:rPr>
      </w:r>
      <w:r>
        <w:rPr/>
        <w:t>行减值测试，并依据减值测试的结果调整商誉的账面价值。由于商誉减值测</w:t>
      </w:r>
      <w:r>
        <w:rPr>
          <w:spacing w:val="-106"/>
        </w:rPr>
        <w:t> </w:t>
      </w:r>
      <w:r>
        <w:rPr>
          <w:spacing w:val="-106"/>
        </w:rPr>
      </w:r>
      <w:r>
        <w:rPr/>
        <w:t>试的结果很大程度上依赖于管理层所做的估计和采用的假设，特别是在预测</w:t>
      </w:r>
      <w:r>
        <w:rPr>
          <w:spacing w:val="-106"/>
        </w:rPr>
        <w:t> </w:t>
      </w:r>
      <w:r>
        <w:rPr>
          <w:spacing w:val="-106"/>
        </w:rPr>
      </w:r>
      <w:r>
        <w:rPr/>
        <w:t>相关资产组的未来收入及长期收入增长率、毛利率、经营费用、折现率等涉</w:t>
      </w:r>
      <w:r>
        <w:rPr>
          <w:spacing w:val="-106"/>
        </w:rPr>
        <w:t> </w:t>
      </w:r>
      <w:r>
        <w:rPr>
          <w:spacing w:val="-106"/>
        </w:rPr>
      </w:r>
      <w:r>
        <w:rPr/>
        <w:t>及管理层的重大判断。该等估计均存在不确定性，受管理层对未来市场以及</w:t>
      </w:r>
      <w:r>
        <w:rPr>
          <w:spacing w:val="-106"/>
        </w:rPr>
        <w:t> </w:t>
      </w:r>
      <w:r>
        <w:rPr>
          <w:spacing w:val="-106"/>
        </w:rPr>
      </w:r>
      <w:r>
        <w:rPr/>
        <w:t>对经济环境判断的影响，采用不同的估计和假设会对评估的商誉可收回价值</w:t>
      </w:r>
      <w:r>
        <w:rPr>
          <w:spacing w:val="-106"/>
        </w:rPr>
        <w:t> </w:t>
      </w:r>
      <w:r>
        <w:rPr>
          <w:spacing w:val="-106"/>
        </w:rPr>
      </w:r>
      <w:r>
        <w:rPr/>
        <w:t>有很大的影响。由于商誉金额重大，且管理层需要作出重大判断，因此我们</w:t>
      </w:r>
      <w:r>
        <w:rPr>
          <w:spacing w:val="-106"/>
        </w:rPr>
        <w:t> </w:t>
      </w:r>
      <w:r>
        <w:rPr>
          <w:spacing w:val="-106"/>
        </w:rPr>
      </w:r>
      <w:r>
        <w:rPr/>
        <w:t>将商誉的减值确定为关键审计事项。</w:t>
      </w:r>
    </w:p>
    <w:p>
      <w:pPr>
        <w:pStyle w:val="Heading3"/>
        <w:spacing w:line="240" w:lineRule="auto" w:before="64"/>
        <w:ind w:right="1033" w:firstLine="0"/>
        <w:jc w:val="left"/>
      </w:pPr>
      <w:r>
        <w:rPr>
          <w:rFonts w:ascii="宋体" w:hAnsi="宋体" w:cs="宋体" w:eastAsia="宋体" w:hint="default"/>
        </w:rPr>
        <w:t>1.</w:t>
      </w:r>
      <w:r>
        <w:rPr>
          <w:rFonts w:ascii="宋体" w:hAnsi="宋体" w:cs="宋体" w:eastAsia="宋体" w:hint="default"/>
          <w:spacing w:val="-57"/>
        </w:rPr>
        <w:t> </w:t>
      </w:r>
      <w:r>
        <w:rPr/>
        <w:t>审计应对</w:t>
      </w:r>
    </w:p>
    <w:p>
      <w:pPr>
        <w:spacing w:line="240" w:lineRule="auto" w:before="9"/>
        <w:rPr>
          <w:rFonts w:ascii="宋体" w:hAnsi="宋体" w:cs="宋体" w:eastAsia="宋体" w:hint="default"/>
          <w:sz w:val="19"/>
          <w:szCs w:val="19"/>
        </w:rPr>
      </w:pPr>
    </w:p>
    <w:p>
      <w:pPr>
        <w:pStyle w:val="Heading3"/>
        <w:spacing w:line="240" w:lineRule="auto" w:before="0"/>
        <w:ind w:left="712" w:right="1033" w:firstLine="0"/>
        <w:jc w:val="left"/>
      </w:pPr>
      <w:r>
        <w:rPr/>
        <w:t>我们对于商誉减值所实施的重要审计程序包括：</w:t>
      </w:r>
    </w:p>
    <w:p>
      <w:pPr>
        <w:spacing w:line="240" w:lineRule="auto" w:before="9"/>
        <w:rPr>
          <w:rFonts w:ascii="宋体" w:hAnsi="宋体" w:cs="宋体" w:eastAsia="宋体" w:hint="default"/>
          <w:sz w:val="19"/>
          <w:szCs w:val="19"/>
        </w:rPr>
      </w:pPr>
    </w:p>
    <w:p>
      <w:pPr>
        <w:pStyle w:val="Heading3"/>
        <w:spacing w:line="386" w:lineRule="auto" w:before="0"/>
        <w:ind w:right="1133"/>
        <w:jc w:val="both"/>
      </w:pPr>
      <w:r>
        <w:rPr>
          <w:spacing w:val="-2"/>
        </w:rPr>
        <w:t>（</w:t>
      </w:r>
      <w:r>
        <w:rPr>
          <w:rFonts w:ascii="Times New Roman" w:hAnsi="Times New Roman" w:cs="Times New Roman" w:eastAsia="Times New Roman" w:hint="default"/>
          <w:spacing w:val="-2"/>
        </w:rPr>
        <w:t>1</w:t>
      </w:r>
      <w:r>
        <w:rPr>
          <w:spacing w:val="-2"/>
        </w:rPr>
        <w:t>）评价与管理层确定商誉可收回金额相关的关键内部控制的设计和运行</w:t>
      </w:r>
      <w:r>
        <w:rPr>
          <w:w w:val="100"/>
        </w:rPr>
        <w:t> </w:t>
      </w:r>
      <w:r>
        <w:rPr/>
        <w:t>有效性；</w:t>
      </w:r>
    </w:p>
    <w:p>
      <w:pPr>
        <w:pStyle w:val="Heading3"/>
        <w:spacing w:line="240" w:lineRule="auto" w:before="86"/>
        <w:ind w:left="712" w:right="1033" w:firstLine="0"/>
        <w:jc w:val="left"/>
      </w:pPr>
      <w:r>
        <w:rPr/>
        <w:t>（</w:t>
      </w:r>
      <w:r>
        <w:rPr>
          <w:rFonts w:ascii="Times New Roman" w:hAnsi="Times New Roman" w:cs="Times New Roman" w:eastAsia="Times New Roman" w:hint="default"/>
        </w:rPr>
        <w:t>2</w:t>
      </w:r>
      <w:r>
        <w:rPr/>
        <w:t>）复核管理层对资产组的认定和商誉的分摊方法；</w:t>
      </w:r>
    </w:p>
    <w:p>
      <w:pPr>
        <w:pStyle w:val="Heading3"/>
        <w:spacing w:line="386" w:lineRule="auto" w:before="236"/>
        <w:ind w:right="1134"/>
        <w:jc w:val="both"/>
      </w:pPr>
      <w:r>
        <w:rPr>
          <w:spacing w:val="-2"/>
        </w:rPr>
        <w:t>（</w:t>
      </w:r>
      <w:r>
        <w:rPr>
          <w:rFonts w:ascii="Times New Roman" w:hAnsi="Times New Roman" w:cs="Times New Roman" w:eastAsia="Times New Roman" w:hint="default"/>
          <w:spacing w:val="-2"/>
        </w:rPr>
        <w:t>3</w:t>
      </w:r>
      <w:r>
        <w:rPr>
          <w:spacing w:val="-2"/>
        </w:rPr>
        <w:t>）与新国都股份公司管理层讨论商誉减值测试过程中所使用的方法、关</w:t>
      </w:r>
      <w:r>
        <w:rPr>
          <w:w w:val="100"/>
        </w:rPr>
        <w:t> </w:t>
      </w:r>
      <w:r>
        <w:rPr/>
        <w:t>键评估的假设、参数的选择、预测未来收入及现金流折现率等的合理性；</w:t>
      </w:r>
    </w:p>
    <w:p>
      <w:pPr>
        <w:pStyle w:val="Heading3"/>
        <w:spacing w:line="398" w:lineRule="auto" w:before="86"/>
        <w:ind w:right="1133" w:firstLine="566"/>
        <w:jc w:val="both"/>
      </w:pPr>
      <w:r>
        <w:rPr>
          <w:spacing w:val="-2"/>
        </w:rPr>
        <w:t>（</w:t>
      </w:r>
      <w:r>
        <w:rPr>
          <w:rFonts w:ascii="Times New Roman" w:hAnsi="Times New Roman" w:cs="Times New Roman" w:eastAsia="Times New Roman" w:hint="default"/>
          <w:spacing w:val="-2"/>
        </w:rPr>
        <w:t>4</w:t>
      </w:r>
      <w:r>
        <w:rPr>
          <w:spacing w:val="-2"/>
        </w:rPr>
        <w:t>）与新国都股份公司管理层聘请的外部评估机构专家等讨论商誉减值测</w:t>
      </w:r>
      <w:r>
        <w:rPr>
          <w:w w:val="100"/>
        </w:rPr>
        <w:t> </w:t>
      </w:r>
      <w:r>
        <w:rPr>
          <w:spacing w:val="2"/>
        </w:rPr>
        <w:t>试过程中所使用的方法、关键评估的假设、参数的选择、预测未来收入及现金</w:t>
      </w:r>
      <w:r>
        <w:rPr>
          <w:spacing w:val="-106"/>
        </w:rPr>
        <w:t> </w:t>
      </w:r>
      <w:r>
        <w:rPr>
          <w:spacing w:val="-106"/>
        </w:rPr>
      </w:r>
      <w:r>
        <w:rPr/>
        <w:t>流折现率等的合理性；</w:t>
      </w:r>
    </w:p>
    <w:p>
      <w:pPr>
        <w:pStyle w:val="Heading3"/>
        <w:spacing w:line="398" w:lineRule="auto" w:before="72"/>
        <w:ind w:right="1133" w:firstLine="566"/>
        <w:jc w:val="both"/>
      </w:pPr>
      <w:r>
        <w:rPr>
          <w:spacing w:val="-2"/>
        </w:rPr>
        <w:t>（</w:t>
      </w:r>
      <w:r>
        <w:rPr>
          <w:rFonts w:ascii="Times New Roman" w:hAnsi="Times New Roman" w:cs="Times New Roman" w:eastAsia="Times New Roman" w:hint="default"/>
          <w:spacing w:val="-2"/>
        </w:rPr>
        <w:t>5</w:t>
      </w:r>
      <w:r>
        <w:rPr>
          <w:spacing w:val="-2"/>
        </w:rPr>
        <w:t>）结合新国都股份公司管理层在收购子公司时确定收购对价时所使用的</w:t>
      </w:r>
      <w:r>
        <w:rPr>
          <w:w w:val="100"/>
        </w:rPr>
        <w:t> </w:t>
      </w:r>
      <w:r>
        <w:rPr>
          <w:spacing w:val="2"/>
        </w:rPr>
        <w:t>关键假设和参数、预测的未来收入及现金流量等，与本年度所使用的关键假设</w:t>
      </w:r>
      <w:r>
        <w:rPr>
          <w:spacing w:val="-106"/>
        </w:rPr>
        <w:t> </w:t>
      </w:r>
      <w:r>
        <w:rPr>
          <w:spacing w:val="-106"/>
        </w:rPr>
      </w:r>
      <w:r>
        <w:rPr/>
        <w:t>和参数、本年经营业绩等作对比，并向管理层询问显著差异的原因；</w:t>
      </w:r>
    </w:p>
    <w:p>
      <w:pPr>
        <w:spacing w:after="0" w:line="398"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386" w:lineRule="auto" w:before="14"/>
        <w:ind w:right="1033" w:firstLine="566"/>
        <w:jc w:val="left"/>
      </w:pPr>
      <w:r>
        <w:rPr>
          <w:spacing w:val="-2"/>
        </w:rPr>
        <w:t>（</w:t>
      </w:r>
      <w:r>
        <w:rPr>
          <w:rFonts w:ascii="Times New Roman" w:hAnsi="Times New Roman" w:cs="Times New Roman" w:eastAsia="Times New Roman" w:hint="default"/>
          <w:spacing w:val="-2"/>
        </w:rPr>
        <w:t>6</w:t>
      </w:r>
      <w:r>
        <w:rPr>
          <w:spacing w:val="-2"/>
        </w:rPr>
        <w:t>）结合同行业标准、宏观经济和所属行业的发展趋势等，评估商誉减值</w:t>
      </w:r>
      <w:r>
        <w:rPr>
          <w:w w:val="100"/>
        </w:rPr>
        <w:t> </w:t>
      </w:r>
      <w:r>
        <w:rPr/>
        <w:t>测试过程中所使用的关键假设和参数的合理性；</w:t>
      </w:r>
    </w:p>
    <w:p>
      <w:pPr>
        <w:pStyle w:val="Heading3"/>
        <w:spacing w:line="386" w:lineRule="auto" w:before="86"/>
        <w:ind w:right="1033" w:firstLine="566"/>
        <w:jc w:val="left"/>
      </w:pPr>
      <w:r>
        <w:rPr>
          <w:spacing w:val="-2"/>
        </w:rPr>
        <w:t>（</w:t>
      </w:r>
      <w:r>
        <w:rPr>
          <w:rFonts w:ascii="Times New Roman" w:hAnsi="Times New Roman" w:cs="Times New Roman" w:eastAsia="Times New Roman" w:hint="default"/>
          <w:spacing w:val="-2"/>
        </w:rPr>
        <w:t>7</w:t>
      </w:r>
      <w:r>
        <w:rPr>
          <w:spacing w:val="-2"/>
        </w:rPr>
        <w:t>）评价由新国都股份公司管理层聘请的外部评估机构的独立性、客观性</w:t>
      </w:r>
      <w:r>
        <w:rPr>
          <w:w w:val="100"/>
        </w:rPr>
        <w:t> </w:t>
      </w:r>
      <w:r>
        <w:rPr/>
        <w:t>和资质。</w:t>
      </w:r>
    </w:p>
    <w:p>
      <w:pPr>
        <w:pStyle w:val="Heading3"/>
        <w:spacing w:line="240" w:lineRule="auto" w:before="86"/>
        <w:ind w:left="719" w:right="1033" w:firstLine="0"/>
        <w:jc w:val="left"/>
      </w:pPr>
      <w:r>
        <w:rPr/>
        <w:t>（</w:t>
      </w:r>
      <w:r>
        <w:rPr>
          <w:rFonts w:ascii="Times New Roman" w:hAnsi="Times New Roman" w:cs="Times New Roman" w:eastAsia="Times New Roman" w:hint="default"/>
        </w:rPr>
        <w:t>8</w:t>
      </w:r>
      <w:r>
        <w:rPr/>
        <w:t>）测试未来现金流量净现值的计算是否准确。</w:t>
      </w:r>
    </w:p>
    <w:p>
      <w:pPr>
        <w:pStyle w:val="Heading3"/>
        <w:spacing w:line="386" w:lineRule="auto" w:before="237"/>
        <w:ind w:right="1033" w:firstLine="566"/>
        <w:jc w:val="left"/>
      </w:pPr>
      <w:r>
        <w:rPr>
          <w:spacing w:val="-2"/>
        </w:rPr>
        <w:t>（</w:t>
      </w:r>
      <w:r>
        <w:rPr>
          <w:rFonts w:ascii="Times New Roman" w:hAnsi="Times New Roman" w:cs="Times New Roman" w:eastAsia="Times New Roman" w:hint="default"/>
          <w:spacing w:val="-2"/>
        </w:rPr>
        <w:t>9</w:t>
      </w:r>
      <w:r>
        <w:rPr>
          <w:spacing w:val="-2"/>
        </w:rPr>
        <w:t>）评估管理层于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日对商誉及其减值估计结果、财务报表的</w:t>
      </w:r>
      <w:r>
        <w:rPr>
          <w:w w:val="100"/>
        </w:rPr>
        <w:t> </w:t>
      </w:r>
      <w:r>
        <w:rPr/>
        <w:t>披露是否恰当。</w:t>
      </w:r>
    </w:p>
    <w:p>
      <w:pPr>
        <w:pStyle w:val="Heading2"/>
        <w:spacing w:line="485" w:lineRule="exact"/>
        <w:ind w:right="1033"/>
        <w:jc w:val="left"/>
        <w:rPr>
          <w:b w:val="0"/>
          <w:bCs w:val="0"/>
        </w:rPr>
      </w:pPr>
      <w:r>
        <w:rPr>
          <w:rFonts w:ascii="Arial" w:hAnsi="Arial" w:cs="Arial" w:eastAsia="Arial" w:hint="default"/>
          <w:w w:val="105"/>
        </w:rPr>
        <w:t>1.</w:t>
      </w:r>
      <w:r>
        <w:rPr>
          <w:rFonts w:ascii="Arial" w:hAnsi="Arial" w:cs="Arial" w:eastAsia="Arial" w:hint="default"/>
          <w:spacing w:val="-19"/>
          <w:w w:val="105"/>
        </w:rPr>
        <w:t> </w:t>
      </w:r>
      <w:r>
        <w:rPr>
          <w:w w:val="105"/>
        </w:rPr>
        <w:t>其他信息</w:t>
      </w:r>
      <w:r>
        <w:rPr>
          <w:b w:val="0"/>
          <w:bCs w:val="0"/>
          <w:w w:val="105"/>
        </w:rPr>
      </w:r>
    </w:p>
    <w:p>
      <w:pPr>
        <w:pStyle w:val="Heading3"/>
        <w:spacing w:line="386" w:lineRule="auto" w:before="225"/>
        <w:ind w:left="513" w:right="1033"/>
        <w:jc w:val="left"/>
      </w:pPr>
      <w:r>
        <w:rPr/>
        <w:t>新国都股份公司管理层对其他信息负责。其他信息包括</w:t>
      </w:r>
      <w:r>
        <w:rPr>
          <w:rFonts w:ascii="Times New Roman" w:hAnsi="Times New Roman" w:cs="Times New Roman" w:eastAsia="Times New Roman" w:hint="default"/>
        </w:rPr>
        <w:t>2019</w:t>
      </w:r>
      <w:r>
        <w:rPr/>
        <w:t>年度报告中</w:t>
      </w:r>
      <w:r>
        <w:rPr>
          <w:w w:val="100"/>
        </w:rPr>
        <w:t> </w:t>
      </w:r>
      <w:r>
        <w:rPr/>
        <w:t>涵盖的信息，但不包括财务报表和我们的审计报告。</w:t>
      </w:r>
    </w:p>
    <w:p>
      <w:pPr>
        <w:pStyle w:val="Heading3"/>
        <w:spacing w:line="408" w:lineRule="auto" w:before="87"/>
        <w:ind w:left="513" w:right="1033"/>
        <w:jc w:val="left"/>
      </w:pPr>
      <w:r>
        <w:rPr/>
        <w:t>我们对财务报表发表的审计意见不涵盖其他信息，我们也不对其他信息</w:t>
      </w:r>
      <w:r>
        <w:rPr>
          <w:w w:val="100"/>
        </w:rPr>
        <w:t> </w:t>
      </w:r>
      <w:r>
        <w:rPr/>
        <w:t>发表任何形式的鉴证结论。</w:t>
      </w:r>
    </w:p>
    <w:p>
      <w:pPr>
        <w:pStyle w:val="Heading3"/>
        <w:spacing w:line="408" w:lineRule="auto"/>
        <w:ind w:left="513" w:right="0"/>
        <w:jc w:val="left"/>
      </w:pPr>
      <w:r>
        <w:rPr>
          <w:spacing w:val="-5"/>
        </w:rPr>
        <w:t>结合我们对财务报表的审计，我们的责任是阅读其他信息，在此过程中，</w:t>
      </w:r>
      <w:r>
        <w:rPr>
          <w:w w:val="100"/>
        </w:rPr>
        <w:t> </w:t>
      </w:r>
      <w:r>
        <w:rPr/>
        <w:t>考虑其他信息是否与财务报表或我们在审计过程中了解的情况存在重大不一</w:t>
      </w:r>
      <w:r>
        <w:rPr>
          <w:spacing w:val="-106"/>
        </w:rPr>
        <w:t> </w:t>
      </w:r>
      <w:r>
        <w:rPr>
          <w:spacing w:val="-106"/>
        </w:rPr>
      </w:r>
      <w:r>
        <w:rPr/>
        <w:t>致或者似乎存在重大错报。</w:t>
      </w:r>
    </w:p>
    <w:p>
      <w:pPr>
        <w:pStyle w:val="Heading3"/>
        <w:spacing w:line="408" w:lineRule="auto" w:before="62"/>
        <w:ind w:left="513" w:right="1033"/>
        <w:jc w:val="left"/>
      </w:pPr>
      <w:r>
        <w:rPr/>
        <w:t>基于我们已执行的工作，如果我们确定其他信息存在重大错报，我们应</w:t>
      </w:r>
      <w:r>
        <w:rPr>
          <w:w w:val="100"/>
        </w:rPr>
        <w:t> </w:t>
      </w:r>
      <w:r>
        <w:rPr/>
        <w:t>当报告该事实。在这方面，我们无任何事项需要报告。</w:t>
      </w:r>
    </w:p>
    <w:p>
      <w:pPr>
        <w:pStyle w:val="Heading2"/>
        <w:spacing w:line="460" w:lineRule="exact"/>
        <w:ind w:right="1033"/>
        <w:jc w:val="left"/>
        <w:rPr>
          <w:b w:val="0"/>
          <w:bCs w:val="0"/>
        </w:rPr>
      </w:pPr>
      <w:r>
        <w:rPr>
          <w:rFonts w:ascii="Arial" w:hAnsi="Arial" w:cs="Arial" w:eastAsia="Arial" w:hint="default"/>
        </w:rPr>
        <w:t>1.</w:t>
      </w:r>
      <w:r>
        <w:rPr>
          <w:rFonts w:ascii="Arial" w:hAnsi="Arial" w:cs="Arial" w:eastAsia="Arial" w:hint="default"/>
          <w:spacing w:val="64"/>
        </w:rPr>
        <w:t> </w:t>
      </w:r>
      <w:r>
        <w:rPr/>
        <w:t>管理层和治理层对财务报表的责任</w:t>
      </w:r>
      <w:r>
        <w:rPr>
          <w:b w:val="0"/>
          <w:bCs w:val="0"/>
        </w:rPr>
      </w:r>
    </w:p>
    <w:p>
      <w:pPr>
        <w:pStyle w:val="Heading3"/>
        <w:spacing w:line="408" w:lineRule="auto" w:before="225"/>
        <w:ind w:left="513" w:right="1129"/>
        <w:jc w:val="both"/>
      </w:pPr>
      <w:r>
        <w:rPr/>
        <w:t>新国都股份公司管理层负责按照企业会计准则的规定编制财务报表，使</w:t>
      </w:r>
      <w:r>
        <w:rPr>
          <w:w w:val="100"/>
        </w:rPr>
        <w:t> </w:t>
      </w:r>
      <w:r>
        <w:rPr/>
        <w:t>其实现公允反映，并设计、执行和维护必要的内部控制，以使财务报表不存</w:t>
      </w:r>
      <w:r>
        <w:rPr>
          <w:spacing w:val="-106"/>
        </w:rPr>
        <w:t> </w:t>
      </w:r>
      <w:r>
        <w:rPr>
          <w:spacing w:val="-106"/>
        </w:rPr>
      </w:r>
      <w:r>
        <w:rPr/>
        <w:t>在由于舞弊或错误导致的重大错报。</w:t>
      </w:r>
    </w:p>
    <w:p>
      <w:pPr>
        <w:pStyle w:val="Heading3"/>
        <w:spacing w:line="240" w:lineRule="auto"/>
        <w:ind w:left="1072" w:right="1033" w:firstLine="0"/>
        <w:jc w:val="left"/>
      </w:pPr>
      <w:r>
        <w:rPr/>
        <w:t>在编制财务报表时，新国都股份公司管理层负责评估新国都股份公司的</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408" w:lineRule="auto" w:before="14"/>
        <w:ind w:left="513" w:right="0" w:firstLine="0"/>
        <w:jc w:val="left"/>
      </w:pPr>
      <w:r>
        <w:rPr/>
        <w:t>持续经营能力，披露与持续经营相关的事项（如适用），并运用持续经营假</w:t>
      </w:r>
      <w:r>
        <w:rPr>
          <w:spacing w:val="-106"/>
        </w:rPr>
        <w:t> </w:t>
      </w:r>
      <w:r>
        <w:rPr>
          <w:spacing w:val="-106"/>
        </w:rPr>
      </w:r>
      <w:r>
        <w:rPr>
          <w:spacing w:val="-5"/>
        </w:rPr>
        <w:t>设，除非管理层计划清算新国都股份公司、终止运营或别无其他现实的选择。</w:t>
      </w:r>
    </w:p>
    <w:p>
      <w:pPr>
        <w:spacing w:line="350" w:lineRule="auto" w:before="61"/>
        <w:ind w:left="153" w:right="3553" w:firstLine="919"/>
        <w:jc w:val="left"/>
        <w:rPr>
          <w:rFonts w:ascii="Microsoft JhengHei" w:hAnsi="Microsoft JhengHei" w:cs="Microsoft JhengHei" w:eastAsia="Microsoft JhengHei" w:hint="default"/>
          <w:sz w:val="28"/>
          <w:szCs w:val="28"/>
        </w:rPr>
      </w:pPr>
      <w:r>
        <w:rPr>
          <w:rFonts w:ascii="宋体" w:hAnsi="宋体" w:cs="宋体" w:eastAsia="宋体" w:hint="default"/>
          <w:spacing w:val="-1"/>
          <w:sz w:val="28"/>
          <w:szCs w:val="28"/>
        </w:rPr>
        <w:t>治理层负责监督新国都股份公司的财务报告过程。</w:t>
      </w:r>
      <w:r>
        <w:rPr>
          <w:rFonts w:ascii="宋体" w:hAnsi="宋体" w:cs="宋体" w:eastAsia="宋体" w:hint="default"/>
          <w:w w:val="100"/>
          <w:sz w:val="28"/>
          <w:szCs w:val="28"/>
        </w:rPr>
        <w:t> </w:t>
      </w:r>
      <w:r>
        <w:rPr>
          <w:rFonts w:ascii="Arial" w:hAnsi="Arial" w:cs="Arial" w:eastAsia="Arial" w:hint="default"/>
          <w:b/>
          <w:bCs/>
          <w:sz w:val="28"/>
          <w:szCs w:val="28"/>
        </w:rPr>
        <w:t>1.</w:t>
      </w:r>
      <w:r>
        <w:rPr>
          <w:rFonts w:ascii="Arial" w:hAnsi="Arial" w:cs="Arial" w:eastAsia="Arial" w:hint="default"/>
          <w:b/>
          <w:bCs/>
          <w:spacing w:val="64"/>
          <w:sz w:val="28"/>
          <w:szCs w:val="28"/>
        </w:rPr>
        <w:t> </w:t>
      </w:r>
      <w:r>
        <w:rPr>
          <w:rFonts w:ascii="Microsoft JhengHei" w:hAnsi="Microsoft JhengHei" w:cs="Microsoft JhengHei" w:eastAsia="Microsoft JhengHei" w:hint="default"/>
          <w:b/>
          <w:bCs/>
          <w:sz w:val="28"/>
          <w:szCs w:val="28"/>
        </w:rPr>
        <w:t>注册会计师对财务报表审计的责任</w:t>
      </w:r>
      <w:r>
        <w:rPr>
          <w:rFonts w:ascii="Microsoft JhengHei" w:hAnsi="Microsoft JhengHei" w:cs="Microsoft JhengHei" w:eastAsia="Microsoft JhengHei" w:hint="default"/>
          <w:sz w:val="28"/>
          <w:szCs w:val="28"/>
        </w:rPr>
      </w:r>
    </w:p>
    <w:p>
      <w:pPr>
        <w:pStyle w:val="Heading3"/>
        <w:spacing w:line="408" w:lineRule="auto" w:before="54"/>
        <w:ind w:right="1133"/>
        <w:jc w:val="both"/>
      </w:pPr>
      <w:r>
        <w:rPr>
          <w:spacing w:val="2"/>
        </w:rPr>
        <w:t>我们的目标是对财务报表整体是否不存在由于舞弊或错误导致的重大错报</w:t>
      </w:r>
      <w:r>
        <w:rPr>
          <w:w w:val="100"/>
        </w:rPr>
        <w:t> </w:t>
      </w:r>
      <w:r>
        <w:rPr>
          <w:spacing w:val="2"/>
        </w:rPr>
        <w:t>获取合理保证，并出具包含审计意见的审计报告。合理保证是高水平的保证，</w:t>
      </w:r>
      <w:r>
        <w:rPr>
          <w:spacing w:val="-108"/>
        </w:rPr>
        <w:t> </w:t>
      </w:r>
      <w:r>
        <w:rPr>
          <w:spacing w:val="-108"/>
        </w:rPr>
      </w:r>
      <w:r>
        <w:rPr>
          <w:spacing w:val="2"/>
        </w:rPr>
        <w:t>但并不能保证按照审计准则执行的审计在某一重大错报存在时总能发现。错报</w:t>
      </w:r>
      <w:r>
        <w:rPr>
          <w:spacing w:val="-106"/>
        </w:rPr>
        <w:t> </w:t>
      </w:r>
      <w:r>
        <w:rPr>
          <w:spacing w:val="-106"/>
        </w:rPr>
      </w:r>
      <w:r>
        <w:rPr>
          <w:spacing w:val="2"/>
        </w:rPr>
        <w:t>可能由于舞弊或错误导致，如果合理预期错报单独或汇总起来可能影响财务报</w:t>
      </w:r>
      <w:r>
        <w:rPr>
          <w:spacing w:val="-106"/>
        </w:rPr>
        <w:t> </w:t>
      </w:r>
      <w:r>
        <w:rPr>
          <w:spacing w:val="-106"/>
        </w:rPr>
      </w:r>
      <w:r>
        <w:rPr/>
        <w:t>表使用者依据财务报表作出的经济决策，则通常认为错报是重大的。</w:t>
      </w:r>
    </w:p>
    <w:p>
      <w:pPr>
        <w:pStyle w:val="Heading3"/>
        <w:spacing w:line="408" w:lineRule="auto"/>
        <w:ind w:right="1136"/>
        <w:jc w:val="both"/>
      </w:pPr>
      <w:r>
        <w:rPr>
          <w:spacing w:val="2"/>
        </w:rPr>
        <w:t>在按照审计准则执行审计工作的过程中，我们运用职业判断，并保持职业</w:t>
      </w:r>
      <w:r>
        <w:rPr>
          <w:w w:val="100"/>
        </w:rPr>
        <w:t> </w:t>
      </w:r>
      <w:r>
        <w:rPr/>
        <w:t>怀疑。同时，我们也执行以下工作：</w:t>
      </w:r>
    </w:p>
    <w:p>
      <w:pPr>
        <w:pStyle w:val="Heading3"/>
        <w:spacing w:line="408" w:lineRule="auto"/>
        <w:ind w:left="513" w:right="1135" w:hanging="360"/>
        <w:jc w:val="both"/>
      </w:pPr>
      <w:r>
        <w:rPr>
          <w:rFonts w:ascii="宋体" w:hAnsi="宋体" w:cs="宋体" w:eastAsia="宋体" w:hint="default"/>
        </w:rPr>
        <w:t>1.</w:t>
      </w:r>
      <w:r>
        <w:rPr>
          <w:rFonts w:ascii="宋体" w:hAnsi="宋体" w:cs="宋体" w:eastAsia="宋体" w:hint="default"/>
          <w:spacing w:val="-30"/>
        </w:rPr>
        <w:t> </w:t>
      </w:r>
      <w:r>
        <w:rPr/>
        <w:t>识别和评估由于舞弊或错误导致的财务报表重大错报风险，设计和实施审计</w:t>
      </w:r>
      <w:r>
        <w:rPr>
          <w:spacing w:val="-137"/>
        </w:rPr>
        <w:t> </w:t>
      </w:r>
      <w:r>
        <w:rPr>
          <w:spacing w:val="-137"/>
        </w:rPr>
      </w:r>
      <w:r>
        <w:rPr/>
        <w:t>程序以应对这些风险，并获取充分、适当的审计证据，作为发表审计意见的</w:t>
      </w:r>
      <w:r>
        <w:rPr>
          <w:w w:val="100"/>
        </w:rPr>
        <w:t> </w:t>
      </w:r>
      <w:r>
        <w:rPr/>
        <w:t>基础。由于舞弊可能涉及串通、伪造、故意遗漏、虚假陈述或凌驾于内部控</w:t>
      </w:r>
      <w:r>
        <w:rPr>
          <w:w w:val="100"/>
        </w:rPr>
        <w:t> </w:t>
      </w:r>
      <w:r>
        <w:rPr/>
        <w:t>制之上，未能发现由于舞弊导致的重大错报的风险高于未能发现由于错误导</w:t>
      </w:r>
      <w:r>
        <w:rPr>
          <w:w w:val="100"/>
        </w:rPr>
        <w:t> </w:t>
      </w:r>
      <w:r>
        <w:rPr/>
        <w:t>致的重大错报的风险。</w:t>
      </w:r>
    </w:p>
    <w:p>
      <w:pPr>
        <w:pStyle w:val="Heading3"/>
        <w:spacing w:line="408" w:lineRule="auto"/>
        <w:ind w:left="513" w:right="1123" w:hanging="360"/>
        <w:jc w:val="left"/>
      </w:pPr>
      <w:r>
        <w:rPr>
          <w:rFonts w:ascii="宋体" w:hAnsi="宋体" w:cs="宋体" w:eastAsia="宋体" w:hint="default"/>
        </w:rPr>
        <w:t>2.</w:t>
      </w:r>
      <w:r>
        <w:rPr>
          <w:rFonts w:ascii="宋体" w:hAnsi="宋体" w:cs="宋体" w:eastAsia="宋体" w:hint="default"/>
          <w:spacing w:val="-30"/>
        </w:rPr>
        <w:t> </w:t>
      </w:r>
      <w:r>
        <w:rPr/>
        <w:t>了解与审计相关的内部控制，以设计恰当的审计程序，但目的并非对内部控</w:t>
      </w:r>
      <w:r>
        <w:rPr>
          <w:spacing w:val="-137"/>
        </w:rPr>
        <w:t> </w:t>
      </w:r>
      <w:r>
        <w:rPr>
          <w:spacing w:val="-137"/>
        </w:rPr>
      </w:r>
      <w:r>
        <w:rPr/>
        <w:t>制的有效性发表意见。</w:t>
      </w:r>
    </w:p>
    <w:p>
      <w:pPr>
        <w:pStyle w:val="Heading3"/>
        <w:spacing w:line="240" w:lineRule="auto"/>
        <w:ind w:right="1033" w:firstLine="0"/>
        <w:jc w:val="left"/>
      </w:pPr>
      <w:r>
        <w:rPr>
          <w:rFonts w:ascii="宋体" w:hAnsi="宋体" w:cs="宋体" w:eastAsia="宋体" w:hint="default"/>
        </w:rPr>
        <w:t>3.</w:t>
      </w:r>
      <w:r>
        <w:rPr>
          <w:rFonts w:ascii="宋体" w:hAnsi="宋体" w:cs="宋体" w:eastAsia="宋体" w:hint="default"/>
          <w:spacing w:val="-68"/>
        </w:rPr>
        <w:t> </w:t>
      </w:r>
      <w:r>
        <w:rPr/>
        <w:t>评价管理层选用会计政策的恰当性和作出会计估计及相关披露的合理性。</w:t>
      </w:r>
    </w:p>
    <w:p>
      <w:pPr>
        <w:spacing w:line="240" w:lineRule="auto" w:before="9"/>
        <w:rPr>
          <w:rFonts w:ascii="宋体" w:hAnsi="宋体" w:cs="宋体" w:eastAsia="宋体" w:hint="default"/>
          <w:sz w:val="19"/>
          <w:szCs w:val="19"/>
        </w:rPr>
      </w:pPr>
    </w:p>
    <w:p>
      <w:pPr>
        <w:pStyle w:val="Heading3"/>
        <w:spacing w:line="408" w:lineRule="auto" w:before="0"/>
        <w:ind w:left="513" w:right="986" w:hanging="360"/>
        <w:jc w:val="left"/>
      </w:pPr>
      <w:r>
        <w:rPr>
          <w:rFonts w:ascii="宋体" w:hAnsi="宋体" w:cs="宋体" w:eastAsia="宋体" w:hint="default"/>
        </w:rPr>
        <w:t>4.</w:t>
      </w:r>
      <w:r>
        <w:rPr>
          <w:rFonts w:ascii="宋体" w:hAnsi="宋体" w:cs="宋体" w:eastAsia="宋体" w:hint="default"/>
          <w:spacing w:val="-37"/>
        </w:rPr>
        <w:t> </w:t>
      </w:r>
      <w:r>
        <w:rPr>
          <w:spacing w:val="-4"/>
        </w:rPr>
        <w:t>对管理层使用持续经营假设的恰当性得出结论。同时，根据获取的审计证据，</w:t>
      </w:r>
      <w:r>
        <w:rPr>
          <w:spacing w:val="-136"/>
        </w:rPr>
        <w:t> </w:t>
      </w:r>
      <w:r>
        <w:rPr>
          <w:spacing w:val="-136"/>
        </w:rPr>
      </w:r>
      <w:r>
        <w:rPr/>
        <w:t>就可能导致对新国都股份公司持续经营能力产生重大疑虑的事项或情况是否</w:t>
      </w:r>
      <w:r>
        <w:rPr>
          <w:w w:val="100"/>
        </w:rPr>
        <w:t> </w:t>
      </w:r>
      <w:r>
        <w:rPr/>
        <w:t>存在重大不确定性得出结论。如果我们得出结论认为存在重大不确定性，审</w:t>
      </w:r>
    </w:p>
    <w:p>
      <w:pPr>
        <w:spacing w:after="0" w:line="40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408" w:lineRule="auto" w:before="14"/>
        <w:ind w:left="513" w:right="1135" w:firstLine="0"/>
        <w:jc w:val="both"/>
      </w:pPr>
      <w:r>
        <w:rPr/>
        <w:t>计准则要求我们在审计报告中提请报告使用者注意财务报表中的相关披露；</w:t>
      </w:r>
      <w:r>
        <w:rPr>
          <w:spacing w:val="-106"/>
        </w:rPr>
        <w:t> </w:t>
      </w:r>
      <w:r>
        <w:rPr>
          <w:spacing w:val="-106"/>
        </w:rPr>
      </w:r>
      <w:r>
        <w:rPr/>
        <w:t>如果披露不充分，我们应当发表非无保留意见。我们的结论基于截至审计报</w:t>
      </w:r>
      <w:r>
        <w:rPr>
          <w:spacing w:val="-106"/>
        </w:rPr>
        <w:t> </w:t>
      </w:r>
      <w:r>
        <w:rPr>
          <w:spacing w:val="-106"/>
        </w:rPr>
      </w:r>
      <w:r>
        <w:rPr/>
        <w:t>告日可获得的信息。然而，未来的事项或情况可能导致新国都股份公司不能</w:t>
      </w:r>
      <w:r>
        <w:rPr>
          <w:spacing w:val="-106"/>
        </w:rPr>
        <w:t> </w:t>
      </w:r>
      <w:r>
        <w:rPr>
          <w:spacing w:val="-106"/>
        </w:rPr>
      </w:r>
      <w:r>
        <w:rPr/>
        <w:t>持续经营。</w:t>
      </w:r>
    </w:p>
    <w:p>
      <w:pPr>
        <w:pStyle w:val="Heading3"/>
        <w:spacing w:line="408" w:lineRule="auto"/>
        <w:ind w:left="513" w:right="1123" w:hanging="360"/>
        <w:jc w:val="left"/>
      </w:pPr>
      <w:r>
        <w:rPr>
          <w:rFonts w:ascii="宋体" w:hAnsi="宋体" w:cs="宋体" w:eastAsia="宋体" w:hint="default"/>
        </w:rPr>
        <w:t>5.</w:t>
      </w:r>
      <w:r>
        <w:rPr>
          <w:rFonts w:ascii="宋体" w:hAnsi="宋体" w:cs="宋体" w:eastAsia="宋体" w:hint="default"/>
          <w:spacing w:val="-30"/>
        </w:rPr>
        <w:t> </w:t>
      </w:r>
      <w:r>
        <w:rPr/>
        <w:t>评价财务报表的总体列报、结构和内容，并评价财务报表是否公允反映相关</w:t>
      </w:r>
      <w:r>
        <w:rPr>
          <w:spacing w:val="-137"/>
        </w:rPr>
        <w:t> </w:t>
      </w:r>
      <w:r>
        <w:rPr>
          <w:spacing w:val="-137"/>
        </w:rPr>
      </w:r>
      <w:r>
        <w:rPr/>
        <w:t>交易和事项。</w:t>
      </w:r>
    </w:p>
    <w:p>
      <w:pPr>
        <w:pStyle w:val="Heading3"/>
        <w:spacing w:line="408" w:lineRule="auto"/>
        <w:ind w:left="513" w:right="992" w:hanging="360"/>
        <w:jc w:val="left"/>
      </w:pPr>
      <w:r>
        <w:rPr>
          <w:rFonts w:ascii="宋体" w:hAnsi="宋体" w:cs="宋体" w:eastAsia="宋体" w:hint="default"/>
        </w:rPr>
        <w:t>6.</w:t>
      </w:r>
      <w:r>
        <w:rPr>
          <w:rFonts w:ascii="宋体" w:hAnsi="宋体" w:cs="宋体" w:eastAsia="宋体" w:hint="default"/>
          <w:spacing w:val="-9"/>
        </w:rPr>
        <w:t> </w:t>
      </w:r>
      <w:r>
        <w:rPr>
          <w:spacing w:val="-5"/>
        </w:rPr>
        <w:t>就新国都股份公司中实体或业务活动的财务信息获取充分、适当的审计证据，</w:t>
      </w:r>
      <w:r>
        <w:rPr>
          <w:spacing w:val="-132"/>
        </w:rPr>
        <w:t> </w:t>
      </w:r>
      <w:r>
        <w:rPr>
          <w:spacing w:val="-132"/>
        </w:rPr>
      </w:r>
      <w:r>
        <w:rPr/>
        <w:t>以对财务报表发表意见。我们负责指导、监督和执行集团审计。我们对审计</w:t>
      </w:r>
      <w:r>
        <w:rPr>
          <w:w w:val="100"/>
        </w:rPr>
        <w:t> </w:t>
      </w:r>
      <w:r>
        <w:rPr/>
        <w:t>意见承担全部责任。</w:t>
      </w:r>
    </w:p>
    <w:p>
      <w:pPr>
        <w:pStyle w:val="Heading3"/>
        <w:spacing w:line="408" w:lineRule="auto"/>
        <w:ind w:right="1131"/>
        <w:jc w:val="both"/>
      </w:pPr>
      <w:r>
        <w:rPr>
          <w:spacing w:val="2"/>
        </w:rPr>
        <w:t>我们与治理层就计划的审计范围、时间安排和重大审计发现等事项进行沟</w:t>
      </w:r>
      <w:r>
        <w:rPr>
          <w:w w:val="100"/>
        </w:rPr>
        <w:t> </w:t>
      </w:r>
      <w:r>
        <w:rPr/>
        <w:t>通，包括沟通我们在审计中识别出的值得关注的内部控制缺陷。</w:t>
      </w:r>
    </w:p>
    <w:p>
      <w:pPr>
        <w:pStyle w:val="Heading3"/>
        <w:spacing w:line="408" w:lineRule="auto"/>
        <w:ind w:right="1133"/>
        <w:jc w:val="both"/>
      </w:pPr>
      <w:r>
        <w:rPr>
          <w:spacing w:val="2"/>
        </w:rPr>
        <w:t>我们还就已遵守与独立性相关的职业道德要求向治理层提供声明，并与治</w:t>
      </w:r>
      <w:r>
        <w:rPr>
          <w:w w:val="100"/>
        </w:rPr>
        <w:t> </w:t>
      </w:r>
      <w:r>
        <w:rPr>
          <w:spacing w:val="2"/>
        </w:rPr>
        <w:t>理层沟通可能被合理认为影响我们独立性的所有关系和其他事项，以及相关的</w:t>
      </w:r>
      <w:r>
        <w:rPr>
          <w:spacing w:val="-106"/>
        </w:rPr>
        <w:t> </w:t>
      </w:r>
      <w:r>
        <w:rPr>
          <w:spacing w:val="-106"/>
        </w:rPr>
      </w:r>
      <w:r>
        <w:rPr/>
        <w:t>防范措施（如适用）。</w:t>
      </w:r>
    </w:p>
    <w:p>
      <w:pPr>
        <w:pStyle w:val="Heading3"/>
        <w:spacing w:line="408" w:lineRule="auto"/>
        <w:ind w:right="1133"/>
        <w:jc w:val="both"/>
      </w:pPr>
      <w:r>
        <w:rPr>
          <w:spacing w:val="2"/>
        </w:rPr>
        <w:t>从与治理层沟通过的事项中，我们确定哪些事项对本期财务报表审计最为</w:t>
      </w:r>
      <w:r>
        <w:rPr>
          <w:w w:val="100"/>
        </w:rPr>
        <w:t> </w:t>
      </w:r>
      <w:r>
        <w:rPr>
          <w:spacing w:val="2"/>
        </w:rPr>
        <w:t>重要，因而构成关键审计事项。我们在审计报告中描述这些事项，除非法律法</w:t>
      </w:r>
      <w:r>
        <w:rPr>
          <w:spacing w:val="-106"/>
        </w:rPr>
        <w:t> </w:t>
      </w:r>
      <w:r>
        <w:rPr>
          <w:spacing w:val="-106"/>
        </w:rPr>
      </w:r>
      <w:r>
        <w:rPr>
          <w:spacing w:val="2"/>
        </w:rPr>
        <w:t>规禁止公开披露这些事项，或在极少数情形下，如果合理预期在审计报告中沟</w:t>
      </w:r>
      <w:r>
        <w:rPr>
          <w:spacing w:val="-106"/>
        </w:rPr>
        <w:t> </w:t>
      </w:r>
      <w:r>
        <w:rPr>
          <w:spacing w:val="-106"/>
        </w:rPr>
      </w:r>
      <w:r>
        <w:rPr>
          <w:spacing w:val="2"/>
        </w:rPr>
        <w:t>通某事项造成的负面后果超过在公众利益方面产生的益处，我们确定不应在审</w:t>
      </w:r>
      <w:r>
        <w:rPr>
          <w:spacing w:val="-106"/>
        </w:rPr>
        <w:t> </w:t>
      </w:r>
      <w:r>
        <w:rPr>
          <w:spacing w:val="-106"/>
        </w:rPr>
      </w:r>
      <w:r>
        <w:rPr/>
        <w:t>计报告中沟通该事项。</w:t>
      </w:r>
    </w:p>
    <w:p>
      <w:pPr>
        <w:spacing w:line="240" w:lineRule="auto" w:before="3"/>
        <w:rPr>
          <w:rFonts w:ascii="宋体" w:hAnsi="宋体" w:cs="宋体" w:eastAsia="宋体" w:hint="default"/>
          <w:sz w:val="36"/>
          <w:szCs w:val="36"/>
        </w:rPr>
      </w:pPr>
    </w:p>
    <w:p>
      <w:pPr>
        <w:pStyle w:val="Heading4"/>
        <w:spacing w:line="240" w:lineRule="auto"/>
        <w:ind w:right="1033"/>
        <w:jc w:val="left"/>
        <w:rPr>
          <w:b w:val="0"/>
          <w:bCs w:val="0"/>
        </w:rPr>
      </w:pPr>
      <w:r>
        <w:rPr/>
        <w:t>二、财务报表</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1033"/>
        <w:jc w:val="left"/>
      </w:pPr>
      <w:r>
        <w:rPr/>
        <w:t>财务附注中报表的单位为：元</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t>编制单位：深圳市新国都股份有限公司</w:t>
      </w:r>
    </w:p>
    <w:p>
      <w:pPr>
        <w:pStyle w:val="BodyText"/>
        <w:spacing w:line="240" w:lineRule="auto" w:before="115"/>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1,181,384,095.27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1,329,870,820.76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94,338,229.47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70,983,965.08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471,423,150.81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332,465,986.93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17,851,486.47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25,219,758.12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264,675,252.90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20,941,772.99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738,461.24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160,309,553.93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268,418,278.53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66,210,057.56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462,884,719.30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2,256,191,826.41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2,510,785,301.71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20,855,493.66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8,429,417.89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18,798,768.71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51,895,161.64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405,312,497.19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8,306,013.42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42,281,739.98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899,469,835.30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1,094,841,722.26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20,980,678.76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27,856,006.85</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45,453,450.24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20,881,806.86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747,250.00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12,087.63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1,116,506,651.73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1,649,615,278.66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3,372,698,478.14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4,160,400,580.37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28,498,254.49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86,222,852.24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171,454,432.98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227,687,142.13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24,708,200.95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19,606,130.50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64,258,605.69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56,437,170.72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7,515,331.05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26,761,901.80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225,988,606.33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177,593,143.15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270,968.14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17,938,729.86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6,732,119.40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509,576,724.13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562,423,431.49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1,912,885,064.67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296,603,773.58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44,114,650.04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15,621,310.50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23,980,654.70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786,066.55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2,731,614.96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357,125,800.67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126,712,269.66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919,549,232.16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2,039,597,334.33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488,562,478.00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477,897,755.00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1,052,842,957.95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907,618,858.64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53,887,596.73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8,108,708.97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-436,059.85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-742,793.98</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82,516,917.15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54,522,847.29</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882,460,301.87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667,961,389.07</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2,452,058,998.39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2,099,149,347.05</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1,090,247.59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21,653,898.99</w:t>
            </w:r>
          </w:p>
        </w:tc>
      </w:tr>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2,453,149,245.98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2,120,803,246.04</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3,372,698,478.14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4,160,400,580.37</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1033"/>
        <w:jc w:val="left"/>
      </w:pPr>
      <w:r>
        <w:rPr/>
        <w:t>法定代表人：刘祥</w:t>
        <w:tab/>
      </w:r>
      <w:r>
        <w:rPr>
          <w:spacing w:val="-1"/>
        </w:rPr>
        <w:t>主管会计工作负责人：宋菁</w:t>
        <w:tab/>
      </w:r>
      <w:r>
        <w:rPr/>
        <w:t>会计机构负责人：钱瑜</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389,106,807.89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397,475,695.04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17,276,420.32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27,773,815.42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3,328,717.87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3,872,414.97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263,286,584.68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4,693,931.34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2,867,507.43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192,468,416.81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675,866,038.19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626,284,273.58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11,145,918.82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11,145,918.82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2,089,273,276.25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2,520,930,580.88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22,031,562.66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23,184,374.19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2,224,093.90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3,337,597.82</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5,357,982.85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5,173,823.45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2,180,032,834.48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2,613,772,295.16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2,855,898,872.67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3,240,056,568.74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458,000,000.00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7,095,217.15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8,144,728.85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2,170,852.73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2,894,386.55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6,294,886.00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4,014,062.80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634,113.20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757,566.03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435,043,091.79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430,769,070.55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220,218.14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509,576,724.13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451,238,160.87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1,414,156,538.91</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296,603,773.58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9,018,187.67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10,264,428.87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305,621,961.25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110,264,428.87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756,860,122.12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1,524,420,967.78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488,562,478.00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477,897,755.00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1,063,682,564.65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918,458,422.02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53,887,596.73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8,108,708.97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84,724,120.05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54,522,847.29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515,957,184.58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272,865,285.62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2,099,038,750.55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1,715,635,600.96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2,855,898,872.67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3,240,056,568.74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r>
        <w:rPr/>
        <w:pict>
          <v:group style="position:absolute;margin-left:211.009995pt;margin-top:705.299988pt;width:158.9pt;height:20.8pt;mso-position-horizontal-relative:page;mso-position-vertical-relative:page;z-index:-1258072" coordorigin="4220,14106" coordsize="3178,416">
            <v:group style="position:absolute;left:4231;top:14117;width:2;height:394" coordorigin="4231,14117" coordsize="2,394">
              <v:shape style="position:absolute;left:4231;top:14117;width:2;height:394" coordorigin="4231,14117" coordsize="0,394" path="m4231,14117l4231,14510e" filled="false" stroked="true" strokeweight="1.08pt" strokecolor="#ffffff">
                <v:path arrowok="t"/>
              </v:shape>
            </v:group>
            <v:group style="position:absolute;left:4242;top:14117;width:3157;height:394" coordorigin="4242,14117" coordsize="3157,394">
              <v:shape style="position:absolute;left:4242;top:14117;width:3157;height:394" coordorigin="4242,14117" coordsize="3157,394" path="m4242,14510l7398,14510,7398,14117,4242,14117,4242,14510xe" filled="true" fillcolor="#ffffff" stroked="false">
                <v:path arrowok="t"/>
                <v:fill type="solid"/>
              </v:shape>
            </v:group>
            <w10:wrap type="none"/>
          </v:group>
        </w:pict>
      </w:r>
    </w:p>
    <w:p>
      <w:pPr>
        <w:pStyle w:val="Heading5"/>
        <w:spacing w:line="335" w:lineRule="exact"/>
        <w:ind w:right="10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3,027,887,474.72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2,319,327,318.57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3,027,887,474.72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2,319,327,318.57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2,785,611,370.03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2,137,658,089.54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2,176,234,950.24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1,577,455,302.93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15,908,303.21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13,795,991.84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166,002,366.20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137,013,893.60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193,834,030.24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154,636,182.86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223,649,428.51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201,855,380.01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9,982,291.63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52,901,338.30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33,901,863.11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68,212,860.48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13,207,308.89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10,689,481.80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100,382,238.62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62,658,434.57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137,364,773.85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35,253,734.89</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-2,537,671.84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079"/>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0" w:firstLine="720"/>
              <w:jc w:val="left"/>
              <w:rPr>
                <w:rFonts w:ascii="宋体" w:hAnsi="宋体" w:cs="宋体" w:eastAsia="宋体"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275.149994pt;width:158.9pt;height:20.65pt;mso-position-horizontal-relative:page;mso-position-vertical-relative:page;z-index:-1258048" coordorigin="4220,5503" coordsize="3178,413">
            <v:group style="position:absolute;left:4231;top:5514;width:2;height:392" coordorigin="4231,5514" coordsize="2,392">
              <v:shape style="position:absolute;left:4231;top:5514;width:2;height:392" coordorigin="4231,5514" coordsize="0,392" path="m4231,5514l4231,5905e" filled="false" stroked="true" strokeweight="1.08pt" strokecolor="#ffffff">
                <v:path arrowok="t"/>
              </v:shape>
            </v:group>
            <v:group style="position:absolute;left:4242;top:5514;width:3157;height:392" coordorigin="4242,5514" coordsize="3157,392">
              <v:shape style="position:absolute;left:4242;top:5514;width:3157;height:392" coordorigin="4242,5514" coordsize="3157,392" path="m4242,5905l7398,5905,7398,5514,4242,5514,4242,590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2"/>
        <w:gridCol w:w="2151"/>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-33,686,206.03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-207,018,079.37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-17,990,906.71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65,447.13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-12,864.68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239,384,278.89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261,577,627.10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17,001.08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97,840.84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1,574,374.60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461,807.82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237,826,905.37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261,213,660.12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-5,207,151.51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13,207,210.51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243,034,056.88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248,006,449.61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243,034,056.88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248,006,449.61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242,492,982.66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247,879,868.58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541,074.22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126,581.03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306,734.13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8,948,200.38</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306,734.13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8,948,200.38</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306,734.13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8,948,200.38</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9,628,574.80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306,734.13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-680,374.42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243,340,791.01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256,954,649.99</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242,799,716.79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256,828,068.96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541,074.22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126,581.03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0.52</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0.52</w:t>
            </w:r>
          </w:p>
        </w:tc>
      </w:tr>
    </w:tbl>
    <w:p>
      <w:pPr>
        <w:pStyle w:val="BodyText"/>
        <w:tabs>
          <w:tab w:pos="3667" w:val="left" w:leader="none"/>
          <w:tab w:pos="7899" w:val="left" w:leader="none"/>
        </w:tabs>
        <w:spacing w:line="588" w:lineRule="auto" w:before="49"/>
        <w:ind w:right="1224"/>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 </w:t>
      </w:r>
      <w:r>
        <w:rPr/>
        <w:t>法定代表人：刘祥</w:t>
        <w:tab/>
      </w:r>
      <w:r>
        <w:rPr>
          <w:spacing w:val="-1"/>
        </w:rPr>
        <w:t>主管会计工作负责人：宋菁</w:t>
        <w:tab/>
      </w:r>
      <w:r>
        <w:rPr/>
        <w:t>会计机构负责人：钱瑜</w:t>
      </w:r>
    </w:p>
    <w:p>
      <w:pPr>
        <w:pStyle w:val="Heading5"/>
        <w:spacing w:line="240" w:lineRule="auto" w:before="28"/>
        <w:ind w:right="10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27,102,407.48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69,850,334.81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3,438,385.01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38,509,374.28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411,081.68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173,770.01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1,660,787.59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225,384.23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59,089,596.13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49,547,513.15</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19,271,269.86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18,357,755.74</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16,107,067.22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51,022,698.42</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18,346,812.19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54,367,385.68</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2,327,408.43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3,477,941.70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7,408,859.82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11,159,021.58</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475,194,886.47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136,871,539.10</w:t>
            </w:r>
          </w:p>
        </w:tc>
      </w:tr>
      <w:tr>
        <w:trPr>
          <w:trHeight w:val="716"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0" w:firstLine="1079"/>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-14,604,328.90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-114,986,853.27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-1,700,004.86</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98,808.32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280,235,592.43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58,344,394.80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3,106.21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21,011.52</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94,753.28</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279,940,698.64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58,270,653.04</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279,940,698.64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58,270,653.04</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279,940,698.64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58,270,653.04</w:t>
            </w:r>
          </w:p>
        </w:tc>
      </w:tr>
      <w:tr>
        <w:trPr>
          <w:trHeight w:val="716"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9,628,574.80</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9,628,574.80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9,628,574.80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147" w:right="0"/>
              <w:jc w:val="left"/>
              <w:rPr>
                <w:rFonts w:ascii="Times New Roman" w:hAnsi="Times New Roman" w:cs="Times New Roman" w:eastAsia="Times New Roman" w:hint="default"/>
                <w:sz w:val="18"/>
                <w:szCs w:val="18"/>
              </w:rPr>
            </w:pPr>
            <w:r>
              <w:rPr>
                <w:rFonts w:ascii="Times New Roman"/>
                <w:sz w:val="18"/>
              </w:rPr>
              <w:t>279,940,698.64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67,899,227.84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335" w:lineRule="exact"/>
        <w:ind w:right="10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6"/>
        <w:gridCol w:w="3300"/>
        <w:gridCol w:w="3290"/>
      </w:tblGrid>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3,160,634,711.06</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2,667,678,679.83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41,955,794.11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39,433,293.10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127,216,513.85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106,674,911.08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3,329,807,019.02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2,813,786,884.01</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2,284,216,704.24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1,907,588,158.14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378,741,200.40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325,885,842.17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153,451,140.81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109,034,803.73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299,531,358.54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185,977,435.60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3,115,940,403.99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2,528,486,239.64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213,866,615.03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285,300,644.37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508,600,000.00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5,777,217.69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26,954,288.03</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534,768.12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30,572.41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209,844,519.81</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910,000,100.00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1,985,969,033.82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1,126,156,605.62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2,521,553,894.26</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15,721,028.17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61,289,922.45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176,028,610.06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2,285,949,067.56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605,721,028.17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2,523,267,600.07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520,435,577.45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-1,713,705.81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148,985,052.98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463,661.52</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897,000,000.00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46,426,805.84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86,253,414.32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1,151,811,858.82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983,717,075.84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806,032,183.33</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63,383,062.53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258,343,262.50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48,663,045.32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23,758,836.22</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2,151,046,107.85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1,088,134,282.05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-999,234,249.03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-104,417,206.21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2,933,364.94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-704,642.71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-261,998,691.61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178,465,089.64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1,248,079,952.48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1,069,614,862.84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986,081,260.87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1,248,079,952.48</w:t>
            </w:r>
          </w:p>
        </w:tc>
      </w:tr>
    </w:tbl>
    <w:p>
      <w:pPr>
        <w:spacing w:line="240" w:lineRule="auto" w:before="10"/>
        <w:rPr>
          <w:rFonts w:ascii="Times New Roman" w:hAnsi="Times New Roman" w:cs="Times New Roman" w:eastAsia="Times New Roman" w:hint="default"/>
          <w:sz w:val="21"/>
          <w:szCs w:val="21"/>
        </w:rPr>
      </w:pPr>
    </w:p>
    <w:p>
      <w:pPr>
        <w:pStyle w:val="Heading5"/>
        <w:spacing w:line="335" w:lineRule="exact"/>
        <w:ind w:right="10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6"/>
        <w:gridCol w:w="3303"/>
      </w:tblGrid>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36,401,544.30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84,739,885.70</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1,589,770,418.06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1,751,692,444.11</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1,626,171,962.36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1,836,432,329.81</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2,417,880.48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40,089,581.74</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38,043,861.53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52,257,810.34</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175,440.90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820,423.37</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1,603,778,692.94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1,872,624,801.21</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1,644,415,875.85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1,965,792,616.66</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-18,243,913.49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-129,360,286.85</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661,222,518.20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335,570,971.40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154,863,057.27</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130,300.00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291,933,568.00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1,795,969,033.82</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1,127,634,839.40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2,612,054,609.29</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3,703,495.77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5,055,948.03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97,478,140.00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467,905,757.84</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1,970,000,000.00</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411,181,635.77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2,442,961,705.87</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716,453,203.63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169,092,903.42</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148,985,052.98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463,661.52</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458,000,000.00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32,705,418.40</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765,385,052.98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491,169,079.92</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469,100,000.03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35,516,242.21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191,236,410.29</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46,414,731.40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13,160,359.28</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1,469,930,973.61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673,496,769.60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-704,545,920.63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-182,327,689.68</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-8,942.74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-25,180.89</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-6,345,573.23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-142,620,254.00</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394,817,793.80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537,438,047.80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388,472,220.57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394,817,793.80</w:t>
            </w:r>
          </w:p>
        </w:tc>
      </w:tr>
    </w:tbl>
    <w:p>
      <w:pPr>
        <w:spacing w:line="240" w:lineRule="auto" w:before="10"/>
        <w:rPr>
          <w:rFonts w:ascii="Times New Roman" w:hAnsi="Times New Roman" w:cs="Times New Roman" w:eastAsia="Times New Roman" w:hint="default"/>
          <w:sz w:val="21"/>
          <w:szCs w:val="21"/>
        </w:rPr>
      </w:pPr>
    </w:p>
    <w:p>
      <w:pPr>
        <w:pStyle w:val="Heading5"/>
        <w:spacing w:line="335" w:lineRule="exact"/>
        <w:ind w:right="10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t>本期金额</w:t>
      </w:r>
    </w:p>
    <w:p>
      <w:pPr>
        <w:pStyle w:val="BodyText"/>
        <w:spacing w:line="240" w:lineRule="auto" w:before="115"/>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68"/>
        <w:gridCol w:w="583"/>
        <w:gridCol w:w="586"/>
        <w:gridCol w:w="584"/>
        <w:gridCol w:w="583"/>
        <w:gridCol w:w="583"/>
        <w:gridCol w:w="584"/>
        <w:gridCol w:w="586"/>
        <w:gridCol w:w="583"/>
        <w:gridCol w:w="583"/>
        <w:gridCol w:w="586"/>
        <w:gridCol w:w="578"/>
      </w:tblGrid>
      <w:tr>
        <w:trPr>
          <w:trHeight w:val="403"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4"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41"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2" w:hRule="exact"/>
        </w:trPr>
        <w:tc>
          <w:tcPr>
            <w:tcW w:w="1241"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6" w:hRule="exact"/>
        </w:trPr>
        <w:tc>
          <w:tcPr>
            <w:tcW w:w="124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7" w:right="10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4"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0"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4"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4"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4"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477,8</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97,75</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5.00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907,61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8,858.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8,108,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708.97</w:t>
            </w:r>
          </w:p>
        </w:tc>
        <w:tc>
          <w:tcPr>
            <w:tcW w:w="584"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-742,7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93.98</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54,522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4" w:type="dxa"/>
            <w:vMerge w:val="restart"/>
            <w:tcBorders>
              <w:top w:val="single" w:sz="18" w:space="0" w:color="D2D2D2"/>
              <w:left w:val="single" w:sz="4" w:space="0" w:color="000000"/>
              <w:right w:val="single" w:sz="4" w:space="0" w:color="000000"/>
            </w:tcBorders>
          </w:tcPr>
          <w:p>
            <w:pPr/>
          </w:p>
        </w:tc>
        <w:tc>
          <w:tcPr>
            <w:tcW w:w="586" w:type="dxa"/>
            <w:vMerge w:val="restart"/>
            <w:tcBorders>
              <w:top w:val="single" w:sz="18" w:space="0" w:color="D2D2D2"/>
              <w:left w:val="single" w:sz="4" w:space="0" w:color="000000"/>
              <w:right w:val="single" w:sz="4" w:space="0" w:color="000000"/>
            </w:tcBorders>
          </w:tcPr>
          <w:p>
            <w:pPr>
              <w:pStyle w:val="TableParagraph"/>
              <w:spacing w:line="240" w:lineRule="auto" w:before="73"/>
              <w:ind w:left="59" w:right="0"/>
              <w:jc w:val="left"/>
              <w:rPr>
                <w:rFonts w:ascii="Times New Roman" w:hAnsi="Times New Roman" w:cs="Times New Roman" w:eastAsia="Times New Roman" w:hint="default"/>
                <w:sz w:val="18"/>
                <w:szCs w:val="18"/>
              </w:rPr>
            </w:pPr>
            <w:r>
              <w:rPr>
                <w:rFonts w:ascii="Times New Roman"/>
                <w:sz w:val="18"/>
              </w:rPr>
              <w:t>667,96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1,389.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07</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2,099,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149,34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7.05</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36" w:space="0" w:color="D2D2D2"/>
              <w:left w:val="single" w:sz="4" w:space="0" w:color="000000"/>
              <w:right w:val="single" w:sz="4" w:space="0" w:color="000000"/>
            </w:tcBorders>
          </w:tcPr>
          <w:p>
            <w:pPr>
              <w:pStyle w:val="TableParagraph"/>
              <w:spacing w:line="240" w:lineRule="auto" w:before="51"/>
              <w:ind w:left="75" w:right="0"/>
              <w:jc w:val="center"/>
              <w:rPr>
                <w:rFonts w:ascii="Times New Roman" w:hAnsi="Times New Roman" w:cs="Times New Roman" w:eastAsia="Times New Roman" w:hint="default"/>
                <w:sz w:val="18"/>
                <w:szCs w:val="18"/>
              </w:rPr>
            </w:pPr>
            <w:r>
              <w:rPr>
                <w:rFonts w:ascii="Times New Roman"/>
                <w:sz w:val="18"/>
              </w:rPr>
              <w:t>2,120,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803,24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6.04</w:t>
            </w:r>
          </w:p>
        </w:tc>
      </w:tr>
      <w:tr>
        <w:trPr>
          <w:trHeight w:val="70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477,8</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97,75</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5.00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907,61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8,858.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8,108,</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708.97</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-742,7</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93.98</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54,522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4"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667,96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1,389.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07</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2,099,</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149,34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7.05</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2,120,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803,24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6.04</w:t>
            </w:r>
          </w:p>
        </w:tc>
      </w:tr>
      <w:tr>
        <w:trPr>
          <w:trHeight w:val="703"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8"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10,66</w:t>
            </w:r>
          </w:p>
          <w:p>
            <w:pPr>
              <w:pStyle w:val="TableParagraph"/>
              <w:spacing w:line="240" w:lineRule="auto" w:before="105"/>
              <w:ind w:left="21" w:right="0"/>
              <w:jc w:val="center"/>
              <w:rPr>
                <w:rFonts w:ascii="Times New Roman" w:hAnsi="Times New Roman" w:cs="Times New Roman" w:eastAsia="Times New Roman" w:hint="default"/>
                <w:sz w:val="18"/>
                <w:szCs w:val="18"/>
              </w:rPr>
            </w:pPr>
            <w:r>
              <w:rPr>
                <w:rFonts w:ascii="Times New Roman"/>
                <w:sz w:val="18"/>
              </w:rPr>
              <w:t>4,723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145,22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4,099.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306,73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4.13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27,994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214,49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8,912.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352,90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9,651.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-20,56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3,651.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332,34</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5,999.</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4"/>
        <w:gridCol w:w="583"/>
        <w:gridCol w:w="583"/>
        <w:gridCol w:w="584"/>
        <w:gridCol w:w="586"/>
        <w:gridCol w:w="583"/>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306,73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4.13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242,49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2,982.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242,79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9,716.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541,07</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4.22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243,34</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0,791.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01</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10,66</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4,723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145,22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4,099.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45,778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,887.7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110,10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9,934.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110,10</w:t>
            </w:r>
          </w:p>
          <w:p>
            <w:pPr>
              <w:pStyle w:val="TableParagraph"/>
              <w:spacing w:line="240" w:lineRule="auto" w:before="102"/>
              <w:ind w:left="96" w:right="0"/>
              <w:jc w:val="left"/>
              <w:rPr>
                <w:rFonts w:ascii="Times New Roman" w:hAnsi="Times New Roman" w:cs="Times New Roman" w:eastAsia="Times New Roman" w:hint="default"/>
                <w:sz w:val="18"/>
                <w:szCs w:val="18"/>
              </w:rPr>
            </w:pPr>
            <w:r>
              <w:rPr>
                <w:rFonts w:ascii="Times New Roman"/>
                <w:sz w:val="18"/>
              </w:rPr>
              <w:t>9,934.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55</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10,66</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4,723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146,24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8,049.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156,91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2,772.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156,91</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2,772.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20</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6,904,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108.34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6,904,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108.34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6,904,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108.34</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-7,928,</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058.23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45,778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,887.7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-53,70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6,945.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-53,70</w:t>
            </w:r>
          </w:p>
          <w:p>
            <w:pPr>
              <w:pStyle w:val="TableParagraph"/>
              <w:spacing w:line="240" w:lineRule="auto" w:before="102"/>
              <w:ind w:left="96" w:right="0"/>
              <w:jc w:val="left"/>
              <w:rPr>
                <w:rFonts w:ascii="Times New Roman" w:hAnsi="Times New Roman" w:cs="Times New Roman" w:eastAsia="Times New Roman" w:hint="default"/>
                <w:sz w:val="18"/>
                <w:szCs w:val="18"/>
              </w:rPr>
            </w:pPr>
            <w:r>
              <w:rPr>
                <w:rFonts w:ascii="Times New Roman"/>
                <w:sz w:val="18"/>
              </w:rPr>
              <w:t>6,945.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99</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27,994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4,069.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27,994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,069.8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-27,99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4,069.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4"/>
        <w:gridCol w:w="583"/>
        <w:gridCol w:w="583"/>
        <w:gridCol w:w="584"/>
        <w:gridCol w:w="586"/>
        <w:gridCol w:w="583"/>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4,725.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-21,10</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4,725.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62</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488,5</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62,47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1,052,</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842,95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7.95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53,887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,596.7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-436,0</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59.85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82,516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,917.1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882,46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0,301.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2,452,</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058,99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8.39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1,090,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247.59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2,453,</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149,24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5.98</w:t>
            </w:r>
          </w:p>
        </w:tc>
      </w:tr>
    </w:tbl>
    <w:p>
      <w:pPr>
        <w:pStyle w:val="BodyText"/>
        <w:spacing w:line="240" w:lineRule="auto" w:before="49"/>
        <w:ind w:right="1033"/>
        <w:jc w:val="left"/>
      </w:pPr>
      <w:r>
        <w:rPr/>
        <w:t>上期金额</w:t>
      </w:r>
    </w:p>
    <w:p>
      <w:pPr>
        <w:pStyle w:val="BodyText"/>
        <w:spacing w:line="240" w:lineRule="auto" w:before="115"/>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2"/>
        <w:gridCol w:w="576"/>
        <w:gridCol w:w="576"/>
        <w:gridCol w:w="579"/>
        <w:gridCol w:w="576"/>
        <w:gridCol w:w="576"/>
        <w:gridCol w:w="578"/>
        <w:gridCol w:w="589"/>
        <w:gridCol w:w="566"/>
        <w:gridCol w:w="569"/>
        <w:gridCol w:w="641"/>
        <w:gridCol w:w="653"/>
      </w:tblGrid>
      <w:tr>
        <w:trPr>
          <w:trHeight w:val="403" w:hRule="exact"/>
        </w:trPr>
        <w:tc>
          <w:tcPr>
            <w:tcW w:w="1212" w:type="dxa"/>
            <w:vMerge w:val="restart"/>
            <w:tcBorders>
              <w:top w:val="single" w:sz="4" w:space="0" w:color="000000"/>
              <w:left w:val="single" w:sz="4" w:space="0" w:color="000000"/>
              <w:right w:val="single" w:sz="4" w:space="0" w:color="000000"/>
            </w:tcBorders>
            <w:shd w:val="clear" w:color="auto" w:fill="D2D2D2"/>
          </w:tcPr>
          <w:p>
            <w:pPr/>
          </w:p>
        </w:tc>
        <w:tc>
          <w:tcPr>
            <w:tcW w:w="835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0" w:hRule="exact"/>
        </w:trPr>
        <w:tc>
          <w:tcPr>
            <w:tcW w:w="1212"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12" w:type="dxa"/>
            <w:vMerge/>
            <w:tcBorders>
              <w:left w:val="single" w:sz="4" w:space="0" w:color="000000"/>
              <w:bottom w:val="nil" w:sz="6" w:space="0" w:color="auto"/>
              <w:right w:val="single" w:sz="4" w:space="0" w:color="000000"/>
            </w:tcBorders>
            <w:shd w:val="clear" w:color="auto" w:fill="D2D2D2"/>
          </w:tcPr>
          <w:p>
            <w:pPr/>
          </w:p>
        </w:tc>
        <w:tc>
          <w:tcPr>
            <w:tcW w:w="7065"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5" w:hRule="exact"/>
        </w:trPr>
        <w:tc>
          <w:tcPr>
            <w:tcW w:w="1212"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9"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3" w:hRule="exact"/>
        </w:trPr>
        <w:tc>
          <w:tcPr>
            <w:tcW w:w="1212"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0"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9"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9"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0" w:hRule="exact"/>
        </w:trPr>
        <w:tc>
          <w:tcPr>
            <w:tcW w:w="1212"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9"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4"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2"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9"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9"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9"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265,4</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46,38</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1,132,</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954,18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1.74</w:t>
            </w:r>
          </w:p>
        </w:tc>
        <w:tc>
          <w:tcPr>
            <w:tcW w:w="576" w:type="dxa"/>
            <w:vMerge w:val="restart"/>
            <w:tcBorders>
              <w:top w:val="single" w:sz="4" w:space="0" w:color="000000"/>
              <w:left w:val="single" w:sz="4" w:space="0" w:color="000000"/>
              <w:right w:val="single" w:sz="4" w:space="0" w:color="000000"/>
            </w:tcBorders>
          </w:tcPr>
          <w:p>
            <w:pPr/>
          </w:p>
        </w:tc>
        <w:tc>
          <w:tcPr>
            <w:tcW w:w="579"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-9,690,</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994.36</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48,695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18" w:space="0" w:color="D2D2D2"/>
              <w:left w:val="single" w:sz="4" w:space="0" w:color="000000"/>
              <w:right w:val="single" w:sz="4" w:space="0" w:color="000000"/>
            </w:tcBorders>
          </w:tcPr>
          <w:p>
            <w:pPr/>
          </w:p>
        </w:tc>
        <w:tc>
          <w:tcPr>
            <w:tcW w:w="589" w:type="dxa"/>
            <w:vMerge w:val="restart"/>
            <w:tcBorders>
              <w:top w:val="single" w:sz="18" w:space="0" w:color="D2D2D2"/>
              <w:left w:val="single" w:sz="4" w:space="0" w:color="000000"/>
              <w:right w:val="single" w:sz="4" w:space="0" w:color="000000"/>
            </w:tcBorders>
          </w:tcPr>
          <w:p>
            <w:pPr>
              <w:pStyle w:val="TableParagraph"/>
              <w:spacing w:line="240" w:lineRule="auto" w:before="73"/>
              <w:ind w:left="62" w:right="0"/>
              <w:jc w:val="left"/>
              <w:rPr>
                <w:rFonts w:ascii="Times New Roman" w:hAnsi="Times New Roman" w:cs="Times New Roman" w:eastAsia="Times New Roman" w:hint="default"/>
                <w:sz w:val="18"/>
                <w:szCs w:val="18"/>
              </w:rPr>
            </w:pPr>
            <w:r>
              <w:rPr>
                <w:rFonts w:ascii="Times New Roman"/>
                <w:sz w:val="18"/>
              </w:rPr>
              <w:t>561,29</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4,229.</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19</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1,998,</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699,57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8.56</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21,560,</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300.04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59,878.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r>
      <w:tr>
        <w:trPr>
          <w:trHeight w:val="706"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9"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9"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265,4</w:t>
            </w:r>
          </w:p>
          <w:p>
            <w:pPr>
              <w:pStyle w:val="TableParagraph"/>
              <w:spacing w:line="240" w:lineRule="auto" w:before="102"/>
              <w:ind w:left="46" w:right="0"/>
              <w:jc w:val="left"/>
              <w:rPr>
                <w:rFonts w:ascii="Times New Roman" w:hAnsi="Times New Roman" w:cs="Times New Roman" w:eastAsia="Times New Roman" w:hint="default"/>
                <w:sz w:val="18"/>
                <w:szCs w:val="18"/>
              </w:rPr>
            </w:pPr>
            <w:r>
              <w:rPr>
                <w:rFonts w:ascii="Times New Roman"/>
                <w:sz w:val="18"/>
              </w:rPr>
              <w:t>46,38</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1,132,</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954,18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1.74</w:t>
            </w:r>
          </w:p>
        </w:tc>
        <w:tc>
          <w:tcPr>
            <w:tcW w:w="576" w:type="dxa"/>
            <w:vMerge w:val="restart"/>
            <w:tcBorders>
              <w:top w:val="single" w:sz="4" w:space="0" w:color="000000"/>
              <w:left w:val="single" w:sz="4" w:space="0" w:color="000000"/>
              <w:right w:val="single" w:sz="4" w:space="0" w:color="000000"/>
            </w:tcBorders>
          </w:tcPr>
          <w:p>
            <w:pPr/>
          </w:p>
        </w:tc>
        <w:tc>
          <w:tcPr>
            <w:tcW w:w="5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-9,690,</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994.36</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48,695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,781.9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4" w:space="0" w:color="000000"/>
              <w:left w:val="single" w:sz="4" w:space="0" w:color="000000"/>
              <w:right w:val="single" w:sz="4" w:space="0" w:color="000000"/>
            </w:tcBorders>
          </w:tcPr>
          <w:p>
            <w:pPr/>
          </w:p>
        </w:tc>
        <w:tc>
          <w:tcPr>
            <w:tcW w:w="589"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561,29</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4,229.</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19</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1,998,</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699,57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8.56</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21,560,</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300.04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59,878.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r>
      <w:tr>
        <w:trPr>
          <w:trHeight w:val="703"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9"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9"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9"/>
        <w:gridCol w:w="576"/>
        <w:gridCol w:w="576"/>
        <w:gridCol w:w="578"/>
        <w:gridCol w:w="589"/>
        <w:gridCol w:w="566"/>
        <w:gridCol w:w="569"/>
        <w:gridCol w:w="641"/>
        <w:gridCol w:w="653"/>
      </w:tblGrid>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212,4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51,37</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5.00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-225,3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35,323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.10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8,108,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708.97</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8,948,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200.38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5,827,</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065.30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106,66</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7,159.</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88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100,44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9,768.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93,598.</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95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100,543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,367.44</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8,948,</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200.38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247,87</w:t>
            </w:r>
          </w:p>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9,868.</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58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256,82</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8,068.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126,581</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.03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256,954</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,649.99</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62,02</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-12,94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5,968.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8,108,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708.97</w:t>
            </w: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-20,99</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2,657.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-32,982</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-21,025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,639.15</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62,02</w:t>
            </w:r>
          </w:p>
          <w:p>
            <w:pPr>
              <w:pStyle w:val="TableParagraph"/>
              <w:spacing w:line="240" w:lineRule="auto" w:before="102"/>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781,35</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5.21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 w:right="0"/>
              <w:jc w:val="center"/>
              <w:rPr>
                <w:rFonts w:ascii="Times New Roman" w:hAnsi="Times New Roman" w:cs="Times New Roman" w:eastAsia="Times New Roman" w:hint="default"/>
                <w:sz w:val="18"/>
                <w:szCs w:val="18"/>
              </w:rPr>
            </w:pPr>
            <w:r>
              <w:rPr>
                <w:rFonts w:ascii="Times New Roman"/>
                <w:sz w:val="18"/>
              </w:rPr>
              <w:t>843,37</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5.21</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843,375</w:t>
            </w:r>
          </w:p>
          <w:p>
            <w:pPr>
              <w:pStyle w:val="TableParagraph"/>
              <w:spacing w:line="240" w:lineRule="auto" w:before="102"/>
              <w:ind w:left="395" w:right="0"/>
              <w:jc w:val="left"/>
              <w:rPr>
                <w:rFonts w:ascii="Times New Roman" w:hAnsi="Times New Roman" w:cs="Times New Roman" w:eastAsia="Times New Roman" w:hint="default"/>
                <w:sz w:val="18"/>
                <w:szCs w:val="18"/>
              </w:rPr>
            </w:pPr>
            <w:r>
              <w:rPr>
                <w:rFonts w:ascii="Times New Roman"/>
                <w:sz w:val="18"/>
              </w:rPr>
              <w:t>.21</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-13,34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7,609.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-13,34</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7,609.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-32,982</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.08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,591.70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-379,7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13.69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8,108,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708.97</w:t>
            </w: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-8,488,</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422.66</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-8,488,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422.66</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5,827,</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065.30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-141,2</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12,708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.70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-135,3</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85,643</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.40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-135,38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5,643.4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5,827,</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065.30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-5,827,</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065.30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-135,3</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85,643</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.40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5,643.4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212,3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89,35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5.00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-212,3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89,355</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212,3</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89,35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5.00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-212,3</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89,355</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9"/>
        <w:gridCol w:w="576"/>
        <w:gridCol w:w="576"/>
        <w:gridCol w:w="578"/>
        <w:gridCol w:w="589"/>
        <w:gridCol w:w="566"/>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477,8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97,75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5.00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907,61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8,858.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8,108,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708.97</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-742,7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93.98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54,522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667,96</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1,389.</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07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2,099,</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149,34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7.05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21,653,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898.99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03,246.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bl>
    <w:p>
      <w:pPr>
        <w:spacing w:line="240" w:lineRule="auto" w:before="10"/>
        <w:rPr>
          <w:rFonts w:ascii="Times New Roman" w:hAnsi="Times New Roman" w:cs="Times New Roman" w:eastAsia="Times New Roman" w:hint="default"/>
          <w:sz w:val="21"/>
          <w:szCs w:val="21"/>
        </w:rPr>
      </w:pPr>
    </w:p>
    <w:p>
      <w:pPr>
        <w:pStyle w:val="Heading5"/>
        <w:spacing w:line="335" w:lineRule="exact"/>
        <w:ind w:right="10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t>本期金额</w:t>
      </w:r>
    </w:p>
    <w:p>
      <w:pPr>
        <w:pStyle w:val="BodyText"/>
        <w:spacing w:line="240" w:lineRule="auto" w:before="117"/>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83"/>
        <w:gridCol w:w="640"/>
        <w:gridCol w:w="605"/>
        <w:gridCol w:w="602"/>
        <w:gridCol w:w="605"/>
        <w:gridCol w:w="728"/>
        <w:gridCol w:w="727"/>
        <w:gridCol w:w="725"/>
        <w:gridCol w:w="728"/>
        <w:gridCol w:w="727"/>
        <w:gridCol w:w="614"/>
        <w:gridCol w:w="710"/>
        <w:gridCol w:w="862"/>
      </w:tblGrid>
      <w:tr>
        <w:trPr>
          <w:trHeight w:val="40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6" w:right="6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83"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199" w:hRule="exact"/>
        </w:trPr>
        <w:tc>
          <w:tcPr>
            <w:tcW w:w="1283"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83"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477,89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7,755.0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918,458,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422.02</w:t>
            </w: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8,108,70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8.97</w:t>
            </w:r>
          </w:p>
        </w:tc>
        <w:tc>
          <w:tcPr>
            <w:tcW w:w="725" w:type="dxa"/>
            <w:vMerge w:val="restart"/>
            <w:tcBorders>
              <w:top w:val="single" w:sz="22" w:space="0" w:color="D2D2D2"/>
              <w:left w:val="single" w:sz="4" w:space="0" w:color="000000"/>
              <w:right w:val="single" w:sz="4" w:space="0" w:color="000000"/>
            </w:tcBorders>
          </w:tcPr>
          <w:p>
            <w:pPr/>
          </w:p>
        </w:tc>
        <w:tc>
          <w:tcPr>
            <w:tcW w:w="728" w:type="dxa"/>
            <w:vMerge w:val="restart"/>
            <w:tcBorders>
              <w:top w:val="single" w:sz="22" w:space="0" w:color="D2D2D2"/>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54,522,8</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47.29</w:t>
            </w:r>
          </w:p>
        </w:tc>
        <w:tc>
          <w:tcPr>
            <w:tcW w:w="614" w:type="dxa"/>
            <w:vMerge w:val="restart"/>
            <w:tcBorders>
              <w:top w:val="single" w:sz="22" w:space="0" w:color="D2D2D2"/>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5,285.6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1,715,635,</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600.96</w:t>
            </w:r>
          </w:p>
        </w:tc>
      </w:tr>
      <w:tr>
        <w:trPr>
          <w:trHeight w:val="706"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0"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7,755.0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918,458,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422.02</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8,108,70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8.97</w:t>
            </w:r>
          </w:p>
        </w:tc>
        <w:tc>
          <w:tcPr>
            <w:tcW w:w="725"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54,522,8</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47.29</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5,285.6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1,715,635,</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600.96</w:t>
            </w:r>
          </w:p>
        </w:tc>
      </w:tr>
      <w:tr>
        <w:trPr>
          <w:trHeight w:val="704" w:hRule="exact"/>
        </w:trPr>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8"/>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7"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8"/>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10,664,</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723.00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145,224,</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142.63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45,778,8</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87.76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30,201,2</w:t>
            </w:r>
          </w:p>
          <w:p>
            <w:pPr>
              <w:pStyle w:val="TableParagraph"/>
              <w:spacing w:line="240" w:lineRule="auto" w:before="102"/>
              <w:ind w:left="288" w:right="0"/>
              <w:jc w:val="left"/>
              <w:rPr>
                <w:rFonts w:ascii="Times New Roman" w:hAnsi="Times New Roman" w:cs="Times New Roman" w:eastAsia="Times New Roman" w:hint="default"/>
                <w:sz w:val="18"/>
                <w:szCs w:val="18"/>
              </w:rPr>
            </w:pPr>
            <w:r>
              <w:rPr>
                <w:rFonts w:ascii="Times New Roman"/>
                <w:sz w:val="18"/>
              </w:rPr>
              <w:t>72.76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243,09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1,898.9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383,403,1</w:t>
            </w:r>
          </w:p>
          <w:p>
            <w:pPr>
              <w:pStyle w:val="TableParagraph"/>
              <w:spacing w:line="240" w:lineRule="auto" w:before="102"/>
              <w:ind w:left="425" w:right="0"/>
              <w:jc w:val="left"/>
              <w:rPr>
                <w:rFonts w:ascii="Times New Roman" w:hAnsi="Times New Roman" w:cs="Times New Roman" w:eastAsia="Times New Roman" w:hint="default"/>
                <w:sz w:val="18"/>
                <w:szCs w:val="18"/>
              </w:rPr>
            </w:pPr>
            <w:r>
              <w:rPr>
                <w:rFonts w:ascii="Times New Roman"/>
                <w:sz w:val="18"/>
              </w:rPr>
              <w:t>49.59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8"/>
        <w:gridCol w:w="727"/>
        <w:gridCol w:w="725"/>
        <w:gridCol w:w="728"/>
        <w:gridCol w:w="727"/>
        <w:gridCol w:w="614"/>
        <w:gridCol w:w="710"/>
        <w:gridCol w:w="862"/>
      </w:tblGrid>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0,698.6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279,940,6</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98.64</w:t>
            </w: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10,664,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723.00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145,224,</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142.63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45,778,8</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87.76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110,109,97</w:t>
            </w:r>
          </w:p>
          <w:p>
            <w:pPr>
              <w:pStyle w:val="TableParagraph"/>
              <w:spacing w:line="240" w:lineRule="auto" w:before="102"/>
              <w:ind w:left="516" w:right="0"/>
              <w:jc w:val="left"/>
              <w:rPr>
                <w:rFonts w:ascii="Times New Roman" w:hAnsi="Times New Roman" w:cs="Times New Roman" w:eastAsia="Times New Roman" w:hint="default"/>
                <w:sz w:val="18"/>
                <w:szCs w:val="18"/>
              </w:rPr>
            </w:pPr>
            <w:r>
              <w:rPr>
                <w:rFonts w:ascii="Times New Roman"/>
                <w:sz w:val="18"/>
              </w:rPr>
              <w:t>7.87</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10,664,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723.00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146,248,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049.20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156,912,7</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72.20</w:t>
            </w:r>
          </w:p>
        </w:tc>
      </w:tr>
      <w:tr>
        <w:trPr>
          <w:trHeight w:val="1028"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6,904,10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8.34</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6,904,108.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-7,928,0</w:t>
            </w:r>
          </w:p>
          <w:p>
            <w:pPr>
              <w:pStyle w:val="TableParagraph"/>
              <w:spacing w:line="240" w:lineRule="auto" w:before="102"/>
              <w:ind w:left="264" w:right="0"/>
              <w:jc w:val="center"/>
              <w:rPr>
                <w:rFonts w:ascii="Times New Roman" w:hAnsi="Times New Roman" w:cs="Times New Roman" w:eastAsia="Times New Roman" w:hint="default"/>
                <w:sz w:val="18"/>
                <w:szCs w:val="18"/>
              </w:rPr>
            </w:pPr>
            <w:r>
              <w:rPr>
                <w:rFonts w:ascii="Times New Roman"/>
                <w:sz w:val="18"/>
              </w:rPr>
              <w:t>14.91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45,778,8</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87.76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-53,706,90</w:t>
            </w:r>
          </w:p>
          <w:p>
            <w:pPr>
              <w:pStyle w:val="TableParagraph"/>
              <w:spacing w:line="240" w:lineRule="auto" w:before="102"/>
              <w:ind w:left="516" w:right="0"/>
              <w:jc w:val="left"/>
              <w:rPr>
                <w:rFonts w:ascii="Times New Roman" w:hAnsi="Times New Roman" w:cs="Times New Roman" w:eastAsia="Times New Roman" w:hint="default"/>
                <w:sz w:val="18"/>
                <w:szCs w:val="18"/>
              </w:rPr>
            </w:pPr>
            <w:r>
              <w:rPr>
                <w:rFonts w:ascii="Times New Roman"/>
                <w:sz w:val="18"/>
              </w:rPr>
              <w:t>2.67</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27,994,0</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69.86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-27,994</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,069.86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27,994,0</w:t>
            </w:r>
          </w:p>
          <w:p>
            <w:pPr>
              <w:pStyle w:val="TableParagraph"/>
              <w:spacing w:line="240" w:lineRule="auto" w:before="103"/>
              <w:ind w:left="288" w:right="0"/>
              <w:jc w:val="left"/>
              <w:rPr>
                <w:rFonts w:ascii="Times New Roman" w:hAnsi="Times New Roman" w:cs="Times New Roman" w:eastAsia="Times New Roman" w:hint="default"/>
                <w:sz w:val="18"/>
                <w:szCs w:val="18"/>
              </w:rPr>
            </w:pPr>
            <w:r>
              <w:rPr>
                <w:rFonts w:ascii="Times New Roman"/>
                <w:sz w:val="18"/>
              </w:rPr>
              <w:t>69.86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-27,994</w:t>
            </w:r>
          </w:p>
          <w:p>
            <w:pPr>
              <w:pStyle w:val="TableParagraph"/>
              <w:spacing w:line="240" w:lineRule="auto" w:before="103"/>
              <w:ind w:left="43" w:right="0"/>
              <w:jc w:val="left"/>
              <w:rPr>
                <w:rFonts w:ascii="Times New Roman" w:hAnsi="Times New Roman" w:cs="Times New Roman" w:eastAsia="Times New Roman" w:hint="default"/>
                <w:sz w:val="18"/>
                <w:szCs w:val="18"/>
              </w:rPr>
            </w:pPr>
            <w:r>
              <w:rPr>
                <w:rFonts w:ascii="Times New Roman"/>
                <w:sz w:val="18"/>
              </w:rPr>
              <w:t>,069.86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8"/>
        <w:gridCol w:w="727"/>
        <w:gridCol w:w="725"/>
        <w:gridCol w:w="728"/>
        <w:gridCol w:w="727"/>
        <w:gridCol w:w="614"/>
        <w:gridCol w:w="710"/>
        <w:gridCol w:w="862"/>
      </w:tblGrid>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2,207,20</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2.90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-8,854,</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729.82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-6,647,526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w:t>
            </w: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2,478.0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1,063,68</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2,564.65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53,887,5</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96.73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84,724,1</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20.05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7,184.5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2,099,038,</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750.55</w:t>
            </w:r>
          </w:p>
        </w:tc>
      </w:tr>
    </w:tbl>
    <w:p>
      <w:pPr>
        <w:pStyle w:val="BodyText"/>
        <w:spacing w:line="240" w:lineRule="auto" w:before="49"/>
        <w:ind w:right="1033"/>
        <w:jc w:val="left"/>
      </w:pPr>
      <w:r>
        <w:rPr/>
        <w:t>上期金额</w:t>
      </w:r>
    </w:p>
    <w:p>
      <w:pPr>
        <w:pStyle w:val="BodyText"/>
        <w:spacing w:line="240" w:lineRule="auto" w:before="115"/>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19"/>
        <w:gridCol w:w="593"/>
        <w:gridCol w:w="574"/>
        <w:gridCol w:w="571"/>
        <w:gridCol w:w="571"/>
        <w:gridCol w:w="686"/>
        <w:gridCol w:w="687"/>
        <w:gridCol w:w="684"/>
        <w:gridCol w:w="782"/>
        <w:gridCol w:w="665"/>
        <w:gridCol w:w="797"/>
        <w:gridCol w:w="797"/>
        <w:gridCol w:w="932"/>
      </w:tblGrid>
      <w:tr>
        <w:trPr>
          <w:trHeight w:val="396" w:hRule="exact"/>
        </w:trPr>
        <w:tc>
          <w:tcPr>
            <w:tcW w:w="1219" w:type="dxa"/>
            <w:vMerge w:val="restart"/>
            <w:tcBorders>
              <w:top w:val="single" w:sz="4" w:space="0" w:color="000000"/>
              <w:left w:val="single" w:sz="4" w:space="0" w:color="000000"/>
              <w:right w:val="single" w:sz="4" w:space="0" w:color="000000"/>
            </w:tcBorders>
            <w:shd w:val="clear" w:color="auto" w:fill="D2D2D2"/>
          </w:tcPr>
          <w:p>
            <w:pP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19"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0" w:hRule="exact"/>
        </w:trPr>
        <w:tc>
          <w:tcPr>
            <w:tcW w:w="12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8" w:right="56" w:hanging="181"/>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1"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19"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4" w:right="9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1"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2" w:type="dxa"/>
            <w:vMerge/>
            <w:tcBorders>
              <w:left w:val="single" w:sz="4" w:space="0" w:color="000000"/>
              <w:right w:val="single" w:sz="4" w:space="0" w:color="000000"/>
            </w:tcBorders>
            <w:shd w:val="clear" w:color="auto" w:fill="D2D2D2"/>
          </w:tcPr>
          <w:p>
            <w:pPr/>
          </w:p>
        </w:tc>
      </w:tr>
      <w:tr>
        <w:trPr>
          <w:trHeight w:val="194" w:hRule="exact"/>
        </w:trPr>
        <w:tc>
          <w:tcPr>
            <w:tcW w:w="1219"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r>
      <w:tr>
        <w:trPr>
          <w:trHeight w:val="156" w:hRule="exact"/>
        </w:trPr>
        <w:tc>
          <w:tcPr>
            <w:tcW w:w="1219"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19"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1"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265,44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6,380.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49,287.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-9,628,5</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74.80</w:t>
            </w: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48,695,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781.99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355,807,3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41.28</w:t>
            </w:r>
          </w:p>
        </w:tc>
        <w:tc>
          <w:tcPr>
            <w:tcW w:w="797"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1,791,970,2</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16.34</w:t>
            </w:r>
          </w:p>
        </w:tc>
      </w:tr>
      <w:tr>
        <w:trPr>
          <w:trHeight w:val="706" w:hRule="exact"/>
        </w:trPr>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r>
        <w:trPr>
          <w:trHeight w:val="713"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5"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265,44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6,380.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49,287.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-9,628,5</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74.80</w:t>
            </w: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48,695,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781.99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355,807,3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41.28</w:t>
            </w:r>
          </w:p>
        </w:tc>
        <w:tc>
          <w:tcPr>
            <w:tcW w:w="797"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1,791,970,2</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16.34</w:t>
            </w:r>
          </w:p>
        </w:tc>
      </w:tr>
      <w:tr>
        <w:trPr>
          <w:trHeight w:val="706" w:hRule="exact"/>
        </w:trPr>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r>
        <w:trPr>
          <w:trHeight w:val="1025"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212,45</w:t>
            </w:r>
          </w:p>
          <w:p>
            <w:pPr>
              <w:pStyle w:val="TableParagraph"/>
              <w:spacing w:line="240" w:lineRule="auto" w:before="102"/>
              <w:ind w:left="99" w:right="0"/>
              <w:jc w:val="left"/>
              <w:rPr>
                <w:rFonts w:ascii="Times New Roman" w:hAnsi="Times New Roman" w:cs="Times New Roman" w:eastAsia="Times New Roman" w:hint="default"/>
                <w:sz w:val="18"/>
                <w:szCs w:val="18"/>
              </w:rPr>
            </w:pPr>
            <w:r>
              <w:rPr>
                <w:rFonts w:ascii="Times New Roman"/>
                <w:sz w:val="18"/>
              </w:rPr>
              <w:t>1,375.</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0,865.8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8,108,70</w:t>
            </w:r>
          </w:p>
          <w:p>
            <w:pPr>
              <w:pStyle w:val="TableParagraph"/>
              <w:spacing w:line="240" w:lineRule="auto" w:before="102"/>
              <w:ind w:left="341" w:right="0"/>
              <w:jc w:val="left"/>
              <w:rPr>
                <w:rFonts w:ascii="Times New Roman" w:hAnsi="Times New Roman" w:cs="Times New Roman" w:eastAsia="Times New Roman" w:hint="default"/>
                <w:sz w:val="18"/>
                <w:szCs w:val="18"/>
              </w:rPr>
            </w:pPr>
            <w:r>
              <w:rPr>
                <w:rFonts w:ascii="Times New Roman"/>
                <w:sz w:val="18"/>
              </w:rPr>
              <w:t>8.97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9,628,5</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74.80</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5,827,0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65.30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-82,942,0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55.66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-76,334,615</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.38</w:t>
            </w:r>
          </w:p>
        </w:tc>
      </w:tr>
      <w:tr>
        <w:trPr>
          <w:trHeight w:val="715"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9,628,5</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74.80</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58,270,65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67,899,227.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r>
      <w:tr>
        <w:trPr>
          <w:trHeight w:val="713"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62,020</w:t>
            </w:r>
          </w:p>
          <w:p>
            <w:pPr>
              <w:pStyle w:val="TableParagraph"/>
              <w:spacing w:line="240" w:lineRule="auto" w:before="102"/>
              <w:ind w:left="325"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-801,51</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0.85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8,108,70</w:t>
            </w:r>
          </w:p>
          <w:p>
            <w:pPr>
              <w:pStyle w:val="TableParagraph"/>
              <w:spacing w:line="240" w:lineRule="auto" w:before="102"/>
              <w:ind w:left="341" w:right="0"/>
              <w:jc w:val="left"/>
              <w:rPr>
                <w:rFonts w:ascii="Times New Roman" w:hAnsi="Times New Roman" w:cs="Times New Roman" w:eastAsia="Times New Roman" w:hint="default"/>
                <w:sz w:val="18"/>
                <w:szCs w:val="18"/>
              </w:rPr>
            </w:pPr>
            <w:r>
              <w:rPr>
                <w:rFonts w:ascii="Times New Roman"/>
                <w:sz w:val="18"/>
              </w:rPr>
              <w:t>8.97</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-8,848,199.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82</w:t>
            </w:r>
          </w:p>
        </w:tc>
      </w:tr>
      <w:tr>
        <w:trPr>
          <w:trHeight w:val="715"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62,020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781,355</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.21</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843,375.21</w:t>
            </w:r>
          </w:p>
        </w:tc>
      </w:tr>
      <w:tr>
        <w:trPr>
          <w:trHeight w:val="1025"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1"/>
        <w:gridCol w:w="571"/>
        <w:gridCol w:w="686"/>
        <w:gridCol w:w="687"/>
        <w:gridCol w:w="684"/>
        <w:gridCol w:w="782"/>
        <w:gridCol w:w="665"/>
        <w:gridCol w:w="797"/>
        <w:gridCol w:w="797"/>
        <w:gridCol w:w="932"/>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-12,467,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490.67</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-12,467,490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10,884,</w:t>
            </w:r>
          </w:p>
          <w:p>
            <w:pPr>
              <w:pStyle w:val="TableParagraph"/>
              <w:spacing w:line="240" w:lineRule="auto" w:before="102"/>
              <w:ind w:left="160" w:right="0"/>
              <w:jc w:val="left"/>
              <w:rPr>
                <w:rFonts w:ascii="Times New Roman" w:hAnsi="Times New Roman" w:cs="Times New Roman" w:eastAsia="Times New Roman" w:hint="default"/>
                <w:sz w:val="18"/>
                <w:szCs w:val="18"/>
              </w:rPr>
            </w:pPr>
            <w:r>
              <w:rPr>
                <w:rFonts w:ascii="Times New Roman"/>
                <w:sz w:val="18"/>
              </w:rPr>
              <w:t>624.61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8,108,70</w:t>
            </w:r>
          </w:p>
          <w:p>
            <w:pPr>
              <w:pStyle w:val="TableParagraph"/>
              <w:spacing w:line="240" w:lineRule="auto" w:before="102"/>
              <w:ind w:left="341" w:right="0"/>
              <w:jc w:val="left"/>
              <w:rPr>
                <w:rFonts w:ascii="Times New Roman" w:hAnsi="Times New Roman" w:cs="Times New Roman" w:eastAsia="Times New Roman" w:hint="default"/>
                <w:sz w:val="18"/>
                <w:szCs w:val="18"/>
              </w:rPr>
            </w:pPr>
            <w:r>
              <w:rPr>
                <w:rFonts w:ascii="Times New Roman"/>
                <w:sz w:val="18"/>
              </w:rPr>
              <w:t>8.97</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2,775,915.6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5,827,0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65.30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-141,212,</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708.70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-135,385,64</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3.40</w:t>
            </w: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center"/>
              <w:rPr>
                <w:rFonts w:ascii="Times New Roman" w:hAnsi="Times New Roman" w:cs="Times New Roman" w:eastAsia="Times New Roman" w:hint="default"/>
                <w:sz w:val="18"/>
                <w:szCs w:val="18"/>
              </w:rPr>
            </w:pPr>
            <w:r>
              <w:rPr>
                <w:rFonts w:ascii="Times New Roman"/>
                <w:sz w:val="18"/>
              </w:rPr>
              <w:t>5,827,0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65.30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-5,827,06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5.30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-135,385,</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643.40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-135,385,64</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3.40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212,38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9,355.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9,355.0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212,38</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9,355.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-212,38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9,355.0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7" w:right="0"/>
              <w:jc w:val="left"/>
              <w:rPr>
                <w:rFonts w:ascii="Times New Roman" w:hAnsi="Times New Roman" w:cs="Times New Roman" w:eastAsia="Times New Roman" w:hint="default"/>
                <w:sz w:val="18"/>
                <w:szCs w:val="18"/>
              </w:rPr>
            </w:pPr>
            <w:r>
              <w:rPr>
                <w:rFonts w:ascii="Times New Roman"/>
                <w:sz w:val="18"/>
              </w:rPr>
              <w:t>477,89</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7,755.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918,458</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,422.02</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8,108,70</w:t>
            </w:r>
          </w:p>
          <w:p>
            <w:pPr>
              <w:pStyle w:val="TableParagraph"/>
              <w:spacing w:line="240" w:lineRule="auto" w:before="102"/>
              <w:ind w:left="341" w:right="0"/>
              <w:jc w:val="left"/>
              <w:rPr>
                <w:rFonts w:ascii="Times New Roman" w:hAnsi="Times New Roman" w:cs="Times New Roman" w:eastAsia="Times New Roman" w:hint="default"/>
                <w:sz w:val="18"/>
                <w:szCs w:val="18"/>
              </w:rPr>
            </w:pPr>
            <w:r>
              <w:rPr>
                <w:rFonts w:ascii="Times New Roman"/>
                <w:sz w:val="18"/>
              </w:rPr>
              <w:t>8.97</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54,522,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847.29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272,865,2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85.62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1,715,635,6</w:t>
            </w:r>
          </w:p>
          <w:p>
            <w:pPr>
              <w:pStyle w:val="TableParagraph"/>
              <w:spacing w:line="240" w:lineRule="auto" w:before="102"/>
              <w:ind w:left="492" w:right="0"/>
              <w:jc w:val="left"/>
              <w:rPr>
                <w:rFonts w:ascii="Times New Roman" w:hAnsi="Times New Roman" w:cs="Times New Roman" w:eastAsia="Times New Roman" w:hint="default"/>
                <w:sz w:val="18"/>
                <w:szCs w:val="18"/>
              </w:rPr>
            </w:pPr>
            <w:r>
              <w:rPr>
                <w:rFonts w:ascii="Times New Roman"/>
                <w:sz w:val="18"/>
              </w:rPr>
              <w:t>00.96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4"/>
        <w:spacing w:line="367" w:lineRule="exact"/>
        <w:ind w:right="1033"/>
        <w:jc w:val="left"/>
        <w:rPr>
          <w:b w:val="0"/>
          <w:bCs w:val="0"/>
        </w:rPr>
      </w:pPr>
      <w:r>
        <w:rPr/>
        <w:t>三、公司基本情况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Heading6"/>
        <w:spacing w:line="256" w:lineRule="auto" w:before="0"/>
        <w:ind w:right="1033" w:firstLine="420"/>
        <w:jc w:val="left"/>
      </w:pPr>
      <w:r>
        <w:rPr/>
        <w:t>深圳市新国都股份有限公司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前身为深圳市新国都技术有限公司（以下简</w:t>
      </w:r>
      <w:r>
        <w:rPr>
          <w:w w:val="100"/>
        </w:rPr>
        <w:t> </w:t>
      </w:r>
      <w:r>
        <w:rPr>
          <w:spacing w:val="-4"/>
        </w:rPr>
        <w:t>称</w:t>
      </w:r>
      <w:r>
        <w:rPr>
          <w:rFonts w:ascii="Times New Roman" w:hAnsi="Times New Roman" w:cs="Times New Roman" w:eastAsia="Times New Roman" w:hint="default"/>
          <w:spacing w:val="-4"/>
        </w:rPr>
        <w:t>“</w:t>
      </w:r>
      <w:r>
        <w:rPr>
          <w:spacing w:val="-4"/>
        </w:rPr>
        <w:t>新国都技术</w:t>
      </w:r>
      <w:r>
        <w:rPr>
          <w:rFonts w:ascii="Times New Roman" w:hAnsi="Times New Roman" w:cs="Times New Roman" w:eastAsia="Times New Roman" w:hint="default"/>
          <w:spacing w:val="-4"/>
        </w:rPr>
        <w:t>”</w:t>
      </w:r>
      <w:r>
        <w:rPr>
          <w:spacing w:val="-4"/>
        </w:rPr>
        <w:t>），于</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31</w:t>
      </w:r>
      <w:r>
        <w:rPr>
          <w:spacing w:val="-4"/>
        </w:rPr>
        <w:t>日经深圳市工商行政管理局批准成立，由刘祥、刘亚和深圳市奥格立电</w:t>
      </w:r>
      <w:r>
        <w:rPr>
          <w:spacing w:val="-16"/>
        </w:rPr>
        <w:t> </w:t>
      </w:r>
      <w:r>
        <w:rPr>
          <w:spacing w:val="-16"/>
        </w:rPr>
      </w:r>
      <w:r>
        <w:rPr/>
        <w:t>子科技有限公司共同出资组建，注册资本为人民币</w:t>
      </w:r>
      <w:r>
        <w:rPr>
          <w:rFonts w:ascii="Times New Roman" w:hAnsi="Times New Roman" w:cs="Times New Roman" w:eastAsia="Times New Roman" w:hint="default"/>
        </w:rPr>
        <w:t>300.00</w:t>
      </w:r>
      <w:r>
        <w:rPr/>
        <w:t>万元，其中刘祥出资人民币</w:t>
      </w:r>
      <w:r>
        <w:rPr>
          <w:rFonts w:ascii="Times New Roman" w:hAnsi="Times New Roman" w:cs="Times New Roman" w:eastAsia="Times New Roman" w:hint="default"/>
        </w:rPr>
        <w:t>120.00</w:t>
      </w:r>
      <w:r>
        <w:rPr/>
        <w:t>万元，出资比</w:t>
      </w:r>
      <w:r>
        <w:rPr>
          <w:spacing w:val="-24"/>
        </w:rPr>
        <w:t> </w:t>
      </w:r>
      <w:r>
        <w:rPr>
          <w:spacing w:val="-24"/>
        </w:rPr>
      </w:r>
      <w:r>
        <w:rPr>
          <w:spacing w:val="-5"/>
        </w:rPr>
        <w:t>例</w:t>
      </w:r>
      <w:r>
        <w:rPr>
          <w:rFonts w:ascii="Times New Roman" w:hAnsi="Times New Roman" w:cs="Times New Roman" w:eastAsia="Times New Roman" w:hint="default"/>
          <w:spacing w:val="-5"/>
        </w:rPr>
        <w:t>40.00%</w:t>
      </w:r>
      <w:r>
        <w:rPr>
          <w:spacing w:val="-5"/>
        </w:rPr>
        <w:t>；刘亚出资人民币</w:t>
      </w:r>
      <w:r>
        <w:rPr>
          <w:rFonts w:ascii="Times New Roman" w:hAnsi="Times New Roman" w:cs="Times New Roman" w:eastAsia="Times New Roman" w:hint="default"/>
          <w:spacing w:val="-5"/>
        </w:rPr>
        <w:t>90.00</w:t>
      </w:r>
      <w:r>
        <w:rPr>
          <w:spacing w:val="-5"/>
        </w:rPr>
        <w:t>万元，出资比例</w:t>
      </w:r>
      <w:r>
        <w:rPr>
          <w:rFonts w:ascii="Times New Roman" w:hAnsi="Times New Roman" w:cs="Times New Roman" w:eastAsia="Times New Roman" w:hint="default"/>
          <w:spacing w:val="-5"/>
        </w:rPr>
        <w:t>30.00%</w:t>
      </w:r>
      <w:r>
        <w:rPr>
          <w:spacing w:val="-5"/>
        </w:rPr>
        <w:t>；深圳市奥格立电子科技有限公司出资人民币</w:t>
      </w:r>
      <w:r>
        <w:rPr>
          <w:rFonts w:ascii="Times New Roman" w:hAnsi="Times New Roman" w:cs="Times New Roman" w:eastAsia="Times New Roman" w:hint="default"/>
          <w:spacing w:val="-5"/>
        </w:rPr>
        <w:t>90.00</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2"/>
        </w:rPr>
        <w:t>万元，出资比例</w:t>
      </w:r>
      <w:r>
        <w:rPr>
          <w:rFonts w:ascii="Times New Roman" w:hAnsi="Times New Roman" w:cs="Times New Roman" w:eastAsia="Times New Roman" w:hint="default"/>
          <w:spacing w:val="-2"/>
        </w:rPr>
        <w:t>30.00%</w:t>
      </w:r>
      <w:r>
        <w:rPr>
          <w:spacing w:val="-2"/>
        </w:rPr>
        <w:t>。本次出资业经深圳市远东会计师事务所深远东验字</w:t>
      </w:r>
      <w:r>
        <w:rPr>
          <w:rFonts w:ascii="Times New Roman" w:hAnsi="Times New Roman" w:cs="Times New Roman" w:eastAsia="Times New Roman" w:hint="default"/>
          <w:spacing w:val="-2"/>
        </w:rPr>
        <w:t>[2001]</w:t>
      </w:r>
      <w:r>
        <w:rPr>
          <w:spacing w:val="-2"/>
        </w:rPr>
        <w:t>第</w:t>
      </w:r>
      <w:r>
        <w:rPr>
          <w:rFonts w:ascii="Times New Roman" w:hAnsi="Times New Roman" w:cs="Times New Roman" w:eastAsia="Times New Roman" w:hint="default"/>
          <w:spacing w:val="-2"/>
        </w:rPr>
        <w:t>347</w:t>
      </w:r>
      <w:r>
        <w:rPr>
          <w:spacing w:val="-2"/>
        </w:rPr>
        <w:t>号验资报告验证，</w:t>
      </w:r>
      <w:r>
        <w:rPr>
          <w:spacing w:val="-5"/>
        </w:rPr>
        <w:t> </w:t>
      </w:r>
      <w:r>
        <w:rPr>
          <w:spacing w:val="-5"/>
        </w:rPr>
      </w:r>
      <w:r>
        <w:rPr/>
        <w:t>并领取注册号为</w:t>
      </w:r>
      <w:r>
        <w:rPr>
          <w:rFonts w:ascii="Times New Roman" w:hAnsi="Times New Roman" w:cs="Times New Roman" w:eastAsia="Times New Roman" w:hint="default"/>
        </w:rPr>
        <w:t>4403012070860</w:t>
      </w:r>
      <w:r>
        <w:rPr/>
        <w:t>的企业法人营业执照。</w:t>
      </w:r>
    </w:p>
    <w:p>
      <w:pPr>
        <w:pStyle w:val="Heading6"/>
        <w:spacing w:line="256" w:lineRule="auto" w:before="5"/>
        <w:ind w:right="1128" w:firstLine="420"/>
        <w:jc w:val="both"/>
      </w:pP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12</w:t>
      </w:r>
      <w:r>
        <w:rPr>
          <w:spacing w:val="-3"/>
        </w:rPr>
        <w:t>日经股东会决议，刘亚将其持有的新国都技术</w:t>
      </w:r>
      <w:r>
        <w:rPr>
          <w:rFonts w:ascii="Times New Roman" w:hAnsi="Times New Roman" w:cs="Times New Roman" w:eastAsia="Times New Roman" w:hint="default"/>
          <w:spacing w:val="-3"/>
        </w:rPr>
        <w:t>30.00%</w:t>
      </w:r>
      <w:r>
        <w:rPr>
          <w:spacing w:val="-3"/>
        </w:rPr>
        <w:t>的股权转让给刘祥，转让完成后股</w:t>
      </w:r>
      <w:r>
        <w:rPr>
          <w:w w:val="100"/>
        </w:rPr>
        <w:t> </w:t>
      </w:r>
      <w:r>
        <w:rPr/>
        <w:t>权结构为：刘祥占注册资本的</w:t>
      </w:r>
      <w:r>
        <w:rPr>
          <w:rFonts w:ascii="Times New Roman" w:hAnsi="Times New Roman" w:cs="Times New Roman" w:eastAsia="Times New Roman" w:hint="default"/>
        </w:rPr>
        <w:t>70.00%</w:t>
      </w:r>
      <w:r>
        <w:rPr/>
        <w:t>；深圳市奥格立电子科技有限公司占注册资本的</w:t>
      </w:r>
      <w:r>
        <w:rPr>
          <w:rFonts w:ascii="Times New Roman" w:hAnsi="Times New Roman" w:cs="Times New Roman" w:eastAsia="Times New Roman" w:hint="default"/>
        </w:rPr>
        <w:t>30.00%</w:t>
      </w:r>
      <w:r>
        <w:rPr/>
        <w:t>。并于</w:t>
      </w:r>
      <w:r>
        <w:rPr>
          <w:rFonts w:ascii="Times New Roman" w:hAnsi="Times New Roman" w:cs="Times New Roman" w:eastAsia="Times New Roman" w:hint="default"/>
        </w:rPr>
        <w:t>2002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日办理了工商变更手续。</w:t>
      </w:r>
    </w:p>
    <w:p>
      <w:pPr>
        <w:pStyle w:val="Heading6"/>
        <w:spacing w:line="256" w:lineRule="auto" w:before="5"/>
        <w:ind w:right="1128" w:firstLine="420"/>
        <w:jc w:val="both"/>
      </w:pP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日经股东会决议，增加注册资本人民币</w:t>
      </w:r>
      <w:r>
        <w:rPr>
          <w:rFonts w:ascii="Times New Roman" w:hAnsi="Times New Roman" w:cs="Times New Roman" w:eastAsia="Times New Roman" w:hint="default"/>
          <w:spacing w:val="-2"/>
        </w:rPr>
        <w:t>1,200.00</w:t>
      </w:r>
      <w:r>
        <w:rPr>
          <w:spacing w:val="-2"/>
        </w:rPr>
        <w:t>万元，全部由股东深圳市奥格立电子科技</w:t>
      </w:r>
      <w:r>
        <w:rPr>
          <w:w w:val="100"/>
        </w:rPr>
        <w:t> </w:t>
      </w:r>
      <w:r>
        <w:rPr/>
        <w:t>有限公司投入，增资后新国都技术注册资本为人民币</w:t>
      </w:r>
      <w:r>
        <w:rPr>
          <w:rFonts w:ascii="Times New Roman" w:hAnsi="Times New Roman" w:cs="Times New Roman" w:eastAsia="Times New Roman" w:hint="default"/>
        </w:rPr>
        <w:t>1,500.00</w:t>
      </w:r>
      <w:r>
        <w:rPr/>
        <w:t>万元，其中：深圳市奥格立电子科技有限公</w:t>
      </w:r>
      <w:r>
        <w:rPr>
          <w:spacing w:val="-24"/>
        </w:rPr>
        <w:t> </w:t>
      </w:r>
      <w:r>
        <w:rPr>
          <w:spacing w:val="-24"/>
        </w:rPr>
      </w:r>
      <w:r>
        <w:rPr>
          <w:spacing w:val="-1"/>
        </w:rPr>
        <w:t>司占注册资本的</w:t>
      </w:r>
      <w:r>
        <w:rPr>
          <w:rFonts w:ascii="Times New Roman" w:hAnsi="Times New Roman" w:cs="Times New Roman" w:eastAsia="Times New Roman" w:hint="default"/>
          <w:spacing w:val="-1"/>
        </w:rPr>
        <w:t>86.00%</w:t>
      </w:r>
      <w:r>
        <w:rPr>
          <w:spacing w:val="-1"/>
        </w:rPr>
        <w:t>；刘祥占注册资本的</w:t>
      </w:r>
      <w:r>
        <w:rPr>
          <w:rFonts w:ascii="Times New Roman" w:hAnsi="Times New Roman" w:cs="Times New Roman" w:eastAsia="Times New Roman" w:hint="default"/>
          <w:spacing w:val="-1"/>
        </w:rPr>
        <w:t>14.00%</w:t>
      </w:r>
      <w:r>
        <w:rPr>
          <w:spacing w:val="-1"/>
        </w:rPr>
        <w:t>。并于</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31</w:t>
      </w:r>
      <w:r>
        <w:rPr>
          <w:spacing w:val="-1"/>
        </w:rPr>
        <w:t>日办理了工商变更手续。本次增资</w:t>
      </w:r>
      <w:r>
        <w:rPr>
          <w:spacing w:val="-8"/>
        </w:rPr>
        <w:t> </w:t>
      </w:r>
      <w:r>
        <w:rPr/>
        <w:t>业经深圳市长城会计师事务所有限公司深长验字</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159</w:t>
      </w:r>
      <w:r>
        <w:rPr/>
        <w:t>号验资报告验证。</w:t>
      </w:r>
    </w:p>
    <w:p>
      <w:pPr>
        <w:pStyle w:val="Heading6"/>
        <w:spacing w:line="256" w:lineRule="auto" w:before="5"/>
        <w:ind w:right="1033" w:firstLine="42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日经股东会决议，增加注册资本人民币</w:t>
      </w:r>
      <w:r>
        <w:rPr>
          <w:rFonts w:ascii="Times New Roman" w:hAnsi="Times New Roman" w:cs="Times New Roman" w:eastAsia="Times New Roman" w:hint="default"/>
        </w:rPr>
        <w:t>2,500.00</w:t>
      </w:r>
      <w:r>
        <w:rPr/>
        <w:t>万元，全部由未分配利润转增，增资后</w:t>
      </w:r>
      <w:r>
        <w:rPr>
          <w:w w:val="100"/>
        </w:rPr>
        <w:t> </w:t>
      </w:r>
      <w:r>
        <w:rPr>
          <w:spacing w:val="-2"/>
        </w:rPr>
        <w:t>新国都技术注册资本为人民币</w:t>
      </w:r>
      <w:r>
        <w:rPr>
          <w:rFonts w:ascii="Times New Roman" w:hAnsi="Times New Roman" w:cs="Times New Roman" w:eastAsia="Times New Roman" w:hint="default"/>
          <w:spacing w:val="-2"/>
        </w:rPr>
        <w:t>4,000.00</w:t>
      </w:r>
      <w:r>
        <w:rPr>
          <w:spacing w:val="-2"/>
        </w:rPr>
        <w:t>万元，其中：深圳市奥格立电子科技有限公司占注册资本的</w:t>
      </w:r>
      <w:r>
        <w:rPr>
          <w:rFonts w:ascii="Times New Roman" w:hAnsi="Times New Roman" w:cs="Times New Roman" w:eastAsia="Times New Roman" w:hint="default"/>
          <w:spacing w:val="-2"/>
        </w:rPr>
        <w:t>86.00%</w:t>
      </w:r>
      <w:r>
        <w:rPr>
          <w:spacing w:val="-2"/>
        </w:rPr>
        <w:t>；</w:t>
      </w:r>
      <w:r>
        <w:rPr>
          <w:spacing w:val="-46"/>
        </w:rPr>
        <w:t> </w:t>
      </w:r>
      <w:r>
        <w:rPr>
          <w:spacing w:val="-3"/>
        </w:rPr>
        <w:t>刘祥占注册资本的</w:t>
      </w:r>
      <w:r>
        <w:rPr>
          <w:rFonts w:ascii="Times New Roman" w:hAnsi="Times New Roman" w:cs="Times New Roman" w:eastAsia="Times New Roman" w:hint="default"/>
          <w:spacing w:val="-3"/>
        </w:rPr>
        <w:t>14.00%</w:t>
      </w:r>
      <w:r>
        <w:rPr>
          <w:spacing w:val="-3"/>
        </w:rPr>
        <w:t>。并于</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w:t>
      </w:r>
      <w:r>
        <w:rPr>
          <w:spacing w:val="-3"/>
        </w:rPr>
        <w:t>日办理了工商变更手续，本次增资业经深圳大华天诚会计师</w:t>
      </w:r>
      <w:r>
        <w:rPr/>
        <w:t> </w:t>
      </w:r>
      <w:r>
        <w:rPr/>
        <w:t>事务所深华验字</w:t>
      </w:r>
      <w:r>
        <w:rPr>
          <w:rFonts w:ascii="Times New Roman" w:hAnsi="Times New Roman" w:cs="Times New Roman" w:eastAsia="Times New Roman" w:hint="default"/>
        </w:rPr>
        <w:t>[2007]152</w:t>
      </w:r>
      <w:r>
        <w:rPr/>
        <w:t>号验资报告验证。</w:t>
      </w:r>
    </w:p>
    <w:p>
      <w:pPr>
        <w:pStyle w:val="Heading6"/>
        <w:spacing w:line="256" w:lineRule="auto" w:before="5"/>
        <w:ind w:right="1126" w:firstLine="42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日股东会通过了同意深圳市奥格立电子科技有限公司将其持有新国都技术的</w:t>
      </w:r>
      <w:r>
        <w:rPr>
          <w:rFonts w:ascii="Times New Roman" w:hAnsi="Times New Roman" w:cs="Times New Roman" w:eastAsia="Times New Roman" w:hint="default"/>
        </w:rPr>
        <w:t>86.00%</w:t>
      </w:r>
      <w:r>
        <w:rPr/>
        <w:t>的股</w:t>
      </w:r>
      <w:r>
        <w:rPr>
          <w:w w:val="100"/>
        </w:rPr>
        <w:t> </w:t>
      </w:r>
      <w:r>
        <w:rPr/>
        <w:t>权以人民币</w:t>
      </w:r>
      <w:r>
        <w:rPr>
          <w:rFonts w:ascii="Times New Roman" w:hAnsi="Times New Roman" w:cs="Times New Roman" w:eastAsia="Times New Roman" w:hint="default"/>
        </w:rPr>
        <w:t>4,449.64</w:t>
      </w:r>
      <w:r>
        <w:rPr/>
        <w:t>万元的价格转让给刘祥、刘亚、江汉、李俊、徐兴春、栾承岚、李林杰、陈希芬、徐</w:t>
      </w:r>
      <w:r>
        <w:rPr>
          <w:spacing w:val="-23"/>
        </w:rPr>
        <w:t> </w:t>
      </w:r>
      <w:r>
        <w:rPr>
          <w:spacing w:val="-23"/>
        </w:rPr>
      </w:r>
      <w:r>
        <w:rPr>
          <w:spacing w:val="-2"/>
        </w:rPr>
        <w:t>金芳、韦余红、赵辉、汪洋、聂淼</w:t>
      </w:r>
      <w:r>
        <w:rPr>
          <w:rFonts w:ascii="Times New Roman" w:hAnsi="Times New Roman" w:cs="Times New Roman" w:eastAsia="Times New Roman" w:hint="default"/>
          <w:spacing w:val="-2"/>
        </w:rPr>
        <w:t>13</w:t>
      </w:r>
      <w:r>
        <w:rPr>
          <w:spacing w:val="-2"/>
        </w:rPr>
        <w:t>位自然人的决议，转让后深圳市奥格立电子科技有限公司不再持有新</w:t>
      </w:r>
      <w:r>
        <w:rPr>
          <w:spacing w:val="-41"/>
        </w:rPr>
        <w:t> </w:t>
      </w:r>
      <w:r>
        <w:rPr>
          <w:spacing w:val="-41"/>
        </w:rPr>
      </w:r>
      <w:r>
        <w:rPr/>
        <w:t>国都技术的股份。并于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日办理了工商变更手续。本次股权转让完成后，新国都技术股权结构</w:t>
      </w:r>
      <w:r>
        <w:rPr>
          <w:spacing w:val="-28"/>
        </w:rPr>
        <w:t> </w:t>
      </w:r>
      <w:r>
        <w:rPr>
          <w:spacing w:val="-28"/>
        </w:rPr>
      </w:r>
      <w:r>
        <w:rPr/>
        <w:t>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2965"/>
        <w:gridCol w:w="2806"/>
        <w:gridCol w:w="2828"/>
      </w:tblGrid>
      <w:tr>
        <w:trPr>
          <w:trHeight w:val="353" w:hRule="exact"/>
        </w:trPr>
        <w:tc>
          <w:tcPr>
            <w:tcW w:w="29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所持股份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p>
        </w:tc>
        <w:tc>
          <w:tcPr>
            <w:tcW w:w="28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1051"/>
              <w:jc w:val="right"/>
              <w:rPr>
                <w:rFonts w:ascii="宋体" w:hAnsi="宋体" w:cs="宋体" w:eastAsia="宋体" w:hint="default"/>
                <w:sz w:val="18"/>
                <w:szCs w:val="18"/>
              </w:rPr>
            </w:pPr>
            <w:r>
              <w:rPr>
                <w:rFonts w:ascii="宋体" w:hAnsi="宋体" w:cs="宋体" w:eastAsia="宋体" w:hint="default"/>
                <w:sz w:val="18"/>
                <w:szCs w:val="18"/>
              </w:rPr>
              <w:t>持股比例</w:t>
            </w:r>
          </w:p>
        </w:tc>
      </w:tr>
      <w:tr>
        <w:trPr>
          <w:trHeight w:val="353"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2,115</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089"/>
              <w:jc w:val="right"/>
              <w:rPr>
                <w:rFonts w:ascii="Times New Roman" w:hAnsi="Times New Roman" w:cs="Times New Roman" w:eastAsia="Times New Roman" w:hint="default"/>
                <w:sz w:val="18"/>
                <w:szCs w:val="18"/>
              </w:rPr>
            </w:pPr>
            <w:r>
              <w:rPr>
                <w:rFonts w:ascii="Times New Roman"/>
                <w:sz w:val="18"/>
              </w:rPr>
              <w:t>52.875%</w:t>
            </w:r>
          </w:p>
        </w:tc>
      </w:tr>
      <w:tr>
        <w:trPr>
          <w:trHeight w:val="350"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705</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089"/>
              <w:jc w:val="right"/>
              <w:rPr>
                <w:rFonts w:ascii="Times New Roman" w:hAnsi="Times New Roman" w:cs="Times New Roman" w:eastAsia="Times New Roman" w:hint="default"/>
                <w:sz w:val="18"/>
                <w:szCs w:val="18"/>
              </w:rPr>
            </w:pPr>
            <w:r>
              <w:rPr>
                <w:rFonts w:ascii="Times New Roman"/>
                <w:sz w:val="18"/>
              </w:rPr>
              <w:t>17.625%</w:t>
            </w:r>
          </w:p>
        </w:tc>
      </w:tr>
      <w:tr>
        <w:trPr>
          <w:trHeight w:val="353"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705</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1089"/>
              <w:jc w:val="right"/>
              <w:rPr>
                <w:rFonts w:ascii="Times New Roman" w:hAnsi="Times New Roman" w:cs="Times New Roman" w:eastAsia="Times New Roman" w:hint="default"/>
                <w:sz w:val="18"/>
                <w:szCs w:val="18"/>
              </w:rPr>
            </w:pPr>
            <w:r>
              <w:rPr>
                <w:rFonts w:ascii="Times New Roman"/>
                <w:sz w:val="18"/>
              </w:rPr>
              <w:t>17.625%</w:t>
            </w:r>
          </w:p>
        </w:tc>
      </w:tr>
      <w:tr>
        <w:trPr>
          <w:trHeight w:val="353"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40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1.000%</w:t>
            </w:r>
          </w:p>
        </w:tc>
      </w:tr>
      <w:tr>
        <w:trPr>
          <w:trHeight w:val="350"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1.000%</w:t>
            </w:r>
          </w:p>
        </w:tc>
      </w:tr>
      <w:tr>
        <w:trPr>
          <w:trHeight w:val="353"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60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1.500%</w:t>
            </w:r>
          </w:p>
        </w:tc>
      </w:tr>
      <w:tr>
        <w:trPr>
          <w:trHeight w:val="353"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40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1.000%</w:t>
            </w:r>
          </w:p>
        </w:tc>
      </w:tr>
      <w:tr>
        <w:trPr>
          <w:trHeight w:val="350"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徐金芳</w:t>
            </w:r>
          </w:p>
        </w:tc>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1.000%</w:t>
            </w:r>
          </w:p>
        </w:tc>
      </w:tr>
      <w:tr>
        <w:trPr>
          <w:trHeight w:val="353"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60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1.500%</w:t>
            </w:r>
          </w:p>
        </w:tc>
      </w:tr>
      <w:tr>
        <w:trPr>
          <w:trHeight w:val="353"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陈希芬</w:t>
            </w:r>
          </w:p>
        </w:tc>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50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1.250%</w:t>
            </w:r>
          </w:p>
        </w:tc>
      </w:tr>
      <w:tr>
        <w:trPr>
          <w:trHeight w:val="350"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聂淼</w:t>
            </w:r>
          </w:p>
        </w:tc>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35</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0.875%</w:t>
            </w:r>
          </w:p>
        </w:tc>
      </w:tr>
      <w:tr>
        <w:trPr>
          <w:trHeight w:val="353"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60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3"/>
              <w:jc w:val="center"/>
              <w:rPr>
                <w:rFonts w:ascii="Times New Roman" w:hAnsi="Times New Roman" w:cs="Times New Roman" w:eastAsia="Times New Roman" w:hint="default"/>
                <w:sz w:val="18"/>
                <w:szCs w:val="18"/>
              </w:rPr>
            </w:pPr>
            <w:r>
              <w:rPr>
                <w:rFonts w:ascii="Times New Roman"/>
                <w:sz w:val="18"/>
              </w:rPr>
              <w:t>1.500%</w:t>
            </w:r>
          </w:p>
        </w:tc>
      </w:tr>
      <w:tr>
        <w:trPr>
          <w:trHeight w:val="353"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50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1.250%</w:t>
            </w:r>
          </w:p>
        </w:tc>
      </w:tr>
      <w:tr>
        <w:trPr>
          <w:trHeight w:val="353"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4,000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041"/>
              <w:jc w:val="right"/>
              <w:rPr>
                <w:rFonts w:ascii="Times New Roman" w:hAnsi="Times New Roman" w:cs="Times New Roman" w:eastAsia="Times New Roman" w:hint="default"/>
                <w:sz w:val="18"/>
                <w:szCs w:val="18"/>
              </w:rPr>
            </w:pPr>
            <w:r>
              <w:rPr>
                <w:rFonts w:ascii="Times New Roman"/>
                <w:sz w:val="18"/>
              </w:rPr>
              <w:t>100.000%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56" w:lineRule="auto" w:before="36"/>
        <w:ind w:right="1116" w:firstLine="420"/>
        <w:jc w:val="both"/>
      </w:pPr>
      <w:r>
        <w:rPr/>
        <w:t>根据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日召开的</w:t>
      </w:r>
      <w:r>
        <w:rPr>
          <w:rFonts w:ascii="Times New Roman" w:hAnsi="Times New Roman" w:cs="Times New Roman" w:eastAsia="Times New Roman" w:hint="default"/>
        </w:rPr>
        <w:t>2008</w:t>
      </w:r>
      <w:r>
        <w:rPr/>
        <w:t>年第</w:t>
      </w:r>
      <w:r>
        <w:rPr>
          <w:rFonts w:ascii="Times New Roman" w:hAnsi="Times New Roman" w:cs="Times New Roman" w:eastAsia="Times New Roman" w:hint="default"/>
        </w:rPr>
        <w:t>3</w:t>
      </w:r>
      <w:r>
        <w:rPr/>
        <w:t>次临时股东会会议及其决议、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日签订的发起人协议规</w:t>
      </w:r>
      <w:r>
        <w:rPr>
          <w:w w:val="100"/>
        </w:rPr>
        <w:t> </w:t>
      </w:r>
      <w:r>
        <w:rPr/>
        <w:t>定，新国都技术由有限责任公司整体变更为股份有限公司，以截止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日经审计的净资产人民币</w:t>
      </w:r>
      <w:r>
        <w:rPr>
          <w:spacing w:val="-25"/>
        </w:rPr>
        <w:t> </w:t>
      </w:r>
      <w:r>
        <w:rPr>
          <w:spacing w:val="-25"/>
        </w:rPr>
      </w:r>
      <w:r>
        <w:rPr>
          <w:rFonts w:ascii="Times New Roman" w:hAnsi="Times New Roman" w:cs="Times New Roman" w:eastAsia="Times New Roman" w:hint="default"/>
          <w:spacing w:val="6"/>
        </w:rPr>
        <w:t>59,860,459.32</w:t>
      </w:r>
      <w:r>
        <w:rPr>
          <w:spacing w:val="6"/>
        </w:rPr>
        <w:t>元中的</w:t>
      </w:r>
      <w:r>
        <w:rPr>
          <w:rFonts w:ascii="Times New Roman" w:hAnsi="Times New Roman" w:cs="Times New Roman" w:eastAsia="Times New Roman" w:hint="default"/>
          <w:spacing w:val="6"/>
        </w:rPr>
        <w:t>4,000.00</w:t>
      </w:r>
      <w:r>
        <w:rPr>
          <w:spacing w:val="6"/>
        </w:rPr>
        <w:t>万元按</w:t>
      </w:r>
      <w:r>
        <w:rPr>
          <w:rFonts w:ascii="Times New Roman" w:hAnsi="Times New Roman" w:cs="Times New Roman" w:eastAsia="Times New Roman" w:hint="default"/>
          <w:spacing w:val="6"/>
        </w:rPr>
        <w:t>1:1</w:t>
      </w:r>
      <w:r>
        <w:rPr>
          <w:spacing w:val="6"/>
        </w:rPr>
        <w:t>的比例折合为股本总额</w:t>
      </w:r>
      <w:r>
        <w:rPr>
          <w:rFonts w:ascii="Times New Roman" w:hAnsi="Times New Roman" w:cs="Times New Roman" w:eastAsia="Times New Roman" w:hint="default"/>
          <w:spacing w:val="6"/>
        </w:rPr>
        <w:t>4,000</w:t>
      </w:r>
      <w:r>
        <w:rPr>
          <w:spacing w:val="6"/>
        </w:rPr>
        <w:t>万股。变更后的注册资本为人民币</w:t>
      </w:r>
      <w:r>
        <w:rPr/>
      </w:r>
    </w:p>
    <w:p>
      <w:pPr>
        <w:pStyle w:val="Heading6"/>
        <w:spacing w:line="240" w:lineRule="auto" w:before="5"/>
        <w:ind w:right="0"/>
        <w:jc w:val="both"/>
        <w:rPr>
          <w:rFonts w:ascii="Times New Roman" w:hAnsi="Times New Roman" w:cs="Times New Roman" w:eastAsia="Times New Roman" w:hint="default"/>
        </w:rPr>
      </w:pPr>
      <w:r>
        <w:rPr>
          <w:rFonts w:ascii="Times New Roman" w:hAnsi="Times New Roman" w:cs="Times New Roman" w:eastAsia="Times New Roman" w:hint="default"/>
        </w:rPr>
        <w:t>4,000.00</w:t>
      </w:r>
      <w:r>
        <w:rPr/>
        <w:t>万元。本次变更业经深圳大华天诚会计师事务所深华验字</w:t>
      </w:r>
      <w:r>
        <w:rPr>
          <w:rFonts w:ascii="Times New Roman" w:hAnsi="Times New Roman" w:cs="Times New Roman" w:eastAsia="Times New Roman" w:hint="default"/>
        </w:rPr>
        <w:t>[2008]35</w:t>
      </w:r>
      <w:r>
        <w:rPr/>
        <w:t>号验资报告验证。</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p>
    <w:p>
      <w:pPr>
        <w:pStyle w:val="Heading6"/>
        <w:spacing w:line="240" w:lineRule="auto" w:before="21"/>
        <w:ind w:right="0"/>
        <w:jc w:val="both"/>
      </w:pPr>
      <w:r>
        <w:rPr/>
        <w:t>日，新国都技术取得深圳市工商行政管理局核发的</w:t>
      </w:r>
      <w:r>
        <w:rPr>
          <w:rFonts w:ascii="Times New Roman" w:hAnsi="Times New Roman" w:cs="Times New Roman" w:eastAsia="Times New Roman" w:hint="default"/>
        </w:rPr>
        <w:t>440301103074776</w:t>
      </w:r>
      <w:r>
        <w:rPr/>
        <w:t>号《企业法人营业执照》。</w:t>
      </w:r>
    </w:p>
    <w:p>
      <w:pPr>
        <w:pStyle w:val="Heading6"/>
        <w:spacing w:line="256" w:lineRule="auto" w:before="21"/>
        <w:ind w:right="1134" w:firstLine="42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月，本公司与深圳国际高新技术产权交易所签订了股权登记托管服务合同，办理了非上市股</w:t>
      </w:r>
      <w:r>
        <w:rPr>
          <w:w w:val="100"/>
        </w:rPr>
        <w:t> </w:t>
      </w:r>
      <w:r>
        <w:rPr/>
        <w:t>份有限公司股权托管。</w:t>
      </w:r>
    </w:p>
    <w:p>
      <w:pPr>
        <w:pStyle w:val="Heading6"/>
        <w:spacing w:line="256" w:lineRule="auto" w:before="22"/>
        <w:ind w:right="1033" w:firstLine="420"/>
        <w:jc w:val="left"/>
      </w:pPr>
      <w:r>
        <w:rPr>
          <w:spacing w:val="2"/>
        </w:rPr>
        <w:t>根据本公司</w:t>
      </w:r>
      <w:r>
        <w:rPr>
          <w:rFonts w:ascii="Times New Roman" w:hAnsi="Times New Roman" w:cs="Times New Roman" w:eastAsia="Times New Roman" w:hint="default"/>
          <w:spacing w:val="2"/>
        </w:rPr>
        <w:t>2008</w:t>
      </w:r>
      <w:r>
        <w:rPr>
          <w:spacing w:val="2"/>
        </w:rPr>
        <w:t>年第一次临时股东大会决议和修改后章程的规定，本公司申请增加注册资本人民币</w:t>
      </w:r>
      <w:r>
        <w:rPr>
          <w:w w:val="100"/>
        </w:rPr>
        <w:t> </w:t>
      </w:r>
      <w:r>
        <w:rPr>
          <w:rFonts w:ascii="Times New Roman" w:hAnsi="Times New Roman" w:cs="Times New Roman" w:eastAsia="Times New Roman" w:hint="default"/>
          <w:spacing w:val="-3"/>
        </w:rPr>
        <w:t>750.00</w:t>
      </w:r>
      <w:r>
        <w:rPr>
          <w:spacing w:val="-3"/>
        </w:rPr>
        <w:t>万元，变更后的注册资本为人民币</w:t>
      </w:r>
      <w:r>
        <w:rPr>
          <w:rFonts w:ascii="Times New Roman" w:hAnsi="Times New Roman" w:cs="Times New Roman" w:eastAsia="Times New Roman" w:hint="default"/>
          <w:spacing w:val="-3"/>
        </w:rPr>
        <w:t>4,750.00</w:t>
      </w:r>
      <w:r>
        <w:rPr>
          <w:spacing w:val="-3"/>
        </w:rPr>
        <w:t>万元。新增注册资本由深圳市创新投资集团有限公司、北</w:t>
      </w:r>
      <w:r>
        <w:rPr>
          <w:spacing w:val="-33"/>
        </w:rPr>
        <w:t> </w:t>
      </w:r>
      <w:r>
        <w:rPr>
          <w:spacing w:val="-33"/>
        </w:rPr>
      </w:r>
      <w:r>
        <w:rPr>
          <w:spacing w:val="-4"/>
        </w:rPr>
        <w:t>京首创建设有限公司、深圳市长润创业投资企业</w:t>
      </w:r>
      <w:r>
        <w:rPr>
          <w:rFonts w:ascii="Times New Roman" w:hAnsi="Times New Roman" w:cs="Times New Roman" w:eastAsia="Times New Roman" w:hint="default"/>
          <w:spacing w:val="-4"/>
        </w:rPr>
        <w:t>(</w:t>
      </w:r>
      <w:r>
        <w:rPr>
          <w:spacing w:val="-4"/>
        </w:rPr>
        <w:t>有限合伙</w:t>
      </w:r>
      <w:r>
        <w:rPr>
          <w:rFonts w:ascii="Times New Roman" w:hAnsi="Times New Roman" w:cs="Times New Roman" w:eastAsia="Times New Roman" w:hint="default"/>
          <w:spacing w:val="-4"/>
        </w:rPr>
        <w:t>)</w:t>
      </w:r>
      <w:r>
        <w:rPr>
          <w:spacing w:val="-4"/>
        </w:rPr>
        <w:t>、上海林耐实业投资中心</w:t>
      </w:r>
      <w:r>
        <w:rPr>
          <w:rFonts w:ascii="Times New Roman" w:hAnsi="Times New Roman" w:cs="Times New Roman" w:eastAsia="Times New Roman" w:hint="default"/>
          <w:spacing w:val="-4"/>
        </w:rPr>
        <w:t>(</w:t>
      </w:r>
      <w:r>
        <w:rPr>
          <w:spacing w:val="-4"/>
        </w:rPr>
        <w:t>有限合伙</w:t>
      </w:r>
      <w:r>
        <w:rPr>
          <w:rFonts w:ascii="Times New Roman" w:hAnsi="Times New Roman" w:cs="Times New Roman" w:eastAsia="Times New Roman" w:hint="default"/>
          <w:spacing w:val="-4"/>
        </w:rPr>
        <w:t>)</w:t>
      </w:r>
      <w:r>
        <w:rPr>
          <w:spacing w:val="-4"/>
        </w:rPr>
        <w:t>、深圳市福</w:t>
      </w:r>
      <w:r>
        <w:rPr>
          <w:spacing w:val="-15"/>
        </w:rPr>
        <w:t> </w:t>
      </w:r>
      <w:r>
        <w:rPr>
          <w:spacing w:val="-15"/>
        </w:rPr>
      </w:r>
      <w:r>
        <w:rPr>
          <w:spacing w:val="-8"/>
        </w:rPr>
        <w:t>田创新资本创业投资有限公司、蔡衍军、陈新华、里维宁、王凌海、许芹、李妍</w:t>
      </w:r>
      <w:r>
        <w:rPr>
          <w:rFonts w:ascii="Times New Roman" w:hAnsi="Times New Roman" w:cs="Times New Roman" w:eastAsia="Times New Roman" w:hint="default"/>
          <w:spacing w:val="-8"/>
        </w:rPr>
        <w:t>11</w:t>
      </w:r>
      <w:r>
        <w:rPr>
          <w:spacing w:val="-8"/>
        </w:rPr>
        <w:t>位新股东以人民币</w:t>
      </w:r>
      <w:r>
        <w:rPr>
          <w:rFonts w:ascii="Times New Roman" w:hAnsi="Times New Roman" w:cs="Times New Roman" w:eastAsia="Times New Roman" w:hint="default"/>
          <w:spacing w:val="-8"/>
        </w:rPr>
        <w:t>5,002.50</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spacing w:val="-2"/>
        </w:rPr>
        <w:t>万元全部认购，其中人民币</w:t>
      </w:r>
      <w:r>
        <w:rPr>
          <w:rFonts w:ascii="Times New Roman" w:hAnsi="Times New Roman" w:cs="Times New Roman" w:eastAsia="Times New Roman" w:hint="default"/>
          <w:spacing w:val="-2"/>
        </w:rPr>
        <w:t>750.00</w:t>
      </w:r>
      <w:r>
        <w:rPr>
          <w:spacing w:val="-2"/>
        </w:rPr>
        <w:t>万元作为新增注册资本，剩余人民币</w:t>
      </w:r>
      <w:r>
        <w:rPr>
          <w:rFonts w:ascii="Times New Roman" w:hAnsi="Times New Roman" w:cs="Times New Roman" w:eastAsia="Times New Roman" w:hint="default"/>
          <w:spacing w:val="-2"/>
        </w:rPr>
        <w:t>4,252.50</w:t>
      </w:r>
      <w:r>
        <w:rPr>
          <w:spacing w:val="-2"/>
        </w:rPr>
        <w:t>万元作为本公司资本公积，</w:t>
      </w:r>
      <w:r>
        <w:rPr>
          <w:spacing w:val="-6"/>
        </w:rPr>
        <w:t> </w:t>
      </w:r>
      <w:r>
        <w:rPr>
          <w:spacing w:val="-6"/>
        </w:rPr>
      </w:r>
      <w:r>
        <w:rPr/>
        <w:t>增资后本公司注册资本为人民币</w:t>
      </w:r>
      <w:r>
        <w:rPr>
          <w:rFonts w:ascii="Times New Roman" w:hAnsi="Times New Roman" w:cs="Times New Roman" w:eastAsia="Times New Roman" w:hint="default"/>
        </w:rPr>
        <w:t>4,750.00</w:t>
      </w:r>
      <w:r>
        <w:rPr/>
        <w:t>万元。该增资业经广东大华德律会计师事务所深华验字</w:t>
      </w:r>
      <w:r>
        <w:rPr>
          <w:rFonts w:ascii="Times New Roman" w:hAnsi="Times New Roman" w:cs="Times New Roman" w:eastAsia="Times New Roman" w:hint="default"/>
        </w:rPr>
        <w:t>[2008]74</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号验资报告验证。并于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日办理完毕工商变更手续。</w:t>
      </w:r>
    </w:p>
    <w:p>
      <w:pPr>
        <w:pStyle w:val="Heading6"/>
        <w:spacing w:line="256" w:lineRule="auto" w:before="5"/>
        <w:ind w:right="1126" w:firstLine="42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日，上海林耐实业投资中心</w:t>
      </w:r>
      <w:r>
        <w:rPr>
          <w:rFonts w:ascii="Times New Roman" w:hAnsi="Times New Roman" w:cs="Times New Roman" w:eastAsia="Times New Roman" w:hint="default"/>
          <w:spacing w:val="-1"/>
        </w:rPr>
        <w:t>(</w:t>
      </w:r>
      <w:r>
        <w:rPr>
          <w:spacing w:val="-1"/>
        </w:rPr>
        <w:t>有限合伙</w:t>
      </w:r>
      <w:r>
        <w:rPr>
          <w:rFonts w:ascii="Times New Roman" w:hAnsi="Times New Roman" w:cs="Times New Roman" w:eastAsia="Times New Roman" w:hint="default"/>
          <w:spacing w:val="-1"/>
        </w:rPr>
        <w:t>)</w:t>
      </w:r>
      <w:r>
        <w:rPr>
          <w:spacing w:val="-1"/>
        </w:rPr>
        <w:t>将其持有的本公司</w:t>
      </w:r>
      <w:r>
        <w:rPr>
          <w:rFonts w:ascii="Times New Roman" w:hAnsi="Times New Roman" w:cs="Times New Roman" w:eastAsia="Times New Roman" w:hint="default"/>
          <w:spacing w:val="-1"/>
        </w:rPr>
        <w:t>1.684%</w:t>
      </w:r>
      <w:r>
        <w:rPr>
          <w:spacing w:val="-1"/>
        </w:rPr>
        <w:t>的股权全部转让给自然人</w:t>
      </w:r>
      <w:r>
        <w:rPr>
          <w:w w:val="100"/>
        </w:rPr>
        <w:t> </w:t>
      </w:r>
      <w:r>
        <w:rPr/>
        <w:t>张燕民，并于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日在深圳国际高新技术产权交易所办理了股权变更的备案手续。</w:t>
      </w:r>
    </w:p>
    <w:p>
      <w:pPr>
        <w:pStyle w:val="Heading6"/>
        <w:spacing w:line="256" w:lineRule="auto" w:before="5"/>
        <w:ind w:right="1128" w:firstLine="420"/>
        <w:jc w:val="both"/>
      </w:pP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22</w:t>
      </w:r>
      <w:r>
        <w:rPr>
          <w:spacing w:val="-3"/>
        </w:rPr>
        <w:t>日，深圳市长润创业投资企业</w:t>
      </w:r>
      <w:r>
        <w:rPr>
          <w:rFonts w:ascii="Times New Roman" w:hAnsi="Times New Roman" w:cs="Times New Roman" w:eastAsia="Times New Roman" w:hint="default"/>
          <w:spacing w:val="-3"/>
        </w:rPr>
        <w:t>(</w:t>
      </w:r>
      <w:r>
        <w:rPr>
          <w:spacing w:val="-3"/>
        </w:rPr>
        <w:t>有限合伙</w:t>
      </w:r>
      <w:r>
        <w:rPr>
          <w:rFonts w:ascii="Times New Roman" w:hAnsi="Times New Roman" w:cs="Times New Roman" w:eastAsia="Times New Roman" w:hint="default"/>
          <w:spacing w:val="-3"/>
        </w:rPr>
        <w:t>)</w:t>
      </w:r>
      <w:r>
        <w:rPr>
          <w:spacing w:val="-3"/>
        </w:rPr>
        <w:t>将其持有的本公司</w:t>
      </w:r>
      <w:r>
        <w:rPr>
          <w:rFonts w:ascii="Times New Roman" w:hAnsi="Times New Roman" w:cs="Times New Roman" w:eastAsia="Times New Roman" w:hint="default"/>
          <w:spacing w:val="-3"/>
        </w:rPr>
        <w:t>2.105%</w:t>
      </w:r>
      <w:r>
        <w:rPr>
          <w:spacing w:val="-3"/>
        </w:rPr>
        <w:t>的股权全部转让给自然</w:t>
      </w:r>
      <w:r>
        <w:rPr>
          <w:w w:val="100"/>
        </w:rPr>
        <w:t> </w:t>
      </w:r>
      <w:r>
        <w:rPr/>
        <w:t>人王巍，并于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日在深圳国际高新技术产权交易所办理了股权变更的备案手续。</w:t>
      </w:r>
    </w:p>
    <w:p>
      <w:pPr>
        <w:pStyle w:val="Heading6"/>
        <w:spacing w:line="240" w:lineRule="auto" w:before="5"/>
        <w:ind w:left="573" w:right="1033"/>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日，北京首创建设有限公司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首创建设</w:t>
      </w:r>
      <w:r>
        <w:rPr>
          <w:rFonts w:ascii="Times New Roman" w:hAnsi="Times New Roman" w:cs="Times New Roman" w:eastAsia="Times New Roman" w:hint="default"/>
        </w:rPr>
        <w:t>”)</w:t>
      </w:r>
      <w:r>
        <w:rPr/>
        <w:t>董事会通过了关于转让其持有本公司</w:t>
      </w:r>
    </w:p>
    <w:p>
      <w:pPr>
        <w:pStyle w:val="Heading6"/>
        <w:spacing w:line="261" w:lineRule="auto" w:before="21"/>
        <w:ind w:right="1126"/>
        <w:jc w:val="both"/>
      </w:pPr>
      <w:r>
        <w:rPr>
          <w:rFonts w:ascii="Times New Roman" w:hAnsi="Times New Roman" w:cs="Times New Roman" w:eastAsia="Times New Roman" w:hint="default"/>
        </w:rPr>
        <w:t>120</w:t>
      </w:r>
      <w:r>
        <w:rPr/>
        <w:t>万股股份的决议，同意以不低于评估价格转让上述股权，并按照国有产权转让相关规定履行审批程序</w:t>
      </w:r>
      <w:r>
        <w:rPr>
          <w:spacing w:val="-26"/>
        </w:rPr>
        <w:t> </w:t>
      </w:r>
      <w:r>
        <w:rPr>
          <w:spacing w:val="-26"/>
        </w:rPr>
      </w:r>
      <w:r>
        <w:rPr>
          <w:spacing w:val="-2"/>
        </w:rPr>
        <w:t>和转让流程，呈报北京首都创业集团有限公司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首创集团</w:t>
      </w:r>
      <w:r>
        <w:rPr>
          <w:rFonts w:ascii="Times New Roman" w:hAnsi="Times New Roman" w:cs="Times New Roman" w:eastAsia="Times New Roman" w:hint="default"/>
          <w:spacing w:val="-2"/>
        </w:rPr>
        <w:t>”)</w:t>
      </w:r>
      <w:r>
        <w:rPr>
          <w:spacing w:val="-2"/>
        </w:rPr>
        <w:t>审批。根据</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日《首创集团</w:t>
      </w:r>
      <w:r>
        <w:rPr>
          <w:spacing w:val="-49"/>
        </w:rPr>
        <w:t> </w:t>
      </w:r>
      <w:r>
        <w:rPr>
          <w:spacing w:val="-49"/>
        </w:rPr>
      </w:r>
      <w:r>
        <w:rPr/>
        <w:t>总经理办公会会议纪要》</w:t>
      </w:r>
      <w:r>
        <w:rPr>
          <w:rFonts w:ascii="Times New Roman" w:hAnsi="Times New Roman" w:cs="Times New Roman" w:eastAsia="Times New Roman" w:hint="default"/>
        </w:rPr>
        <w:t>(2009</w:t>
      </w:r>
      <w:r>
        <w:rPr/>
        <w:t>年第</w:t>
      </w:r>
      <w:r>
        <w:rPr>
          <w:rFonts w:ascii="Times New Roman" w:hAnsi="Times New Roman" w:cs="Times New Roman" w:eastAsia="Times New Roman" w:hint="default"/>
        </w:rPr>
        <w:t>12</w:t>
      </w:r>
      <w:r>
        <w:rPr/>
        <w:t>次会议</w:t>
      </w:r>
      <w:r>
        <w:rPr>
          <w:rFonts w:ascii="Times New Roman" w:hAnsi="Times New Roman" w:cs="Times New Roman" w:eastAsia="Times New Roman" w:hint="default"/>
        </w:rPr>
        <w:t>)</w:t>
      </w:r>
      <w:r>
        <w:rPr/>
        <w:t>，首创集团同意首创建设转让其持有的本公司股权，转让价</w:t>
      </w:r>
      <w:r>
        <w:rPr>
          <w:spacing w:val="-57"/>
        </w:rPr>
        <w:t> </w:t>
      </w:r>
      <w:r>
        <w:rPr>
          <w:spacing w:val="-57"/>
        </w:rPr>
      </w:r>
      <w:r>
        <w:rPr/>
        <w:t>格不低于初始投资额。北京市人民政府国有资产监督管理委员会</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日做出了《北京市人民政府</w:t>
      </w:r>
      <w:r>
        <w:rPr>
          <w:spacing w:val="-25"/>
        </w:rPr>
        <w:t> </w:t>
      </w:r>
      <w:r>
        <w:rPr>
          <w:spacing w:val="-25"/>
        </w:rPr>
      </w:r>
      <w:r>
        <w:rPr>
          <w:spacing w:val="-2"/>
        </w:rPr>
        <w:t>国有资产监督管理委员会关于深圳市新国都技术股份有限公司股权转让评估项目予以核准的批复》批准了</w:t>
      </w:r>
      <w:r>
        <w:rPr>
          <w:spacing w:val="-43"/>
        </w:rPr>
        <w:t> </w:t>
      </w:r>
      <w:r>
        <w:rPr>
          <w:spacing w:val="-43"/>
        </w:rPr>
      </w:r>
      <w:r>
        <w:rPr>
          <w:spacing w:val="-2"/>
        </w:rPr>
        <w:t>首创建设股份转让项目的资产评估报告，同意深圳市天健国众联资产评估土地房产评估有限公司出具的深</w:t>
      </w:r>
      <w:r>
        <w:rPr>
          <w:spacing w:val="-44"/>
        </w:rPr>
        <w:t> </w:t>
      </w:r>
      <w:r>
        <w:rPr>
          <w:spacing w:val="-44"/>
        </w:rPr>
      </w:r>
      <w:r>
        <w:rPr/>
        <w:t>天健国众联评报字【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T-10801</w:t>
      </w:r>
      <w:r>
        <w:rPr/>
        <w:t>号《北京首创建设有限公司拟转让持有的深圳市新国都技术股份有</w:t>
      </w:r>
      <w:r>
        <w:rPr>
          <w:spacing w:val="-19"/>
        </w:rPr>
        <w:t> </w:t>
      </w:r>
      <w:r>
        <w:rPr>
          <w:spacing w:val="-19"/>
        </w:rPr>
      </w:r>
      <w:r>
        <w:rPr/>
        <w:t>限公司</w:t>
      </w:r>
      <w:r>
        <w:rPr>
          <w:rFonts w:ascii="Times New Roman" w:hAnsi="Times New Roman" w:cs="Times New Roman" w:eastAsia="Times New Roman" w:hint="default"/>
        </w:rPr>
        <w:t>2.5263%</w:t>
      </w:r>
      <w:r>
        <w:rPr/>
        <w:t>国有股权权益价值股权转让项目资产评估报告书》对本公司股权转让项目有效。</w:t>
      </w:r>
    </w:p>
    <w:p>
      <w:pPr>
        <w:pStyle w:val="Heading6"/>
        <w:spacing w:line="261" w:lineRule="auto" w:before="0"/>
        <w:ind w:right="1109" w:firstLine="420"/>
        <w:jc w:val="both"/>
      </w:pPr>
      <w:r>
        <w:rPr/>
        <w:t>根据上述批复，首创建设将其持有的本公司全部股权在北京产权交易所挂牌转让。</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w:t>
      </w:r>
      <w:r>
        <w:rPr>
          <w:w w:val="100"/>
        </w:rPr>
        <w:t> </w:t>
      </w:r>
      <w:r>
        <w:rPr>
          <w:spacing w:val="-2"/>
        </w:rPr>
        <w:t>首创建设与湖南瑞驰丰和创业投资管理有限公司、钟可颐、谢建龙、黄健生、欧阳伟强等五方签署产权交</w:t>
      </w:r>
      <w:r>
        <w:rPr>
          <w:spacing w:val="-47"/>
        </w:rPr>
        <w:t> </w:t>
      </w:r>
      <w:r>
        <w:rPr>
          <w:spacing w:val="-47"/>
        </w:rPr>
      </w:r>
      <w:r>
        <w:rPr>
          <w:spacing w:val="-6"/>
        </w:rPr>
        <w:t>易合同，将其所持有的</w:t>
      </w:r>
      <w:r>
        <w:rPr>
          <w:rFonts w:ascii="Times New Roman" w:hAnsi="Times New Roman" w:cs="Times New Roman" w:eastAsia="Times New Roman" w:hint="default"/>
          <w:spacing w:val="-6"/>
        </w:rPr>
        <w:t>120</w:t>
      </w:r>
      <w:r>
        <w:rPr>
          <w:spacing w:val="-6"/>
        </w:rPr>
        <w:t>万股本公司股份，作价</w:t>
      </w:r>
      <w:r>
        <w:rPr>
          <w:rFonts w:ascii="Times New Roman" w:hAnsi="Times New Roman" w:cs="Times New Roman" w:eastAsia="Times New Roman" w:hint="default"/>
          <w:spacing w:val="-6"/>
        </w:rPr>
        <w:t>900.00</w:t>
      </w:r>
      <w:r>
        <w:rPr>
          <w:spacing w:val="-6"/>
        </w:rPr>
        <w:t>万元转让给上述五方，转让价格高于评估价值</w:t>
      </w:r>
      <w:r>
        <w:rPr>
          <w:rFonts w:ascii="Times New Roman" w:hAnsi="Times New Roman" w:cs="Times New Roman" w:eastAsia="Times New Roman" w:hint="default"/>
          <w:spacing w:val="-6"/>
        </w:rPr>
        <w:t>484.02</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2"/>
        </w:rPr>
        <w:t>万元。其中，湖南瑞驰丰和创业投资管理有限公司受让</w:t>
      </w:r>
      <w:r>
        <w:rPr>
          <w:rFonts w:ascii="Times New Roman" w:hAnsi="Times New Roman" w:cs="Times New Roman" w:eastAsia="Times New Roman" w:hint="default"/>
          <w:spacing w:val="-2"/>
        </w:rPr>
        <w:t>20</w:t>
      </w:r>
      <w:r>
        <w:rPr>
          <w:spacing w:val="-2"/>
        </w:rPr>
        <w:t>万股，钟可颐受让</w:t>
      </w:r>
      <w:r>
        <w:rPr>
          <w:rFonts w:ascii="Times New Roman" w:hAnsi="Times New Roman" w:cs="Times New Roman" w:eastAsia="Times New Roman" w:hint="default"/>
          <w:spacing w:val="-2"/>
        </w:rPr>
        <w:t>10</w:t>
      </w:r>
      <w:r>
        <w:rPr>
          <w:spacing w:val="-2"/>
        </w:rPr>
        <w:t>万股，谢建龙受让</w:t>
      </w:r>
      <w:r>
        <w:rPr>
          <w:rFonts w:ascii="Times New Roman" w:hAnsi="Times New Roman" w:cs="Times New Roman" w:eastAsia="Times New Roman" w:hint="default"/>
          <w:spacing w:val="-2"/>
        </w:rPr>
        <w:t>50</w:t>
      </w:r>
      <w:r>
        <w:rPr>
          <w:spacing w:val="-2"/>
        </w:rPr>
        <w:t>万股，</w:t>
      </w:r>
      <w:r>
        <w:rPr>
          <w:spacing w:val="-21"/>
        </w:rPr>
        <w:t> </w:t>
      </w:r>
      <w:r>
        <w:rPr/>
        <w:t>黄健生、欧阳伟强各受让</w:t>
      </w:r>
      <w:r>
        <w:rPr>
          <w:rFonts w:ascii="Times New Roman" w:hAnsi="Times New Roman" w:cs="Times New Roman" w:eastAsia="Times New Roman" w:hint="default"/>
        </w:rPr>
        <w:t>20</w:t>
      </w:r>
      <w:r>
        <w:rPr/>
        <w:t>万股。上述股权变更及过户于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日完成。</w:t>
      </w:r>
    </w:p>
    <w:p>
      <w:pPr>
        <w:pStyle w:val="Heading6"/>
        <w:spacing w:line="256" w:lineRule="auto" w:before="0"/>
        <w:ind w:right="1133" w:firstLine="420"/>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日，深圳国际高新技术产权交易所作为非上市股份公司股权登记托管机构，就本公司股</w:t>
      </w:r>
      <w:r>
        <w:rPr>
          <w:w w:val="100"/>
        </w:rPr>
        <w:t> </w:t>
      </w:r>
      <w:r>
        <w:rPr/>
        <w:t>份转让后的股东情况向本公司出具了《非上市股份有限公司股东名册》。至此，本公司股本结构如下：</w:t>
      </w:r>
    </w:p>
    <w:p>
      <w:pPr>
        <w:spacing w:line="240" w:lineRule="auto" w:before="9"/>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697"/>
        <w:gridCol w:w="2465"/>
        <w:gridCol w:w="2432"/>
      </w:tblGrid>
      <w:tr>
        <w:trPr>
          <w:trHeight w:val="355" w:hRule="exact"/>
        </w:trPr>
        <w:tc>
          <w:tcPr>
            <w:tcW w:w="36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持股数</w:t>
            </w:r>
            <w:r>
              <w:rPr>
                <w:rFonts w:ascii="Times New Roman" w:hAnsi="Times New Roman" w:cs="Times New Roman" w:eastAsia="Times New Roman" w:hint="default"/>
                <w:sz w:val="18"/>
                <w:szCs w:val="18"/>
              </w:rPr>
              <w:t>(</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p>
        </w:tc>
        <w:tc>
          <w:tcPr>
            <w:tcW w:w="24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股权比例</w:t>
            </w:r>
          </w:p>
        </w:tc>
      </w:tr>
      <w:tr>
        <w:trPr>
          <w:trHeight w:val="350"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2,115</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44.5263%</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705</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14.8421%</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705</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14.8421%</w:t>
            </w:r>
          </w:p>
        </w:tc>
      </w:tr>
      <w:tr>
        <w:trPr>
          <w:trHeight w:val="350"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160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3.3684%</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王巍</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100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3"/>
              <w:jc w:val="center"/>
              <w:rPr>
                <w:rFonts w:ascii="Times New Roman" w:hAnsi="Times New Roman" w:cs="Times New Roman" w:eastAsia="Times New Roman" w:hint="default"/>
                <w:sz w:val="18"/>
                <w:szCs w:val="18"/>
              </w:rPr>
            </w:pPr>
            <w:r>
              <w:rPr>
                <w:rFonts w:ascii="Times New Roman"/>
                <w:sz w:val="18"/>
              </w:rPr>
              <w:t>2.1053%</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张燕民</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80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1.6842%</w:t>
            </w:r>
          </w:p>
        </w:tc>
      </w:tr>
      <w:tr>
        <w:trPr>
          <w:trHeight w:val="350"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60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1.2632%</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60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1.2632%</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697"/>
        <w:gridCol w:w="2465"/>
        <w:gridCol w:w="2432"/>
      </w:tblGrid>
      <w:tr>
        <w:trPr>
          <w:trHeight w:val="356" w:hRule="exact"/>
        </w:trPr>
        <w:tc>
          <w:tcPr>
            <w:tcW w:w="36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2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60</w:t>
            </w:r>
          </w:p>
        </w:tc>
        <w:tc>
          <w:tcPr>
            <w:tcW w:w="24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1.2632%</w:t>
            </w:r>
          </w:p>
        </w:tc>
      </w:tr>
      <w:tr>
        <w:trPr>
          <w:trHeight w:val="350"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蔡衍军</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50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1.0526%</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王凌海</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50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1.0526%</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谢建龙</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50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1.0526%</w:t>
            </w:r>
          </w:p>
        </w:tc>
      </w:tr>
      <w:tr>
        <w:trPr>
          <w:trHeight w:val="350"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陈新华</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50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1.0526%</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50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1.0526%</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里维宁</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50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1.0526%</w:t>
            </w:r>
          </w:p>
        </w:tc>
      </w:tr>
      <w:tr>
        <w:trPr>
          <w:trHeight w:val="350"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陈希芬</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50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1.0526%</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深圳市福田创新资本创业投资有限公司</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40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0.8421%</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0.8421%</w:t>
            </w:r>
          </w:p>
        </w:tc>
      </w:tr>
      <w:tr>
        <w:trPr>
          <w:trHeight w:val="350"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0.8421%</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40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0.8421%</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徐金芳</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0.8421%</w:t>
            </w:r>
          </w:p>
        </w:tc>
      </w:tr>
      <w:tr>
        <w:trPr>
          <w:trHeight w:val="350"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聂淼</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35</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0.7368%</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许芹</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30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0.6316%</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李妍</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0.4211%</w:t>
            </w:r>
          </w:p>
        </w:tc>
      </w:tr>
      <w:tr>
        <w:trPr>
          <w:trHeight w:val="350"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湖南瑞驰丰和创业投资管理有限公司</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0.4211%</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欧阳伟强</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20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0.4211%</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黄健生</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0.4211%</w:t>
            </w:r>
          </w:p>
        </w:tc>
      </w:tr>
      <w:tr>
        <w:trPr>
          <w:trHeight w:val="350"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钟可颐</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0.2105%</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4,750</w:t>
            </w:r>
          </w:p>
        </w:tc>
        <w:tc>
          <w:tcPr>
            <w:tcW w:w="24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100.0000%</w:t>
            </w:r>
          </w:p>
        </w:tc>
      </w:tr>
    </w:tbl>
    <w:p>
      <w:pPr>
        <w:spacing w:line="240" w:lineRule="auto" w:before="2"/>
        <w:rPr>
          <w:rFonts w:ascii="宋体" w:hAnsi="宋体" w:cs="宋体" w:eastAsia="宋体" w:hint="default"/>
          <w:sz w:val="20"/>
          <w:szCs w:val="20"/>
        </w:rPr>
      </w:pPr>
    </w:p>
    <w:p>
      <w:pPr>
        <w:pStyle w:val="Heading6"/>
        <w:spacing w:line="256" w:lineRule="auto" w:before="36"/>
        <w:ind w:right="1128" w:firstLine="420"/>
        <w:jc w:val="both"/>
      </w:pPr>
      <w:r>
        <w:rPr/>
        <w:t>经中国证券监督管理委员会证监发行字</w:t>
      </w:r>
      <w:r>
        <w:rPr>
          <w:rFonts w:ascii="Times New Roman" w:hAnsi="Times New Roman" w:cs="Times New Roman" w:eastAsia="Times New Roman" w:hint="default"/>
        </w:rPr>
        <w:t>[2010]1292</w:t>
      </w:r>
      <w:r>
        <w:rPr/>
        <w:t>号文核准，并经深圳证券交易所同意，本公司由主</w:t>
      </w:r>
      <w:r>
        <w:rPr>
          <w:w w:val="100"/>
        </w:rPr>
        <w:t> </w:t>
      </w:r>
      <w:r>
        <w:rPr>
          <w:spacing w:val="-3"/>
        </w:rPr>
        <w:t>承销商中信证券股份有限公司于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8</w:t>
      </w:r>
      <w:r>
        <w:rPr>
          <w:spacing w:val="-3"/>
        </w:rPr>
        <w:t>日向社会公众公开发行普通股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w:t>
      </w:r>
      <w:r>
        <w:rPr>
          <w:spacing w:val="-3"/>
        </w:rPr>
        <w:t>股票</w:t>
      </w:r>
      <w:r>
        <w:rPr>
          <w:rFonts w:ascii="Times New Roman" w:hAnsi="Times New Roman" w:cs="Times New Roman" w:eastAsia="Times New Roman" w:hint="default"/>
          <w:spacing w:val="-3"/>
        </w:rPr>
        <w:t>1,600</w:t>
      </w:r>
      <w:r>
        <w:rPr>
          <w:spacing w:val="-3"/>
        </w:rPr>
        <w:t>万股，每股面值</w:t>
      </w:r>
      <w:r>
        <w:rPr>
          <w:spacing w:val="-8"/>
        </w:rPr>
        <w:t> </w:t>
      </w:r>
      <w:r>
        <w:rPr>
          <w:spacing w:val="-8"/>
        </w:rPr>
      </w:r>
      <w:r>
        <w:rPr>
          <w:rFonts w:ascii="Times New Roman" w:hAnsi="Times New Roman" w:cs="Times New Roman" w:eastAsia="Times New Roman" w:hint="default"/>
        </w:rPr>
        <w:t>1.00</w:t>
      </w:r>
      <w:r>
        <w:rPr/>
        <w:t>元，每股发行价人民币</w:t>
      </w:r>
      <w:r>
        <w:rPr>
          <w:rFonts w:ascii="Times New Roman" w:hAnsi="Times New Roman" w:cs="Times New Roman" w:eastAsia="Times New Roman" w:hint="default"/>
        </w:rPr>
        <w:t>43.33</w:t>
      </w:r>
      <w:r>
        <w:rPr/>
        <w:t>元。截至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日止，共募集资金</w:t>
      </w:r>
      <w:r>
        <w:rPr>
          <w:rFonts w:ascii="Times New Roman" w:hAnsi="Times New Roman" w:cs="Times New Roman" w:eastAsia="Times New Roman" w:hint="default"/>
        </w:rPr>
        <w:t>69,328.00</w:t>
      </w:r>
      <w:r>
        <w:rPr/>
        <w:t>万元，扣除发行费用</w:t>
      </w:r>
    </w:p>
    <w:p>
      <w:pPr>
        <w:pStyle w:val="Heading6"/>
        <w:spacing w:line="256" w:lineRule="auto" w:before="5"/>
        <w:ind w:right="1033"/>
        <w:jc w:val="left"/>
      </w:pPr>
      <w:r>
        <w:rPr>
          <w:rFonts w:ascii="Times New Roman" w:hAnsi="Times New Roman" w:cs="Times New Roman" w:eastAsia="Times New Roman" w:hint="default"/>
          <w:spacing w:val="-2"/>
        </w:rPr>
        <w:t>46,945,065.67</w:t>
      </w:r>
      <w:r>
        <w:rPr>
          <w:spacing w:val="-2"/>
        </w:rPr>
        <w:t>元，募集资金净额</w:t>
      </w:r>
      <w:r>
        <w:rPr>
          <w:rFonts w:ascii="Times New Roman" w:hAnsi="Times New Roman" w:cs="Times New Roman" w:eastAsia="Times New Roman" w:hint="default"/>
          <w:spacing w:val="-2"/>
        </w:rPr>
        <w:t>646,334,934.33</w:t>
      </w:r>
      <w:r>
        <w:rPr>
          <w:spacing w:val="-2"/>
        </w:rPr>
        <w:t>元，本次募集资金业经立信大华会计师事务所有限公司出具</w:t>
      </w:r>
      <w:r>
        <w:rPr>
          <w:spacing w:val="-13"/>
        </w:rPr>
        <w:t> </w:t>
      </w:r>
      <w:r>
        <w:rPr>
          <w:spacing w:val="-13"/>
        </w:rPr>
      </w:r>
      <w:r>
        <w:rPr/>
        <w:t>的</w:t>
      </w:r>
      <w:r>
        <w:rPr>
          <w:rFonts w:ascii="Times New Roman" w:hAnsi="Times New Roman" w:cs="Times New Roman" w:eastAsia="Times New Roman" w:hint="default"/>
        </w:rPr>
        <w:t>“</w:t>
      </w:r>
      <w:r>
        <w:rPr/>
        <w:t>立信大华验字</w:t>
      </w:r>
      <w:r>
        <w:rPr>
          <w:rFonts w:ascii="Times New Roman" w:hAnsi="Times New Roman" w:cs="Times New Roman" w:eastAsia="Times New Roman" w:hint="default"/>
        </w:rPr>
        <w:t>[2010]124</w:t>
      </w:r>
      <w:r>
        <w:rPr/>
        <w:t>号</w:t>
      </w:r>
      <w:r>
        <w:rPr>
          <w:rFonts w:ascii="Times New Roman" w:hAnsi="Times New Roman" w:cs="Times New Roman" w:eastAsia="Times New Roman" w:hint="default"/>
        </w:rPr>
        <w:t>”</w:t>
      </w:r>
      <w:r>
        <w:rPr/>
        <w:t>验资报告验证。</w:t>
      </w:r>
    </w:p>
    <w:p>
      <w:pPr>
        <w:pStyle w:val="Heading6"/>
        <w:spacing w:line="256" w:lineRule="auto" w:before="5"/>
        <w:ind w:right="1128" w:firstLine="420"/>
        <w:jc w:val="both"/>
      </w:pPr>
      <w:r>
        <w:rPr/>
        <w:t>经本公司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日股东大会审议通过，以公司原有的</w:t>
      </w:r>
      <w:r>
        <w:rPr>
          <w:rFonts w:ascii="Times New Roman" w:hAnsi="Times New Roman" w:cs="Times New Roman" w:eastAsia="Times New Roman" w:hint="default"/>
        </w:rPr>
        <w:t>6,350</w:t>
      </w:r>
      <w:r>
        <w:rPr/>
        <w:t>万股为基础，向全体股东每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t>元人民币现金</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股，共计转增</w:t>
      </w:r>
      <w:r>
        <w:rPr>
          <w:rFonts w:ascii="Times New Roman" w:hAnsi="Times New Roman" w:cs="Times New Roman" w:eastAsia="Times New Roman" w:hint="default"/>
        </w:rPr>
        <w:t>5,080.00</w:t>
      </w:r>
      <w:r>
        <w:rPr/>
        <w:t>万元。转增后公司总</w:t>
      </w:r>
      <w:r>
        <w:rPr>
          <w:spacing w:val="-57"/>
        </w:rPr>
        <w:t> </w:t>
      </w:r>
      <w:r>
        <w:rPr>
          <w:spacing w:val="-57"/>
        </w:rPr>
      </w:r>
      <w:r>
        <w:rPr/>
        <w:t>股本为</w:t>
      </w:r>
      <w:r>
        <w:rPr>
          <w:rFonts w:ascii="Times New Roman" w:hAnsi="Times New Roman" w:cs="Times New Roman" w:eastAsia="Times New Roman" w:hint="default"/>
        </w:rPr>
        <w:t>11,430</w:t>
      </w:r>
      <w:r>
        <w:rPr/>
        <w:t>万股。</w:t>
      </w:r>
    </w:p>
    <w:p>
      <w:pPr>
        <w:pStyle w:val="Heading6"/>
        <w:spacing w:line="256" w:lineRule="auto" w:before="5"/>
        <w:ind w:right="1128" w:firstLine="420"/>
        <w:jc w:val="both"/>
      </w:pPr>
      <w:r>
        <w:rPr>
          <w:spacing w:val="-3"/>
        </w:rPr>
        <w:t>经本公司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30</w:t>
      </w:r>
      <w:r>
        <w:rPr>
          <w:spacing w:val="-3"/>
        </w:rPr>
        <w:t>日股东大会审议通过，以公司原有的</w:t>
      </w:r>
      <w:r>
        <w:rPr>
          <w:rFonts w:ascii="Times New Roman" w:hAnsi="Times New Roman" w:cs="Times New Roman" w:eastAsia="Times New Roman" w:hint="default"/>
          <w:spacing w:val="-3"/>
        </w:rPr>
        <w:t>11,430</w:t>
      </w:r>
      <w:r>
        <w:rPr>
          <w:spacing w:val="-3"/>
        </w:rPr>
        <w:t>万股为基础，向全体股东每</w:t>
      </w:r>
      <w:r>
        <w:rPr>
          <w:rFonts w:ascii="Times New Roman" w:hAnsi="Times New Roman" w:cs="Times New Roman" w:eastAsia="Times New Roman" w:hint="default"/>
          <w:spacing w:val="-3"/>
        </w:rPr>
        <w:t>10</w:t>
      </w:r>
      <w:r>
        <w:rPr>
          <w:spacing w:val="-3"/>
        </w:rPr>
        <w:t>股派现</w:t>
      </w:r>
      <w:r>
        <w:rPr>
          <w:w w:val="100"/>
        </w:rPr>
        <w:t> </w:t>
      </w:r>
      <w:r>
        <w:rPr/>
        <w:t>金人民币</w:t>
      </w:r>
      <w:r>
        <w:rPr>
          <w:rFonts w:ascii="Times New Roman" w:hAnsi="Times New Roman" w:cs="Times New Roman" w:eastAsia="Times New Roman" w:hint="default"/>
        </w:rPr>
        <w:t>0.50</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股，转增后公司总股本为</w:t>
      </w:r>
      <w:r>
        <w:rPr>
          <w:rFonts w:ascii="Times New Roman" w:hAnsi="Times New Roman" w:cs="Times New Roman" w:eastAsia="Times New Roman" w:hint="default"/>
        </w:rPr>
        <w:t>22,860</w:t>
      </w:r>
      <w:r>
        <w:rPr/>
        <w:t>万股。</w:t>
      </w:r>
    </w:p>
    <w:p>
      <w:pPr>
        <w:pStyle w:val="Heading6"/>
        <w:spacing w:line="261" w:lineRule="auto" w:before="5"/>
        <w:ind w:right="1126" w:firstLine="420"/>
        <w:jc w:val="both"/>
      </w:pPr>
      <w:r>
        <w:rPr>
          <w:spacing w:val="-2"/>
        </w:rPr>
        <w:t>经本公司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日第三届董事会第十三次（临时）会议审议通过，公司</w:t>
      </w:r>
      <w:r>
        <w:rPr>
          <w:rFonts w:ascii="Times New Roman" w:hAnsi="Times New Roman" w:cs="Times New Roman" w:eastAsia="Times New Roman" w:hint="default"/>
          <w:spacing w:val="-2"/>
        </w:rPr>
        <w:t>145</w:t>
      </w:r>
      <w:r>
        <w:rPr>
          <w:spacing w:val="-2"/>
        </w:rPr>
        <w:t>名激励对象行权资格</w:t>
      </w:r>
      <w:r>
        <w:rPr>
          <w:w w:val="100"/>
        </w:rPr>
        <w:t> </w:t>
      </w:r>
      <w:r>
        <w:rPr>
          <w:spacing w:val="-2"/>
        </w:rPr>
        <w:t>合法、有效，满足公司股权激励计划首次授予的股票期权第一个行权期行权条件，同意已获准行权的股票</w:t>
      </w:r>
      <w:r>
        <w:rPr>
          <w:spacing w:val="-44"/>
        </w:rPr>
        <w:t> </w:t>
      </w:r>
      <w:r>
        <w:rPr>
          <w:spacing w:val="-44"/>
        </w:rPr>
      </w:r>
      <w:r>
        <w:rPr>
          <w:spacing w:val="-2"/>
        </w:rPr>
        <w:t>期权的激励对象在第一个行权期可行权股票期权数量为</w:t>
      </w:r>
      <w:r>
        <w:rPr>
          <w:rFonts w:ascii="Times New Roman" w:hAnsi="Times New Roman" w:cs="Times New Roman" w:eastAsia="Times New Roman" w:hint="default"/>
          <w:spacing w:val="-2"/>
        </w:rPr>
        <w:t>2,421,360</w:t>
      </w:r>
      <w:r>
        <w:rPr>
          <w:spacing w:val="-2"/>
        </w:rPr>
        <w:t>股，本次股票期权行权后，公司总股本为</w:t>
      </w:r>
      <w:r>
        <w:rPr>
          <w:spacing w:val="-34"/>
        </w:rPr>
        <w:t> </w:t>
      </w:r>
      <w:r>
        <w:rPr>
          <w:spacing w:val="-34"/>
        </w:rPr>
      </w:r>
      <w:r>
        <w:rPr>
          <w:rFonts w:ascii="Times New Roman" w:hAnsi="Times New Roman" w:cs="Times New Roman" w:eastAsia="Times New Roman" w:hint="default"/>
        </w:rPr>
        <w:t>231,021,360</w:t>
      </w:r>
      <w:r>
        <w:rPr/>
        <w:t>股。</w:t>
      </w:r>
    </w:p>
    <w:p>
      <w:pPr>
        <w:pStyle w:val="Heading6"/>
        <w:spacing w:line="261" w:lineRule="auto" w:before="0"/>
        <w:ind w:right="1106" w:firstLine="420"/>
        <w:jc w:val="both"/>
      </w:pPr>
      <w:r>
        <w:rPr>
          <w:spacing w:val="-2"/>
        </w:rPr>
        <w:t>经本公司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日第三届董事会第二十六次会议审议通过，公司</w:t>
      </w:r>
      <w:r>
        <w:rPr>
          <w:rFonts w:ascii="Times New Roman" w:hAnsi="Times New Roman" w:cs="Times New Roman" w:eastAsia="Times New Roman" w:hint="default"/>
          <w:spacing w:val="-2"/>
        </w:rPr>
        <w:t>141</w:t>
      </w:r>
      <w:r>
        <w:rPr>
          <w:spacing w:val="-2"/>
        </w:rPr>
        <w:t>名激励对象行权资格合法、</w:t>
      </w:r>
      <w:r>
        <w:rPr>
          <w:w w:val="100"/>
        </w:rPr>
        <w:t> </w:t>
      </w:r>
      <w:r>
        <w:rPr>
          <w:spacing w:val="-2"/>
        </w:rPr>
        <w:t>有效，满足公司股权激励计划首次授予的股票期权第二个行权期行权条件，同意已获准行权的股票期权的</w:t>
      </w:r>
      <w:r>
        <w:rPr>
          <w:spacing w:val="-42"/>
        </w:rPr>
        <w:t> </w:t>
      </w:r>
      <w:r>
        <w:rPr>
          <w:spacing w:val="-42"/>
        </w:rPr>
      </w:r>
      <w:r>
        <w:rPr>
          <w:spacing w:val="-2"/>
        </w:rPr>
        <w:t>激励对象在第二个行权期进行行权，截止</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日已行权股票期权数量为</w:t>
      </w:r>
      <w:r>
        <w:rPr>
          <w:rFonts w:ascii="Times New Roman" w:hAnsi="Times New Roman" w:cs="Times New Roman" w:eastAsia="Times New Roman" w:hint="default"/>
          <w:spacing w:val="-2"/>
        </w:rPr>
        <w:t>4,459,920</w:t>
      </w:r>
      <w:r>
        <w:rPr>
          <w:spacing w:val="-2"/>
        </w:rPr>
        <w:t>股，本次股票期</w:t>
      </w:r>
      <w:r>
        <w:rPr>
          <w:spacing w:val="-26"/>
        </w:rPr>
        <w:t> </w:t>
      </w:r>
      <w:r>
        <w:rPr>
          <w:spacing w:val="-26"/>
        </w:rPr>
      </w:r>
      <w:r>
        <w:rPr/>
        <w:t>权行权后，公司总股本为</w:t>
      </w:r>
      <w:r>
        <w:rPr>
          <w:rFonts w:ascii="Times New Roman" w:hAnsi="Times New Roman" w:cs="Times New Roman" w:eastAsia="Times New Roman" w:hint="default"/>
        </w:rPr>
        <w:t>235,481,280</w:t>
      </w:r>
      <w:r>
        <w:rPr/>
        <w:t>股，已在中国证券登记结算有限责任公司登记。</w:t>
      </w:r>
    </w:p>
    <w:p>
      <w:pPr>
        <w:pStyle w:val="Heading6"/>
        <w:spacing w:line="273" w:lineRule="auto" w:before="0"/>
        <w:ind w:right="1126" w:firstLine="420"/>
        <w:jc w:val="both"/>
        <w:rPr>
          <w:rFonts w:ascii="Times New Roman" w:hAnsi="Times New Roman" w:cs="Times New Roman" w:eastAsia="Times New Roman" w:hint="default"/>
        </w:rPr>
      </w:pPr>
      <w:r>
        <w:rPr>
          <w:spacing w:val="-2"/>
        </w:rPr>
        <w:t>经中国证券监督管理委员会《关于核准深圳市新国都技术股份有限公司非公开发行股票的批复》（证</w:t>
      </w:r>
      <w:r>
        <w:rPr>
          <w:w w:val="100"/>
        </w:rPr>
        <w:t> </w:t>
      </w:r>
      <w:r>
        <w:rPr/>
        <w:t>监许可</w:t>
      </w:r>
      <w:r>
        <w:rPr>
          <w:rFonts w:ascii="Times New Roman" w:hAnsi="Times New Roman" w:cs="Times New Roman" w:eastAsia="Times New Roman" w:hint="default"/>
        </w:rPr>
        <w:t>[2017]1146</w:t>
      </w:r>
      <w:r>
        <w:rPr/>
        <w:t>号）核准，并经深圳证券交易所同意，本公司由主承销商中信证券股份有限公司于</w:t>
      </w:r>
      <w:r>
        <w:rPr>
          <w:rFonts w:ascii="Times New Roman" w:hAnsi="Times New Roman" w:cs="Times New Roman" w:eastAsia="Times New Roman" w:hint="default"/>
        </w:rPr>
        <w:t>2017</w:t>
      </w:r>
    </w:p>
    <w:p>
      <w:pPr>
        <w:spacing w:after="0" w:line="273" w:lineRule="auto"/>
        <w:jc w:val="both"/>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6"/>
        <w:spacing w:line="256" w:lineRule="auto" w:before="36"/>
        <w:ind w:right="1128"/>
        <w:jc w:val="both"/>
      </w:pP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日非公开发行股票</w:t>
      </w:r>
      <w:r>
        <w:rPr>
          <w:rFonts w:ascii="Times New Roman" w:hAnsi="Times New Roman" w:cs="Times New Roman" w:eastAsia="Times New Roman" w:hint="default"/>
        </w:rPr>
        <w:t>2,500.00</w:t>
      </w:r>
      <w:r>
        <w:rPr/>
        <w:t>万股，每股面值</w:t>
      </w:r>
      <w:r>
        <w:rPr>
          <w:rFonts w:ascii="Times New Roman" w:hAnsi="Times New Roman" w:cs="Times New Roman" w:eastAsia="Times New Roman" w:hint="default"/>
        </w:rPr>
        <w:t>1.00</w:t>
      </w:r>
      <w:r>
        <w:rPr>
          <w:rFonts w:ascii="Times New Roman" w:hAnsi="Times New Roman" w:cs="Times New Roman" w:eastAsia="Times New Roman" w:hint="default"/>
          <w:spacing w:val="14"/>
        </w:rPr>
        <w:t> </w:t>
      </w:r>
      <w:r>
        <w:rPr/>
        <w:t>元，每股发行价人民币</w:t>
      </w:r>
      <w:r>
        <w:rPr>
          <w:rFonts w:ascii="Times New Roman" w:hAnsi="Times New Roman" w:cs="Times New Roman" w:eastAsia="Times New Roman" w:hint="default"/>
        </w:rPr>
        <w:t>18.22</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rFonts w:ascii="Times New Roman" w:hAnsi="Times New Roman" w:cs="Times New Roman" w:eastAsia="Times New Roman" w:hint="default"/>
          <w:spacing w:val="-47"/>
        </w:rPr>
        <w:t> </w:t>
      </w:r>
      <w:r>
        <w:rPr>
          <w:spacing w:val="-2"/>
        </w:rPr>
        <w:t>日止，共募集资金</w:t>
      </w:r>
      <w:r>
        <w:rPr>
          <w:rFonts w:ascii="Times New Roman" w:hAnsi="Times New Roman" w:cs="Times New Roman" w:eastAsia="Times New Roman" w:hint="default"/>
          <w:spacing w:val="-2"/>
        </w:rPr>
        <w:t>45,550.00</w:t>
      </w:r>
      <w:r>
        <w:rPr>
          <w:spacing w:val="-2"/>
        </w:rPr>
        <w:t>万元，扣除发行费用</w:t>
      </w:r>
      <w:r>
        <w:rPr>
          <w:rFonts w:ascii="Times New Roman" w:hAnsi="Times New Roman" w:cs="Times New Roman" w:eastAsia="Times New Roman" w:hint="default"/>
          <w:spacing w:val="-2"/>
        </w:rPr>
        <w:t>10,880,000.00</w:t>
      </w:r>
      <w:r>
        <w:rPr>
          <w:spacing w:val="-2"/>
        </w:rPr>
        <w:t>元，募集资金净额</w:t>
      </w:r>
      <w:r>
        <w:rPr>
          <w:rFonts w:ascii="Times New Roman" w:hAnsi="Times New Roman" w:cs="Times New Roman" w:eastAsia="Times New Roman" w:hint="default"/>
          <w:spacing w:val="-2"/>
        </w:rPr>
        <w:t>444,620,000.00</w:t>
      </w:r>
      <w:r>
        <w:rPr>
          <w:spacing w:val="-2"/>
        </w:rPr>
        <w:t>元，本次募</w:t>
      </w:r>
      <w:r>
        <w:rPr>
          <w:spacing w:val="-13"/>
        </w:rPr>
        <w:t> </w:t>
      </w:r>
      <w:r>
        <w:rPr>
          <w:spacing w:val="-13"/>
        </w:rPr>
      </w:r>
      <w:r>
        <w:rPr/>
        <w:t>集资金业经亚太（集团）会计师事务所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出具的亚会</w:t>
      </w:r>
      <w:r>
        <w:rPr>
          <w:rFonts w:ascii="Times New Roman" w:hAnsi="Times New Roman" w:cs="Times New Roman" w:eastAsia="Times New Roman" w:hint="default"/>
        </w:rPr>
        <w:t>A</w:t>
      </w:r>
      <w:r>
        <w:rPr/>
        <w:t>验字</w:t>
      </w:r>
      <w:r>
        <w:rPr>
          <w:rFonts w:ascii="Times New Roman" w:hAnsi="Times New Roman" w:cs="Times New Roman" w:eastAsia="Times New Roman" w:hint="default"/>
        </w:rPr>
        <w:t>[2017]0027</w:t>
      </w:r>
      <w:r>
        <w:rPr/>
        <w:t>号验资报告验证。</w:t>
      </w:r>
    </w:p>
    <w:p>
      <w:pPr>
        <w:pStyle w:val="Heading6"/>
        <w:spacing w:line="264" w:lineRule="auto" w:before="5"/>
        <w:ind w:right="1106" w:firstLine="420"/>
        <w:jc w:val="both"/>
      </w:pPr>
      <w:r>
        <w:rPr>
          <w:spacing w:val="-2"/>
        </w:rPr>
        <w:t>经本公司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日第三届董事会第四十二次会议审议通过，公司</w:t>
      </w:r>
      <w:r>
        <w:rPr>
          <w:rFonts w:ascii="Times New Roman" w:hAnsi="Times New Roman" w:cs="Times New Roman" w:eastAsia="Times New Roman" w:hint="default"/>
          <w:spacing w:val="-2"/>
        </w:rPr>
        <w:t>108</w:t>
      </w:r>
      <w:r>
        <w:rPr>
          <w:spacing w:val="-2"/>
        </w:rPr>
        <w:t>名激励对象行权资格合法、</w:t>
      </w:r>
      <w:r>
        <w:rPr>
          <w:w w:val="100"/>
        </w:rPr>
        <w:t> </w:t>
      </w:r>
      <w:r>
        <w:rPr>
          <w:spacing w:val="-2"/>
        </w:rPr>
        <w:t>有效，满足公司股权激励计划首次授予的股票期权第三个行权期行权条件，同意已获准行权的股票期权的</w:t>
      </w:r>
      <w:r>
        <w:rPr>
          <w:spacing w:val="-42"/>
        </w:rPr>
        <w:t> </w:t>
      </w:r>
      <w:r>
        <w:rPr>
          <w:spacing w:val="-42"/>
        </w:rPr>
      </w:r>
      <w:r>
        <w:rPr/>
        <w:t>激励对象在第三个行权期进行行权。截止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日已行权股票期权数量为</w:t>
      </w:r>
      <w:r>
        <w:rPr>
          <w:rFonts w:ascii="Times New Roman" w:hAnsi="Times New Roman" w:cs="Times New Roman" w:eastAsia="Times New Roman" w:hint="default"/>
        </w:rPr>
        <w:t>5,027,120</w:t>
      </w:r>
      <w:r>
        <w:rPr/>
        <w:t>股。</w:t>
      </w:r>
    </w:p>
    <w:p>
      <w:pPr>
        <w:pStyle w:val="Heading6"/>
        <w:spacing w:line="256" w:lineRule="auto" w:before="0"/>
        <w:ind w:right="1128" w:firstLine="420"/>
        <w:jc w:val="both"/>
      </w:pPr>
      <w:r>
        <w:rPr/>
        <w:t>经本公司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日股东大会审议通过，以公司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日经中国证券登记结算有限责任公</w:t>
      </w:r>
      <w:r>
        <w:rPr>
          <w:w w:val="100"/>
        </w:rPr>
        <w:t> </w:t>
      </w:r>
      <w:r>
        <w:rPr/>
        <w:t>司深圳分公司登记的总股本</w:t>
      </w:r>
      <w:r>
        <w:rPr>
          <w:rFonts w:ascii="Times New Roman" w:hAnsi="Times New Roman" w:cs="Times New Roman" w:eastAsia="Times New Roman" w:hint="default"/>
        </w:rPr>
        <w:t>265,486,700</w:t>
      </w:r>
      <w:r>
        <w:rPr/>
        <w:t>股为基础，向全体股东以资本公积向全体股东每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w:t>
      </w:r>
      <w:r>
        <w:rPr>
          <w:spacing w:val="-25"/>
        </w:rPr>
        <w:t> </w:t>
      </w:r>
      <w:r>
        <w:rPr/>
        <w:t>计转增</w:t>
      </w:r>
      <w:r>
        <w:rPr>
          <w:rFonts w:ascii="Times New Roman" w:hAnsi="Times New Roman" w:cs="Times New Roman" w:eastAsia="Times New Roman" w:hint="default"/>
        </w:rPr>
        <w:t>212,389,355.00</w:t>
      </w:r>
      <w:r>
        <w:rPr/>
        <w:t>元。转增后公司总股本为</w:t>
      </w:r>
      <w:r>
        <w:rPr>
          <w:rFonts w:ascii="Times New Roman" w:hAnsi="Times New Roman" w:cs="Times New Roman" w:eastAsia="Times New Roman" w:hint="default"/>
        </w:rPr>
        <w:t>477,897,755.00</w:t>
      </w:r>
      <w:r>
        <w:rPr/>
        <w:t>股。</w:t>
      </w:r>
    </w:p>
    <w:p>
      <w:pPr>
        <w:pStyle w:val="Heading6"/>
        <w:spacing w:line="256" w:lineRule="auto" w:before="5"/>
        <w:ind w:right="1125" w:firstLine="420"/>
        <w:jc w:val="both"/>
      </w:pPr>
      <w:r>
        <w:rPr>
          <w:spacing w:val="-2"/>
        </w:rPr>
        <w:t>经本公司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日第四届董事会第三十一次会议，公司</w:t>
      </w:r>
      <w:r>
        <w:rPr>
          <w:rFonts w:ascii="Times New Roman" w:hAnsi="Times New Roman" w:cs="Times New Roman" w:eastAsia="Times New Roman" w:hint="default"/>
          <w:spacing w:val="-2"/>
        </w:rPr>
        <w:t>174</w:t>
      </w:r>
      <w:r>
        <w:rPr>
          <w:spacing w:val="-2"/>
        </w:rPr>
        <w:t>名激励对象满足</w:t>
      </w:r>
      <w:r>
        <w:rPr>
          <w:rFonts w:ascii="Times New Roman" w:hAnsi="Times New Roman" w:cs="Times New Roman" w:eastAsia="Times New Roman" w:hint="default"/>
          <w:spacing w:val="-2"/>
        </w:rPr>
        <w:t>2017</w:t>
      </w:r>
      <w:r>
        <w:rPr>
          <w:spacing w:val="-2"/>
        </w:rPr>
        <w:t>年股票期权激励</w:t>
      </w:r>
      <w:r>
        <w:rPr>
          <w:w w:val="100"/>
        </w:rPr>
        <w:t> </w:t>
      </w:r>
      <w:r>
        <w:rPr>
          <w:spacing w:val="-2"/>
        </w:rPr>
        <w:t>计划第二个行权期行权条件，同意已获准行权的股票期权的激励对象在第二个行权期进行行权，截止</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日已行权股票期权数量为</w:t>
      </w:r>
      <w:r>
        <w:rPr>
          <w:rFonts w:ascii="Times New Roman" w:hAnsi="Times New Roman" w:cs="Times New Roman" w:eastAsia="Times New Roman" w:hint="default"/>
        </w:rPr>
        <w:t>6,570,777.00</w:t>
      </w:r>
      <w:r>
        <w:rPr/>
        <w:t>股。</w:t>
      </w:r>
    </w:p>
    <w:p>
      <w:pPr>
        <w:pStyle w:val="Heading6"/>
        <w:spacing w:line="256" w:lineRule="auto" w:before="5"/>
        <w:ind w:right="1126" w:firstLine="420"/>
        <w:jc w:val="both"/>
      </w:pPr>
      <w:r>
        <w:rPr/>
        <w:t>经本公司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日第四届董事会第三十一次会议，公司</w:t>
      </w:r>
      <w:r>
        <w:rPr>
          <w:rFonts w:ascii="Times New Roman" w:hAnsi="Times New Roman" w:cs="Times New Roman" w:eastAsia="Times New Roman" w:hint="default"/>
        </w:rPr>
        <w:t>34</w:t>
      </w:r>
      <w:r>
        <w:rPr/>
        <w:t>名激励对象满足公司</w:t>
      </w:r>
      <w:r>
        <w:rPr>
          <w:rFonts w:ascii="Times New Roman" w:hAnsi="Times New Roman" w:cs="Times New Roman" w:eastAsia="Times New Roman" w:hint="default"/>
        </w:rPr>
        <w:t>2018</w:t>
      </w:r>
      <w:r>
        <w:rPr/>
        <w:t>年股票期权</w:t>
      </w:r>
      <w:r>
        <w:rPr>
          <w:w w:val="100"/>
        </w:rPr>
        <w:t> </w:t>
      </w:r>
      <w:r>
        <w:rPr>
          <w:spacing w:val="-2"/>
        </w:rPr>
        <w:t>激励计划第一个行权期行权条件，同意已获授股票期权的激励对象在第一个行权期进行行权，截止</w:t>
      </w:r>
      <w:r>
        <w:rPr>
          <w:rFonts w:ascii="Times New Roman" w:hAnsi="Times New Roman" w:cs="Times New Roman" w:eastAsia="Times New Roman" w:hint="default"/>
          <w:spacing w:val="-2"/>
        </w:rPr>
        <w:t>2019</w:t>
      </w:r>
      <w:r>
        <w:rPr>
          <w:spacing w:val="-2"/>
        </w:rPr>
        <w:t>年</w:t>
      </w:r>
      <w:r>
        <w:rPr>
          <w:spacing w:val="-42"/>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日已行权股票期权数量为</w:t>
      </w:r>
      <w:r>
        <w:rPr>
          <w:rFonts w:ascii="Times New Roman" w:hAnsi="Times New Roman" w:cs="Times New Roman" w:eastAsia="Times New Roman" w:hint="default"/>
        </w:rPr>
        <w:t>4,093,946.00</w:t>
      </w:r>
      <w:r>
        <w:rPr/>
        <w:t>股。</w:t>
      </w:r>
    </w:p>
    <w:p>
      <w:pPr>
        <w:pStyle w:val="Heading6"/>
        <w:spacing w:line="240" w:lineRule="auto" w:before="5"/>
        <w:ind w:left="573" w:right="10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日，本公司总股本为</w:t>
      </w:r>
      <w:r>
        <w:rPr>
          <w:rFonts w:ascii="Times New Roman" w:hAnsi="Times New Roman" w:cs="Times New Roman" w:eastAsia="Times New Roman" w:hint="default"/>
        </w:rPr>
        <w:t>488,562,478.00</w:t>
      </w:r>
      <w:r>
        <w:rPr/>
        <w:t>。</w:t>
      </w:r>
    </w:p>
    <w:p>
      <w:pPr>
        <w:pStyle w:val="Heading6"/>
        <w:spacing w:line="256" w:lineRule="auto" w:before="21"/>
        <w:ind w:right="1212" w:firstLine="42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29</w:t>
      </w:r>
      <w:r>
        <w:rPr>
          <w:spacing w:val="-2"/>
        </w:rPr>
        <w:t>日收到深圳市市场监督管理局核发的统一社会信用代码为</w:t>
      </w:r>
      <w:r>
        <w:rPr>
          <w:rFonts w:ascii="Times New Roman" w:hAnsi="Times New Roman" w:cs="Times New Roman" w:eastAsia="Times New Roman" w:hint="default"/>
          <w:spacing w:val="-2"/>
        </w:rPr>
        <w:t>914403007311028524</w:t>
      </w:r>
      <w:r>
        <w:rPr>
          <w:spacing w:val="-2"/>
        </w:rPr>
        <w:t>的营业执</w:t>
      </w:r>
      <w:r>
        <w:rPr>
          <w:w w:val="100"/>
        </w:rPr>
        <w:t> </w:t>
      </w:r>
      <w:r>
        <w:rPr/>
        <w:t>照。</w:t>
      </w:r>
    </w:p>
    <w:p>
      <w:pPr>
        <w:pStyle w:val="Heading6"/>
        <w:spacing w:line="240" w:lineRule="auto" w:before="22"/>
        <w:ind w:left="573" w:right="1033"/>
        <w:jc w:val="left"/>
      </w:pPr>
      <w:r>
        <w:rPr/>
        <w:t>本期纳入合并财务报表范围的子公司共</w:t>
      </w:r>
      <w:r>
        <w:rPr>
          <w:rFonts w:ascii="Times New Roman" w:hAnsi="Times New Roman" w:cs="Times New Roman" w:eastAsia="Times New Roman" w:hint="default"/>
        </w:rPr>
        <w:t>20</w:t>
      </w:r>
      <w:r>
        <w:rPr/>
        <w:t>户，具体包括：</w:t>
      </w:r>
    </w:p>
    <w:p>
      <w:pPr>
        <w:spacing w:line="240" w:lineRule="auto" w:before="8"/>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512"/>
        <w:gridCol w:w="1260"/>
        <w:gridCol w:w="725"/>
        <w:gridCol w:w="1515"/>
        <w:gridCol w:w="1517"/>
      </w:tblGrid>
      <w:tr>
        <w:trPr>
          <w:trHeight w:val="356" w:hRule="exact"/>
        </w:trPr>
        <w:tc>
          <w:tcPr>
            <w:tcW w:w="3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浙江中正智能科技有限公司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深圳市新国都支付技术有限公司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Nexgo,Inc</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长沙公信诚丰信息技术服务有限公司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深圳市新国都末微技术服务有限公司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60.00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60.00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长沙法度互联网科技有限公司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662"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362" w:lineRule="auto" w:before="50"/>
              <w:ind w:left="4" w:right="3"/>
              <w:jc w:val="left"/>
              <w:rPr>
                <w:rFonts w:ascii="Times New Roman" w:hAnsi="Times New Roman" w:cs="Times New Roman" w:eastAsia="Times New Roman" w:hint="default"/>
                <w:sz w:val="18"/>
                <w:szCs w:val="18"/>
              </w:rPr>
            </w:pPr>
            <w:r>
              <w:rPr>
                <w:rFonts w:ascii="Times New Roman"/>
                <w:sz w:val="18"/>
              </w:rPr>
              <w:t>NEXGO DO BRASIL</w:t>
            </w:r>
            <w:r>
              <w:rPr>
                <w:rFonts w:ascii="Times New Roman"/>
                <w:spacing w:val="22"/>
                <w:sz w:val="18"/>
              </w:rPr>
              <w:t> </w:t>
            </w:r>
            <w:r>
              <w:rPr>
                <w:rFonts w:ascii="Times New Roman"/>
                <w:sz w:val="18"/>
              </w:rPr>
              <w:t>PARTICIPACOES</w:t>
            </w:r>
            <w:r>
              <w:rPr>
                <w:rFonts w:ascii="Times New Roman"/>
                <w:w w:val="99"/>
                <w:sz w:val="18"/>
              </w:rPr>
              <w:t> </w:t>
            </w:r>
            <w:r>
              <w:rPr>
                <w:rFonts w:ascii="Times New Roman"/>
                <w:sz w:val="18"/>
              </w:rPr>
              <w:t>LTDA</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Nexgo Technology</w:t>
            </w:r>
            <w:r>
              <w:rPr>
                <w:rFonts w:ascii="Times New Roman"/>
                <w:spacing w:val="-13"/>
                <w:sz w:val="18"/>
              </w:rPr>
              <w:t> </w:t>
            </w:r>
            <w:r>
              <w:rPr>
                <w:rFonts w:ascii="Times New Roman"/>
                <w:sz w:val="18"/>
              </w:rPr>
              <w:t>DWC-LLC</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深圳市新国都软件有限公司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Nexgo Global</w:t>
            </w:r>
            <w:r>
              <w:rPr>
                <w:rFonts w:ascii="Times New Roman"/>
                <w:spacing w:val="-11"/>
                <w:sz w:val="18"/>
              </w:rPr>
              <w:t> </w:t>
            </w:r>
            <w:r>
              <w:rPr>
                <w:rFonts w:ascii="Times New Roman"/>
                <w:sz w:val="18"/>
              </w:rPr>
              <w:t>Limited</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深圳市新国都商服有限公司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深圳市鼎嘉信息科技有限公司</w:t>
            </w:r>
            <w:r>
              <w:rPr>
                <w:rFonts w:ascii="Times New Roman" w:hAnsi="Times New Roman" w:cs="Times New Roman" w:eastAsia="Times New Roman" w:hint="default"/>
                <w:sz w:val="18"/>
                <w:szCs w:val="18"/>
              </w:rPr>
              <w:t>*</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嘉联支付有限公司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深圳市嘉联云科技有限公司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深圳市都之家科技有限公司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深圳市新国都腾云软件有限公司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Times New Roman"/>
                <w:sz w:val="18"/>
              </w:rPr>
              <w:t>Nexgo India Private</w:t>
            </w:r>
            <w:r>
              <w:rPr>
                <w:rFonts w:ascii="Times New Roman"/>
                <w:spacing w:val="-8"/>
                <w:sz w:val="18"/>
              </w:rPr>
              <w:t> </w:t>
            </w:r>
            <w:r>
              <w:rPr>
                <w:rFonts w:ascii="Times New Roman"/>
                <w:sz w:val="18"/>
              </w:rPr>
              <w:t>Ltd.</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XGD Europe</w:t>
            </w:r>
            <w:r>
              <w:rPr>
                <w:rFonts w:ascii="Times New Roman"/>
                <w:spacing w:val="-6"/>
                <w:sz w:val="18"/>
              </w:rPr>
              <w:t> </w:t>
            </w:r>
            <w:r>
              <w:rPr>
                <w:rFonts w:ascii="Times New Roman"/>
                <w:sz w:val="18"/>
              </w:rPr>
              <w:t>S.A.</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深圳市新国都通信技术有限公司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XGD MACAU</w:t>
            </w:r>
            <w:r>
              <w:rPr>
                <w:rFonts w:ascii="Times New Roman"/>
                <w:spacing w:val="-7"/>
                <w:sz w:val="18"/>
              </w:rPr>
              <w:t> </w:t>
            </w:r>
            <w:r>
              <w:rPr>
                <w:rFonts w:ascii="Times New Roman"/>
                <w:sz w:val="18"/>
              </w:rPr>
              <w:t>LIMITED</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98.00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98.00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56" w:lineRule="auto" w:before="36"/>
        <w:ind w:right="1033" w:firstLine="420"/>
        <w:jc w:val="left"/>
      </w:pPr>
      <w:r>
        <w:rPr>
          <w:rFonts w:ascii="Times New Roman" w:hAnsi="Times New Roman" w:cs="Times New Roman" w:eastAsia="Times New Roman" w:hint="default"/>
          <w:spacing w:val="-1"/>
        </w:rPr>
        <w:t>*</w:t>
      </w:r>
      <w:r>
        <w:rPr>
          <w:spacing w:val="-1"/>
        </w:rPr>
        <w:t>深圳市鼎嘉信息科技有限公司，本公司受让全资孙公司深圳市鼎嘉信息科技有限公司</w:t>
      </w:r>
      <w:r>
        <w:rPr>
          <w:rFonts w:ascii="Times New Roman" w:hAnsi="Times New Roman" w:cs="Times New Roman" w:eastAsia="Times New Roman" w:hint="default"/>
          <w:spacing w:val="-1"/>
        </w:rPr>
        <w:t>100%</w:t>
      </w:r>
      <w:r>
        <w:rPr>
          <w:spacing w:val="-1"/>
        </w:rPr>
        <w:t>股权，深</w:t>
      </w:r>
      <w:r>
        <w:rPr>
          <w:w w:val="100"/>
        </w:rPr>
        <w:t> </w:t>
      </w:r>
      <w:r>
        <w:rPr/>
        <w:t>圳市鼎嘉信息科技有限公司由全资孙公司变更为全资子公司。</w:t>
      </w:r>
    </w:p>
    <w:p>
      <w:pPr>
        <w:pStyle w:val="Heading6"/>
        <w:spacing w:line="240" w:lineRule="auto" w:before="22"/>
        <w:ind w:left="573" w:right="1033"/>
        <w:jc w:val="left"/>
      </w:pPr>
      <w:r>
        <w:rPr/>
        <w:t>本期纳入合并财务报表范围的主体较上期相比，增加</w:t>
      </w:r>
      <w:r>
        <w:rPr>
          <w:rFonts w:ascii="Times New Roman" w:hAnsi="Times New Roman" w:cs="Times New Roman" w:eastAsia="Times New Roman" w:hint="default"/>
        </w:rPr>
        <w:t>6</w:t>
      </w:r>
      <w:r>
        <w:rPr/>
        <w:t>户，减少</w:t>
      </w:r>
      <w:r>
        <w:rPr>
          <w:rFonts w:ascii="Times New Roman" w:hAnsi="Times New Roman" w:cs="Times New Roman" w:eastAsia="Times New Roman" w:hint="default"/>
        </w:rPr>
        <w:t>6</w:t>
      </w:r>
      <w:r>
        <w:rPr/>
        <w:t>户其中：</w:t>
      </w:r>
    </w:p>
    <w:p>
      <w:pPr>
        <w:pStyle w:val="Heading6"/>
        <w:spacing w:line="240" w:lineRule="auto" w:before="21"/>
        <w:ind w:right="1033"/>
        <w:jc w:val="left"/>
      </w:pPr>
      <w:r>
        <w:rPr>
          <w:rFonts w:ascii="宋体" w:hAnsi="宋体" w:cs="宋体" w:eastAsia="宋体" w:hint="default"/>
        </w:rPr>
        <w:t>1.</w:t>
      </w:r>
      <w:r>
        <w:rPr>
          <w:rFonts w:ascii="宋体" w:hAnsi="宋体" w:cs="宋体" w:eastAsia="宋体" w:hint="default"/>
          <w:spacing w:val="38"/>
        </w:rPr>
        <w:t> </w:t>
      </w:r>
      <w:r>
        <w:rPr/>
        <w:t>本期新纳入合并范围的子公司、特殊目的主体、通过受托经营或承租等方式形成控制权的经营实体</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70"/>
        <w:gridCol w:w="5159"/>
      </w:tblGrid>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Nexgo India Private</w:t>
            </w:r>
            <w:r>
              <w:rPr>
                <w:rFonts w:ascii="Times New Roman"/>
                <w:spacing w:val="-8"/>
                <w:sz w:val="18"/>
              </w:rPr>
              <w:t> </w:t>
            </w:r>
            <w:r>
              <w:rPr>
                <w:rFonts w:ascii="Times New Roman"/>
                <w:sz w:val="18"/>
              </w:rPr>
              <w:t>Ltd.</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XGD Europe</w:t>
            </w:r>
            <w:r>
              <w:rPr>
                <w:rFonts w:ascii="Times New Roman"/>
                <w:spacing w:val="-6"/>
                <w:sz w:val="18"/>
              </w:rPr>
              <w:t> </w:t>
            </w:r>
            <w:r>
              <w:rPr>
                <w:rFonts w:ascii="Times New Roman"/>
                <w:sz w:val="18"/>
              </w:rPr>
              <w:t>S.A.</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深圳市新国都通信技术有限公司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XGD MACAU</w:t>
            </w:r>
            <w:r>
              <w:rPr>
                <w:rFonts w:ascii="Times New Roman"/>
                <w:spacing w:val="-7"/>
                <w:sz w:val="18"/>
              </w:rPr>
              <w:t> </w:t>
            </w:r>
            <w:r>
              <w:rPr>
                <w:rFonts w:ascii="Times New Roman"/>
                <w:sz w:val="18"/>
              </w:rPr>
              <w:t>LIMITED</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信小样（深圳）传媒有限公司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7"/>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深圳市新国都腾云软件有限公司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投资新设</w:t>
            </w:r>
          </w:p>
        </w:tc>
      </w:tr>
    </w:tbl>
    <w:p>
      <w:pPr>
        <w:spacing w:line="240" w:lineRule="auto" w:before="6"/>
        <w:rPr>
          <w:rFonts w:ascii="宋体" w:hAnsi="宋体" w:cs="宋体" w:eastAsia="宋体" w:hint="default"/>
          <w:sz w:val="5"/>
          <w:szCs w:val="5"/>
        </w:rPr>
      </w:pPr>
    </w:p>
    <w:p>
      <w:pPr>
        <w:pStyle w:val="Heading6"/>
        <w:spacing w:line="240" w:lineRule="auto" w:before="36"/>
        <w:ind w:right="1033"/>
        <w:jc w:val="left"/>
      </w:pPr>
      <w:r>
        <w:rPr>
          <w:rFonts w:ascii="宋体" w:hAnsi="宋体" w:cs="宋体" w:eastAsia="宋体" w:hint="default"/>
        </w:rPr>
        <w:t>1.</w:t>
      </w:r>
      <w:r>
        <w:rPr>
          <w:rFonts w:ascii="宋体" w:hAnsi="宋体" w:cs="宋体" w:eastAsia="宋体" w:hint="default"/>
          <w:spacing w:val="40"/>
        </w:rPr>
        <w:t> </w:t>
      </w:r>
      <w:r>
        <w:rPr/>
        <w:t>本期不再纳入合并范围的子公司、特殊目的主体、通过委托经营或出租等方式丧失控制权的经营实体</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70"/>
        <w:gridCol w:w="5159"/>
      </w:tblGrid>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股权出售</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深圳市信联征信有限公司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股权出售</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深圳市新国都金服技术有限公司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股权出售</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惠州市惠信资信评级有限公司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股权出售</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信小样（深圳）传媒有限公司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股权出售</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杭州中宗电子有限公司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4"/>
        <w:spacing w:line="367" w:lineRule="exact"/>
        <w:ind w:right="1033"/>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6"/>
        <w:spacing w:line="256" w:lineRule="auto" w:before="0"/>
        <w:ind w:right="1125" w:firstLine="420"/>
        <w:jc w:val="both"/>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w:t>
      </w:r>
      <w:r>
        <w:rPr>
          <w:w w:val="100"/>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w:t>
      </w:r>
      <w:r>
        <w:rPr>
          <w:spacing w:val="-17"/>
        </w:rPr>
        <w:t> </w:t>
      </w:r>
      <w:r>
        <w:rPr>
          <w:spacing w:val="-17"/>
        </w:rPr>
      </w:r>
      <w:r>
        <w:rPr>
          <w:spacing w:val="-7"/>
        </w:rPr>
        <w:t>认和计量，在此基础上，结合中国证券监督管理委员会《公开发行证券的公司信息披露编报规则第</w:t>
      </w:r>
      <w:r>
        <w:rPr>
          <w:rFonts w:ascii="Times New Roman" w:hAnsi="Times New Roman" w:cs="Times New Roman" w:eastAsia="Times New Roman" w:hint="default"/>
          <w:spacing w:val="-7"/>
        </w:rPr>
        <w:t>15</w:t>
      </w:r>
      <w:r>
        <w:rPr>
          <w:spacing w:val="-7"/>
        </w:rPr>
        <w:t>号</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37"/>
        </w:rPr>
        <w:t> </w:t>
      </w:r>
      <w:r>
        <w:rPr/>
        <w:t>财务报告的一般规定》（</w:t>
      </w:r>
      <w:r>
        <w:rPr>
          <w:rFonts w:ascii="Times New Roman" w:hAnsi="Times New Roman" w:cs="Times New Roman" w:eastAsia="Times New Roman" w:hint="default"/>
        </w:rPr>
        <w:t>2014</w:t>
      </w:r>
      <w:r>
        <w:rPr/>
        <w:t>年修订）的规定，编制财务报表。</w:t>
      </w:r>
    </w:p>
    <w:p>
      <w:pPr>
        <w:spacing w:line="240" w:lineRule="auto" w:before="3"/>
        <w:rPr>
          <w:rFonts w:ascii="宋体" w:hAnsi="宋体" w:cs="宋体" w:eastAsia="宋体" w:hint="default"/>
          <w:sz w:val="18"/>
          <w:szCs w:val="18"/>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6"/>
        <w:spacing w:line="256" w:lineRule="auto" w:before="0"/>
        <w:ind w:right="1126" w:firstLine="420"/>
        <w:jc w:val="both"/>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w:t>
      </w:r>
      <w:r>
        <w:rPr>
          <w:w w:val="100"/>
        </w:rPr>
        <w:t> </w:t>
      </w:r>
      <w:r>
        <w:rPr/>
        <w:t>或情况。因此，本财务报表系在持续经营假设的基础上编制。</w:t>
      </w:r>
    </w:p>
    <w:p>
      <w:pPr>
        <w:spacing w:line="240" w:lineRule="auto" w:before="11"/>
        <w:rPr>
          <w:rFonts w:ascii="宋体" w:hAnsi="宋体" w:cs="宋体" w:eastAsia="宋体" w:hint="default"/>
          <w:sz w:val="16"/>
          <w:szCs w:val="16"/>
        </w:rPr>
      </w:pPr>
    </w:p>
    <w:p>
      <w:pPr>
        <w:pStyle w:val="Heading4"/>
        <w:spacing w:line="240" w:lineRule="auto"/>
        <w:ind w:right="1033"/>
        <w:jc w:val="left"/>
        <w:rPr>
          <w:b w:val="0"/>
          <w:bCs w:val="0"/>
        </w:rPr>
      </w:pPr>
      <w:r>
        <w:rPr/>
        <w:t>五、重要会计政策及会计估计</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240" w:lineRule="auto"/>
        <w:ind w:right="1033"/>
        <w:jc w:val="left"/>
      </w:pPr>
      <w:r>
        <w:rPr/>
        <w:t>具体会计政策和会计估计提示：</w:t>
      </w:r>
    </w:p>
    <w:p>
      <w:pPr>
        <w:pStyle w:val="Heading6"/>
        <w:spacing w:line="256" w:lineRule="auto" w:before="96"/>
        <w:ind w:right="1125" w:firstLine="420"/>
        <w:jc w:val="both"/>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w:t>
      </w:r>
      <w:r>
        <w:rPr>
          <w:w w:val="100"/>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w:t>
      </w:r>
      <w:r>
        <w:rPr>
          <w:spacing w:val="-17"/>
        </w:rPr>
        <w:t> </w:t>
      </w:r>
      <w:r>
        <w:rPr>
          <w:spacing w:val="-17"/>
        </w:rPr>
      </w:r>
      <w:r>
        <w:rPr>
          <w:spacing w:val="-7"/>
        </w:rPr>
        <w:t>认和计量，在此基础上，结合中国证券监督管理委员会《公开发行证券的公司信息披露编报规则第</w:t>
      </w:r>
      <w:r>
        <w:rPr>
          <w:rFonts w:ascii="Times New Roman" w:hAnsi="Times New Roman" w:cs="Times New Roman" w:eastAsia="Times New Roman" w:hint="default"/>
          <w:spacing w:val="-7"/>
        </w:rPr>
        <w:t>15</w:t>
      </w:r>
      <w:r>
        <w:rPr>
          <w:spacing w:val="-7"/>
        </w:rPr>
        <w:t>号</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37"/>
        </w:rPr>
        <w:t> </w:t>
      </w:r>
      <w:r>
        <w:rPr/>
        <w:t>财务报告的一般规定》（</w:t>
      </w:r>
      <w:r>
        <w:rPr>
          <w:rFonts w:ascii="Times New Roman" w:hAnsi="Times New Roman" w:cs="Times New Roman" w:eastAsia="Times New Roman" w:hint="default"/>
        </w:rPr>
        <w:t>2014</w:t>
      </w:r>
      <w:r>
        <w:rPr/>
        <w:t>年修订）的规定，编制财务报表。</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6"/>
        <w:spacing w:line="273" w:lineRule="auto" w:before="0"/>
        <w:ind w:right="1033" w:firstLine="420"/>
        <w:jc w:val="left"/>
      </w:pPr>
      <w:r>
        <w:rPr>
          <w:spacing w:val="-2"/>
        </w:rPr>
        <w:t>本公司所编制的财务报表符合企业会计准则的要求，真实、完整地反映了报告期公司的财务状况、经</w:t>
      </w:r>
      <w:r>
        <w:rPr>
          <w:w w:val="100"/>
        </w:rPr>
        <w:t> </w:t>
      </w:r>
      <w:r>
        <w:rPr/>
        <w:t>营成果、现金流量等有关信息。</w:t>
      </w:r>
    </w:p>
    <w:p>
      <w:pPr>
        <w:spacing w:line="240" w:lineRule="auto" w:before="5"/>
        <w:rPr>
          <w:rFonts w:ascii="宋体" w:hAnsi="宋体" w:cs="宋体" w:eastAsia="宋体" w:hint="default"/>
          <w:sz w:val="18"/>
          <w:szCs w:val="18"/>
        </w:rPr>
      </w:pPr>
    </w:p>
    <w:p>
      <w:pPr>
        <w:pStyle w:val="Heading5"/>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6"/>
        <w:spacing w:line="240" w:lineRule="auto" w:before="0"/>
        <w:ind w:left="573" w:right="103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6"/>
        <w:rPr>
          <w:rFonts w:ascii="宋体" w:hAnsi="宋体" w:cs="宋体" w:eastAsia="宋体" w:hint="default"/>
          <w:sz w:val="19"/>
          <w:szCs w:val="19"/>
        </w:rPr>
      </w:pPr>
    </w:p>
    <w:p>
      <w:pPr>
        <w:pStyle w:val="Heading5"/>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6"/>
        <w:spacing w:line="240" w:lineRule="auto" w:before="0"/>
        <w:ind w:left="573" w:right="1033"/>
        <w:jc w:val="left"/>
      </w:pPr>
      <w:r>
        <w:rPr/>
        <w:t>本公司以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个月作为一个营业周期，并以其作为资产和负债的流动性划分标准。</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6"/>
        <w:spacing w:line="273" w:lineRule="auto" w:before="0"/>
        <w:ind w:left="573" w:right="1033"/>
        <w:jc w:val="left"/>
      </w:pPr>
      <w:r>
        <w:rPr/>
        <w:t>采用人民币为记账本位币。</w:t>
      </w:r>
      <w:r>
        <w:rPr>
          <w:w w:val="100"/>
        </w:rPr>
        <w:t> </w:t>
      </w:r>
      <w:r>
        <w:rPr>
          <w:spacing w:val="-2"/>
        </w:rPr>
        <w:t>境外子公司以其经营所处的主要经济环境中的货币为记账本位币，编制财务报表时折算为人民币。</w:t>
      </w:r>
    </w:p>
    <w:p>
      <w:pPr>
        <w:spacing w:line="240" w:lineRule="auto" w:before="5"/>
        <w:rPr>
          <w:rFonts w:ascii="宋体" w:hAnsi="宋体" w:cs="宋体" w:eastAsia="宋体" w:hint="default"/>
          <w:sz w:val="18"/>
          <w:szCs w:val="18"/>
        </w:rPr>
      </w:pPr>
    </w:p>
    <w:p>
      <w:pPr>
        <w:pStyle w:val="Heading5"/>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6"/>
        <w:rPr>
          <w:rFonts w:ascii="Microsoft JhengHei" w:hAnsi="Microsoft JhengHei" w:cs="Microsoft JhengHei" w:eastAsia="Microsoft JhengHei" w:hint="default"/>
          <w:b/>
          <w:bCs/>
          <w:sz w:val="17"/>
          <w:szCs w:val="17"/>
        </w:rPr>
      </w:pPr>
    </w:p>
    <w:p>
      <w:pPr>
        <w:pStyle w:val="Heading5"/>
        <w:spacing w:line="312" w:lineRule="exact"/>
        <w:ind w:right="1123" w:firstLine="355"/>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分步实现企业合并过程中的各项交易的条款、条件以及经济影响符合以下一种或多种情况，将多次</w:t>
      </w:r>
      <w:r>
        <w:rPr>
          <w:w w:val="100"/>
        </w:rPr>
        <w:t> </w:t>
      </w:r>
      <w:r>
        <w:rPr/>
        <w:t>交易事项作为一揽子交易进行会计处理</w:t>
      </w:r>
      <w:r>
        <w:rPr>
          <w:b w:val="0"/>
          <w:bCs w:val="0"/>
        </w:rPr>
      </w:r>
    </w:p>
    <w:p>
      <w:pPr>
        <w:pStyle w:val="Heading6"/>
        <w:spacing w:line="240" w:lineRule="auto" w:before="4"/>
        <w:ind w:left="573" w:right="1033"/>
        <w:jc w:val="left"/>
      </w:pPr>
      <w:r>
        <w:rPr/>
        <w:t>（</w:t>
      </w:r>
      <w:r>
        <w:rPr>
          <w:rFonts w:ascii="Times New Roman" w:hAnsi="Times New Roman" w:cs="Times New Roman" w:eastAsia="Times New Roman" w:hint="default"/>
        </w:rPr>
        <w:t>1</w:t>
      </w:r>
      <w:r>
        <w:rPr/>
        <w:t>）这些交易是同时或者在考虑了彼此影响的情况下订立的；</w:t>
      </w:r>
    </w:p>
    <w:p>
      <w:pPr>
        <w:pStyle w:val="Heading6"/>
        <w:spacing w:line="240" w:lineRule="auto" w:before="21"/>
        <w:ind w:left="573" w:right="1033"/>
        <w:jc w:val="left"/>
      </w:pPr>
      <w:r>
        <w:rPr/>
        <w:t>（</w:t>
      </w:r>
      <w:r>
        <w:rPr>
          <w:rFonts w:ascii="Times New Roman" w:hAnsi="Times New Roman" w:cs="Times New Roman" w:eastAsia="Times New Roman" w:hint="default"/>
        </w:rPr>
        <w:t>2</w:t>
      </w:r>
      <w:r>
        <w:rPr/>
        <w:t>）这些交易整体才能达成一项完整的商业结果；</w:t>
      </w:r>
    </w:p>
    <w:p>
      <w:pPr>
        <w:pStyle w:val="Heading6"/>
        <w:spacing w:line="240" w:lineRule="auto" w:before="21"/>
        <w:ind w:left="573" w:right="1033"/>
        <w:jc w:val="left"/>
      </w:pPr>
      <w:r>
        <w:rPr/>
        <w:t>（</w:t>
      </w:r>
      <w:r>
        <w:rPr>
          <w:rFonts w:ascii="Times New Roman" w:hAnsi="Times New Roman" w:cs="Times New Roman" w:eastAsia="Times New Roman" w:hint="default"/>
        </w:rPr>
        <w:t>3</w:t>
      </w:r>
      <w:r>
        <w:rPr/>
        <w:t>）一项交易的发生取决于其他至少一项交易的发生；</w:t>
      </w:r>
    </w:p>
    <w:p>
      <w:pPr>
        <w:pStyle w:val="Heading6"/>
        <w:spacing w:line="268" w:lineRule="exact" w:before="21"/>
        <w:ind w:left="573" w:right="1033"/>
        <w:jc w:val="left"/>
      </w:pPr>
      <w:r>
        <w:rPr/>
        <w:t>（</w:t>
      </w:r>
      <w:r>
        <w:rPr>
          <w:rFonts w:ascii="Times New Roman" w:hAnsi="Times New Roman" w:cs="Times New Roman" w:eastAsia="Times New Roman" w:hint="default"/>
        </w:rPr>
        <w:t>4</w:t>
      </w:r>
      <w:r>
        <w:rPr/>
        <w:t>）一项交易单独看是不经济的，但是和其他交易一并考虑时是经济的。</w:t>
      </w:r>
    </w:p>
    <w:p>
      <w:pPr>
        <w:spacing w:line="312" w:lineRule="exact" w:before="39"/>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同一控制下的企业合并</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2"/>
          <w:sz w:val="21"/>
          <w:szCs w:val="21"/>
        </w:rPr>
        <w:t>本公司在企业合并中取得的资产和负债，按照合并日在被合并方资产、负债（包括最终控制方收购被</w:t>
      </w:r>
    </w:p>
    <w:p>
      <w:pPr>
        <w:pStyle w:val="Heading6"/>
        <w:spacing w:line="273" w:lineRule="auto" w:before="4"/>
        <w:ind w:right="1126"/>
        <w:jc w:val="both"/>
      </w:pPr>
      <w:r>
        <w:rPr>
          <w:spacing w:val="-2"/>
        </w:rPr>
        <w:t>合并方而形成的商誉）在最终控制方合并财务报表中的账面价值计量。在合并中取得的净资产账面价值与</w:t>
      </w:r>
      <w:r>
        <w:rPr>
          <w:spacing w:val="-43"/>
        </w:rPr>
        <w:t> </w:t>
      </w:r>
      <w:r>
        <w:rPr>
          <w:spacing w:val="-43"/>
        </w:rPr>
      </w:r>
      <w:r>
        <w:rPr>
          <w:spacing w:val="-2"/>
        </w:rPr>
        <w:t>支付的合并对价账面价值（或发行股份面值总额）的差额，调整资本公积中的股本溢价，资本公积中的股</w:t>
      </w:r>
      <w:r>
        <w:rPr>
          <w:spacing w:val="-48"/>
        </w:rPr>
        <w:t> </w:t>
      </w:r>
      <w:r>
        <w:rPr>
          <w:spacing w:val="-48"/>
        </w:rPr>
      </w:r>
      <w:r>
        <w:rPr/>
        <w:t>本溢价不足冲减的，调整留存收益。</w:t>
      </w:r>
    </w:p>
    <w:p>
      <w:pPr>
        <w:pStyle w:val="Heading6"/>
        <w:spacing w:line="273" w:lineRule="auto"/>
        <w:ind w:right="1033" w:firstLine="420"/>
        <w:jc w:val="left"/>
      </w:pPr>
      <w:r>
        <w:rPr>
          <w:spacing w:val="-2"/>
        </w:rPr>
        <w:t>如果存在或有对价并需要确认预计负债或资产，该预计负债或资产金额与后续或有对价结算金额的差</w:t>
      </w:r>
      <w:r>
        <w:rPr>
          <w:w w:val="100"/>
        </w:rPr>
        <w:t> </w:t>
      </w:r>
      <w:r>
        <w:rPr/>
        <w:t>额，调整资本公积（资本溢价或股本溢价），资本公积不足的，调整留存收益。</w:t>
      </w:r>
    </w:p>
    <w:p>
      <w:pPr>
        <w:pStyle w:val="Heading6"/>
        <w:spacing w:line="273" w:lineRule="auto"/>
        <w:ind w:right="1104" w:firstLine="420"/>
        <w:jc w:val="both"/>
      </w:pPr>
      <w:r>
        <w:rPr>
          <w:spacing w:val="-2"/>
        </w:rPr>
        <w:t>对于通过多次交易最终实现企业合并的，属于一揽子交易的，将各项交易作为一项取得控制权的交易</w:t>
      </w:r>
      <w:r>
        <w:rPr>
          <w:w w:val="100"/>
        </w:rPr>
        <w:t> </w:t>
      </w:r>
      <w:r>
        <w:rPr>
          <w:spacing w:val="-2"/>
        </w:rPr>
        <w:t>进行会计处理；不属于一揽子交易的，在取得控制权日，长期股权投资初始投资成本，与达到合并前的长</w:t>
      </w:r>
      <w:r>
        <w:rPr>
          <w:spacing w:val="-50"/>
        </w:rPr>
        <w:t> </w:t>
      </w:r>
      <w:r>
        <w:rPr>
          <w:spacing w:val="-50"/>
        </w:rPr>
      </w:r>
      <w:r>
        <w:rPr>
          <w:spacing w:val="-2"/>
        </w:rPr>
        <w:t>期股权投资账面价值加上合并日进一步取得股份新支付对价的账面价值之和的差额，调整资本公积；资本</w:t>
      </w:r>
      <w:r>
        <w:rPr>
          <w:spacing w:val="-43"/>
        </w:rPr>
        <w:t> </w:t>
      </w:r>
      <w:r>
        <w:rPr>
          <w:spacing w:val="-43"/>
        </w:rPr>
      </w:r>
      <w:r>
        <w:rPr>
          <w:spacing w:val="-2"/>
        </w:rPr>
        <w:t>公积不足冲减的，调整留存收益。对于合并日之前持有的股权投资，因采用权益法核算或金融工具确认和</w:t>
      </w:r>
      <w:r>
        <w:rPr>
          <w:spacing w:val="-44"/>
        </w:rPr>
        <w:t> </w:t>
      </w:r>
      <w:r>
        <w:rPr>
          <w:spacing w:val="-44"/>
        </w:rPr>
      </w:r>
      <w:r>
        <w:rPr>
          <w:spacing w:val="-2"/>
        </w:rPr>
        <w:t>计量准则核算而确认的其他综合收益，暂不进行会计处理，直至处置该项投资时采用与被投资单位直接处</w:t>
      </w:r>
      <w:r>
        <w:rPr>
          <w:spacing w:val="-44"/>
        </w:rPr>
        <w:t> </w:t>
      </w:r>
      <w:r>
        <w:rPr>
          <w:spacing w:val="-44"/>
        </w:rPr>
      </w:r>
      <w:r>
        <w:rPr>
          <w:spacing w:val="-2"/>
        </w:rPr>
        <w:t>置相关资产或负债相同的基础进行会计处理；因采用权益法核算而确认的被投资单位净资产中除净损益、</w:t>
      </w:r>
      <w:r>
        <w:rPr>
          <w:spacing w:val="-21"/>
        </w:rPr>
        <w:t> </w:t>
      </w:r>
      <w:r>
        <w:rPr>
          <w:spacing w:val="-21"/>
        </w:rPr>
      </w:r>
      <w:r>
        <w:rPr>
          <w:spacing w:val="-2"/>
        </w:rPr>
        <w:t>其他综合收益和利润分配以外的所有者权益其他变动，暂不进行会计处理，直至处置该项投资时转入当期</w:t>
      </w:r>
      <w:r>
        <w:rPr>
          <w:spacing w:val="-43"/>
        </w:rPr>
        <w:t> </w:t>
      </w:r>
      <w:r>
        <w:rPr>
          <w:spacing w:val="-43"/>
        </w:rPr>
      </w:r>
      <w:r>
        <w:rPr/>
        <w:t>损益。</w:t>
      </w:r>
    </w:p>
    <w:p>
      <w:pPr>
        <w:spacing w:line="312" w:lineRule="exact" w:before="3"/>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非同一控制下的企业合并</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购买日是指本公司实际取得对被购买方控制权的日期，即被购买方的净资产或生产经营决策的控制权</w:t>
      </w:r>
    </w:p>
    <w:p>
      <w:pPr>
        <w:pStyle w:val="Heading6"/>
        <w:spacing w:line="240" w:lineRule="auto" w:before="4"/>
        <w:ind w:right="0"/>
        <w:jc w:val="both"/>
      </w:pPr>
      <w:r>
        <w:rPr/>
        <w:t>转移给本公司的日期。同时满足下列条件时，本公司一般认为实现了控制权的转移：</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left="573" w:right="1033"/>
        <w:jc w:val="left"/>
      </w:pPr>
      <w:r>
        <w:rPr/>
        <w:t>①企业合并合同或协议已获本公司内部权力机构通过。</w:t>
      </w:r>
    </w:p>
    <w:p>
      <w:pPr>
        <w:pStyle w:val="Heading6"/>
        <w:spacing w:line="240" w:lineRule="auto" w:before="37"/>
        <w:ind w:left="573" w:right="1033"/>
        <w:jc w:val="left"/>
      </w:pPr>
      <w:r>
        <w:rPr/>
        <w:t>②企业合并事项需要经过国家有关主管部门审批的，已获得批准。</w:t>
      </w:r>
    </w:p>
    <w:p>
      <w:pPr>
        <w:pStyle w:val="Heading6"/>
        <w:spacing w:line="240" w:lineRule="auto" w:before="37"/>
        <w:ind w:left="573" w:right="1033"/>
        <w:jc w:val="left"/>
      </w:pPr>
      <w:r>
        <w:rPr/>
        <w:t>③已办理了必要的财产权转移手续。</w:t>
      </w:r>
    </w:p>
    <w:p>
      <w:pPr>
        <w:pStyle w:val="Heading6"/>
        <w:spacing w:line="240" w:lineRule="auto" w:before="37"/>
        <w:ind w:left="573" w:right="1033"/>
        <w:jc w:val="left"/>
      </w:pPr>
      <w:r>
        <w:rPr/>
        <w:t>④本公司已支付了合并价款的大部分，并且有能力、有计划支付剩余款项。</w:t>
      </w:r>
    </w:p>
    <w:p>
      <w:pPr>
        <w:pStyle w:val="Heading6"/>
        <w:spacing w:line="273" w:lineRule="auto" w:before="37"/>
        <w:ind w:left="573" w:right="1033"/>
        <w:jc w:val="left"/>
      </w:pPr>
      <w:r>
        <w:rPr/>
        <w:t>⑤本公司实际上已经控制了被购买方的财务和经营政策，并享有相应的利益、承担相应的风险。</w:t>
      </w:r>
      <w:r>
        <w:rPr>
          <w:w w:val="100"/>
        </w:rPr>
        <w:t> </w:t>
      </w:r>
      <w:r>
        <w:rPr>
          <w:spacing w:val="-2"/>
        </w:rPr>
        <w:t>本公司在购买日对作为企业合并对价付出的资产、发生或承担的负债按照公允价值计量，公允价值与</w:t>
      </w:r>
    </w:p>
    <w:p>
      <w:pPr>
        <w:pStyle w:val="Heading6"/>
        <w:spacing w:line="273" w:lineRule="auto"/>
        <w:ind w:left="573" w:right="1033" w:hanging="420"/>
        <w:jc w:val="left"/>
      </w:pPr>
      <w:r>
        <w:rPr/>
        <w:t>其账面价值的差额，计入当期损益。</w:t>
      </w:r>
      <w:r>
        <w:rPr>
          <w:w w:val="100"/>
        </w:rPr>
        <w:t> </w:t>
      </w:r>
      <w:r>
        <w:rPr>
          <w:spacing w:val="-2"/>
        </w:rPr>
        <w:t>本公司对合并成本大于合并中取得的被购买方可辨认净资产公允价值份额的差额，确认为商誉；合并</w:t>
      </w:r>
    </w:p>
    <w:p>
      <w:pPr>
        <w:pStyle w:val="Heading6"/>
        <w:spacing w:line="273" w:lineRule="auto"/>
        <w:ind w:left="573" w:right="1033" w:hanging="420"/>
        <w:jc w:val="left"/>
      </w:pPr>
      <w:r>
        <w:rPr/>
        <w:t>成本小于合并中取得的被购买方可辨认净资产公允价值份额的差额，经复核后，计入当期损益。</w:t>
      </w:r>
      <w:r>
        <w:rPr>
          <w:w w:val="100"/>
        </w:rPr>
        <w:t> </w:t>
      </w:r>
      <w:r>
        <w:rPr>
          <w:spacing w:val="-2"/>
        </w:rPr>
        <w:t>通过多次交换交易分步实现的非同一控制下企业合并，属于一揽子交易的，将各项交易作为一项取得</w:t>
      </w:r>
    </w:p>
    <w:p>
      <w:pPr>
        <w:pStyle w:val="Heading6"/>
        <w:spacing w:line="273" w:lineRule="auto" w:before="8"/>
        <w:ind w:right="1125"/>
        <w:jc w:val="both"/>
      </w:pPr>
      <w:r>
        <w:rPr>
          <w:spacing w:val="-2"/>
        </w:rPr>
        <w:t>控制权的交易进行会计处理；不属于一揽子交易的，合并日之前持有的股权投资采用权益法核算的，以购</w:t>
      </w:r>
      <w:r>
        <w:rPr>
          <w:spacing w:val="-43"/>
        </w:rPr>
        <w:t> </w:t>
      </w:r>
      <w:r>
        <w:rPr>
          <w:spacing w:val="-43"/>
        </w:rPr>
      </w:r>
      <w:r>
        <w:rPr>
          <w:spacing w:val="2"/>
        </w:rPr>
        <w:t>买日之前所持被购买方的股权投资的账面价值与购买日新增投资成本之和，作为该项投资的初始投资成</w:t>
      </w:r>
      <w:r>
        <w:rPr>
          <w:spacing w:val="-30"/>
        </w:rPr>
        <w:t> </w:t>
      </w:r>
      <w:r>
        <w:rPr>
          <w:spacing w:val="-30"/>
        </w:rPr>
      </w:r>
      <w:r>
        <w:rPr>
          <w:spacing w:val="-2"/>
        </w:rPr>
        <w:t>本；购买日之前持有的股权投资因采用权益法核算而确认的其他综合收益，在处置该项投资时采用与被投</w:t>
      </w:r>
      <w:r>
        <w:rPr>
          <w:spacing w:val="-42"/>
        </w:rPr>
        <w:t> </w:t>
      </w:r>
      <w:r>
        <w:rPr>
          <w:spacing w:val="-42"/>
        </w:rPr>
      </w:r>
      <w:r>
        <w:rPr>
          <w:spacing w:val="-2"/>
        </w:rPr>
        <w:t>资单位直接处置相关资产或负债相同的基础进行会计处理。合并日之前持有的股权投资采用金融工具确认</w:t>
      </w:r>
      <w:r>
        <w:rPr>
          <w:spacing w:val="-43"/>
        </w:rPr>
        <w:t> </w:t>
      </w:r>
      <w:r>
        <w:rPr>
          <w:spacing w:val="-43"/>
        </w:rPr>
      </w:r>
      <w:r>
        <w:rPr>
          <w:spacing w:val="-2"/>
        </w:rPr>
        <w:t>和计量准则核算的，以该股权投资在合并日的公允价值加上新增投资成本之和，作为合并日的初始投资成</w:t>
      </w:r>
      <w:r>
        <w:rPr>
          <w:spacing w:val="-43"/>
        </w:rPr>
        <w:t> </w:t>
      </w:r>
      <w:r>
        <w:rPr>
          <w:spacing w:val="-43"/>
        </w:rPr>
      </w:r>
      <w:r>
        <w:rPr>
          <w:spacing w:val="-2"/>
        </w:rPr>
        <w:t>本。原持有股权的公允价值与账面价值之间的差额以及原计入其他综合收益的累计公允价值变动应全部转</w:t>
      </w:r>
      <w:r>
        <w:rPr>
          <w:spacing w:val="-43"/>
        </w:rPr>
        <w:t> </w:t>
      </w:r>
      <w:r>
        <w:rPr>
          <w:spacing w:val="-43"/>
        </w:rPr>
      </w:r>
      <w:r>
        <w:rPr/>
        <w:t>入合并日当期的投资收益。</w:t>
      </w:r>
    </w:p>
    <w:p>
      <w:pPr>
        <w:spacing w:line="312" w:lineRule="exact" w:before="3"/>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为合并发生的相关费用</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2"/>
          <w:sz w:val="21"/>
          <w:szCs w:val="21"/>
        </w:rPr>
        <w:t>为企业合并发生的审计、法律服务、评估咨询等中介费用以及其他直接相关费用，于发生时计入当期</w:t>
      </w:r>
    </w:p>
    <w:p>
      <w:pPr>
        <w:pStyle w:val="Heading6"/>
        <w:spacing w:line="240" w:lineRule="auto" w:before="4"/>
        <w:ind w:right="1033"/>
        <w:jc w:val="left"/>
      </w:pPr>
      <w:r>
        <w:rPr/>
        <w:t>损益；为企业合并而发行权益性证券的交易费用，可直接归属于权益性交易的从权益中扣减。</w:t>
      </w:r>
    </w:p>
    <w:p>
      <w:pPr>
        <w:spacing w:line="240" w:lineRule="auto" w:before="9"/>
        <w:rPr>
          <w:rFonts w:ascii="宋体" w:hAnsi="宋体" w:cs="宋体" w:eastAsia="宋体" w:hint="default"/>
          <w:sz w:val="20"/>
          <w:szCs w:val="20"/>
        </w:rPr>
      </w:pPr>
    </w:p>
    <w:p>
      <w:pPr>
        <w:pStyle w:val="Heading5"/>
        <w:spacing w:line="240" w:lineRule="auto"/>
        <w:ind w:right="10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9" w:lineRule="auto" w:before="0"/>
        <w:ind w:left="573" w:right="1033" w:hanging="65"/>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5"/>
        </w:rPr>
        <w:t> </w:t>
      </w:r>
      <w:r>
        <w:rPr>
          <w:rFonts w:ascii="Microsoft JhengHei" w:hAnsi="Microsoft JhengHei" w:cs="Microsoft JhengHei" w:eastAsia="Microsoft JhengHei" w:hint="default"/>
          <w:b/>
          <w:bCs/>
        </w:rPr>
        <w:t>合并范围</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spacing w:val="-2"/>
        </w:rPr>
        <w:t>本公司合并财务报表的合并范围以控制为基础确定，所有子公司（包括本公司所控制的单独主体）均</w:t>
      </w:r>
    </w:p>
    <w:p>
      <w:pPr>
        <w:pStyle w:val="Heading6"/>
        <w:spacing w:line="260" w:lineRule="exact" w:before="28"/>
        <w:ind w:right="1033"/>
        <w:jc w:val="left"/>
      </w:pPr>
      <w:r>
        <w:rPr/>
        <w:t>纳入合并财务报表。</w:t>
      </w:r>
    </w:p>
    <w:p>
      <w:pPr>
        <w:pStyle w:val="Heading6"/>
        <w:spacing w:line="312" w:lineRule="exact" w:before="47"/>
        <w:ind w:left="573" w:right="1033" w:hanging="65"/>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5"/>
        </w:rPr>
        <w:t> </w:t>
      </w:r>
      <w:r>
        <w:rPr>
          <w:rFonts w:ascii="Microsoft JhengHei" w:hAnsi="Microsoft JhengHei" w:cs="Microsoft JhengHei" w:eastAsia="Microsoft JhengHei" w:hint="default"/>
          <w:b/>
          <w:bCs/>
        </w:rPr>
        <w:t>合并程序</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spacing w:val="-2"/>
        </w:rPr>
        <w:t>本公司以自身和各子公司的财务报表为基础，根据其他有关资料，编制合并财务报表。本公司编制合</w:t>
      </w:r>
    </w:p>
    <w:p>
      <w:pPr>
        <w:pStyle w:val="Heading6"/>
        <w:spacing w:line="273" w:lineRule="auto" w:before="4"/>
        <w:ind w:right="1033"/>
        <w:jc w:val="left"/>
      </w:pPr>
      <w:r>
        <w:rPr>
          <w:spacing w:val="-2"/>
        </w:rPr>
        <w:t>并财务报表，将整个企业集团视为一个会计主体，依据相关企业会计准则的确认、计量和列报要求，按照</w:t>
      </w:r>
      <w:r>
        <w:rPr>
          <w:spacing w:val="-47"/>
        </w:rPr>
        <w:t> </w:t>
      </w:r>
      <w:r>
        <w:rPr>
          <w:spacing w:val="-47"/>
        </w:rPr>
      </w:r>
      <w:r>
        <w:rPr/>
        <w:t>统一的会计政策，反映本企业集团整体财务状况、经营成果和现金流量。</w:t>
      </w:r>
    </w:p>
    <w:p>
      <w:pPr>
        <w:pStyle w:val="Heading6"/>
        <w:spacing w:line="273" w:lineRule="auto" w:before="8"/>
        <w:ind w:right="1126" w:firstLine="420"/>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50"/>
        </w:rPr>
        <w:t> </w:t>
      </w:r>
      <w:r>
        <w:rPr>
          <w:spacing w:val="-50"/>
        </w:rPr>
      </w:r>
      <w:r>
        <w:rPr/>
        <w:t>必要的调整。</w:t>
      </w:r>
    </w:p>
    <w:p>
      <w:pPr>
        <w:pStyle w:val="Heading6"/>
        <w:spacing w:line="273" w:lineRule="auto"/>
        <w:ind w:right="1126" w:firstLine="420"/>
        <w:jc w:val="both"/>
      </w:pPr>
      <w:r>
        <w:rPr>
          <w:spacing w:val="-2"/>
        </w:rPr>
        <w:t>合并财务报表时抵销本公司与各子公司、各子公司相互之间发生的内部交易对合并资产负债表、合并</w:t>
      </w:r>
      <w:r>
        <w:rPr>
          <w:w w:val="100"/>
        </w:rPr>
        <w:t> </w:t>
      </w:r>
      <w:r>
        <w:rPr>
          <w:spacing w:val="-2"/>
        </w:rPr>
        <w:t>利润表、合并现金流量表、合并股东权益变动表的影响。如果站在企业集团合并财务报表角度与以本公司</w:t>
      </w:r>
      <w:r>
        <w:rPr>
          <w:spacing w:val="-44"/>
        </w:rPr>
        <w:t> </w:t>
      </w:r>
      <w:r>
        <w:rPr>
          <w:spacing w:val="-44"/>
        </w:rPr>
      </w:r>
      <w:r>
        <w:rPr/>
        <w:t>或子公司为会计主体对同一交易的认定不同时，从企业集团的角度对该交易予以调整。</w:t>
      </w:r>
    </w:p>
    <w:p>
      <w:pPr>
        <w:pStyle w:val="Heading6"/>
        <w:spacing w:line="273" w:lineRule="auto" w:before="5"/>
        <w:ind w:right="1126" w:firstLine="420"/>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亏损超过了少数股东在该子公司期初所有者权益中所享有份额而形成的余额，冲减少数股东权益。</w:t>
      </w:r>
    </w:p>
    <w:p>
      <w:pPr>
        <w:pStyle w:val="Heading6"/>
        <w:spacing w:line="273" w:lineRule="auto"/>
        <w:ind w:right="1126" w:firstLine="420"/>
        <w:jc w:val="both"/>
      </w:pPr>
      <w:r>
        <w:rPr>
          <w:spacing w:val="-2"/>
        </w:rPr>
        <w:t>对于同一控制下企业合并取得的子公司，以其资产、负债（包括最终控制方收购该子公司而形成的商</w:t>
      </w:r>
      <w:r>
        <w:rPr>
          <w:w w:val="100"/>
        </w:rPr>
        <w:t> </w:t>
      </w:r>
      <w:r>
        <w:rPr/>
        <w:t>誉）在最终控制方财务报表中的账面价值为基础对其财务报表进行调整。</w:t>
      </w:r>
    </w:p>
    <w:p>
      <w:pPr>
        <w:pStyle w:val="Heading6"/>
        <w:spacing w:line="273" w:lineRule="auto"/>
        <w:ind w:right="1126" w:firstLine="420"/>
        <w:jc w:val="both"/>
      </w:pPr>
      <w:r>
        <w:rPr>
          <w:spacing w:val="-2"/>
        </w:rPr>
        <w:t>对于非同一控制下企业合并取得的子公司，以购买日可辨认净资产公允价值为基础对其财务报表进行</w:t>
      </w:r>
      <w:r>
        <w:rPr>
          <w:w w:val="100"/>
        </w:rPr>
        <w:t> </w:t>
      </w:r>
      <w:r>
        <w:rPr/>
        <w:t>调整</w:t>
      </w:r>
    </w:p>
    <w:p>
      <w:pPr>
        <w:pStyle w:val="Heading6"/>
        <w:spacing w:line="240" w:lineRule="auto"/>
        <w:ind w:right="1033"/>
        <w:jc w:val="left"/>
      </w:pPr>
      <w:r>
        <w:rPr/>
        <w:t>（</w:t>
      </w:r>
      <w:r>
        <w:rPr>
          <w:rFonts w:ascii="Times New Roman" w:hAnsi="Times New Roman" w:cs="Times New Roman" w:eastAsia="Times New Roman" w:hint="default"/>
        </w:rPr>
        <w:t>1</w:t>
      </w:r>
      <w:r>
        <w:rPr/>
        <w:t>）增加子公司或业务</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right="1126" w:firstLine="420"/>
        <w:jc w:val="both"/>
      </w:pPr>
      <w:r>
        <w:rPr>
          <w:spacing w:val="-2"/>
        </w:rPr>
        <w:t>在报告期内，若因同一控制下企业合并增加子公司或业务的，则调整合并资产负债表的期初数；将子</w:t>
      </w:r>
      <w:r>
        <w:rPr>
          <w:w w:val="100"/>
        </w:rPr>
        <w:t> </w:t>
      </w:r>
      <w:r>
        <w:rPr>
          <w:spacing w:val="-2"/>
        </w:rPr>
        <w:t>公司或业务合并当期期初至报告期末的收入、费用、利润纳入合并利润表；将子公司或业务合并当期期初</w:t>
      </w:r>
      <w:r>
        <w:rPr>
          <w:spacing w:val="-44"/>
        </w:rPr>
        <w:t> </w:t>
      </w:r>
      <w:r>
        <w:rPr>
          <w:spacing w:val="-44"/>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Heading6"/>
        <w:spacing w:line="273" w:lineRule="auto"/>
        <w:ind w:right="1126" w:firstLine="420"/>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44"/>
        </w:rPr>
        <w:t> </w:t>
      </w:r>
      <w:r>
        <w:rPr>
          <w:spacing w:val="-44"/>
        </w:rPr>
      </w: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Heading6"/>
        <w:spacing w:line="273" w:lineRule="auto"/>
        <w:ind w:right="1126"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Heading6"/>
        <w:spacing w:line="273" w:lineRule="auto"/>
        <w:ind w:right="1126" w:firstLine="420"/>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3"/>
        </w:rPr>
        <w:t> </w:t>
      </w:r>
      <w:r>
        <w:rPr>
          <w:spacing w:val="-43"/>
        </w:rPr>
      </w:r>
      <w:r>
        <w:rPr/>
        <w:t>当期投资收益，由于被投资方重新计量设定受益计划净负债或净资产变动而产生的其他综合收益除外。</w:t>
      </w:r>
    </w:p>
    <w:p>
      <w:pPr>
        <w:pStyle w:val="Heading6"/>
        <w:spacing w:line="240" w:lineRule="auto"/>
        <w:ind w:right="1033"/>
        <w:jc w:val="left"/>
      </w:pPr>
      <w:r>
        <w:rPr/>
        <w:t>（</w:t>
      </w:r>
      <w:r>
        <w:rPr>
          <w:rFonts w:ascii="Times New Roman" w:hAnsi="Times New Roman" w:cs="Times New Roman" w:eastAsia="Times New Roman" w:hint="default"/>
        </w:rPr>
        <w:t>2</w:t>
      </w:r>
      <w:r>
        <w:rPr/>
        <w:t>）处置子公司或业务</w:t>
      </w:r>
    </w:p>
    <w:p>
      <w:pPr>
        <w:pStyle w:val="Heading6"/>
        <w:spacing w:line="256" w:lineRule="auto" w:before="21"/>
        <w:ind w:left="573" w:right="1033"/>
        <w:jc w:val="left"/>
      </w:pPr>
      <w:r>
        <w:rPr>
          <w:rFonts w:ascii="Times New Roman" w:hAnsi="Times New Roman" w:cs="Times New Roman" w:eastAsia="Times New Roman" w:hint="default"/>
        </w:rPr>
        <w:t>1</w:t>
      </w:r>
      <w:r>
        <w:rPr/>
        <w:t>）一般处理方法</w:t>
      </w:r>
      <w:r>
        <w:rPr>
          <w:w w:val="100"/>
        </w:rPr>
        <w:t> </w:t>
      </w:r>
      <w:r>
        <w:rPr>
          <w:spacing w:val="-2"/>
        </w:rPr>
        <w:t>在报告期内，本公司处置子公司或业务，则该子公司或业务期初至处置日的收入、费用、利润纳入合</w:t>
      </w:r>
    </w:p>
    <w:p>
      <w:pPr>
        <w:pStyle w:val="Heading6"/>
        <w:spacing w:line="273" w:lineRule="auto" w:before="22"/>
        <w:ind w:left="573" w:right="1033" w:hanging="420"/>
        <w:jc w:val="left"/>
      </w:pPr>
      <w:r>
        <w:rPr/>
        <w:t>并利润表；该子公司或业务期初至处置日的现金流量纳入合并现金流量表。</w:t>
      </w:r>
      <w:r>
        <w:rPr>
          <w:w w:val="100"/>
        </w:rPr>
        <w:t> </w:t>
      </w:r>
      <w:r>
        <w:rPr>
          <w:spacing w:val="-2"/>
        </w:rPr>
        <w:t>因处置部分股权投资或其他原因丧失了对被投资方控制权时，对于处置后的剩余股权投资，本公司按</w:t>
      </w:r>
    </w:p>
    <w:p>
      <w:pPr>
        <w:pStyle w:val="Heading6"/>
        <w:spacing w:line="273" w:lineRule="auto"/>
        <w:ind w:right="1126"/>
        <w:jc w:val="both"/>
      </w:pPr>
      <w:r>
        <w:rPr>
          <w:spacing w:val="-2"/>
        </w:rPr>
        <w:t>照其在丧失控制权日的公允价值进行重新计量。处置股权取得的对价与剩余股权公允价值之和，减去按原</w:t>
      </w:r>
      <w:r>
        <w:rPr>
          <w:spacing w:val="-42"/>
        </w:rPr>
        <w:t> </w:t>
      </w:r>
      <w:r>
        <w:rPr>
          <w:spacing w:val="-42"/>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Heading6"/>
        <w:spacing w:line="256" w:lineRule="auto"/>
        <w:ind w:left="573" w:right="1033"/>
        <w:jc w:val="left"/>
      </w:pPr>
      <w:r>
        <w:rPr>
          <w:rFonts w:ascii="Times New Roman" w:hAnsi="Times New Roman" w:cs="Times New Roman" w:eastAsia="Times New Roman" w:hint="default"/>
        </w:rPr>
        <w:t>2</w:t>
      </w:r>
      <w:r>
        <w:rPr/>
        <w:t>）分步处置子公司</w:t>
      </w:r>
      <w:r>
        <w:rPr>
          <w:w w:val="100"/>
        </w:rPr>
        <w:t> </w:t>
      </w:r>
      <w:r>
        <w:rPr>
          <w:spacing w:val="-2"/>
        </w:rPr>
        <w:t>通过多次交易分步处置对子公司股权投资直至丧失控制权的，处置对子公司股权投资的各项交易的条</w:t>
      </w:r>
    </w:p>
    <w:p>
      <w:pPr>
        <w:pStyle w:val="Heading6"/>
        <w:spacing w:line="273" w:lineRule="auto" w:before="22"/>
        <w:ind w:right="1126"/>
        <w:jc w:val="both"/>
      </w:pPr>
      <w:r>
        <w:rPr>
          <w:spacing w:val="-2"/>
        </w:rPr>
        <w:t>款、条件以及经济影响符合以下一种或多种情况，通常表明应将多次交易事项作为一揽子交易进行会计处</w:t>
      </w:r>
      <w:r>
        <w:rPr>
          <w:spacing w:val="-43"/>
        </w:rPr>
        <w:t> </w:t>
      </w:r>
      <w:r>
        <w:rPr>
          <w:spacing w:val="-43"/>
        </w:rPr>
      </w:r>
      <w:r>
        <w:rPr/>
        <w:t>理：</w:t>
      </w:r>
    </w:p>
    <w:p>
      <w:pPr>
        <w:pStyle w:val="Heading6"/>
        <w:spacing w:line="256" w:lineRule="auto" w:before="8"/>
        <w:ind w:left="573" w:right="1753"/>
        <w:jc w:val="left"/>
      </w:pPr>
      <w:r>
        <w:rPr>
          <w:rFonts w:ascii="Times New Roman" w:hAnsi="Times New Roman" w:cs="Times New Roman" w:eastAsia="Times New Roman" w:hint="default"/>
        </w:rPr>
        <w:t>A.</w:t>
      </w:r>
      <w:r>
        <w:rPr/>
        <w:t>这些交易是同时或者在考虑了彼此影响的情况下订立的；</w:t>
      </w:r>
      <w:r>
        <w:rPr>
          <w:w w:val="100"/>
        </w:rPr>
        <w:t> </w:t>
      </w:r>
      <w:r>
        <w:rPr>
          <w:rFonts w:ascii="Times New Roman" w:hAnsi="Times New Roman" w:cs="Times New Roman" w:eastAsia="Times New Roman" w:hint="default"/>
        </w:rPr>
        <w:t>B.</w:t>
      </w:r>
      <w:r>
        <w:rPr/>
        <w:t>这些交易整体才能达成一项完整的商业结果；</w:t>
      </w:r>
      <w:r>
        <w:rPr>
          <w:w w:val="100"/>
        </w:rPr>
        <w:t> </w:t>
      </w:r>
      <w:r>
        <w:rPr>
          <w:rFonts w:ascii="Times New Roman" w:hAnsi="Times New Roman" w:cs="Times New Roman" w:eastAsia="Times New Roman" w:hint="default"/>
        </w:rPr>
        <w:t>C.</w:t>
      </w:r>
      <w:r>
        <w:rPr/>
        <w:t>一项交易的发生取决于其他至少一项交易的发生；</w:t>
      </w:r>
      <w:r>
        <w:rPr>
          <w:w w:val="100"/>
        </w:rPr>
        <w:t> </w:t>
      </w:r>
      <w:r>
        <w:rPr>
          <w:rFonts w:ascii="Times New Roman" w:hAnsi="Times New Roman" w:cs="Times New Roman" w:eastAsia="Times New Roman" w:hint="default"/>
          <w:spacing w:val="-2"/>
        </w:rPr>
        <w:t>D.</w:t>
      </w:r>
      <w:r>
        <w:rPr>
          <w:spacing w:val="-2"/>
        </w:rPr>
        <w:t>一项交易单独看是不经济的，但是和其他交易一并考虑时是经济的。</w:t>
      </w:r>
    </w:p>
    <w:p>
      <w:pPr>
        <w:pStyle w:val="Heading6"/>
        <w:spacing w:line="273" w:lineRule="auto" w:before="5"/>
        <w:ind w:right="1126" w:firstLine="420"/>
        <w:jc w:val="both"/>
      </w:pPr>
      <w:r>
        <w:rPr>
          <w:spacing w:val="-2"/>
        </w:rPr>
        <w:t>处置对子公司股权投资直至丧失控制权的各项交易属于一揽子交易的，本公司将各项交易作为一项处</w:t>
      </w:r>
      <w:r>
        <w:rPr>
          <w:w w:val="100"/>
        </w:rPr>
        <w:t> </w:t>
      </w:r>
      <w:r>
        <w:rPr>
          <w:spacing w:val="-2"/>
        </w:rPr>
        <w:t>置子公司并丧失控制权的交易进行会计处理；但是，在丧失控制权之前每一次处置价款与处置投资对应的</w:t>
      </w:r>
      <w:r>
        <w:rPr>
          <w:spacing w:val="-43"/>
        </w:rPr>
        <w:t> </w:t>
      </w:r>
      <w:r>
        <w:rPr>
          <w:spacing w:val="-43"/>
        </w:rPr>
      </w: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Heading6"/>
        <w:spacing w:line="273" w:lineRule="auto"/>
        <w:ind w:right="1126" w:firstLine="420"/>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Heading6"/>
        <w:spacing w:line="256" w:lineRule="auto"/>
        <w:ind w:left="573" w:right="1033" w:hanging="420"/>
        <w:jc w:val="left"/>
      </w:pPr>
      <w:r>
        <w:rPr/>
        <w:t>（</w:t>
      </w: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本公司因购买少数股权新取得的长期股权投资与按照新增持股比例计算应享有子公司自购买日（或合</w:t>
      </w:r>
    </w:p>
    <w:p>
      <w:pPr>
        <w:pStyle w:val="Heading6"/>
        <w:spacing w:line="240" w:lineRule="auto" w:before="22"/>
        <w:ind w:right="1033"/>
        <w:jc w:val="left"/>
      </w:pPr>
      <w:r>
        <w:rPr/>
        <w:t>并日）开始持续计算的净资产份额之间的差额，调整合并资产负债表中的资本公积中的股本溢价，资本公</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left="473" w:right="1129"/>
        <w:jc w:val="left"/>
      </w:pPr>
      <w:r>
        <w:rPr/>
        <w:t>积中的股本溢价不足冲减的，调整留存收益。</w:t>
      </w:r>
    </w:p>
    <w:p>
      <w:pPr>
        <w:pStyle w:val="Heading6"/>
        <w:spacing w:line="256" w:lineRule="auto" w:before="37"/>
        <w:ind w:left="893" w:right="1129" w:hanging="420"/>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Heading6"/>
        <w:spacing w:line="273" w:lineRule="auto" w:before="22"/>
        <w:ind w:left="473" w:right="1129"/>
        <w:jc w:val="left"/>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5"/>
        <w:spacing w:line="240" w:lineRule="auto"/>
        <w:ind w:left="473" w:right="1129"/>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9" w:lineRule="auto" w:before="0"/>
        <w:ind w:left="893" w:right="1129" w:hanging="65"/>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5"/>
        </w:rPr>
        <w:t> </w:t>
      </w:r>
      <w:r>
        <w:rPr>
          <w:rFonts w:ascii="Microsoft JhengHei" w:hAnsi="Microsoft JhengHei" w:cs="Microsoft JhengHei" w:eastAsia="Microsoft JhengHei" w:hint="default"/>
          <w:b/>
          <w:bCs/>
        </w:rPr>
        <w:t>合营安排的分类</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spacing w:val="-2"/>
        </w:rPr>
        <w:t>本公司根据合营安排的结构、法律形式以及合营安排中约定的条款、其他相关事实和情况等因素，将</w:t>
      </w:r>
    </w:p>
    <w:p>
      <w:pPr>
        <w:pStyle w:val="Heading6"/>
        <w:spacing w:line="273" w:lineRule="auto" w:before="28"/>
        <w:ind w:left="893" w:right="1129" w:hanging="420"/>
        <w:jc w:val="left"/>
      </w:pPr>
      <w:r>
        <w:rPr/>
        <w:t>合营安排分为共同经营和合营企业。</w:t>
      </w:r>
      <w:r>
        <w:rPr>
          <w:w w:val="100"/>
        </w:rPr>
        <w:t> </w:t>
      </w:r>
      <w:r>
        <w:rPr>
          <w:spacing w:val="-2"/>
        </w:rPr>
        <w:t>未通过单独主体达成的合营安排，划分为共同经营；通过单独主体达成的合营安排，通常划分为合营</w:t>
      </w:r>
    </w:p>
    <w:p>
      <w:pPr>
        <w:pStyle w:val="Heading6"/>
        <w:spacing w:line="273" w:lineRule="auto"/>
        <w:ind w:left="112" w:right="1432" w:firstLine="360"/>
        <w:jc w:val="left"/>
      </w:pPr>
      <w:r>
        <w:rPr>
          <w:spacing w:val="-2"/>
        </w:rPr>
        <w:t>企业；但有确凿证据表明满足下列任一条件并且符合相关法律法规规定的合营安排划分为共同经营：</w:t>
      </w:r>
      <w:r>
        <w:rPr>
          <w:w w:val="100"/>
        </w:rPr>
        <w:t> </w:t>
      </w:r>
      <w:r>
        <w:rPr>
          <w:rFonts w:ascii="宋体" w:hAnsi="宋体" w:cs="宋体" w:eastAsia="宋体" w:hint="default"/>
        </w:rPr>
        <w:t>1.</w:t>
      </w:r>
      <w:r>
        <w:rPr>
          <w:rFonts w:ascii="宋体" w:hAnsi="宋体" w:cs="宋体" w:eastAsia="宋体" w:hint="default"/>
          <w:spacing w:val="39"/>
        </w:rPr>
        <w:t> </w:t>
      </w: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Heading6"/>
        <w:spacing w:line="279" w:lineRule="exact" w:before="0"/>
        <w:ind w:left="112" w:right="1129"/>
        <w:jc w:val="left"/>
      </w:pPr>
      <w:r>
        <w:rPr>
          <w:rFonts w:ascii="宋体" w:hAnsi="宋体" w:cs="宋体" w:eastAsia="宋体" w:hint="default"/>
        </w:rPr>
        <w:t>2.</w:t>
      </w:r>
      <w:r>
        <w:rPr>
          <w:rFonts w:ascii="宋体" w:hAnsi="宋体" w:cs="宋体" w:eastAsia="宋体" w:hint="default"/>
          <w:spacing w:val="39"/>
        </w:rPr>
        <w:t> </w:t>
      </w: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Heading6"/>
        <w:spacing w:line="256" w:lineRule="auto" w:before="21"/>
        <w:ind w:left="473" w:right="1129" w:hanging="361"/>
        <w:jc w:val="left"/>
      </w:pPr>
      <w:r>
        <w:rPr>
          <w:rFonts w:ascii="宋体" w:hAnsi="宋体" w:cs="宋体" w:eastAsia="宋体" w:hint="default"/>
        </w:rPr>
        <w:t>3.</w:t>
      </w:r>
      <w:r>
        <w:rPr>
          <w:rFonts w:ascii="宋体" w:hAnsi="宋体" w:cs="宋体" w:eastAsia="宋体" w:hint="default"/>
          <w:spacing w:val="15"/>
        </w:rPr>
        <w:t> </w:t>
      </w:r>
      <w:r>
        <w:rPr/>
        <w:t>（</w:t>
      </w:r>
      <w:r>
        <w:rPr>
          <w:rFonts w:ascii="Times New Roman" w:hAnsi="Times New Roman" w:cs="Times New Roman" w:eastAsia="Times New Roman" w:hint="default"/>
        </w:rPr>
        <w:t>3</w:t>
      </w:r>
      <w:r>
        <w:rPr/>
        <w:t>）其他相关事实和情况表明，合营方对该安排中的相关资产和负债分别享有权利和承担义务，如合营</w:t>
      </w:r>
      <w:r>
        <w:rPr>
          <w:spacing w:val="-101"/>
        </w:rPr>
        <w:t> </w:t>
      </w:r>
      <w:r>
        <w:rPr>
          <w:spacing w:val="-101"/>
        </w:rPr>
      </w:r>
      <w:r>
        <w:rPr/>
        <w:t>方享有与合营安排相关的几乎所有产出，并且该安排中负债的清偿持续依赖于合营方的支持。</w:t>
      </w:r>
    </w:p>
    <w:p>
      <w:pPr>
        <w:spacing w:line="312" w:lineRule="exact" w:before="18"/>
        <w:ind w:left="893" w:right="1129"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共同经营会计处理方法</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2"/>
          <w:sz w:val="21"/>
          <w:szCs w:val="21"/>
        </w:rPr>
        <w:t>本公司确认共同经营中利益份额中与本公司相关的下列项目，并按照相关企业会计准则的规定进行会</w:t>
      </w:r>
    </w:p>
    <w:p>
      <w:pPr>
        <w:pStyle w:val="Heading6"/>
        <w:spacing w:line="240" w:lineRule="auto" w:before="4"/>
        <w:ind w:left="473" w:right="1129"/>
        <w:jc w:val="left"/>
      </w:pPr>
      <w:r>
        <w:rPr/>
        <w:t>计处理：</w:t>
      </w:r>
    </w:p>
    <w:p>
      <w:pPr>
        <w:pStyle w:val="Heading6"/>
        <w:spacing w:line="240" w:lineRule="auto" w:before="37"/>
        <w:ind w:left="112" w:right="1129"/>
        <w:jc w:val="left"/>
      </w:pPr>
      <w:r>
        <w:rPr>
          <w:rFonts w:ascii="宋体" w:hAnsi="宋体" w:cs="宋体" w:eastAsia="宋体" w:hint="default"/>
        </w:rPr>
        <w:t>1.</w:t>
      </w:r>
      <w:r>
        <w:rPr>
          <w:rFonts w:ascii="宋体" w:hAnsi="宋体" w:cs="宋体" w:eastAsia="宋体" w:hint="default"/>
          <w:spacing w:val="41"/>
        </w:rPr>
        <w:t> </w:t>
      </w:r>
      <w:r>
        <w:rPr/>
        <w:t>（</w:t>
      </w:r>
      <w:r>
        <w:rPr>
          <w:rFonts w:ascii="Times New Roman" w:hAnsi="Times New Roman" w:cs="Times New Roman" w:eastAsia="Times New Roman" w:hint="default"/>
        </w:rPr>
        <w:t>1</w:t>
      </w:r>
      <w:r>
        <w:rPr/>
        <w:t>）确认单独所持有的资产，以及按其份额确认共同持有的资产；</w:t>
      </w:r>
    </w:p>
    <w:p>
      <w:pPr>
        <w:pStyle w:val="Heading6"/>
        <w:spacing w:line="240" w:lineRule="auto" w:before="21"/>
        <w:ind w:left="112" w:right="1129"/>
        <w:jc w:val="left"/>
      </w:pPr>
      <w:r>
        <w:rPr>
          <w:rFonts w:ascii="宋体" w:hAnsi="宋体" w:cs="宋体" w:eastAsia="宋体" w:hint="default"/>
        </w:rPr>
        <w:t>2.</w:t>
      </w:r>
      <w:r>
        <w:rPr>
          <w:rFonts w:ascii="宋体" w:hAnsi="宋体" w:cs="宋体" w:eastAsia="宋体" w:hint="default"/>
          <w:spacing w:val="41"/>
        </w:rPr>
        <w:t> </w:t>
      </w:r>
      <w:r>
        <w:rPr/>
        <w:t>（</w:t>
      </w:r>
      <w:r>
        <w:rPr>
          <w:rFonts w:ascii="Times New Roman" w:hAnsi="Times New Roman" w:cs="Times New Roman" w:eastAsia="Times New Roman" w:hint="default"/>
        </w:rPr>
        <w:t>2</w:t>
      </w:r>
      <w:r>
        <w:rPr/>
        <w:t>）确认单独所承担的负债，以及按其份额确认共同承担的负债；</w:t>
      </w:r>
    </w:p>
    <w:p>
      <w:pPr>
        <w:pStyle w:val="Heading6"/>
        <w:spacing w:line="240" w:lineRule="auto" w:before="21"/>
        <w:ind w:left="112" w:right="1129"/>
        <w:jc w:val="left"/>
      </w:pPr>
      <w:r>
        <w:rPr>
          <w:rFonts w:ascii="宋体" w:hAnsi="宋体" w:cs="宋体" w:eastAsia="宋体" w:hint="default"/>
        </w:rPr>
        <w:t>3.</w:t>
      </w:r>
      <w:r>
        <w:rPr>
          <w:rFonts w:ascii="宋体" w:hAnsi="宋体" w:cs="宋体" w:eastAsia="宋体" w:hint="default"/>
          <w:spacing w:val="42"/>
        </w:rPr>
        <w:t> </w:t>
      </w:r>
      <w:r>
        <w:rPr/>
        <w:t>（</w:t>
      </w:r>
      <w:r>
        <w:rPr>
          <w:rFonts w:ascii="Times New Roman" w:hAnsi="Times New Roman" w:cs="Times New Roman" w:eastAsia="Times New Roman" w:hint="default"/>
        </w:rPr>
        <w:t>3</w:t>
      </w:r>
      <w:r>
        <w:rPr/>
        <w:t>）确认出售其享有的共同经营产出份额所产生的收入；</w:t>
      </w:r>
    </w:p>
    <w:p>
      <w:pPr>
        <w:pStyle w:val="Heading6"/>
        <w:spacing w:line="240" w:lineRule="auto" w:before="21"/>
        <w:ind w:left="112" w:right="1129"/>
        <w:jc w:val="left"/>
      </w:pPr>
      <w:r>
        <w:rPr>
          <w:rFonts w:ascii="宋体" w:hAnsi="宋体" w:cs="宋体" w:eastAsia="宋体" w:hint="default"/>
        </w:rPr>
        <w:t>4.</w:t>
      </w:r>
      <w:r>
        <w:rPr>
          <w:rFonts w:ascii="宋体" w:hAnsi="宋体" w:cs="宋体" w:eastAsia="宋体" w:hint="default"/>
          <w:spacing w:val="41"/>
        </w:rPr>
        <w:t> </w:t>
      </w:r>
      <w:r>
        <w:rPr/>
        <w:t>（</w:t>
      </w:r>
      <w:r>
        <w:rPr>
          <w:rFonts w:ascii="Times New Roman" w:hAnsi="Times New Roman" w:cs="Times New Roman" w:eastAsia="Times New Roman" w:hint="default"/>
        </w:rPr>
        <w:t>4</w:t>
      </w:r>
      <w:r>
        <w:rPr/>
        <w:t>）按其份额确认共同经营因出售产出所产生的收入；</w:t>
      </w:r>
    </w:p>
    <w:p>
      <w:pPr>
        <w:pStyle w:val="Heading6"/>
        <w:spacing w:line="256" w:lineRule="auto" w:before="21"/>
        <w:ind w:left="893" w:right="1129" w:hanging="781"/>
        <w:jc w:val="left"/>
      </w:pPr>
      <w:r>
        <w:rPr>
          <w:rFonts w:ascii="宋体" w:hAnsi="宋体" w:cs="宋体" w:eastAsia="宋体" w:hint="default"/>
        </w:rPr>
        <w:t>5.</w:t>
      </w:r>
      <w:r>
        <w:rPr>
          <w:rFonts w:ascii="宋体" w:hAnsi="宋体" w:cs="宋体" w:eastAsia="宋体" w:hint="default"/>
          <w:spacing w:val="43"/>
        </w:rPr>
        <w:t> </w:t>
      </w:r>
      <w:r>
        <w:rPr/>
        <w:t>（</w:t>
      </w:r>
      <w:r>
        <w:rPr>
          <w:rFonts w:ascii="Times New Roman" w:hAnsi="Times New Roman" w:cs="Times New Roman" w:eastAsia="Times New Roman" w:hint="default"/>
        </w:rPr>
        <w:t>5</w:t>
      </w:r>
      <w:r>
        <w:rPr/>
        <w:t>）确认单独所发生的费用，以及按其份额确认共同经营发生的费用。</w:t>
      </w:r>
      <w:r>
        <w:rPr>
          <w:w w:val="100"/>
        </w:rPr>
        <w:t> </w:t>
      </w:r>
      <w:r>
        <w:rPr>
          <w:spacing w:val="-2"/>
        </w:rPr>
        <w:t>本公司向共同经营投出或出售资产等（该资产构成业务的除外），在该资产等由共同经营出售给第三</w:t>
      </w:r>
    </w:p>
    <w:p>
      <w:pPr>
        <w:pStyle w:val="Heading6"/>
        <w:spacing w:line="273" w:lineRule="auto" w:before="22"/>
        <w:ind w:left="473" w:right="1129"/>
        <w:jc w:val="left"/>
      </w:pPr>
      <w:r>
        <w:rPr>
          <w:spacing w:val="-7"/>
        </w:rPr>
        <w:t>方之前，仅确认因该交易产生的损益中归属于共同经营其他参与方的部分。投出或出售的资产发生符合《企</w:t>
      </w:r>
      <w:r>
        <w:rPr>
          <w:spacing w:val="-17"/>
        </w:rPr>
        <w:t> </w:t>
      </w:r>
      <w:r>
        <w:rPr>
          <w:spacing w:val="-17"/>
        </w:rPr>
      </w:r>
      <w:r>
        <w:rPr/>
        <w:t>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资产减值》等规定的资产减值损失的，本公司全额确认该损失。</w:t>
      </w:r>
    </w:p>
    <w:p>
      <w:pPr>
        <w:pStyle w:val="Heading6"/>
        <w:spacing w:line="266" w:lineRule="auto" w:before="0"/>
        <w:ind w:left="473" w:right="1126" w:firstLine="420"/>
        <w:jc w:val="both"/>
      </w:pPr>
      <w:r>
        <w:rPr>
          <w:spacing w:val="-2"/>
        </w:rPr>
        <w:t>本公司自共同经营购买资产等（该资产构成业务的除外），在将该资产等出售给第三方之前，仅确认</w:t>
      </w:r>
      <w:r>
        <w:rPr>
          <w:w w:val="100"/>
        </w:rPr>
        <w:t> </w:t>
      </w:r>
      <w:r>
        <w:rPr>
          <w:spacing w:val="-5"/>
        </w:rPr>
        <w:t>因该交易产生的损益中归属于共同经营其他参与方的部分。购入的资产发生符合《企业会计准则第</w:t>
      </w:r>
      <w:r>
        <w:rPr>
          <w:rFonts w:ascii="Times New Roman" w:hAnsi="Times New Roman" w:cs="Times New Roman" w:eastAsia="Times New Roman" w:hint="default"/>
          <w:spacing w:val="-5"/>
        </w:rPr>
        <w:t>8</w:t>
      </w:r>
      <w:r>
        <w:rPr>
          <w:spacing w:val="-5"/>
        </w:rPr>
        <w:t>号</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2"/>
        </w:rPr>
        <w:t> </w:t>
      </w:r>
      <w:r>
        <w:rPr/>
        <w:t>资产减值》等规定的资产减值损失的，本公司按承担的份额确认该部分损失。</w:t>
      </w:r>
    </w:p>
    <w:p>
      <w:pPr>
        <w:pStyle w:val="Heading6"/>
        <w:spacing w:line="273" w:lineRule="auto" w:before="14"/>
        <w:ind w:left="473" w:right="1126" w:firstLine="420"/>
        <w:jc w:val="both"/>
      </w:pPr>
      <w:r>
        <w:rPr>
          <w:spacing w:val="-2"/>
        </w:rPr>
        <w:t>本公司对共同经营不享有共同控制，如果本公司享有该共同经营相关资产且承担该共同经营相关负债</w:t>
      </w:r>
      <w:r>
        <w:rPr>
          <w:w w:val="100"/>
        </w:rPr>
        <w:t> </w:t>
      </w:r>
      <w:r>
        <w:rPr/>
        <w:t>的，仍按上述原则进行会计处理，否则，应当按照相关企业会计准则的规定进行会计处理。</w:t>
      </w:r>
    </w:p>
    <w:p>
      <w:pPr>
        <w:spacing w:line="240" w:lineRule="auto" w:before="1"/>
        <w:rPr>
          <w:rFonts w:ascii="宋体" w:hAnsi="宋体" w:cs="宋体" w:eastAsia="宋体" w:hint="default"/>
          <w:sz w:val="25"/>
          <w:szCs w:val="25"/>
        </w:rPr>
      </w:pPr>
    </w:p>
    <w:p>
      <w:pPr>
        <w:spacing w:line="590" w:lineRule="atLeast" w:before="0"/>
        <w:ind w:left="893" w:right="1129"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在编制现金流量表时，将本公司库存现金以及可以随时用于支付的存款确认为现金。将同时具备期限</w:t>
      </w:r>
    </w:p>
    <w:p>
      <w:pPr>
        <w:pStyle w:val="Heading6"/>
        <w:spacing w:line="273" w:lineRule="auto" w:before="37"/>
        <w:ind w:left="473" w:right="1129"/>
        <w:jc w:val="left"/>
      </w:pPr>
      <w:r>
        <w:rPr>
          <w:spacing w:val="-2"/>
        </w:rPr>
        <w:t>短（一般从购买日起三个月内到期）、流动性强、易于转换为已知金额的现金、价值变动风险很小四个条</w:t>
      </w:r>
      <w:r>
        <w:rPr>
          <w:spacing w:val="-43"/>
        </w:rPr>
        <w:t> </w:t>
      </w:r>
      <w:r>
        <w:rPr>
          <w:spacing w:val="-43"/>
        </w:rPr>
      </w:r>
      <w:r>
        <w:rPr/>
        <w:t>件的投资，确定为现金等价物。</w:t>
      </w:r>
    </w:p>
    <w:p>
      <w:pPr>
        <w:spacing w:line="240" w:lineRule="auto" w:before="5"/>
        <w:rPr>
          <w:rFonts w:ascii="宋体" w:hAnsi="宋体" w:cs="宋体" w:eastAsia="宋体" w:hint="default"/>
          <w:sz w:val="18"/>
          <w:szCs w:val="18"/>
        </w:rPr>
      </w:pPr>
    </w:p>
    <w:p>
      <w:pPr>
        <w:pStyle w:val="Heading5"/>
        <w:spacing w:line="240" w:lineRule="auto"/>
        <w:ind w:left="473" w:right="1129"/>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left="828" w:right="1129"/>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外币业务</w:t>
      </w:r>
      <w:r>
        <w:rPr>
          <w:b w:val="0"/>
          <w:bCs w:val="0"/>
        </w:rPr>
      </w:r>
    </w:p>
    <w:p>
      <w:pPr>
        <w:spacing w:after="0" w:line="240" w:lineRule="auto"/>
        <w:jc w:val="left"/>
        <w:sectPr>
          <w:pgSz w:w="11910" w:h="16840"/>
          <w:pgMar w:header="745" w:footer="979" w:top="1060" w:bottom="1160" w:left="660" w:right="0"/>
        </w:sectPr>
      </w:pPr>
    </w:p>
    <w:p>
      <w:pPr>
        <w:spacing w:line="240" w:lineRule="auto" w:before="11"/>
        <w:rPr>
          <w:rFonts w:ascii="Microsoft JhengHei" w:hAnsi="Microsoft JhengHei" w:cs="Microsoft JhengHei" w:eastAsia="Microsoft JhengHei" w:hint="default"/>
          <w:b/>
          <w:bCs/>
          <w:sz w:val="18"/>
          <w:szCs w:val="18"/>
        </w:rPr>
      </w:pPr>
    </w:p>
    <w:p>
      <w:pPr>
        <w:pStyle w:val="Heading6"/>
        <w:spacing w:line="273" w:lineRule="auto" w:before="36"/>
        <w:ind w:left="893" w:right="1129"/>
        <w:jc w:val="left"/>
      </w:pPr>
      <w:r>
        <w:rPr/>
        <w:t>外币业务交易在初始确认时，采用交易发生日的即期汇率作为折算汇率折合成人民币记账。</w:t>
      </w:r>
      <w:r>
        <w:rPr>
          <w:w w:val="100"/>
        </w:rPr>
        <w:t> </w:t>
      </w:r>
      <w:r>
        <w:rPr>
          <w:spacing w:val="-2"/>
        </w:rPr>
        <w:t>资产负债表日，外币货币性项目按资产负债表日即期汇率折算，由此产生的汇兑差额，除属于与购建</w:t>
      </w:r>
    </w:p>
    <w:p>
      <w:pPr>
        <w:pStyle w:val="Heading6"/>
        <w:spacing w:line="273" w:lineRule="auto"/>
        <w:ind w:left="473" w:right="1126"/>
        <w:jc w:val="both"/>
      </w:pPr>
      <w:r>
        <w:rPr>
          <w:spacing w:val="-2"/>
        </w:rPr>
        <w:t>符合资本化条件的资产相关的外币专门借款产生的汇兑差额按照借款费用资本化的原则处理外，均计入当</w:t>
      </w:r>
      <w:r>
        <w:rPr>
          <w:spacing w:val="-43"/>
        </w:rPr>
        <w:t> </w:t>
      </w:r>
      <w:r>
        <w:rPr>
          <w:spacing w:val="-43"/>
        </w:rPr>
      </w:r>
      <w:r>
        <w:rPr>
          <w:spacing w:val="-2"/>
        </w:rPr>
        <w:t>期损益。以历史成本计量的外币非货币性项目，仍采用交易发生日的即期汇率折算，不改变其记账本位币</w:t>
      </w:r>
      <w:r>
        <w:rPr>
          <w:spacing w:val="-43"/>
        </w:rPr>
        <w:t> </w:t>
      </w:r>
      <w:r>
        <w:rPr>
          <w:spacing w:val="-43"/>
        </w:rPr>
      </w:r>
      <w:r>
        <w:rPr/>
        <w:t>金额。</w:t>
      </w:r>
    </w:p>
    <w:p>
      <w:pPr>
        <w:pStyle w:val="Heading6"/>
        <w:spacing w:line="273" w:lineRule="auto"/>
        <w:ind w:left="473" w:right="1126" w:firstLine="420"/>
        <w:jc w:val="both"/>
      </w:pPr>
      <w:r>
        <w:rPr>
          <w:spacing w:val="-2"/>
        </w:rPr>
        <w:t>以公允价值计量的外币非货币性项目，采用公允价值确定日的即期汇率折算，由此产生的汇兑差额作</w:t>
      </w:r>
      <w:r>
        <w:rPr>
          <w:w w:val="100"/>
        </w:rPr>
        <w:t> </w:t>
      </w:r>
      <w:r>
        <w:rPr>
          <w:spacing w:val="-2"/>
        </w:rPr>
        <w:t>为公允价值变动损益计入当期损益。如属于可供出售外币非货币性项目的，形成的汇兑差额计入其他综合</w:t>
      </w:r>
      <w:r>
        <w:rPr>
          <w:spacing w:val="-42"/>
        </w:rPr>
        <w:t> </w:t>
      </w:r>
      <w:r>
        <w:rPr>
          <w:spacing w:val="-42"/>
        </w:rPr>
      </w:r>
      <w:r>
        <w:rPr/>
        <w:t>收益。</w:t>
      </w:r>
    </w:p>
    <w:p>
      <w:pPr>
        <w:spacing w:line="312" w:lineRule="exact" w:before="3"/>
        <w:ind w:left="893" w:right="1129"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外币财务报表的折算</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Heading6"/>
        <w:spacing w:line="256" w:lineRule="auto" w:before="5"/>
        <w:ind w:left="473" w:right="1137"/>
        <w:jc w:val="both"/>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18"/>
        </w:rPr>
        <w:t> </w:t>
      </w:r>
      <w:r>
        <w:rPr>
          <w:spacing w:val="-18"/>
        </w:rPr>
      </w:r>
      <w:r>
        <w:rPr/>
        <w:t>汇率折算。按照上述折算产生的外币财务报表折算差额计入其他综合收益。</w:t>
      </w:r>
    </w:p>
    <w:p>
      <w:pPr>
        <w:pStyle w:val="Heading6"/>
        <w:spacing w:line="273" w:lineRule="auto" w:before="22"/>
        <w:ind w:left="473" w:right="1126" w:firstLine="420"/>
        <w:jc w:val="both"/>
      </w:pPr>
      <w:r>
        <w:rPr>
          <w:spacing w:val="-2"/>
        </w:rPr>
        <w:t>处置境外经营时，将资产负债表中其他综合收益项目中列示的、与该境外经营相关的外币财务报表折</w:t>
      </w:r>
      <w:r>
        <w:rPr>
          <w:w w:val="100"/>
        </w:rPr>
        <w:t> </w:t>
      </w:r>
      <w:r>
        <w:rPr>
          <w:spacing w:val="-2"/>
        </w:rPr>
        <w:t>算差额，自其他综合收益项目转入处置当期损益；在处置部分股权投资或其他原因导致持有境外经营权益</w:t>
      </w:r>
      <w:r>
        <w:rPr>
          <w:spacing w:val="-43"/>
        </w:rPr>
        <w:t> </w:t>
      </w:r>
      <w:r>
        <w:rPr>
          <w:spacing w:val="-43"/>
        </w:rPr>
      </w:r>
      <w:r>
        <w:rPr>
          <w:spacing w:val="-2"/>
        </w:rPr>
        <w:t>比例降低但不丧失对境外经营控制权时，与该境外经营处置部分相关的外币报表折算差额将归属于少数股</w:t>
      </w:r>
      <w:r>
        <w:rPr>
          <w:spacing w:val="-43"/>
        </w:rPr>
        <w:t> </w:t>
      </w:r>
      <w:r>
        <w:rPr>
          <w:spacing w:val="-43"/>
        </w:rPr>
      </w:r>
      <w:r>
        <w:rPr>
          <w:spacing w:val="-2"/>
        </w:rPr>
        <w:t>东权益，不转入当期损益。在处置境外经营为联营企业或合营企业的部分股权时，与该境外经营相关的外</w:t>
      </w:r>
      <w:r>
        <w:rPr>
          <w:spacing w:val="-44"/>
        </w:rPr>
        <w:t> </w:t>
      </w:r>
      <w:r>
        <w:rPr>
          <w:spacing w:val="-44"/>
        </w:rPr>
      </w:r>
      <w:r>
        <w:rPr/>
        <w:t>币报表折算差额，按处置该境外经营的比例转入处置当期损益。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5"/>
        <w:spacing w:line="240" w:lineRule="auto"/>
        <w:ind w:left="473" w:right="1129"/>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6"/>
        <w:spacing w:line="273" w:lineRule="auto" w:before="0"/>
        <w:ind w:left="893" w:right="1129"/>
        <w:jc w:val="left"/>
      </w:pPr>
      <w:r>
        <w:rPr/>
        <w:t>在本公司成为金融工具合同的一方时确认一项金融资产或金融负债。</w:t>
      </w:r>
      <w:r>
        <w:rPr>
          <w:w w:val="100"/>
        </w:rPr>
        <w:t> </w:t>
      </w:r>
      <w:r>
        <w:rPr>
          <w:spacing w:val="2"/>
        </w:rPr>
        <w:t>实际利率法是指计算金融资产或金融负债的摊余成本以及将利息收入或利息费用分摊计入各会计期</w:t>
      </w:r>
    </w:p>
    <w:p>
      <w:pPr>
        <w:pStyle w:val="Heading6"/>
        <w:spacing w:line="240" w:lineRule="auto"/>
        <w:ind w:left="473" w:right="1129"/>
        <w:jc w:val="left"/>
      </w:pPr>
      <w:r>
        <w:rPr/>
        <w:t>间的方法。</w:t>
      </w:r>
    </w:p>
    <w:p>
      <w:pPr>
        <w:pStyle w:val="Heading6"/>
        <w:spacing w:line="264" w:lineRule="auto" w:before="37"/>
        <w:ind w:left="473" w:right="1126" w:firstLine="420"/>
        <w:jc w:val="both"/>
      </w:pPr>
      <w:r>
        <w:rPr>
          <w:spacing w:val="-2"/>
        </w:rPr>
        <w:t>实际利率，是指将金融资产或金融负债在预计存续期的估计未来现金流量，折现为该金融资产账面余</w:t>
      </w:r>
      <w:r>
        <w:rPr>
          <w:w w:val="100"/>
        </w:rPr>
        <w:t> </w:t>
      </w:r>
      <w:r>
        <w:rPr>
          <w:spacing w:val="-4"/>
        </w:rPr>
        <w:t>额或该金融负债摊余成本所使用的利率。在确定实际利率时，在考虑金融资产或金融负债所有合同条款</w:t>
      </w:r>
      <w:r>
        <w:rPr>
          <w:rFonts w:ascii="Times New Roman" w:hAnsi="Times New Roman" w:cs="Times New Roman" w:eastAsia="Times New Roman" w:hint="default"/>
          <w:spacing w:val="-4"/>
        </w:rPr>
        <w:t>(</w:t>
      </w:r>
      <w:r>
        <w:rPr>
          <w:spacing w:val="-4"/>
        </w:rPr>
        <w:t>如</w:t>
      </w:r>
      <w:r>
        <w:rPr>
          <w:spacing w:val="-21"/>
        </w:rPr>
        <w:t> </w:t>
      </w:r>
      <w:r>
        <w:rPr/>
        <w:t>提前还款、展期、看涨期权或其他类似期权等</w:t>
      </w:r>
      <w:r>
        <w:rPr>
          <w:rFonts w:ascii="Times New Roman" w:hAnsi="Times New Roman" w:cs="Times New Roman" w:eastAsia="Times New Roman" w:hint="default"/>
        </w:rPr>
        <w:t>)</w:t>
      </w:r>
      <w:r>
        <w:rPr/>
        <w:t>的基础上估计预期现金流量，但不考虑预期信用损失。</w:t>
      </w:r>
    </w:p>
    <w:p>
      <w:pPr>
        <w:pStyle w:val="Heading6"/>
        <w:spacing w:line="273" w:lineRule="auto" w:before="0"/>
        <w:ind w:left="473" w:right="1126" w:firstLine="420"/>
        <w:jc w:val="both"/>
      </w:pPr>
      <w:r>
        <w:rPr>
          <w:spacing w:val="-2"/>
        </w:rPr>
        <w:t>金融资产或金融负债的摊余成本是以该金融资产或金融负债的初始确认金额扣除已偿还的本金，加上</w:t>
      </w:r>
      <w:r>
        <w:rPr>
          <w:w w:val="100"/>
        </w:rPr>
        <w:t> </w:t>
      </w:r>
      <w:r>
        <w:rPr>
          <w:spacing w:val="-2"/>
        </w:rPr>
        <w:t>或减去采用实际利率法将该初始确认金额与到期日金额之间的差额进行摊销形成的累计摊销额，再扣除累</w:t>
      </w:r>
      <w:r>
        <w:rPr>
          <w:spacing w:val="-43"/>
        </w:rPr>
        <w:t> </w:t>
      </w:r>
      <w:r>
        <w:rPr>
          <w:spacing w:val="-43"/>
        </w:rPr>
      </w:r>
      <w:r>
        <w:rPr/>
        <w:t>计计提的损失准备</w:t>
      </w:r>
      <w:r>
        <w:rPr>
          <w:rFonts w:ascii="Times New Roman" w:hAnsi="Times New Roman" w:cs="Times New Roman" w:eastAsia="Times New Roman" w:hint="default"/>
        </w:rPr>
        <w:t>(</w:t>
      </w:r>
      <w:r>
        <w:rPr/>
        <w:t>仅适用于金融资产</w:t>
      </w:r>
      <w:r>
        <w:rPr>
          <w:rFonts w:ascii="Times New Roman" w:hAnsi="Times New Roman" w:cs="Times New Roman" w:eastAsia="Times New Roman" w:hint="default"/>
        </w:rPr>
        <w:t>)</w:t>
      </w:r>
      <w:r>
        <w:rPr/>
        <w:t>。</w:t>
      </w:r>
    </w:p>
    <w:p>
      <w:pPr>
        <w:pStyle w:val="Heading5"/>
        <w:spacing w:line="288" w:lineRule="exact"/>
        <w:ind w:left="828" w:right="1129"/>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金融资产分类和计量</w:t>
      </w:r>
      <w:r>
        <w:rPr>
          <w:b w:val="0"/>
          <w:bCs w:val="0"/>
        </w:rPr>
      </w:r>
    </w:p>
    <w:p>
      <w:pPr>
        <w:pStyle w:val="Heading6"/>
        <w:spacing w:line="273" w:lineRule="auto" w:before="13"/>
        <w:ind w:left="473" w:right="1140" w:firstLine="420"/>
        <w:jc w:val="both"/>
      </w:pPr>
      <w:r>
        <w:rPr>
          <w:spacing w:val="2"/>
        </w:rPr>
        <w:t>本公司根据所管理金融资产的业务模式和金融资产的合同现金流量特征，将金融资产划分为以下三</w:t>
      </w:r>
      <w:r>
        <w:rPr>
          <w:w w:val="100"/>
        </w:rPr>
        <w:t> </w:t>
      </w:r>
      <w:r>
        <w:rPr/>
        <w:t>类：</w:t>
      </w:r>
    </w:p>
    <w:p>
      <w:pPr>
        <w:pStyle w:val="Heading6"/>
        <w:tabs>
          <w:tab w:pos="809" w:val="left" w:leader="none"/>
        </w:tabs>
        <w:spacing w:line="240" w:lineRule="auto"/>
        <w:ind w:left="112" w:right="1129"/>
        <w:jc w:val="left"/>
      </w:pPr>
      <w:r>
        <w:rPr>
          <w:rFonts w:ascii="宋体" w:hAnsi="宋体" w:cs="宋体" w:eastAsia="宋体" w:hint="default"/>
        </w:rPr>
        <w:t>1.</w:t>
        <w:tab/>
      </w:r>
      <w:r>
        <w:rPr/>
        <w:t>（</w:t>
      </w:r>
      <w:r>
        <w:rPr>
          <w:rFonts w:ascii="Times New Roman" w:hAnsi="Times New Roman" w:cs="Times New Roman" w:eastAsia="Times New Roman" w:hint="default"/>
        </w:rPr>
        <w:t>1</w:t>
      </w:r>
      <w:r>
        <w:rPr/>
        <w:t>）以摊余成本计量的金融资产。</w:t>
      </w:r>
    </w:p>
    <w:p>
      <w:pPr>
        <w:pStyle w:val="Heading6"/>
        <w:tabs>
          <w:tab w:pos="809" w:val="left" w:leader="none"/>
        </w:tabs>
        <w:spacing w:line="240" w:lineRule="auto" w:before="21"/>
        <w:ind w:left="112" w:right="1129"/>
        <w:jc w:val="left"/>
      </w:pPr>
      <w:r>
        <w:rPr>
          <w:rFonts w:ascii="宋体" w:hAnsi="宋体" w:cs="宋体" w:eastAsia="宋体" w:hint="default"/>
        </w:rPr>
        <w:t>2.</w:t>
        <w:tab/>
      </w:r>
      <w:r>
        <w:rPr/>
        <w:t>（</w:t>
      </w:r>
      <w:r>
        <w:rPr>
          <w:rFonts w:ascii="Times New Roman" w:hAnsi="Times New Roman" w:cs="Times New Roman" w:eastAsia="Times New Roman" w:hint="default"/>
        </w:rPr>
        <w:t>2</w:t>
      </w:r>
      <w:r>
        <w:rPr/>
        <w:t>）以公允价值计量且其变动计入其他综合收益的金融资产。</w:t>
      </w:r>
    </w:p>
    <w:p>
      <w:pPr>
        <w:pStyle w:val="Heading6"/>
        <w:tabs>
          <w:tab w:pos="809" w:val="left" w:leader="none"/>
        </w:tabs>
        <w:spacing w:line="256" w:lineRule="auto" w:before="21"/>
        <w:ind w:left="893" w:right="1129" w:hanging="781"/>
        <w:jc w:val="left"/>
      </w:pPr>
      <w:r>
        <w:rPr>
          <w:rFonts w:ascii="宋体" w:hAnsi="宋体" w:cs="宋体" w:eastAsia="宋体" w:hint="default"/>
        </w:rPr>
        <w:t>3.</w:t>
        <w:tab/>
      </w:r>
      <w:r>
        <w:rPr/>
        <w:t>（</w:t>
      </w:r>
      <w:r>
        <w:rPr>
          <w:rFonts w:ascii="Times New Roman" w:hAnsi="Times New Roman" w:cs="Times New Roman" w:eastAsia="Times New Roman" w:hint="default"/>
        </w:rPr>
        <w:t>3</w:t>
      </w:r>
      <w:r>
        <w:rPr/>
        <w:t>）以公允价值计量且其变动计入当期损益的金融资产。</w:t>
      </w:r>
      <w:r>
        <w:rPr>
          <w:w w:val="100"/>
        </w:rPr>
        <w:t> </w:t>
      </w:r>
      <w:r>
        <w:rPr>
          <w:spacing w:val="-2"/>
        </w:rPr>
        <w:t>金融资产在初始确认时以公允价值计量，但是因销售商品或提供服务等产生的应收账款或应收票据未</w:t>
      </w:r>
    </w:p>
    <w:p>
      <w:pPr>
        <w:pStyle w:val="Heading6"/>
        <w:spacing w:line="273" w:lineRule="auto" w:before="22"/>
        <w:ind w:left="893" w:right="1129" w:hanging="420"/>
        <w:jc w:val="left"/>
      </w:pPr>
      <w:r>
        <w:rPr/>
        <w:t>包含重大融资成分或不考虑不超过一年的融资成分的，按照交易价格进行初始计量。</w:t>
      </w:r>
      <w:r>
        <w:rPr>
          <w:w w:val="100"/>
        </w:rPr>
        <w:t> </w:t>
      </w:r>
      <w:r>
        <w:rPr>
          <w:spacing w:val="-2"/>
        </w:rPr>
        <w:t>对于以公允价值计量且其变动计入当期损益的金融资产，相关交易费用直接计入当期损益，其他类别</w:t>
      </w:r>
    </w:p>
    <w:p>
      <w:pPr>
        <w:pStyle w:val="Heading6"/>
        <w:spacing w:line="273" w:lineRule="auto"/>
        <w:ind w:left="893" w:right="1129" w:hanging="420"/>
        <w:jc w:val="left"/>
      </w:pPr>
      <w:r>
        <w:rPr/>
        <w:t>的金融资产相关交易费用计入其初始确认金额。</w:t>
      </w:r>
      <w:r>
        <w:rPr>
          <w:w w:val="100"/>
        </w:rPr>
        <w:t> </w:t>
      </w:r>
      <w:r>
        <w:rPr>
          <w:spacing w:val="-2"/>
        </w:rPr>
        <w:t>金融资产的后续计量取决于其分类，当且仅当本公司改变管理金融资产的业务模式时，才对所有受影</w:t>
      </w:r>
    </w:p>
    <w:p>
      <w:pPr>
        <w:pStyle w:val="Heading6"/>
        <w:spacing w:line="240" w:lineRule="auto"/>
        <w:ind w:left="473" w:right="1129"/>
        <w:jc w:val="left"/>
      </w:pPr>
      <w:r>
        <w:rPr/>
        <w:t>响的相关金融资产进行重分类。</w:t>
      </w:r>
    </w:p>
    <w:p>
      <w:pPr>
        <w:pStyle w:val="Heading6"/>
        <w:spacing w:line="256" w:lineRule="auto" w:before="37"/>
        <w:ind w:left="893" w:right="1129" w:hanging="84"/>
        <w:jc w:val="left"/>
      </w:pPr>
      <w:r>
        <w:rPr/>
        <w:t>（</w:t>
      </w:r>
      <w:r>
        <w:rPr>
          <w:rFonts w:ascii="Times New Roman" w:hAnsi="Times New Roman" w:cs="Times New Roman" w:eastAsia="Times New Roman" w:hint="default"/>
        </w:rPr>
        <w:t>1</w:t>
      </w:r>
      <w:r>
        <w:rPr/>
        <w:t>）分类为以摊余成本计量的金融资产</w:t>
      </w:r>
      <w:r>
        <w:rPr>
          <w:w w:val="100"/>
        </w:rPr>
        <w:t> </w:t>
      </w:r>
      <w:r>
        <w:rPr>
          <w:spacing w:val="2"/>
        </w:rPr>
        <w:t>金融资产的合同条款规定在特定日期产生的现金流量仅为对本金和以未偿付本金金额为基础的利息</w:t>
      </w:r>
    </w:p>
    <w:p>
      <w:pPr>
        <w:spacing w:after="0" w:line="256" w:lineRule="auto"/>
        <w:jc w:val="left"/>
        <w:sectPr>
          <w:pgSz w:w="11910" w:h="16840"/>
          <w:pgMar w:header="745" w:footer="979" w:top="1060" w:bottom="1160" w:left="660" w:right="0"/>
        </w:sectPr>
      </w:pPr>
    </w:p>
    <w:p>
      <w:pPr>
        <w:spacing w:line="240" w:lineRule="auto" w:before="10"/>
        <w:rPr>
          <w:rFonts w:ascii="宋体" w:hAnsi="宋体" w:cs="宋体" w:eastAsia="宋体" w:hint="default"/>
          <w:sz w:val="24"/>
          <w:szCs w:val="24"/>
        </w:rPr>
      </w:pPr>
    </w:p>
    <w:p>
      <w:pPr>
        <w:pStyle w:val="Heading6"/>
        <w:spacing w:line="273" w:lineRule="auto" w:before="36"/>
        <w:ind w:right="1104"/>
        <w:jc w:val="both"/>
      </w:pPr>
      <w:r>
        <w:rPr>
          <w:spacing w:val="-2"/>
        </w:rPr>
        <w:t>的支付，且管理该金融资产的业务模式是以收取合同现金流量为目标，则本公司将该金融资产分类为以摊</w:t>
      </w:r>
      <w:r>
        <w:rPr>
          <w:spacing w:val="-43"/>
        </w:rPr>
        <w:t> </w:t>
      </w:r>
      <w:r>
        <w:rPr>
          <w:spacing w:val="-43"/>
        </w:rPr>
      </w:r>
      <w:r>
        <w:rPr>
          <w:spacing w:val="-2"/>
        </w:rPr>
        <w:t>余成本计量的金融资产。本公司分类为以摊余成本计量的金融资产包括货币资金、应收票据、应收账款、</w:t>
      </w:r>
      <w:r>
        <w:rPr>
          <w:spacing w:val="-21"/>
        </w:rPr>
        <w:t> </w:t>
      </w:r>
      <w:r>
        <w:rPr>
          <w:spacing w:val="-21"/>
        </w:rPr>
      </w:r>
      <w:r>
        <w:rPr/>
        <w:t>其他应收款、长期应收款等。</w:t>
      </w:r>
    </w:p>
    <w:p>
      <w:pPr>
        <w:pStyle w:val="Heading6"/>
        <w:spacing w:line="273" w:lineRule="auto"/>
        <w:ind w:right="1126" w:firstLine="420"/>
        <w:jc w:val="both"/>
      </w:pPr>
      <w:r>
        <w:rPr>
          <w:spacing w:val="-2"/>
        </w:rPr>
        <w:t>本公司对此类金融资产采用实际利率法确认利息收入，按摊余成本进行后续计量，其发生减值时或终</w:t>
      </w:r>
      <w:r>
        <w:rPr>
          <w:w w:val="100"/>
        </w:rPr>
        <w:t> </w:t>
      </w:r>
      <w:r>
        <w:rPr>
          <w:spacing w:val="-2"/>
        </w:rPr>
        <w:t>止确认、修改产生的利得或损失，计入当期损益。除下列情况外，本公司根据金融资产账面余额乘以实际</w:t>
      </w:r>
      <w:r>
        <w:rPr>
          <w:spacing w:val="-48"/>
        </w:rPr>
        <w:t> </w:t>
      </w:r>
      <w:r>
        <w:rPr>
          <w:spacing w:val="-48"/>
        </w:rPr>
      </w:r>
      <w:r>
        <w:rPr/>
        <w:t>利率计算确定利息收入：</w:t>
      </w:r>
    </w:p>
    <w:p>
      <w:pPr>
        <w:pStyle w:val="Heading6"/>
        <w:spacing w:line="256" w:lineRule="auto"/>
        <w:ind w:right="1136" w:firstLine="420"/>
        <w:jc w:val="both"/>
      </w:pPr>
      <w:r>
        <w:rPr>
          <w:rFonts w:ascii="Times New Roman" w:hAnsi="Times New Roman" w:cs="Times New Roman" w:eastAsia="Times New Roman" w:hint="default"/>
        </w:rPr>
        <w:t>1</w:t>
      </w:r>
      <w:r>
        <w:rPr/>
        <w:t>）对于购入或源生的已发生信用减值的金融资产，本公司自初始确认起，按照该金融资产的摊余成</w:t>
      </w:r>
      <w:r>
        <w:rPr>
          <w:w w:val="100"/>
        </w:rPr>
        <w:t> </w:t>
      </w:r>
      <w:r>
        <w:rPr/>
        <w:t>本和经信用调整的实际利率计算确定其利息收入。</w:t>
      </w:r>
    </w:p>
    <w:p>
      <w:pPr>
        <w:pStyle w:val="Heading6"/>
        <w:spacing w:line="266" w:lineRule="auto" w:before="22"/>
        <w:ind w:right="1107" w:firstLine="420"/>
        <w:jc w:val="both"/>
      </w:pPr>
      <w:r>
        <w:rPr>
          <w:rFonts w:ascii="Times New Roman" w:hAnsi="Times New Roman" w:cs="Times New Roman" w:eastAsia="Times New Roman" w:hint="default"/>
        </w:rPr>
        <w:t>2</w:t>
      </w:r>
      <w:r>
        <w:rPr/>
        <w:t>）对于购入或源生的未发生信用减值、但在后续期间成为已发生信用减值的金融资产，本公司在后</w:t>
      </w:r>
      <w:r>
        <w:rPr>
          <w:w w:val="100"/>
        </w:rPr>
        <w:t> </w:t>
      </w:r>
      <w:r>
        <w:rPr>
          <w:spacing w:val="-2"/>
        </w:rPr>
        <w:t>续期间，按照该金融资产的摊余成本和实际利率计算确定其利息收入。若该金融工具在后续期间因其信用</w:t>
      </w:r>
      <w:r>
        <w:rPr>
          <w:spacing w:val="-43"/>
        </w:rPr>
        <w:t> </w:t>
      </w:r>
      <w:r>
        <w:rPr>
          <w:spacing w:val="-43"/>
        </w:rPr>
      </w:r>
      <w:r>
        <w:rPr>
          <w:spacing w:val="-2"/>
        </w:rPr>
        <w:t>风险有所改善而不再存在信用减值，本公司转按实际利率乘以该金融资产账面余额来计算确定利息收入。</w:t>
      </w:r>
    </w:p>
    <w:p>
      <w:pPr>
        <w:pStyle w:val="Heading6"/>
        <w:spacing w:line="256" w:lineRule="auto" w:before="14"/>
        <w:ind w:left="573" w:right="1033" w:hanging="84"/>
        <w:jc w:val="left"/>
      </w:pPr>
      <w:r>
        <w:rPr/>
        <w:t>（</w:t>
      </w:r>
      <w:r>
        <w:rPr>
          <w:rFonts w:ascii="Times New Roman" w:hAnsi="Times New Roman" w:cs="Times New Roman" w:eastAsia="Times New Roman" w:hint="default"/>
        </w:rPr>
        <w:t>2</w:t>
      </w:r>
      <w:r>
        <w:rPr/>
        <w:t>）分类为以公允价值计量且其变动计入其他综合收益的金融资产</w:t>
      </w:r>
      <w:r>
        <w:rPr>
          <w:w w:val="100"/>
        </w:rPr>
        <w:t> </w:t>
      </w:r>
      <w:r>
        <w:rPr>
          <w:spacing w:val="2"/>
        </w:rPr>
        <w:t>金融资产的合同条款规定在特定日期产生的现金流量仅为对本金和以未偿付本金金额为基础的利息</w:t>
      </w:r>
    </w:p>
    <w:p>
      <w:pPr>
        <w:pStyle w:val="Heading6"/>
        <w:spacing w:line="273" w:lineRule="auto" w:before="22"/>
        <w:ind w:right="1126"/>
        <w:jc w:val="both"/>
      </w:pPr>
      <w:r>
        <w:rPr>
          <w:spacing w:val="-2"/>
        </w:rPr>
        <w:t>的支付，且管理该金融资产的业务模式既以收取合同现金流量为目标又以出售该金融资产为目标，则本公</w:t>
      </w:r>
      <w:r>
        <w:rPr>
          <w:spacing w:val="-44"/>
        </w:rPr>
        <w:t> </w:t>
      </w:r>
      <w:r>
        <w:rPr>
          <w:spacing w:val="-44"/>
        </w:rPr>
      </w:r>
      <w:r>
        <w:rPr/>
        <w:t>司将该金融资产分类为以公允价值计量且其变动计入其他综合收益的金融资产。</w:t>
      </w:r>
    </w:p>
    <w:p>
      <w:pPr>
        <w:pStyle w:val="Heading6"/>
        <w:spacing w:line="273" w:lineRule="auto"/>
        <w:ind w:right="1126" w:firstLine="420"/>
        <w:jc w:val="both"/>
      </w:pPr>
      <w:r>
        <w:rPr>
          <w:spacing w:val="-2"/>
        </w:rPr>
        <w:t>本公司对此类金融资产采用实际利率法确认利息收入。除利息收入、减值损失及汇兑差额确认为当期</w:t>
      </w:r>
      <w:r>
        <w:rPr>
          <w:w w:val="100"/>
        </w:rPr>
        <w:t> </w:t>
      </w:r>
      <w:r>
        <w:rPr>
          <w:spacing w:val="-2"/>
        </w:rPr>
        <w:t>损益外，其余公允价值变动计入其他综合收益。当该金融资产终止确认时，之前计入其他综合收益的累计</w:t>
      </w:r>
      <w:r>
        <w:rPr>
          <w:spacing w:val="-43"/>
        </w:rPr>
        <w:t> </w:t>
      </w:r>
      <w:r>
        <w:rPr>
          <w:spacing w:val="-43"/>
        </w:rPr>
      </w:r>
      <w:r>
        <w:rPr/>
        <w:t>利得或损失从其他综合收益中转出，计入当期损益。</w:t>
      </w:r>
    </w:p>
    <w:p>
      <w:pPr>
        <w:pStyle w:val="Heading6"/>
        <w:spacing w:line="273" w:lineRule="auto"/>
        <w:ind w:right="1126" w:firstLine="420"/>
        <w:jc w:val="both"/>
      </w:pPr>
      <w:r>
        <w:rPr>
          <w:spacing w:val="-2"/>
        </w:rPr>
        <w:t>以公允价值计量且变动计入其他综合收益的应收票据及应收账款列报为应收款项融资，其他此类金融</w:t>
      </w:r>
      <w:r>
        <w:rPr>
          <w:w w:val="100"/>
        </w:rPr>
        <w:t> </w:t>
      </w:r>
      <w:r>
        <w:rPr>
          <w:spacing w:val="-2"/>
        </w:rPr>
        <w:t>资产列报为其他债权投资，其中：自资产负债表日起一年内到期的其他债权投资列报为一年内到期的非流</w:t>
      </w:r>
      <w:r>
        <w:rPr>
          <w:spacing w:val="-43"/>
        </w:rPr>
        <w:t> </w:t>
      </w:r>
      <w:r>
        <w:rPr>
          <w:spacing w:val="-43"/>
        </w:rPr>
      </w:r>
      <w:r>
        <w:rPr/>
        <w:t>动资产，原到期日在一年以内的其他债权投资列报为其他流动资产。</w:t>
      </w:r>
    </w:p>
    <w:p>
      <w:pPr>
        <w:pStyle w:val="Heading6"/>
        <w:spacing w:line="256" w:lineRule="auto"/>
        <w:ind w:left="573" w:right="1033" w:hanging="84"/>
        <w:jc w:val="left"/>
      </w:pPr>
      <w:r>
        <w:rPr/>
        <w:t>（</w:t>
      </w:r>
      <w:r>
        <w:rPr>
          <w:rFonts w:ascii="Times New Roman" w:hAnsi="Times New Roman" w:cs="Times New Roman" w:eastAsia="Times New Roman" w:hint="default"/>
        </w:rPr>
        <w:t>3</w:t>
      </w:r>
      <w:r>
        <w:rPr/>
        <w:t>）指定为以公允价值计量且其变动计入其他综合收益的金融资产</w:t>
      </w:r>
      <w:r>
        <w:rPr>
          <w:w w:val="100"/>
        </w:rPr>
        <w:t> </w:t>
      </w:r>
      <w:r>
        <w:rPr>
          <w:spacing w:val="-2"/>
        </w:rPr>
        <w:t>在初始确认时，本公司可以单项金融资产为基础不可撤销地将非交易性权益工具投资指定为以公允价</w:t>
      </w:r>
    </w:p>
    <w:p>
      <w:pPr>
        <w:pStyle w:val="Heading6"/>
        <w:spacing w:line="273" w:lineRule="auto" w:before="22"/>
        <w:ind w:left="573" w:right="1033" w:hanging="420"/>
        <w:jc w:val="left"/>
      </w:pPr>
      <w:r>
        <w:rPr/>
        <w:t>值计量且其变动计入其他综合收益的金融资产。</w:t>
      </w:r>
      <w:r>
        <w:rPr>
          <w:w w:val="100"/>
        </w:rPr>
        <w:t> </w:t>
      </w:r>
      <w:r>
        <w:rPr>
          <w:spacing w:val="-2"/>
        </w:rPr>
        <w:t>此类金融资产的公允价值变动计入其他综合收益，不需计提减值准备。该金融资产终止确认时，之前</w:t>
      </w:r>
    </w:p>
    <w:p>
      <w:pPr>
        <w:pStyle w:val="Heading6"/>
        <w:spacing w:line="273" w:lineRule="auto"/>
        <w:ind w:right="1126"/>
        <w:jc w:val="both"/>
      </w:pPr>
      <w:r>
        <w:rPr>
          <w:spacing w:val="-2"/>
        </w:rPr>
        <w:t>计入其他综合收益的累计利得或损失从其他综合收益中转出，计入留存收益。本公司持有该权益工具投资</w:t>
      </w:r>
      <w:r>
        <w:rPr>
          <w:spacing w:val="-43"/>
        </w:rPr>
        <w:t> </w:t>
      </w:r>
      <w:r>
        <w:rPr>
          <w:spacing w:val="-43"/>
        </w:rPr>
      </w:r>
      <w:r>
        <w:rPr>
          <w:spacing w:val="-2"/>
        </w:rPr>
        <w:t>期间，在本公司收取股利的权利已经确立，与股利相关的经济利益很可能流入本公司，且股利的金额能够</w:t>
      </w:r>
      <w:r>
        <w:rPr>
          <w:spacing w:val="-45"/>
        </w:rPr>
        <w:t> </w:t>
      </w:r>
      <w:r>
        <w:rPr>
          <w:spacing w:val="-45"/>
        </w:rPr>
      </w:r>
      <w:r>
        <w:rPr/>
        <w:t>可靠计量时，确认股利收入并计入当期损益。本公司对此类金融资产在其他权益工具投资项目下列报。</w:t>
      </w:r>
    </w:p>
    <w:p>
      <w:pPr>
        <w:pStyle w:val="Heading6"/>
        <w:spacing w:line="273" w:lineRule="auto"/>
        <w:ind w:right="1126" w:firstLine="420"/>
        <w:jc w:val="both"/>
      </w:pPr>
      <w:r>
        <w:rPr>
          <w:spacing w:val="-2"/>
        </w:rPr>
        <w:t>权益工具投资满足下列条件之一的，属于以公允价值计量且其变动计入当期损益的金融资产：取得该</w:t>
      </w:r>
      <w:r>
        <w:rPr>
          <w:w w:val="100"/>
        </w:rPr>
        <w:t> </w:t>
      </w:r>
      <w:r>
        <w:rPr>
          <w:spacing w:val="-2"/>
        </w:rPr>
        <w:t>金融资产的目的主要是为了近期出售；初始确认时属于集中管理的可辨认金融资产工具组合的一部分，且</w:t>
      </w:r>
      <w:r>
        <w:rPr>
          <w:spacing w:val="-44"/>
        </w:rPr>
        <w:t> </w:t>
      </w:r>
      <w:r>
        <w:rPr>
          <w:spacing w:val="-44"/>
        </w:rPr>
      </w:r>
      <w:r>
        <w:rPr>
          <w:spacing w:val="-2"/>
        </w:rPr>
        <w:t>有客观证据表明近期实际存在短期获利模式；属于衍生工具（符合财务担保合同定义的以及被指定为有效</w:t>
      </w:r>
      <w:r>
        <w:rPr>
          <w:spacing w:val="-43"/>
        </w:rPr>
        <w:t> </w:t>
      </w:r>
      <w:r>
        <w:rPr>
          <w:spacing w:val="-43"/>
        </w:rPr>
      </w:r>
      <w:r>
        <w:rPr/>
        <w:t>套期工具的衍生工具除外）。</w:t>
      </w:r>
    </w:p>
    <w:p>
      <w:pPr>
        <w:pStyle w:val="Heading6"/>
        <w:spacing w:line="256" w:lineRule="auto"/>
        <w:ind w:left="573" w:right="1033" w:hanging="84"/>
        <w:jc w:val="left"/>
      </w:pPr>
      <w:r>
        <w:rPr/>
        <w:t>（</w:t>
      </w:r>
      <w:r>
        <w:rPr>
          <w:rFonts w:ascii="Times New Roman" w:hAnsi="Times New Roman" w:cs="Times New Roman" w:eastAsia="Times New Roman" w:hint="default"/>
        </w:rPr>
        <w:t>4</w:t>
      </w:r>
      <w:r>
        <w:rPr/>
        <w:t>）分类为以公允价值计量且其变动计入当期损益的金融资产</w:t>
      </w:r>
      <w:r>
        <w:rPr>
          <w:w w:val="100"/>
        </w:rPr>
        <w:t> </w:t>
      </w:r>
      <w:r>
        <w:rPr>
          <w:spacing w:val="-2"/>
        </w:rPr>
        <w:t>不符合分类为以摊余成本计量或以公允价值计量且其变动计入其他综合收益的金融资产条件、亦不指</w:t>
      </w:r>
    </w:p>
    <w:p>
      <w:pPr>
        <w:pStyle w:val="Heading6"/>
        <w:spacing w:line="273" w:lineRule="auto" w:before="22"/>
        <w:ind w:right="1143"/>
        <w:jc w:val="both"/>
      </w:pPr>
      <w:r>
        <w:rPr>
          <w:spacing w:val="2"/>
        </w:rPr>
        <w:t>定为以公允价值计量且其变动计入其他综合收益的金融资产均分类为以公允价值计量且其变动计入当期</w:t>
      </w:r>
      <w:r>
        <w:rPr>
          <w:spacing w:val="-30"/>
        </w:rPr>
        <w:t> </w:t>
      </w:r>
      <w:r>
        <w:rPr>
          <w:spacing w:val="-30"/>
        </w:rPr>
      </w:r>
      <w:r>
        <w:rPr/>
        <w:t>损益的金融资产。</w:t>
      </w:r>
    </w:p>
    <w:p>
      <w:pPr>
        <w:pStyle w:val="Heading6"/>
        <w:spacing w:line="273" w:lineRule="auto"/>
        <w:ind w:right="1126" w:firstLine="420"/>
        <w:jc w:val="both"/>
      </w:pPr>
      <w:r>
        <w:rPr>
          <w:spacing w:val="-2"/>
        </w:rPr>
        <w:t>本公司对此类金融资产采用公允价值进行后续计量，将公允价值变动形成的利得或损失以及与此类金</w:t>
      </w:r>
      <w:r>
        <w:rPr>
          <w:w w:val="100"/>
        </w:rPr>
        <w:t> </w:t>
      </w:r>
      <w:r>
        <w:rPr/>
        <w:t>融资产相关的股利和利息收入计入当期损益。</w:t>
      </w:r>
    </w:p>
    <w:p>
      <w:pPr>
        <w:pStyle w:val="Heading6"/>
        <w:spacing w:line="240" w:lineRule="auto"/>
        <w:ind w:left="573" w:right="1033"/>
        <w:jc w:val="left"/>
      </w:pPr>
      <w:r>
        <w:rPr/>
        <w:t>本公司对此类金融资产根据其流动性在交易性金融资产、其他非流动金融资产项目列报。</w:t>
      </w:r>
    </w:p>
    <w:p>
      <w:pPr>
        <w:pStyle w:val="Heading6"/>
        <w:spacing w:line="256" w:lineRule="auto" w:before="37"/>
        <w:ind w:left="573" w:right="1033" w:hanging="84"/>
        <w:jc w:val="left"/>
      </w:pPr>
      <w:r>
        <w:rPr/>
        <w:t>（</w:t>
      </w:r>
      <w:r>
        <w:rPr>
          <w:rFonts w:ascii="Times New Roman" w:hAnsi="Times New Roman" w:cs="Times New Roman" w:eastAsia="Times New Roman" w:hint="default"/>
        </w:rPr>
        <w:t>5</w:t>
      </w:r>
      <w:r>
        <w:rPr/>
        <w:t>）指定为以公允价值计量且其变动计入当期损益的金融资产</w:t>
      </w:r>
      <w:r>
        <w:rPr>
          <w:w w:val="100"/>
        </w:rPr>
        <w:t> </w:t>
      </w:r>
      <w:r>
        <w:rPr>
          <w:spacing w:val="-2"/>
        </w:rPr>
        <w:t>在初始确认时，本公司为了消除或显著减少会计错配，可以单项金融资产为基础不可撤销地将金融资</w:t>
      </w:r>
    </w:p>
    <w:p>
      <w:pPr>
        <w:pStyle w:val="Heading6"/>
        <w:spacing w:line="273" w:lineRule="auto" w:before="22"/>
        <w:ind w:left="573" w:right="1033" w:hanging="420"/>
        <w:jc w:val="left"/>
      </w:pPr>
      <w:r>
        <w:rPr/>
        <w:t>产指定为以公允价值计量且其变动计入当期损益的金融资产。</w:t>
      </w:r>
      <w:r>
        <w:rPr>
          <w:w w:val="100"/>
        </w:rPr>
        <w:t> </w:t>
      </w:r>
      <w:r>
        <w:rPr>
          <w:spacing w:val="-2"/>
        </w:rPr>
        <w:t>混合合同包含一项或多项嵌入衍生工具，且其主合同不属于以上金融资产的，本公司可以将其整体指</w:t>
      </w:r>
    </w:p>
    <w:p>
      <w:pPr>
        <w:pStyle w:val="Heading6"/>
        <w:spacing w:line="240" w:lineRule="auto"/>
        <w:ind w:right="0"/>
        <w:jc w:val="both"/>
      </w:pPr>
      <w:r>
        <w:rPr/>
        <w:t>定为以公允价值计量且其变动计入当期损益的金融工具。但下列情况除外：</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left="489" w:right="1033"/>
        <w:jc w:val="left"/>
      </w:pPr>
      <w:r>
        <w:rPr>
          <w:rFonts w:ascii="Times New Roman" w:hAnsi="Times New Roman" w:cs="Times New Roman" w:eastAsia="Times New Roman" w:hint="default"/>
        </w:rPr>
        <w:t>1</w:t>
      </w:r>
      <w:r>
        <w:rPr/>
        <w:t>）嵌入衍生工具不会对混合合同的现金流量产生重大改变。</w:t>
      </w:r>
    </w:p>
    <w:p>
      <w:pPr>
        <w:pStyle w:val="Heading6"/>
        <w:spacing w:line="264" w:lineRule="auto" w:before="21"/>
        <w:ind w:right="1126" w:firstLine="336"/>
        <w:jc w:val="both"/>
      </w:pPr>
      <w:r>
        <w:rPr>
          <w:rFonts w:ascii="Times New Roman" w:hAnsi="Times New Roman" w:cs="Times New Roman" w:eastAsia="Times New Roman" w:hint="default"/>
          <w:spacing w:val="-3"/>
        </w:rPr>
        <w:t>2</w:t>
      </w:r>
      <w:r>
        <w:rPr>
          <w:spacing w:val="-3"/>
        </w:rPr>
        <w:t>）在初次确定类似的混合合同是否需要分拆时，几乎不需分析就能明确其包含的嵌入衍生工具不应分</w:t>
      </w:r>
      <w:r>
        <w:rPr>
          <w:w w:val="100"/>
        </w:rPr>
        <w:t> </w:t>
      </w:r>
      <w:r>
        <w:rPr>
          <w:spacing w:val="-2"/>
        </w:rPr>
        <w:t>拆。如嵌入贷款的提前还款权，允许持有人以接近摊余成本的金额提前偿还贷款，该提前还款权不需要分</w:t>
      </w:r>
      <w:r>
        <w:rPr>
          <w:spacing w:val="-44"/>
        </w:rPr>
        <w:t> </w:t>
      </w:r>
      <w:r>
        <w:rPr>
          <w:spacing w:val="-44"/>
        </w:rPr>
      </w:r>
      <w:r>
        <w:rPr/>
        <w:t>拆。</w:t>
      </w:r>
    </w:p>
    <w:p>
      <w:pPr>
        <w:pStyle w:val="Heading6"/>
        <w:spacing w:line="273" w:lineRule="auto" w:before="16"/>
        <w:ind w:right="1126" w:firstLine="420"/>
        <w:jc w:val="both"/>
      </w:pPr>
      <w:r>
        <w:rPr>
          <w:spacing w:val="-2"/>
        </w:rPr>
        <w:t>本公司对此类金融资产采用公允价值进行后续计量，将公允价值变动形成的利得或损失以及与此类金</w:t>
      </w:r>
      <w:r>
        <w:rPr>
          <w:w w:val="100"/>
        </w:rPr>
        <w:t> </w:t>
      </w:r>
      <w:r>
        <w:rPr/>
        <w:t>融资产相关的股利和利息收入计入当期损益。</w:t>
      </w:r>
    </w:p>
    <w:p>
      <w:pPr>
        <w:pStyle w:val="Heading6"/>
        <w:spacing w:line="240" w:lineRule="auto"/>
        <w:ind w:left="573" w:right="1033"/>
        <w:jc w:val="left"/>
      </w:pPr>
      <w:r>
        <w:rPr/>
        <w:t>本公司对此类金融资产根据其流动性在交易性金融资产、其他非流动金融资产项目列报。</w:t>
      </w:r>
    </w:p>
    <w:p>
      <w:pPr>
        <w:spacing w:line="249" w:lineRule="auto" w:before="90"/>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金融负债分类和计量</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本公司根据所发行金融工具的合同条款及其所反映的经济实质而非仅以法律形式，结合金融负债和权</w:t>
      </w:r>
    </w:p>
    <w:p>
      <w:pPr>
        <w:pStyle w:val="Heading6"/>
        <w:spacing w:line="273" w:lineRule="auto" w:before="28"/>
        <w:ind w:right="1126"/>
        <w:jc w:val="both"/>
      </w:pPr>
      <w:r>
        <w:rPr>
          <w:spacing w:val="-2"/>
        </w:rPr>
        <w:t>益工具的定义，在初始确认时将该金融工具或其组成部分分类为金融负债或权益工具。金融负债在初始确</w:t>
      </w:r>
      <w:r>
        <w:rPr>
          <w:spacing w:val="-42"/>
        </w:rPr>
        <w:t> </w:t>
      </w:r>
      <w:r>
        <w:rPr>
          <w:spacing w:val="-42"/>
        </w:rPr>
      </w:r>
      <w:r>
        <w:rPr>
          <w:spacing w:val="-2"/>
        </w:rPr>
        <w:t>认时分类为：以公允价值计量且其变动计入当期损益的金融负债、其他金融负债、被指定为有效套期工具</w:t>
      </w:r>
      <w:r>
        <w:rPr>
          <w:spacing w:val="-44"/>
        </w:rPr>
        <w:t> </w:t>
      </w:r>
      <w:r>
        <w:rPr>
          <w:spacing w:val="-44"/>
        </w:rPr>
      </w:r>
      <w:r>
        <w:rPr/>
        <w:t>的衍生工具。</w:t>
      </w:r>
    </w:p>
    <w:p>
      <w:pPr>
        <w:pStyle w:val="Heading6"/>
        <w:spacing w:line="273" w:lineRule="auto"/>
        <w:ind w:right="1126" w:firstLine="420"/>
        <w:jc w:val="both"/>
      </w:pPr>
      <w:r>
        <w:rPr>
          <w:spacing w:val="-2"/>
        </w:rPr>
        <w:t>金融负债在初始确认时以公允价值计量。对于以公允价值计量且其变动计入当期损益的金融负债，相</w:t>
      </w:r>
      <w:r>
        <w:rPr>
          <w:w w:val="100"/>
        </w:rPr>
        <w:t> </w:t>
      </w:r>
      <w:r>
        <w:rPr/>
        <w:t>关的交易费用直接计入当期损益；对于其他类别的金融负债，相关交易费用计入初始确认金额。</w:t>
      </w:r>
    </w:p>
    <w:p>
      <w:pPr>
        <w:pStyle w:val="Heading6"/>
        <w:spacing w:line="240" w:lineRule="auto"/>
        <w:ind w:left="573" w:right="1033"/>
        <w:jc w:val="left"/>
      </w:pPr>
      <w:r>
        <w:rPr/>
        <w:t>金融负债的后续计量取决于其分类：</w:t>
      </w:r>
    </w:p>
    <w:p>
      <w:pPr>
        <w:pStyle w:val="Heading6"/>
        <w:spacing w:line="256" w:lineRule="auto" w:before="37"/>
        <w:ind w:left="573" w:right="1033" w:hanging="84"/>
        <w:jc w:val="left"/>
      </w:pPr>
      <w:r>
        <w:rPr/>
        <w:t>（</w:t>
      </w:r>
      <w:r>
        <w:rPr>
          <w:rFonts w:ascii="Times New Roman" w:hAnsi="Times New Roman" w:cs="Times New Roman" w:eastAsia="Times New Roman" w:hint="default"/>
        </w:rPr>
        <w:t>1</w:t>
      </w:r>
      <w:r>
        <w:rPr/>
        <w:t>）以公允价值计量且其变动计入当期损益的金融负债</w:t>
      </w:r>
      <w:r>
        <w:rPr>
          <w:w w:val="100"/>
        </w:rPr>
        <w:t> </w:t>
      </w:r>
      <w:r>
        <w:rPr>
          <w:spacing w:val="-2"/>
        </w:rPr>
        <w:t>此类金融负债包括交易性金融负债（含属于金融负债的衍生工具）和初始确认时指定为以公允价值计</w:t>
      </w:r>
    </w:p>
    <w:p>
      <w:pPr>
        <w:pStyle w:val="Heading6"/>
        <w:spacing w:line="273" w:lineRule="auto" w:before="22"/>
        <w:ind w:left="573" w:right="1033" w:hanging="420"/>
        <w:jc w:val="left"/>
      </w:pPr>
      <w:r>
        <w:rPr/>
        <w:t>量且其变动计入当期损益的金融负债。</w:t>
      </w:r>
      <w:r>
        <w:rPr>
          <w:w w:val="100"/>
        </w:rPr>
        <w:t> </w:t>
      </w:r>
      <w:r>
        <w:rPr>
          <w:spacing w:val="-2"/>
        </w:rPr>
        <w:t>满足下列条件之一的，属于交易性金融负债：承担相关金融负债的目的主要是为了在近期内出售或回</w:t>
      </w:r>
    </w:p>
    <w:p>
      <w:pPr>
        <w:pStyle w:val="Heading6"/>
        <w:spacing w:line="273" w:lineRule="auto" w:before="8"/>
        <w:ind w:right="1104"/>
        <w:jc w:val="both"/>
      </w:pPr>
      <w:r>
        <w:rPr>
          <w:spacing w:val="-2"/>
        </w:rPr>
        <w:t>购；属于集中管理的可辨认金融工具组合的一部分，且有客观证据表明企业近期采用短期获利方式模式；</w:t>
      </w:r>
      <w:r>
        <w:rPr>
          <w:spacing w:val="-21"/>
        </w:rPr>
        <w:t> </w:t>
      </w:r>
      <w:r>
        <w:rPr>
          <w:spacing w:val="-21"/>
        </w:rPr>
      </w:r>
      <w:r>
        <w:rPr>
          <w:spacing w:val="-2"/>
        </w:rPr>
        <w:t>属于衍生工具，但是，被指定且为有效套期工具的衍生工具、符合财务担保合同的衍生工具除外。交易性</w:t>
      </w:r>
      <w:r>
        <w:rPr>
          <w:spacing w:val="-47"/>
        </w:rPr>
        <w:t> </w:t>
      </w:r>
      <w:r>
        <w:rPr>
          <w:spacing w:val="-47"/>
        </w:rPr>
      </w:r>
      <w:r>
        <w:rPr>
          <w:spacing w:val="-2"/>
        </w:rPr>
        <w:t>金融负债（含属于金融负债的衍生工具），按照公允价值进行后续计量，除与套期会计有关外，所有公允</w:t>
      </w:r>
      <w:r>
        <w:rPr>
          <w:spacing w:val="-43"/>
        </w:rPr>
        <w:t> </w:t>
      </w:r>
      <w:r>
        <w:rPr>
          <w:spacing w:val="-43"/>
        </w:rPr>
      </w:r>
      <w:r>
        <w:rPr/>
        <w:t>价值变动均计入当期损益。</w:t>
      </w:r>
    </w:p>
    <w:p>
      <w:pPr>
        <w:pStyle w:val="Heading6"/>
        <w:spacing w:line="273" w:lineRule="auto"/>
        <w:ind w:right="1126" w:firstLine="420"/>
        <w:jc w:val="both"/>
      </w:pPr>
      <w:r>
        <w:rPr>
          <w:spacing w:val="-2"/>
        </w:rPr>
        <w:t>在初始确认时，为了提供更相关的会计信息，本公司将满足下列条件之一的金融负债不可撤销地指定</w:t>
      </w:r>
      <w:r>
        <w:rPr>
          <w:w w:val="100"/>
        </w:rPr>
        <w:t> </w:t>
      </w:r>
      <w:r>
        <w:rPr/>
        <w:t>为以公允价值计量且其变动计入当期损益的金融负债：</w:t>
      </w:r>
    </w:p>
    <w:p>
      <w:pPr>
        <w:pStyle w:val="Heading6"/>
        <w:spacing w:line="240" w:lineRule="auto"/>
        <w:ind w:left="489" w:right="1033"/>
        <w:jc w:val="left"/>
      </w:pPr>
      <w:r>
        <w:rPr>
          <w:rFonts w:ascii="Times New Roman" w:hAnsi="Times New Roman" w:cs="Times New Roman" w:eastAsia="Times New Roman" w:hint="default"/>
        </w:rPr>
        <w:t>1</w:t>
      </w:r>
      <w:r>
        <w:rPr/>
        <w:t>）能够消除或显著减少会计错配。</w:t>
      </w:r>
    </w:p>
    <w:p>
      <w:pPr>
        <w:pStyle w:val="Heading6"/>
        <w:spacing w:line="256" w:lineRule="auto" w:before="21"/>
        <w:ind w:right="1126" w:firstLine="336"/>
        <w:jc w:val="both"/>
      </w:pPr>
      <w:r>
        <w:rPr>
          <w:rFonts w:ascii="Times New Roman" w:hAnsi="Times New Roman" w:cs="Times New Roman" w:eastAsia="Times New Roman" w:hint="default"/>
          <w:spacing w:val="-3"/>
        </w:rPr>
        <w:t>2</w:t>
      </w:r>
      <w:r>
        <w:rPr>
          <w:spacing w:val="-3"/>
        </w:rPr>
        <w:t>）根据正式书面文件载明的企业风险管理或投资策略，以公允价值为基础对金融负债组合或金融资产</w:t>
      </w:r>
      <w:r>
        <w:rPr>
          <w:w w:val="100"/>
        </w:rPr>
        <w:t> </w:t>
      </w:r>
      <w:r>
        <w:rPr/>
        <w:t>和金融负债组合进行管理和业绩评价，并在企业内部以此为基础向关键管理人员报告。</w:t>
      </w:r>
    </w:p>
    <w:p>
      <w:pPr>
        <w:pStyle w:val="Heading6"/>
        <w:spacing w:line="273" w:lineRule="auto" w:before="22"/>
        <w:ind w:right="1126" w:firstLine="420"/>
        <w:jc w:val="both"/>
      </w:pPr>
      <w:r>
        <w:rPr>
          <w:spacing w:val="-2"/>
        </w:rPr>
        <w:t>本公司对此类金融负债采用公允价值进行后续计量，除由本公司自身信用风险变动引起的公允价值变</w:t>
      </w:r>
      <w:r>
        <w:rPr>
          <w:w w:val="100"/>
        </w:rPr>
        <w:t> </w:t>
      </w:r>
      <w:r>
        <w:rPr>
          <w:spacing w:val="-2"/>
        </w:rPr>
        <w:t>动计入其他综合收益之外，其他公允价值变动计入当期损益。除非由本公司自身信用风险变动引起的公允</w:t>
      </w:r>
      <w:r>
        <w:rPr>
          <w:spacing w:val="-43"/>
        </w:rPr>
        <w:t> </w:t>
      </w:r>
      <w:r>
        <w:rPr>
          <w:spacing w:val="-43"/>
        </w:rPr>
      </w:r>
      <w:r>
        <w:rPr>
          <w:spacing w:val="-2"/>
        </w:rPr>
        <w:t>价值变动计入其他综合收益会造成或扩大损益中的会计错配，本公司将所有公允价值变动（包括自身信用</w:t>
      </w:r>
      <w:r>
        <w:rPr>
          <w:spacing w:val="-43"/>
        </w:rPr>
        <w:t> </w:t>
      </w:r>
      <w:r>
        <w:rPr>
          <w:spacing w:val="-43"/>
        </w:rPr>
      </w:r>
      <w:r>
        <w:rPr/>
        <w:t>风险变动的影响金额）计入当期损益。</w:t>
      </w:r>
    </w:p>
    <w:p>
      <w:pPr>
        <w:pStyle w:val="Heading6"/>
        <w:spacing w:line="256" w:lineRule="auto"/>
        <w:ind w:left="573" w:right="1033" w:hanging="84"/>
        <w:jc w:val="left"/>
      </w:pPr>
      <w:r>
        <w:rPr/>
        <w:t>（</w:t>
      </w:r>
      <w:r>
        <w:rPr>
          <w:rFonts w:ascii="Times New Roman" w:hAnsi="Times New Roman" w:cs="Times New Roman" w:eastAsia="Times New Roman" w:hint="default"/>
        </w:rPr>
        <w:t>2</w:t>
      </w:r>
      <w:r>
        <w:rPr/>
        <w:t>）其他金融负债</w:t>
      </w:r>
      <w:r>
        <w:rPr>
          <w:w w:val="100"/>
        </w:rPr>
        <w:t> </w:t>
      </w:r>
      <w:r>
        <w:rPr>
          <w:spacing w:val="-5"/>
        </w:rPr>
        <w:t>除下列各项外，公司将金融负债分类为以摊余成本计量的金融负债，对此类金融负债采用实际利率法，</w:t>
      </w:r>
    </w:p>
    <w:p>
      <w:pPr>
        <w:pStyle w:val="Heading6"/>
        <w:spacing w:line="240" w:lineRule="auto" w:before="22"/>
        <w:ind w:right="0"/>
        <w:jc w:val="both"/>
      </w:pPr>
      <w:r>
        <w:rPr/>
        <w:t>按照摊余成本进行后续计量，终止确认或摊销产生的利得或损失计入当期损益：</w:t>
      </w:r>
    </w:p>
    <w:p>
      <w:pPr>
        <w:pStyle w:val="Heading6"/>
        <w:spacing w:line="240" w:lineRule="auto" w:before="37"/>
        <w:ind w:left="489" w:right="1033"/>
        <w:jc w:val="left"/>
      </w:pPr>
      <w:r>
        <w:rPr>
          <w:rFonts w:ascii="Times New Roman" w:hAnsi="Times New Roman" w:cs="Times New Roman" w:eastAsia="Times New Roman" w:hint="default"/>
        </w:rPr>
        <w:t>1</w:t>
      </w:r>
      <w:r>
        <w:rPr/>
        <w:t>）以公允价值计量且其变动计入当期损益的金融负债。</w:t>
      </w:r>
    </w:p>
    <w:p>
      <w:pPr>
        <w:pStyle w:val="Heading6"/>
        <w:spacing w:line="240" w:lineRule="auto" w:before="21"/>
        <w:ind w:left="489" w:right="1033"/>
        <w:jc w:val="left"/>
      </w:pPr>
      <w:r>
        <w:rPr>
          <w:rFonts w:ascii="Times New Roman" w:hAnsi="Times New Roman" w:cs="Times New Roman" w:eastAsia="Times New Roman" w:hint="default"/>
        </w:rPr>
        <w:t>2</w:t>
      </w:r>
      <w:r>
        <w:rPr/>
        <w:t>）金融资产转移不符合终止确认条件或继续涉入被转移金融资产所形成的金融负债。</w:t>
      </w:r>
    </w:p>
    <w:p>
      <w:pPr>
        <w:pStyle w:val="Heading6"/>
        <w:spacing w:line="256" w:lineRule="auto" w:before="21"/>
        <w:ind w:right="1132" w:firstLine="336"/>
        <w:jc w:val="both"/>
      </w:pPr>
      <w:r>
        <w:rPr>
          <w:rFonts w:ascii="Times New Roman" w:hAnsi="Times New Roman" w:cs="Times New Roman" w:eastAsia="Times New Roman" w:hint="default"/>
        </w:rPr>
        <w:t>3</w:t>
      </w:r>
      <w:r>
        <w:rPr/>
        <w:t>）不属于本条前两类情形的财务担保合同，以及不属于本条第</w:t>
      </w:r>
      <w:r>
        <w:rPr>
          <w:rFonts w:ascii="Times New Roman" w:hAnsi="Times New Roman" w:cs="Times New Roman" w:eastAsia="Times New Roman" w:hint="default"/>
        </w:rPr>
        <w:t>1</w:t>
      </w:r>
      <w:r>
        <w:rPr/>
        <w:t>）类情形的以低于市场利率贷款的贷</w:t>
      </w:r>
      <w:r>
        <w:rPr>
          <w:w w:val="100"/>
        </w:rPr>
        <w:t> </w:t>
      </w:r>
      <w:r>
        <w:rPr/>
        <w:t>款承诺。</w:t>
      </w:r>
    </w:p>
    <w:p>
      <w:pPr>
        <w:pStyle w:val="Heading6"/>
        <w:spacing w:line="273" w:lineRule="auto" w:before="23"/>
        <w:ind w:right="1126" w:firstLine="420"/>
        <w:jc w:val="both"/>
      </w:pPr>
      <w:r>
        <w:rPr>
          <w:spacing w:val="-2"/>
        </w:rPr>
        <w:t>财务担保合同是指当特定债务人到期不能按照最初或修改后的债务工具条款偿付债务时，要求发行方</w:t>
      </w:r>
      <w:r>
        <w:rPr>
          <w:w w:val="100"/>
        </w:rPr>
        <w:t> </w:t>
      </w:r>
      <w:r>
        <w:rPr>
          <w:spacing w:val="-2"/>
        </w:rPr>
        <w:t>向蒙受损失的合同持有人赔付特定金额的合同。不属于指定为以公允价值计量且其变动计入当期损益的金</w:t>
      </w:r>
      <w:r>
        <w:rPr>
          <w:spacing w:val="-43"/>
        </w:rPr>
        <w:t> </w:t>
      </w:r>
      <w:r>
        <w:rPr>
          <w:spacing w:val="-43"/>
        </w:rPr>
      </w:r>
      <w:r>
        <w:rPr>
          <w:spacing w:val="-2"/>
        </w:rPr>
        <w:t>融负债的财务担保合同，在初始确认后按照损失准备金额以及初始确认金额扣除担保期内的累计摊销额后</w:t>
      </w:r>
      <w:r>
        <w:rPr>
          <w:spacing w:val="-43"/>
        </w:rPr>
        <w:t> </w:t>
      </w:r>
      <w:r>
        <w:rPr>
          <w:spacing w:val="-43"/>
        </w:rPr>
      </w:r>
      <w:r>
        <w:rPr/>
        <w:t>的余额孰高进行计量。</w:t>
      </w:r>
    </w:p>
    <w:p>
      <w:pPr>
        <w:pStyle w:val="Heading5"/>
        <w:spacing w:line="240" w:lineRule="auto" w:before="61"/>
        <w:ind w:left="508" w:right="1033"/>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金融资产和金融负债的终止确认</w:t>
      </w:r>
      <w:r>
        <w:rPr>
          <w:b w:val="0"/>
          <w:bCs w:val="0"/>
        </w:rPr>
      </w:r>
    </w:p>
    <w:p>
      <w:pPr>
        <w:spacing w:after="0" w:line="240" w:lineRule="auto"/>
        <w:jc w:val="left"/>
        <w:sectPr>
          <w:pgSz w:w="11910" w:h="16840"/>
          <w:pgMar w:header="745" w:footer="979" w:top="1060" w:bottom="1160" w:left="980" w:right="0"/>
        </w:sectPr>
      </w:pPr>
    </w:p>
    <w:p>
      <w:pPr>
        <w:spacing w:line="240" w:lineRule="auto" w:before="11"/>
        <w:rPr>
          <w:rFonts w:ascii="Microsoft JhengHei" w:hAnsi="Microsoft JhengHei" w:cs="Microsoft JhengHei" w:eastAsia="Microsoft JhengHei" w:hint="default"/>
          <w:b/>
          <w:bCs/>
          <w:sz w:val="18"/>
          <w:szCs w:val="18"/>
        </w:rPr>
      </w:pPr>
    </w:p>
    <w:p>
      <w:pPr>
        <w:pStyle w:val="Heading6"/>
        <w:spacing w:line="240" w:lineRule="auto" w:before="36"/>
        <w:ind w:left="893" w:right="1129"/>
        <w:jc w:val="left"/>
      </w:pPr>
      <w:r>
        <w:rPr/>
        <w:t>（</w:t>
      </w:r>
      <w:r>
        <w:rPr>
          <w:rFonts w:ascii="Times New Roman" w:hAnsi="Times New Roman" w:cs="Times New Roman" w:eastAsia="Times New Roman" w:hint="default"/>
        </w:rPr>
        <w:t>1</w:t>
      </w:r>
      <w:r>
        <w:rPr/>
        <w:t>）金融资产满足下列条件之一的，终止确认金融资产，即从其账户和资产负债表内予以转销：</w:t>
      </w:r>
    </w:p>
    <w:p>
      <w:pPr>
        <w:pStyle w:val="Heading6"/>
        <w:spacing w:line="240" w:lineRule="auto" w:before="21"/>
        <w:ind w:left="809" w:right="1129"/>
        <w:jc w:val="left"/>
      </w:pPr>
      <w:r>
        <w:rPr>
          <w:rFonts w:ascii="Times New Roman" w:hAnsi="Times New Roman" w:cs="Times New Roman" w:eastAsia="Times New Roman" w:hint="default"/>
        </w:rPr>
        <w:t>1</w:t>
      </w:r>
      <w:r>
        <w:rPr/>
        <w:t>）收取该金融资产现金流量的合同权利终止。</w:t>
      </w:r>
    </w:p>
    <w:p>
      <w:pPr>
        <w:pStyle w:val="Heading6"/>
        <w:spacing w:line="240" w:lineRule="auto" w:before="21"/>
        <w:ind w:left="809" w:right="1129"/>
        <w:jc w:val="left"/>
      </w:pPr>
      <w:r>
        <w:rPr>
          <w:rFonts w:ascii="Times New Roman" w:hAnsi="Times New Roman" w:cs="Times New Roman" w:eastAsia="Times New Roman" w:hint="default"/>
        </w:rPr>
        <w:t>2</w:t>
      </w:r>
      <w:r>
        <w:rPr/>
        <w:t>）该金融资产已转移，且该转移满足金融资产终止确认的规定。</w:t>
      </w:r>
    </w:p>
    <w:p>
      <w:pPr>
        <w:pStyle w:val="Heading6"/>
        <w:spacing w:line="264" w:lineRule="auto" w:before="21"/>
        <w:ind w:left="893" w:right="1129"/>
        <w:jc w:val="left"/>
      </w:pPr>
      <w:r>
        <w:rPr/>
        <w:t>（</w:t>
      </w:r>
      <w:r>
        <w:rPr>
          <w:rFonts w:ascii="Times New Roman" w:hAnsi="Times New Roman" w:cs="Times New Roman" w:eastAsia="Times New Roman" w:hint="default"/>
        </w:rPr>
        <w:t>2</w:t>
      </w:r>
      <w:r>
        <w:rPr/>
        <w:t>）金融负债终止确认条件</w:t>
      </w:r>
      <w:r>
        <w:rPr>
          <w:w w:val="100"/>
        </w:rPr>
        <w:t> </w:t>
      </w:r>
      <w:r>
        <w:rPr/>
        <w:t>金融负债（或其一部分）的现时义务已经解除的，则终止确认该金融负债（或该部分金融负债）。</w:t>
      </w:r>
      <w:r>
        <w:rPr>
          <w:w w:val="100"/>
        </w:rPr>
        <w:t> </w:t>
      </w:r>
      <w:r>
        <w:rPr>
          <w:spacing w:val="-2"/>
        </w:rPr>
        <w:t>本公司与借出方之间签订协议，以承担新金融负债方式替换原金融负债，且新金融负债与原金融负债</w:t>
      </w:r>
    </w:p>
    <w:p>
      <w:pPr>
        <w:pStyle w:val="Heading6"/>
        <w:spacing w:line="273" w:lineRule="auto" w:before="16"/>
        <w:ind w:left="473" w:right="1128"/>
        <w:jc w:val="both"/>
      </w:pPr>
      <w:r>
        <w:rPr>
          <w:spacing w:val="-2"/>
        </w:rPr>
        <w:t>的合同条款实质上不同的，或对原金融负债（或其一部分）的合同条款做出实质性修改的，则终止确认原</w:t>
      </w:r>
      <w:r>
        <w:rPr>
          <w:spacing w:val="-47"/>
        </w:rPr>
        <w:t> </w:t>
      </w:r>
      <w:r>
        <w:rPr>
          <w:spacing w:val="-47"/>
        </w:rPr>
      </w:r>
      <w:r>
        <w:rPr>
          <w:spacing w:val="-2"/>
        </w:rPr>
        <w:t>金融负债，同时确认一项新金融负债，账面价值与支付的对价（包括转出的非现金资产或承担的负债）之</w:t>
      </w:r>
      <w:r>
        <w:rPr>
          <w:spacing w:val="-47"/>
        </w:rPr>
        <w:t> </w:t>
      </w:r>
      <w:r>
        <w:rPr>
          <w:spacing w:val="-47"/>
        </w:rPr>
      </w:r>
      <w:r>
        <w:rPr/>
        <w:t>间的差额，计入当期损益。</w:t>
      </w:r>
    </w:p>
    <w:p>
      <w:pPr>
        <w:pStyle w:val="Heading6"/>
        <w:spacing w:line="273" w:lineRule="auto"/>
        <w:ind w:left="473" w:right="1126" w:firstLine="420"/>
        <w:jc w:val="both"/>
      </w:pPr>
      <w:r>
        <w:rPr>
          <w:spacing w:val="-2"/>
        </w:rPr>
        <w:t>本公司回购金融负债一部分的，按照继续确认部分和终止确认部分在回购日各自的公允价值占整体公</w:t>
      </w:r>
      <w:r>
        <w:rPr>
          <w:w w:val="100"/>
        </w:rPr>
        <w:t> </w:t>
      </w:r>
      <w:r>
        <w:rPr>
          <w:spacing w:val="-7"/>
        </w:rPr>
        <w:t>允价值的比例，对该金融负债整体的账面价值进行分配。分配给终止确认部分的账面价值与支付的对价（包</w:t>
      </w:r>
      <w:r>
        <w:rPr>
          <w:spacing w:val="-17"/>
        </w:rPr>
        <w:t> </w:t>
      </w:r>
      <w:r>
        <w:rPr>
          <w:spacing w:val="-17"/>
        </w:rPr>
      </w:r>
      <w:r>
        <w:rPr/>
        <w:t>括转出的非现金资产或承担的负债）之间的差额，应当计入当期损益。</w:t>
      </w:r>
    </w:p>
    <w:p>
      <w:pPr>
        <w:spacing w:line="312" w:lineRule="exact" w:before="3"/>
        <w:ind w:left="893" w:right="1129"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 </w:t>
      </w:r>
      <w:r>
        <w:rPr>
          <w:rFonts w:ascii="Microsoft JhengHei" w:hAnsi="Microsoft JhengHei" w:cs="Microsoft JhengHei" w:eastAsia="Microsoft JhengHei" w:hint="default"/>
          <w:b/>
          <w:bCs/>
          <w:sz w:val="21"/>
          <w:szCs w:val="21"/>
        </w:rPr>
        <w:t>金融资产转移的确认依据和计量方法</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2"/>
          <w:sz w:val="21"/>
          <w:szCs w:val="21"/>
        </w:rPr>
      </w:r>
      <w:r>
        <w:rPr>
          <w:rFonts w:ascii="宋体" w:hAnsi="宋体" w:cs="宋体" w:eastAsia="宋体" w:hint="default"/>
          <w:spacing w:val="-2"/>
          <w:sz w:val="21"/>
          <w:szCs w:val="21"/>
        </w:rPr>
        <w:t>本公司在发生金融资产转移时，评估其保留金融资产所有权上的风险和报酬的程度，并分别下列情形</w:t>
      </w:r>
    </w:p>
    <w:p>
      <w:pPr>
        <w:pStyle w:val="Heading6"/>
        <w:spacing w:line="240" w:lineRule="auto" w:before="4"/>
        <w:ind w:left="473" w:right="1129"/>
        <w:jc w:val="left"/>
      </w:pPr>
      <w:r>
        <w:rPr/>
        <w:t>处理：</w:t>
      </w:r>
    </w:p>
    <w:p>
      <w:pPr>
        <w:pStyle w:val="Heading6"/>
        <w:tabs>
          <w:tab w:pos="809" w:val="left" w:leader="none"/>
        </w:tabs>
        <w:spacing w:line="256" w:lineRule="auto" w:before="37"/>
        <w:ind w:left="473" w:right="1129" w:hanging="361"/>
        <w:jc w:val="left"/>
      </w:pPr>
      <w:r>
        <w:rPr>
          <w:rFonts w:ascii="宋体" w:hAnsi="宋体" w:cs="宋体" w:eastAsia="宋体" w:hint="default"/>
        </w:rPr>
        <w:t>1.</w:t>
        <w:tab/>
        <w:tab/>
      </w:r>
      <w:r>
        <w:rPr>
          <w:spacing w:val="-3"/>
        </w:rPr>
        <w:t>（</w:t>
      </w:r>
      <w:r>
        <w:rPr>
          <w:rFonts w:ascii="Times New Roman" w:hAnsi="Times New Roman" w:cs="Times New Roman" w:eastAsia="Times New Roman" w:hint="default"/>
          <w:spacing w:val="-3"/>
        </w:rPr>
        <w:t>1</w:t>
      </w:r>
      <w:r>
        <w:rPr>
          <w:spacing w:val="-3"/>
        </w:rPr>
        <w:t>）转移了金融资产所有权上几乎所有风险和报酬的，则终止确认该金融资产，并将转移中产生或保</w:t>
      </w:r>
      <w:r>
        <w:rPr>
          <w:spacing w:val="-23"/>
        </w:rPr>
        <w:t> </w:t>
      </w:r>
      <w:r>
        <w:rPr>
          <w:spacing w:val="-23"/>
        </w:rPr>
      </w:r>
      <w:r>
        <w:rPr/>
        <w:t>留的权利和义务单独确认为资产或负债。</w:t>
      </w:r>
    </w:p>
    <w:p>
      <w:pPr>
        <w:pStyle w:val="Heading6"/>
        <w:tabs>
          <w:tab w:pos="809" w:val="left" w:leader="none"/>
        </w:tabs>
        <w:spacing w:line="240" w:lineRule="auto" w:before="22"/>
        <w:ind w:left="112" w:right="1129"/>
        <w:jc w:val="left"/>
      </w:pPr>
      <w:r>
        <w:rPr>
          <w:rFonts w:ascii="宋体" w:hAnsi="宋体" w:cs="宋体" w:eastAsia="宋体" w:hint="default"/>
        </w:rPr>
        <w:t>2.</w:t>
        <w:tab/>
      </w:r>
      <w:r>
        <w:rPr/>
        <w:t>（</w:t>
      </w:r>
      <w:r>
        <w:rPr>
          <w:rFonts w:ascii="Times New Roman" w:hAnsi="Times New Roman" w:cs="Times New Roman" w:eastAsia="Times New Roman" w:hint="default"/>
        </w:rPr>
        <w:t>2</w:t>
      </w:r>
      <w:r>
        <w:rPr/>
        <w:t>）保留了金融资产所有权上几乎所有风险和报酬的，则继续确认该金融资产。</w:t>
      </w:r>
    </w:p>
    <w:p>
      <w:pPr>
        <w:pStyle w:val="Heading6"/>
        <w:tabs>
          <w:tab w:pos="809" w:val="left" w:leader="none"/>
        </w:tabs>
        <w:spacing w:line="256" w:lineRule="auto" w:before="21"/>
        <w:ind w:left="473" w:right="1129" w:hanging="361"/>
        <w:jc w:val="left"/>
      </w:pPr>
      <w:r>
        <w:rPr>
          <w:rFonts w:ascii="宋体" w:hAnsi="宋体" w:cs="宋体" w:eastAsia="宋体" w:hint="default"/>
        </w:rPr>
        <w:t>3.</w:t>
        <w:tab/>
        <w:tab/>
      </w:r>
      <w:r>
        <w:rPr>
          <w:spacing w:val="-3"/>
        </w:rPr>
        <w:t>（</w:t>
      </w:r>
      <w:r>
        <w:rPr>
          <w:rFonts w:ascii="Times New Roman" w:hAnsi="Times New Roman" w:cs="Times New Roman" w:eastAsia="Times New Roman" w:hint="default"/>
          <w:spacing w:val="-3"/>
        </w:rPr>
        <w:t>3</w:t>
      </w:r>
      <w:r>
        <w:rPr>
          <w:spacing w:val="-3"/>
        </w:rPr>
        <w:t>）既没有转移也没有保留金融资产所有权上几乎所有风险和报酬的（即除本条（</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w:t>
      </w:r>
      <w:r>
        <w:rPr>
          <w:spacing w:val="-3"/>
        </w:rPr>
        <w:t>）之外的</w:t>
      </w:r>
      <w:r>
        <w:rPr>
          <w:spacing w:val="-20"/>
        </w:rPr>
        <w:t> </w:t>
      </w:r>
      <w:r>
        <w:rPr>
          <w:spacing w:val="-20"/>
        </w:rPr>
      </w:r>
      <w:r>
        <w:rPr/>
        <w:t>其他情形），则根据其是否保留了对金融资产的控制，分别下列情形处理：</w:t>
      </w:r>
    </w:p>
    <w:p>
      <w:pPr>
        <w:pStyle w:val="Heading6"/>
        <w:spacing w:line="256" w:lineRule="auto" w:before="23"/>
        <w:ind w:left="473" w:right="1128" w:firstLine="336"/>
        <w:jc w:val="both"/>
      </w:pPr>
      <w:r>
        <w:rPr>
          <w:rFonts w:ascii="Times New Roman" w:hAnsi="Times New Roman" w:cs="Times New Roman" w:eastAsia="Times New Roman" w:hint="default"/>
          <w:spacing w:val="-3"/>
        </w:rPr>
        <w:t>1</w:t>
      </w:r>
      <w:r>
        <w:rPr>
          <w:spacing w:val="-3"/>
        </w:rPr>
        <w:t>）未保留对该金融资产控制的，则终止确认该金融资产，并将转移中产生或保留的权利和义务单独确</w:t>
      </w:r>
      <w:r>
        <w:rPr>
          <w:w w:val="100"/>
        </w:rPr>
        <w:t> </w:t>
      </w:r>
      <w:r>
        <w:rPr/>
        <w:t>认为资产或负债。</w:t>
      </w:r>
    </w:p>
    <w:p>
      <w:pPr>
        <w:pStyle w:val="Heading6"/>
        <w:spacing w:line="264" w:lineRule="auto" w:before="22"/>
        <w:ind w:left="473" w:right="1126" w:firstLine="336"/>
        <w:jc w:val="both"/>
      </w:pPr>
      <w:r>
        <w:rPr>
          <w:rFonts w:ascii="Times New Roman" w:hAnsi="Times New Roman" w:cs="Times New Roman" w:eastAsia="Times New Roman" w:hint="default"/>
          <w:spacing w:val="-3"/>
        </w:rPr>
        <w:t>2</w:t>
      </w:r>
      <w:r>
        <w:rPr>
          <w:spacing w:val="-3"/>
        </w:rPr>
        <w:t>）保留了对该金融资产控制的，则按照其继续涉入被转移金融资产的程度继续确认有关金融资产，并</w:t>
      </w:r>
      <w:r>
        <w:rPr>
          <w:w w:val="100"/>
        </w:rPr>
        <w:t> </w:t>
      </w:r>
      <w:r>
        <w:rPr>
          <w:spacing w:val="-2"/>
        </w:rPr>
        <w:t>相应确认相关负债。继续涉入被转移金融资产的程度，是指本公司承担的被转移金融资产价值变动风险或</w:t>
      </w:r>
      <w:r>
        <w:rPr>
          <w:spacing w:val="-44"/>
        </w:rPr>
        <w:t> </w:t>
      </w:r>
      <w:r>
        <w:rPr>
          <w:spacing w:val="-44"/>
        </w:rPr>
      </w:r>
      <w:r>
        <w:rPr/>
        <w:t>报酬的程度。</w:t>
      </w:r>
    </w:p>
    <w:p>
      <w:pPr>
        <w:pStyle w:val="Heading6"/>
        <w:spacing w:line="273" w:lineRule="auto" w:before="16"/>
        <w:ind w:left="473" w:right="1126" w:firstLine="420"/>
        <w:jc w:val="both"/>
      </w:pPr>
      <w:r>
        <w:rPr>
          <w:spacing w:val="-2"/>
        </w:rPr>
        <w:t>在判断金融资产转移是否满足上述金融资产终止确认条件时，采用实质重于形式的原则。公司将金融</w:t>
      </w:r>
      <w:r>
        <w:rPr>
          <w:w w:val="100"/>
        </w:rPr>
        <w:t> </w:t>
      </w:r>
      <w:r>
        <w:rPr/>
        <w:t>资产转移区分为金融资产整体转移和部分转移。</w:t>
      </w:r>
    </w:p>
    <w:p>
      <w:pPr>
        <w:pStyle w:val="Heading6"/>
        <w:spacing w:line="240" w:lineRule="auto"/>
        <w:ind w:left="809" w:right="1129"/>
        <w:jc w:val="left"/>
      </w:pPr>
      <w:r>
        <w:rPr/>
        <w:t>（</w:t>
      </w:r>
      <w:r>
        <w:rPr>
          <w:rFonts w:ascii="Times New Roman" w:hAnsi="Times New Roman" w:cs="Times New Roman" w:eastAsia="Times New Roman" w:hint="default"/>
        </w:rPr>
        <w:t>1</w:t>
      </w:r>
      <w:r>
        <w:rPr/>
        <w:t>）金融资产整体转移满足终止确认条件的，将下列两项金额的差额计入当期损益：</w:t>
      </w:r>
    </w:p>
    <w:p>
      <w:pPr>
        <w:pStyle w:val="Heading6"/>
        <w:spacing w:line="240" w:lineRule="auto" w:before="21"/>
        <w:ind w:left="809" w:right="1129"/>
        <w:jc w:val="left"/>
      </w:pPr>
      <w:r>
        <w:rPr>
          <w:rFonts w:ascii="Times New Roman" w:hAnsi="Times New Roman" w:cs="Times New Roman" w:eastAsia="Times New Roman" w:hint="default"/>
        </w:rPr>
        <w:t>1</w:t>
      </w:r>
      <w:r>
        <w:rPr/>
        <w:t>）被转移金融资产在终止确认日的账面价值。</w:t>
      </w:r>
    </w:p>
    <w:p>
      <w:pPr>
        <w:pStyle w:val="Heading6"/>
        <w:spacing w:line="259" w:lineRule="auto" w:before="21"/>
        <w:ind w:left="473" w:right="1126" w:firstLine="336"/>
        <w:jc w:val="both"/>
      </w:pPr>
      <w:r>
        <w:rPr>
          <w:rFonts w:ascii="Times New Roman" w:hAnsi="Times New Roman" w:cs="Times New Roman" w:eastAsia="Times New Roman" w:hint="default"/>
          <w:spacing w:val="-3"/>
        </w:rPr>
        <w:t>2</w:t>
      </w:r>
      <w:r>
        <w:rPr>
          <w:spacing w:val="-3"/>
        </w:rPr>
        <w:t>）因转移金融资产而收到的对价，与原直接计入其他综合收益的公允价值变动累计额中对应终止确认</w:t>
      </w:r>
      <w:r>
        <w:rPr>
          <w:w w:val="100"/>
        </w:rPr>
        <w:t> </w:t>
      </w:r>
      <w:r>
        <w:rPr/>
        <w:t>部分的金额（涉及转移的金融资产为以公允价值计量且其变动计入其他综合收益的金融资产）之和。</w:t>
      </w:r>
    </w:p>
    <w:p>
      <w:pPr>
        <w:pStyle w:val="Heading6"/>
        <w:spacing w:line="264" w:lineRule="auto" w:before="20"/>
        <w:ind w:left="473" w:right="1020" w:firstLine="336"/>
        <w:jc w:val="both"/>
      </w:pPr>
      <w:r>
        <w:rPr>
          <w:spacing w:val="-5"/>
        </w:rPr>
        <w:t>（</w:t>
      </w:r>
      <w:r>
        <w:rPr>
          <w:rFonts w:ascii="Times New Roman" w:hAnsi="Times New Roman" w:cs="Times New Roman" w:eastAsia="Times New Roman" w:hint="default"/>
          <w:spacing w:val="-5"/>
        </w:rPr>
        <w:t>2</w:t>
      </w:r>
      <w:r>
        <w:rPr>
          <w:spacing w:val="-5"/>
        </w:rPr>
        <w:t>）金融资产部分转移且该被转移部分整体满足终止确认条件的，将转移前金融资产整体的账面价值，</w:t>
      </w:r>
      <w:r>
        <w:rPr>
          <w:w w:val="100"/>
        </w:rPr>
        <w:t> </w:t>
      </w:r>
      <w:r>
        <w:rPr>
          <w:spacing w:val="-5"/>
        </w:rPr>
        <w:t>在终止确认部分和继续确认部分（在此种情形下，所保留的服务资产应当视同继续确认金融资产的一部分）</w:t>
      </w:r>
      <w:r>
        <w:rPr>
          <w:spacing w:val="-4"/>
        </w:rPr>
        <w:t> </w:t>
      </w:r>
      <w:r>
        <w:rPr>
          <w:spacing w:val="-4"/>
        </w:rPr>
      </w:r>
      <w:r>
        <w:rPr/>
        <w:t>之间，按照转移日各自的相对公允价值进行分摊，并将下列两项金额的差额计入当期损益：</w:t>
      </w:r>
    </w:p>
    <w:p>
      <w:pPr>
        <w:pStyle w:val="Heading6"/>
        <w:spacing w:line="240" w:lineRule="auto" w:before="16"/>
        <w:ind w:left="809" w:right="1129"/>
        <w:jc w:val="left"/>
      </w:pPr>
      <w:r>
        <w:rPr>
          <w:rFonts w:ascii="Times New Roman" w:hAnsi="Times New Roman" w:cs="Times New Roman" w:eastAsia="Times New Roman" w:hint="default"/>
        </w:rPr>
        <w:t>1</w:t>
      </w:r>
      <w:r>
        <w:rPr/>
        <w:t>）终止确认部分在终止确认日的账面价值。</w:t>
      </w:r>
    </w:p>
    <w:p>
      <w:pPr>
        <w:pStyle w:val="Heading6"/>
        <w:spacing w:line="256" w:lineRule="auto" w:before="21"/>
        <w:ind w:left="473" w:right="1126" w:firstLine="336"/>
        <w:jc w:val="both"/>
      </w:pPr>
      <w:r>
        <w:rPr>
          <w:rFonts w:ascii="Times New Roman" w:hAnsi="Times New Roman" w:cs="Times New Roman" w:eastAsia="Times New Roman" w:hint="default"/>
          <w:spacing w:val="-3"/>
        </w:rPr>
        <w:t>2</w:t>
      </w:r>
      <w:r>
        <w:rPr>
          <w:spacing w:val="-3"/>
        </w:rPr>
        <w:t>）终止确认部分收到的对价，与原计入其他综合收益的公允价值变动累计额中对应终止确认部分的金</w:t>
      </w:r>
      <w:r>
        <w:rPr>
          <w:w w:val="100"/>
        </w:rPr>
        <w:t> </w:t>
      </w:r>
      <w:r>
        <w:rPr/>
        <w:t>额（涉及转移的金融资产为以公允价值计量且其变动计入其他综合收益的金融资产）之和。</w:t>
      </w:r>
    </w:p>
    <w:p>
      <w:pPr>
        <w:pStyle w:val="Heading6"/>
        <w:spacing w:line="260" w:lineRule="exact" w:before="22"/>
        <w:ind w:left="893" w:right="1129"/>
        <w:jc w:val="left"/>
      </w:pPr>
      <w:r>
        <w:rPr/>
        <w:t>金融资产转移不满足终止确认条件的，继续确认该金融资产，所收到的对价确认为一项金融负债。</w:t>
      </w:r>
    </w:p>
    <w:p>
      <w:pPr>
        <w:spacing w:line="312" w:lineRule="exact" w:before="47"/>
        <w:ind w:left="893" w:right="1129"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 </w:t>
      </w:r>
      <w:r>
        <w:rPr>
          <w:rFonts w:ascii="Microsoft JhengHei" w:hAnsi="Microsoft JhengHei" w:cs="Microsoft JhengHei" w:eastAsia="Microsoft JhengHei" w:hint="default"/>
          <w:b/>
          <w:bCs/>
          <w:sz w:val="21"/>
          <w:szCs w:val="21"/>
        </w:rPr>
        <w:t>金融资产和金融负债公允价值的确定方法</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pacing w:val="1"/>
          <w:sz w:val="21"/>
          <w:szCs w:val="21"/>
        </w:rPr>
      </w:r>
      <w:r>
        <w:rPr>
          <w:rFonts w:ascii="宋体" w:hAnsi="宋体" w:cs="宋体" w:eastAsia="宋体" w:hint="default"/>
          <w:spacing w:val="-2"/>
          <w:sz w:val="21"/>
          <w:szCs w:val="21"/>
        </w:rPr>
        <w:t>存在活跃市场的金融资产或金融负债，以活跃市场的报价确定其公允价值，除非该项金融资产存在针</w:t>
      </w:r>
    </w:p>
    <w:p>
      <w:pPr>
        <w:pStyle w:val="Heading6"/>
        <w:spacing w:line="273" w:lineRule="auto" w:before="4"/>
        <w:ind w:left="473" w:right="0"/>
        <w:jc w:val="left"/>
      </w:pPr>
      <w:r>
        <w:rPr>
          <w:spacing w:val="-2"/>
        </w:rPr>
        <w:t>对资产本身的限售期。对于针对资产本身的限售的金融资产，按照活跃市场的报价扣除市场参与者因承担</w:t>
      </w:r>
      <w:r>
        <w:rPr>
          <w:spacing w:val="-43"/>
        </w:rPr>
        <w:t> </w:t>
      </w:r>
      <w:r>
        <w:rPr>
          <w:spacing w:val="-43"/>
        </w:rPr>
      </w:r>
      <w:r>
        <w:rPr>
          <w:spacing w:val="-2"/>
        </w:rPr>
        <w:t>指定期间内无法在公开市场上出售该金融资产的风险而要求获得的补偿金额后确定。活跃市场的报价包括</w:t>
      </w:r>
      <w:r>
        <w:rPr>
          <w:spacing w:val="-43"/>
        </w:rPr>
        <w:t> </w:t>
      </w:r>
      <w:r>
        <w:rPr>
          <w:spacing w:val="-43"/>
        </w:rPr>
      </w:r>
      <w:r>
        <w:rPr>
          <w:spacing w:val="-5"/>
        </w:rPr>
        <w:t>易于且可定期从交易所、交易商、经纪人、行业集团、定价机构或监管机构等获得相关资产或负债的报价，</w:t>
      </w:r>
      <w:r>
        <w:rPr>
          <w:spacing w:val="-7"/>
        </w:rPr>
        <w:t> </w:t>
      </w:r>
      <w:r>
        <w:rPr>
          <w:spacing w:val="-7"/>
        </w:rPr>
      </w:r>
      <w:r>
        <w:rPr/>
        <w:t>且能代表在公平交易基础上实际并经常发生的市场交易。</w:t>
      </w:r>
    </w:p>
    <w:p>
      <w:pPr>
        <w:spacing w:after="0" w:line="273" w:lineRule="auto"/>
        <w:jc w:val="left"/>
        <w:sectPr>
          <w:pgSz w:w="11910" w:h="16840"/>
          <w:pgMar w:header="745" w:footer="979" w:top="1060" w:bottom="1160" w:left="660" w:right="0"/>
        </w:sectPr>
      </w:pPr>
    </w:p>
    <w:p>
      <w:pPr>
        <w:spacing w:line="240" w:lineRule="auto" w:before="10"/>
        <w:rPr>
          <w:rFonts w:ascii="宋体" w:hAnsi="宋体" w:cs="宋体" w:eastAsia="宋体" w:hint="default"/>
          <w:sz w:val="24"/>
          <w:szCs w:val="24"/>
        </w:rPr>
      </w:pPr>
    </w:p>
    <w:p>
      <w:pPr>
        <w:pStyle w:val="Heading6"/>
        <w:spacing w:line="273" w:lineRule="auto" w:before="36"/>
        <w:ind w:left="893" w:right="1129"/>
        <w:jc w:val="left"/>
      </w:pPr>
      <w:r>
        <w:rPr/>
        <w:t>初始取得或衍生的金融资产或承担的金融负债，以市场交易价格作为确定其公允价值的基础。</w:t>
      </w:r>
      <w:r>
        <w:rPr>
          <w:w w:val="100"/>
        </w:rPr>
        <w:t> </w:t>
      </w:r>
      <w:r>
        <w:rPr>
          <w:spacing w:val="-2"/>
        </w:rPr>
        <w:t>不存在活跃市场的金融资产或金融负债，采用估值技术确定其公允价值。在估值时，本公司采用在当</w:t>
      </w:r>
    </w:p>
    <w:p>
      <w:pPr>
        <w:pStyle w:val="Heading6"/>
        <w:spacing w:line="273" w:lineRule="auto"/>
        <w:ind w:left="473" w:right="1126"/>
        <w:jc w:val="both"/>
      </w:pPr>
      <w:r>
        <w:rPr>
          <w:spacing w:val="-2"/>
        </w:rPr>
        <w:t>前情况下适用并且有足够可利用数据和其他信息支持的估值技术，选择与市场参与者在相关资产或负债的</w:t>
      </w:r>
      <w:r>
        <w:rPr>
          <w:spacing w:val="-43"/>
        </w:rPr>
        <w:t> </w:t>
      </w:r>
      <w:r>
        <w:rPr>
          <w:spacing w:val="-43"/>
        </w:rPr>
      </w:r>
      <w:r>
        <w:rPr>
          <w:spacing w:val="-2"/>
        </w:rPr>
        <w:t>交易中所考虑的资产或负债特征相一致的输入值，并尽可能优先使用相关可观察输入值。在相关可观察输</w:t>
      </w:r>
      <w:r>
        <w:rPr>
          <w:spacing w:val="-43"/>
        </w:rPr>
        <w:t> </w:t>
      </w:r>
      <w:r>
        <w:rPr>
          <w:spacing w:val="-43"/>
        </w:rPr>
      </w:r>
      <w:r>
        <w:rPr/>
        <w:t>入值无法取得或取得不切实可行的情况下，使用不可观察输入值。</w:t>
      </w:r>
    </w:p>
    <w:p>
      <w:pPr>
        <w:pStyle w:val="Heading6"/>
        <w:spacing w:line="312" w:lineRule="exact" w:before="3"/>
        <w:ind w:left="893" w:right="1129" w:hanging="65"/>
        <w:jc w:val="left"/>
      </w:pPr>
      <w:r>
        <w:rPr>
          <w:rFonts w:ascii="Times New Roman" w:hAnsi="Times New Roman" w:cs="Times New Roman" w:eastAsia="Times New Roman" w:hint="default"/>
          <w:b/>
          <w:bCs/>
        </w:rPr>
        <w:t>6.</w:t>
      </w:r>
      <w:r>
        <w:rPr>
          <w:rFonts w:ascii="Times New Roman" w:hAnsi="Times New Roman" w:cs="Times New Roman" w:eastAsia="Times New Roman" w:hint="default"/>
          <w:b/>
          <w:bCs/>
          <w:spacing w:val="35"/>
        </w:rPr>
        <w:t> </w:t>
      </w:r>
      <w:r>
        <w:rPr>
          <w:rFonts w:ascii="Microsoft JhengHei" w:hAnsi="Microsoft JhengHei" w:cs="Microsoft JhengHei" w:eastAsia="Microsoft JhengHei" w:hint="default"/>
          <w:b/>
          <w:bCs/>
        </w:rPr>
        <w:t>金融工具减值</w:t>
      </w:r>
      <w:r>
        <w:rPr>
          <w:rFonts w:ascii="Microsoft JhengHei" w:hAnsi="Microsoft JhengHei" w:cs="Microsoft JhengHei" w:eastAsia="Microsoft JhengHei" w:hint="default"/>
          <w:b/>
          <w:bCs/>
          <w:spacing w:val="-43"/>
        </w:rPr>
        <w:t> </w:t>
      </w:r>
      <w:r>
        <w:rPr>
          <w:rFonts w:ascii="Microsoft JhengHei" w:hAnsi="Microsoft JhengHei" w:cs="Microsoft JhengHei" w:eastAsia="Microsoft JhengHei" w:hint="default"/>
          <w:b/>
          <w:bCs/>
          <w:spacing w:val="-43"/>
        </w:rPr>
      </w:r>
      <w:r>
        <w:rPr>
          <w:spacing w:val="-2"/>
        </w:rPr>
        <w:t>本公司以预期信用损失为基础，对分类为以摊余成本计量的金融资产、分类为以公允价值计量且其变</w:t>
      </w:r>
    </w:p>
    <w:p>
      <w:pPr>
        <w:pStyle w:val="Heading6"/>
        <w:spacing w:line="273" w:lineRule="auto" w:before="4"/>
        <w:ind w:left="893" w:right="1129" w:hanging="420"/>
        <w:jc w:val="left"/>
      </w:pPr>
      <w:r>
        <w:rPr/>
        <w:t>动计入其他综合收益的金融资产以及财务担保合同，进行减值会计处理并确认损失准备。</w:t>
      </w:r>
      <w:r>
        <w:rPr>
          <w:w w:val="100"/>
        </w:rPr>
        <w:t> </w:t>
      </w:r>
      <w:r>
        <w:rPr>
          <w:spacing w:val="-2"/>
        </w:rPr>
        <w:t>预期信用损失，是指以发生违约的风险为权重的金融工具信用损失的加权平均值。信用损失，是指本</w:t>
      </w:r>
    </w:p>
    <w:p>
      <w:pPr>
        <w:pStyle w:val="Heading6"/>
        <w:spacing w:line="273" w:lineRule="auto"/>
        <w:ind w:left="473" w:right="1104"/>
        <w:jc w:val="both"/>
      </w:pPr>
      <w:r>
        <w:rPr>
          <w:spacing w:val="-2"/>
        </w:rPr>
        <w:t>公司按照原实际利率折现的、根据合同应收的所有合同现金流量与预期收取的所有现金流量之间的差额，</w:t>
      </w:r>
      <w:r>
        <w:rPr>
          <w:spacing w:val="-21"/>
        </w:rPr>
        <w:t> </w:t>
      </w:r>
      <w:r>
        <w:rPr>
          <w:spacing w:val="-21"/>
        </w:rPr>
      </w:r>
      <w:r>
        <w:rPr>
          <w:spacing w:val="-2"/>
        </w:rPr>
        <w:t>即全部现金短缺的现值。其中，对于本公司购买或源生的已发生信用减值的金融资产，应按照该金融资产</w:t>
      </w:r>
      <w:r>
        <w:rPr>
          <w:spacing w:val="-44"/>
        </w:rPr>
        <w:t> </w:t>
      </w:r>
      <w:r>
        <w:rPr>
          <w:spacing w:val="-44"/>
        </w:rPr>
      </w:r>
      <w:r>
        <w:rPr/>
        <w:t>经信用调整的实际利率折现。</w:t>
      </w:r>
    </w:p>
    <w:p>
      <w:pPr>
        <w:pStyle w:val="Heading6"/>
        <w:spacing w:line="273" w:lineRule="auto"/>
        <w:ind w:left="473" w:right="1126" w:firstLine="420"/>
        <w:jc w:val="both"/>
      </w:pPr>
      <w:r>
        <w:rPr>
          <w:spacing w:val="-2"/>
        </w:rPr>
        <w:t>对由收入准则规范的交易形成的应收款项，本公司运用简化计量方法，按照相当于整个存续期内预期</w:t>
      </w:r>
      <w:r>
        <w:rPr>
          <w:w w:val="100"/>
        </w:rPr>
        <w:t> </w:t>
      </w:r>
      <w:r>
        <w:rPr/>
        <w:t>信用损失的金额计量损失准备。</w:t>
      </w:r>
    </w:p>
    <w:p>
      <w:pPr>
        <w:pStyle w:val="Heading6"/>
        <w:spacing w:line="273" w:lineRule="auto"/>
        <w:ind w:left="473" w:right="1126" w:firstLine="420"/>
        <w:jc w:val="both"/>
      </w:pPr>
      <w:r>
        <w:rPr>
          <w:spacing w:val="-2"/>
        </w:rPr>
        <w:t>对于购买或源生的已发生信用减值的金融资产，在资产负债表日仅将自初始确认后整个存续期内预期</w:t>
      </w:r>
      <w:r>
        <w:rPr>
          <w:w w:val="100"/>
        </w:rPr>
        <w:t> </w:t>
      </w:r>
      <w:r>
        <w:rPr>
          <w:spacing w:val="-2"/>
        </w:rPr>
        <w:t>信用损失的累计变动确认为损失准备。在每个资产负债表日，将整个存续期内预期信用损失的变动金额作</w:t>
      </w:r>
      <w:r>
        <w:rPr>
          <w:spacing w:val="-43"/>
        </w:rPr>
        <w:t> </w:t>
      </w:r>
      <w:r>
        <w:rPr>
          <w:spacing w:val="-43"/>
        </w:rPr>
      </w:r>
      <w:r>
        <w:rPr>
          <w:spacing w:val="-2"/>
        </w:rPr>
        <w:t>为减值损失或利得计入当期损益。即使该资产负债表日确定的整个存续期内预期信用损失小于初始确认时</w:t>
      </w:r>
      <w:r>
        <w:rPr>
          <w:spacing w:val="-43"/>
        </w:rPr>
        <w:t> </w:t>
      </w:r>
      <w:r>
        <w:rPr>
          <w:spacing w:val="-43"/>
        </w:rPr>
      </w:r>
      <w:r>
        <w:rPr/>
        <w:t>估计现金流量所反映的预期信用损失的金额，也将预期信用损失的有利变动确认为减值利得。</w:t>
      </w:r>
    </w:p>
    <w:p>
      <w:pPr>
        <w:pStyle w:val="Heading6"/>
        <w:spacing w:line="273" w:lineRule="auto"/>
        <w:ind w:left="473" w:right="1126" w:firstLine="420"/>
        <w:jc w:val="both"/>
      </w:pPr>
      <w:r>
        <w:rPr>
          <w:spacing w:val="-2"/>
        </w:rPr>
        <w:t>除上述采用简化计量方法和购买或源生的已发生信用减值以外的其他金融资产，本公司在每个资产负</w:t>
      </w:r>
      <w:r>
        <w:rPr>
          <w:w w:val="100"/>
        </w:rPr>
        <w:t> </w:t>
      </w:r>
      <w:r>
        <w:rPr>
          <w:spacing w:val="2"/>
        </w:rPr>
        <w:t>债表日评估相关金融工具的信用风险自初始确认后是否已显著增加，并按照下列情形分别计量其损失准</w:t>
      </w:r>
      <w:r>
        <w:rPr>
          <w:spacing w:val="-30"/>
        </w:rPr>
        <w:t> </w:t>
      </w:r>
      <w:r>
        <w:rPr>
          <w:spacing w:val="-30"/>
        </w:rPr>
      </w:r>
      <w:r>
        <w:rPr/>
        <w:t>备、确认预期信用损失及其变动：</w:t>
      </w:r>
    </w:p>
    <w:p>
      <w:pPr>
        <w:pStyle w:val="Heading6"/>
        <w:tabs>
          <w:tab w:pos="809" w:val="left" w:leader="none"/>
        </w:tabs>
        <w:spacing w:line="240" w:lineRule="auto"/>
        <w:ind w:left="112" w:right="1129"/>
        <w:jc w:val="left"/>
      </w:pPr>
      <w:r>
        <w:rPr>
          <w:rFonts w:ascii="宋体" w:hAnsi="宋体" w:cs="宋体" w:eastAsia="宋体" w:hint="default"/>
        </w:rPr>
        <w:t>1.</w:t>
        <w:tab/>
      </w:r>
      <w:r>
        <w:rPr>
          <w:spacing w:val="-3"/>
        </w:rPr>
        <w:t>（</w:t>
      </w:r>
      <w:r>
        <w:rPr>
          <w:rFonts w:ascii="Times New Roman" w:hAnsi="Times New Roman" w:cs="Times New Roman" w:eastAsia="Times New Roman" w:hint="default"/>
          <w:spacing w:val="-3"/>
        </w:rPr>
        <w:t>1</w:t>
      </w:r>
      <w:r>
        <w:rPr>
          <w:spacing w:val="-3"/>
        </w:rPr>
        <w:t>）如果该金融工具的信用风险自初始确认后并未显著增加，处于第一阶段，则按照相当于该金融工</w:t>
      </w:r>
    </w:p>
    <w:p>
      <w:pPr>
        <w:pStyle w:val="Heading6"/>
        <w:spacing w:line="240" w:lineRule="auto" w:before="21"/>
        <w:ind w:left="473" w:right="0"/>
        <w:jc w:val="both"/>
      </w:pPr>
      <w:r>
        <w:rPr/>
        <w:t>具未来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个月内预期信用损失的金额计量其损失准备，并按照账面余额和实际利率计算利息收入。</w:t>
      </w:r>
    </w:p>
    <w:p>
      <w:pPr>
        <w:pStyle w:val="Heading6"/>
        <w:spacing w:line="264" w:lineRule="auto" w:before="21"/>
        <w:ind w:left="473" w:right="1126" w:hanging="361"/>
        <w:jc w:val="both"/>
      </w:pPr>
      <w:r>
        <w:rPr>
          <w:rFonts w:ascii="宋体" w:hAnsi="宋体" w:cs="宋体" w:eastAsia="宋体" w:hint="default"/>
        </w:rPr>
        <w:t>2.</w:t>
      </w:r>
      <w:r>
        <w:rPr>
          <w:rFonts w:ascii="宋体" w:hAnsi="宋体" w:cs="宋体" w:eastAsia="宋体" w:hint="default"/>
          <w:spacing w:val="41"/>
        </w:rPr>
        <w:t> </w:t>
      </w:r>
      <w:r>
        <w:rPr>
          <w:spacing w:val="-3"/>
        </w:rPr>
        <w:t>（</w:t>
      </w:r>
      <w:r>
        <w:rPr>
          <w:rFonts w:ascii="Times New Roman" w:hAnsi="Times New Roman" w:cs="Times New Roman" w:eastAsia="Times New Roman" w:hint="default"/>
          <w:spacing w:val="-3"/>
        </w:rPr>
        <w:t>2</w:t>
      </w:r>
      <w:r>
        <w:rPr>
          <w:spacing w:val="-3"/>
        </w:rPr>
        <w:t>）如果该金融工具的信用风险自初始确认后已显著增加但尚未发生信用减值的，处于第二阶段，则</w:t>
      </w:r>
      <w:r>
        <w:rPr>
          <w:spacing w:val="-102"/>
        </w:rPr>
        <w:t> </w:t>
      </w:r>
      <w:r>
        <w:rPr>
          <w:spacing w:val="-102"/>
        </w:rPr>
      </w:r>
      <w:r>
        <w:rPr>
          <w:spacing w:val="-2"/>
        </w:rPr>
        <w:t>按照相当于该金融工具整个存续期内预期信用损失的金额计量其损失准备，并按照账面余额和实际利率计</w:t>
      </w:r>
      <w:r>
        <w:rPr>
          <w:w w:val="100"/>
        </w:rPr>
        <w:t> </w:t>
      </w:r>
      <w:r>
        <w:rPr/>
        <w:t>算利息收入。</w:t>
      </w:r>
    </w:p>
    <w:p>
      <w:pPr>
        <w:pStyle w:val="Heading6"/>
        <w:spacing w:line="256" w:lineRule="auto" w:before="16"/>
        <w:ind w:left="473" w:right="1128" w:hanging="361"/>
        <w:jc w:val="both"/>
      </w:pPr>
      <w:r>
        <w:rPr>
          <w:rFonts w:ascii="宋体" w:hAnsi="宋体" w:cs="宋体" w:eastAsia="宋体" w:hint="default"/>
        </w:rPr>
        <w:t>3.</w:t>
      </w:r>
      <w:r>
        <w:rPr>
          <w:rFonts w:ascii="宋体" w:hAnsi="宋体" w:cs="宋体" w:eastAsia="宋体" w:hint="default"/>
          <w:spacing w:val="38"/>
        </w:rPr>
        <w:t> </w:t>
      </w:r>
      <w:r>
        <w:rPr>
          <w:spacing w:val="-3"/>
        </w:rPr>
        <w:t>（</w:t>
      </w:r>
      <w:r>
        <w:rPr>
          <w:rFonts w:ascii="Times New Roman" w:hAnsi="Times New Roman" w:cs="Times New Roman" w:eastAsia="Times New Roman" w:hint="default"/>
          <w:spacing w:val="-3"/>
        </w:rPr>
        <w:t>3</w:t>
      </w:r>
      <w:r>
        <w:rPr>
          <w:spacing w:val="-3"/>
        </w:rPr>
        <w:t>）如果该金融工具自初始确认后已经发生信用减值的，处于第三阶段，本公司按照相当于该金融工</w:t>
      </w:r>
      <w:r>
        <w:rPr>
          <w:spacing w:val="-102"/>
        </w:rPr>
        <w:t> </w:t>
      </w:r>
      <w:r>
        <w:rPr>
          <w:spacing w:val="-102"/>
        </w:rPr>
      </w:r>
      <w:r>
        <w:rPr/>
        <w:t>具整个存续期内预期信用损失的金额计量其损失准备，并按照摊余成本和实际利率计算利息收入。</w:t>
      </w:r>
    </w:p>
    <w:p>
      <w:pPr>
        <w:pStyle w:val="Heading6"/>
        <w:spacing w:line="273" w:lineRule="auto" w:before="22"/>
        <w:ind w:left="473" w:right="1126" w:firstLine="420"/>
        <w:jc w:val="both"/>
      </w:pPr>
      <w:r>
        <w:rPr>
          <w:spacing w:val="-2"/>
        </w:rPr>
        <w:t>金融工具信用损失准备的增加或转回金额，作为减值损失或利得计入当期损益。除分类为以公允价值</w:t>
      </w:r>
      <w:r>
        <w:rPr>
          <w:w w:val="100"/>
        </w:rPr>
        <w:t> </w:t>
      </w:r>
      <w:r>
        <w:rPr>
          <w:spacing w:val="-2"/>
        </w:rPr>
        <w:t>计量且其变动计入其他综合收益的金融资产外，信用损失准备抵减金融资产的账面余额。对于分类为以公</w:t>
      </w:r>
      <w:r>
        <w:rPr>
          <w:spacing w:val="-44"/>
        </w:rPr>
        <w:t> </w:t>
      </w:r>
      <w:r>
        <w:rPr>
          <w:spacing w:val="-44"/>
        </w:rPr>
      </w:r>
      <w:r>
        <w:rPr>
          <w:spacing w:val="-2"/>
        </w:rPr>
        <w:t>允价值计量且其变动计入其他综合收益的金融资产，本公司在其他综合收益中确认其信用损失准备，不减</w:t>
      </w:r>
      <w:r>
        <w:rPr>
          <w:spacing w:val="-43"/>
        </w:rPr>
        <w:t> </w:t>
      </w:r>
      <w:r>
        <w:rPr>
          <w:spacing w:val="-43"/>
        </w:rPr>
      </w:r>
      <w:r>
        <w:rPr/>
        <w:t>少该金融资产在资产负债表中列示的账面价值。</w:t>
      </w:r>
    </w:p>
    <w:p>
      <w:pPr>
        <w:pStyle w:val="Heading6"/>
        <w:spacing w:line="266" w:lineRule="auto"/>
        <w:ind w:left="473" w:right="1104" w:firstLine="420"/>
        <w:jc w:val="both"/>
      </w:pPr>
      <w:r>
        <w:rPr>
          <w:spacing w:val="-2"/>
        </w:rPr>
        <w:t>本公司在前一会计期间已经按照相当于金融工具整个存续期内预期信用损失的金额计量了损失准备，</w:t>
      </w:r>
      <w:r>
        <w:rPr>
          <w:w w:val="100"/>
        </w:rPr>
        <w:t> </w:t>
      </w:r>
      <w:r>
        <w:rPr>
          <w:spacing w:val="-2"/>
        </w:rPr>
        <w:t>但在当期资产负债表日，该金融工具已不再属于自初始确认后信用风险显著增加的情形的，本公司在当期</w:t>
      </w:r>
      <w:r>
        <w:rPr>
          <w:spacing w:val="-42"/>
        </w:rPr>
        <w:t> </w:t>
      </w:r>
      <w:r>
        <w:rPr>
          <w:spacing w:val="-42"/>
        </w:rPr>
      </w:r>
      <w:r>
        <w:rPr>
          <w:spacing w:val="-2"/>
        </w:rPr>
        <w:t>资产负债表日按照相当于未来</w:t>
      </w:r>
      <w:r>
        <w:rPr>
          <w:rFonts w:ascii="Times New Roman" w:hAnsi="Times New Roman" w:cs="Times New Roman" w:eastAsia="Times New Roman" w:hint="default"/>
          <w:spacing w:val="-2"/>
        </w:rPr>
        <w:t>12</w:t>
      </w:r>
      <w:r>
        <w:rPr>
          <w:spacing w:val="-2"/>
        </w:rPr>
        <w:t>个月内预期信用损失的金额计量该金融工具的损失准备，由此形成的损失</w:t>
      </w:r>
      <w:r>
        <w:rPr>
          <w:spacing w:val="-41"/>
        </w:rPr>
        <w:t> </w:t>
      </w:r>
      <w:r>
        <w:rPr>
          <w:spacing w:val="-41"/>
        </w:rPr>
      </w:r>
      <w:r>
        <w:rPr/>
        <w:t>准备的转回金额作为减值利得计入当期损益。</w:t>
      </w:r>
    </w:p>
    <w:p>
      <w:pPr>
        <w:pStyle w:val="Heading6"/>
        <w:spacing w:line="256" w:lineRule="auto" w:before="14"/>
        <w:ind w:left="893" w:right="1129" w:hanging="84"/>
        <w:jc w:val="left"/>
      </w:pPr>
      <w:r>
        <w:rPr/>
        <w:t>（</w:t>
      </w:r>
      <w:r>
        <w:rPr>
          <w:rFonts w:ascii="Times New Roman" w:hAnsi="Times New Roman" w:cs="Times New Roman" w:eastAsia="Times New Roman" w:hint="default"/>
        </w:rPr>
        <w:t>1</w:t>
      </w:r>
      <w:r>
        <w:rPr/>
        <w:t>）信用风险显著增加</w:t>
      </w:r>
      <w:r>
        <w:rPr>
          <w:w w:val="100"/>
        </w:rPr>
        <w:t> </w:t>
      </w:r>
      <w:r>
        <w:rPr>
          <w:spacing w:val="-2"/>
        </w:rPr>
        <w:t>本公司利用可获得的合理且有依据的前瞻性信息，通过比较金融工具在资产负债表日发生违约的风险</w:t>
      </w:r>
    </w:p>
    <w:p>
      <w:pPr>
        <w:pStyle w:val="Heading6"/>
        <w:spacing w:line="273" w:lineRule="auto" w:before="22"/>
        <w:ind w:left="473" w:right="1022"/>
        <w:jc w:val="both"/>
      </w:pPr>
      <w:r>
        <w:rPr>
          <w:spacing w:val="-2"/>
        </w:rPr>
        <w:t>与在初始确认日发生违约的风险，以确定金融工具的信用风险自初始确认后是否已显著增加。对于财务担</w:t>
      </w:r>
      <w:r>
        <w:rPr>
          <w:spacing w:val="-44"/>
        </w:rPr>
        <w:t> </w:t>
      </w:r>
      <w:r>
        <w:rPr>
          <w:spacing w:val="-44"/>
        </w:rPr>
      </w:r>
      <w:r>
        <w:rPr>
          <w:spacing w:val="-5"/>
        </w:rPr>
        <w:t>保合同，本公司在应用金融工具减值规定时，将本公司成为做出不可撤销承诺的一方之日作为初始确认日。</w:t>
      </w:r>
    </w:p>
    <w:p>
      <w:pPr>
        <w:pStyle w:val="Heading6"/>
        <w:spacing w:line="240" w:lineRule="auto" w:before="8"/>
        <w:ind w:left="893" w:right="1129"/>
        <w:jc w:val="left"/>
      </w:pPr>
      <w:r>
        <w:rPr/>
        <w:t>本公司在评估信用风险是否显著增加时会考虑如下因素：</w:t>
      </w:r>
    </w:p>
    <w:p>
      <w:pPr>
        <w:pStyle w:val="Heading6"/>
        <w:spacing w:line="240" w:lineRule="auto" w:before="37"/>
        <w:ind w:left="809" w:right="1129"/>
        <w:jc w:val="left"/>
      </w:pPr>
      <w:r>
        <w:rPr>
          <w:rFonts w:ascii="Times New Roman" w:hAnsi="Times New Roman" w:cs="Times New Roman" w:eastAsia="Times New Roman" w:hint="default"/>
        </w:rPr>
        <w:t>1</w:t>
      </w:r>
      <w:r>
        <w:rPr/>
        <w:t>）债务人经营成果实际或预期是否发生显著变化；</w:t>
      </w:r>
    </w:p>
    <w:p>
      <w:pPr>
        <w:pStyle w:val="Heading6"/>
        <w:spacing w:line="240" w:lineRule="auto" w:before="21"/>
        <w:ind w:left="809" w:right="1129"/>
        <w:jc w:val="left"/>
      </w:pPr>
      <w:r>
        <w:rPr>
          <w:rFonts w:ascii="Times New Roman" w:hAnsi="Times New Roman" w:cs="Times New Roman" w:eastAsia="Times New Roman" w:hint="default"/>
        </w:rPr>
        <w:t>2</w:t>
      </w:r>
      <w:r>
        <w:rPr/>
        <w:t>）债务人所处的监管、经济或技术环境是否发生显著不利变化；</w:t>
      </w:r>
    </w:p>
    <w:p>
      <w:pPr>
        <w:pStyle w:val="Heading6"/>
        <w:spacing w:line="240" w:lineRule="auto" w:before="21"/>
        <w:ind w:left="809" w:right="1129"/>
        <w:jc w:val="left"/>
      </w:pPr>
      <w:r>
        <w:rPr>
          <w:rFonts w:ascii="Times New Roman" w:hAnsi="Times New Roman" w:cs="Times New Roman" w:eastAsia="Times New Roman" w:hint="default"/>
          <w:spacing w:val="-3"/>
        </w:rPr>
        <w:t>3</w:t>
      </w:r>
      <w:r>
        <w:rPr>
          <w:spacing w:val="-3"/>
        </w:rPr>
        <w:t>）作为债务抵押的担保物价值或第三方提供的担保或信用增级质量是否发生显著变化，这些变化预期</w:t>
      </w:r>
    </w:p>
    <w:p>
      <w:pPr>
        <w:spacing w:after="0" w:line="240" w:lineRule="auto"/>
        <w:jc w:val="left"/>
        <w:sectPr>
          <w:pgSz w:w="11910" w:h="16840"/>
          <w:pgMar w:header="745" w:footer="979" w:top="1060" w:bottom="1160" w:left="660" w:right="0"/>
        </w:sectPr>
      </w:pPr>
    </w:p>
    <w:p>
      <w:pPr>
        <w:spacing w:line="240" w:lineRule="auto" w:before="10"/>
        <w:rPr>
          <w:rFonts w:ascii="宋体" w:hAnsi="宋体" w:cs="宋体" w:eastAsia="宋体" w:hint="default"/>
          <w:sz w:val="24"/>
          <w:szCs w:val="24"/>
        </w:rPr>
      </w:pPr>
    </w:p>
    <w:p>
      <w:pPr>
        <w:pStyle w:val="Heading6"/>
        <w:spacing w:line="240" w:lineRule="auto" w:before="36"/>
        <w:ind w:left="473" w:right="1129"/>
        <w:jc w:val="left"/>
      </w:pPr>
      <w:r>
        <w:rPr/>
        <w:t>将降低债务人按合同规定期限还款的经济动机或者影响违约概率；</w:t>
      </w:r>
    </w:p>
    <w:p>
      <w:pPr>
        <w:pStyle w:val="Heading6"/>
        <w:spacing w:line="240" w:lineRule="auto" w:before="37"/>
        <w:ind w:left="809" w:right="1129"/>
        <w:jc w:val="left"/>
      </w:pPr>
      <w:r>
        <w:rPr>
          <w:rFonts w:ascii="Times New Roman" w:hAnsi="Times New Roman" w:cs="Times New Roman" w:eastAsia="Times New Roman" w:hint="default"/>
        </w:rPr>
        <w:t>4</w:t>
      </w:r>
      <w:r>
        <w:rPr/>
        <w:t>）债务人预期表现和还款行为是否发生显著变化；</w:t>
      </w:r>
    </w:p>
    <w:p>
      <w:pPr>
        <w:pStyle w:val="Heading6"/>
        <w:spacing w:line="256" w:lineRule="auto" w:before="21"/>
        <w:ind w:left="893" w:right="1129" w:hanging="84"/>
        <w:jc w:val="left"/>
      </w:pPr>
      <w:r>
        <w:rPr>
          <w:rFonts w:ascii="Times New Roman" w:hAnsi="Times New Roman" w:cs="Times New Roman" w:eastAsia="Times New Roman" w:hint="default"/>
        </w:rPr>
        <w:t>5</w:t>
      </w:r>
      <w:r>
        <w:rPr/>
        <w:t>）本公司对金融工具信用管理方法是否发生变化等。</w:t>
      </w:r>
      <w:r>
        <w:rPr>
          <w:w w:val="100"/>
        </w:rPr>
        <w:t> </w:t>
      </w:r>
      <w:r>
        <w:rPr>
          <w:spacing w:val="-2"/>
        </w:rPr>
        <w:t>于资产负债表日，若本公司判断金融工具只具有较低的信用风险，则本公司假定该金融工具的信用风</w:t>
      </w:r>
    </w:p>
    <w:p>
      <w:pPr>
        <w:pStyle w:val="Heading6"/>
        <w:spacing w:line="273" w:lineRule="auto" w:before="22"/>
        <w:ind w:left="473" w:right="1126"/>
        <w:jc w:val="both"/>
      </w:pPr>
      <w:r>
        <w:rPr>
          <w:spacing w:val="-2"/>
        </w:rPr>
        <w:t>险自初始确认后并未显著增加。如果金融工具的违约风险较低，借款人在短期内履行其合同现金流量义务</w:t>
      </w:r>
      <w:r>
        <w:rPr>
          <w:spacing w:val="-43"/>
        </w:rPr>
        <w:t> </w:t>
      </w:r>
      <w:r>
        <w:rPr>
          <w:spacing w:val="-43"/>
        </w:rPr>
      </w:r>
      <w:r>
        <w:rPr>
          <w:spacing w:val="-2"/>
        </w:rPr>
        <w:t>的能力很强，并且即使较长时期内经济形势和经营环境存在不利变化，但未必一定降低借款人履行其合同</w:t>
      </w:r>
      <w:r>
        <w:rPr>
          <w:spacing w:val="-43"/>
        </w:rPr>
        <w:t> </w:t>
      </w:r>
      <w:r>
        <w:rPr>
          <w:spacing w:val="-43"/>
        </w:rPr>
      </w:r>
      <w:r>
        <w:rPr/>
        <w:t>现金流量义务的能力，则该金融工具被视为具有较低的信用风险。</w:t>
      </w:r>
    </w:p>
    <w:p>
      <w:pPr>
        <w:pStyle w:val="Heading6"/>
        <w:spacing w:line="256" w:lineRule="auto"/>
        <w:ind w:left="893" w:right="1129" w:hanging="84"/>
        <w:jc w:val="left"/>
      </w:pPr>
      <w:r>
        <w:rPr/>
        <w:t>（</w:t>
      </w:r>
      <w:r>
        <w:rPr>
          <w:rFonts w:ascii="Times New Roman" w:hAnsi="Times New Roman" w:cs="Times New Roman" w:eastAsia="Times New Roman" w:hint="default"/>
        </w:rPr>
        <w:t>2</w:t>
      </w:r>
      <w:r>
        <w:rPr/>
        <w:t>）已发生信用减值的金融资产</w:t>
      </w:r>
      <w:r>
        <w:rPr>
          <w:spacing w:val="-103"/>
        </w:rPr>
        <w:t> </w:t>
      </w:r>
      <w:r>
        <w:rPr>
          <w:spacing w:val="-103"/>
        </w:rPr>
      </w:r>
      <w:r>
        <w:rPr>
          <w:spacing w:val="-2"/>
        </w:rPr>
        <w:t>当对金融资产预期未来现金流量具有不利影响的一项或多项事件发生时，该金融资产成为已发生信用</w:t>
      </w:r>
    </w:p>
    <w:p>
      <w:pPr>
        <w:pStyle w:val="Heading6"/>
        <w:tabs>
          <w:tab w:pos="809" w:val="left" w:leader="none"/>
        </w:tabs>
        <w:spacing w:line="273" w:lineRule="auto" w:before="22"/>
        <w:ind w:left="112" w:right="4045" w:firstLine="360"/>
        <w:jc w:val="left"/>
      </w:pPr>
      <w:r>
        <w:rPr>
          <w:spacing w:val="-2"/>
        </w:rPr>
        <w:t>减值的金融资产。金融资产已发生信用减值的证据包括下列可观察信息：</w:t>
      </w:r>
      <w:r>
        <w:rPr>
          <w:w w:val="100"/>
        </w:rPr>
        <w:t> </w:t>
      </w:r>
      <w:r>
        <w:rPr>
          <w:rFonts w:ascii="宋体" w:hAnsi="宋体" w:cs="宋体" w:eastAsia="宋体" w:hint="default"/>
        </w:rPr>
        <w:t>1.</w:t>
        <w:tab/>
      </w:r>
      <w:r>
        <w:rPr>
          <w:rFonts w:ascii="Times New Roman" w:hAnsi="Times New Roman" w:cs="Times New Roman" w:eastAsia="Times New Roman" w:hint="default"/>
        </w:rPr>
        <w:t>1</w:t>
      </w:r>
      <w:r>
        <w:rPr/>
        <w:t>）发行方或债务人发生重大财务困难；</w:t>
      </w:r>
    </w:p>
    <w:p>
      <w:pPr>
        <w:pStyle w:val="Heading6"/>
        <w:tabs>
          <w:tab w:pos="809" w:val="left" w:leader="none"/>
        </w:tabs>
        <w:spacing w:line="279" w:lineRule="exact" w:before="0"/>
        <w:ind w:left="112" w:right="1129"/>
        <w:jc w:val="left"/>
      </w:pPr>
      <w:r>
        <w:rPr>
          <w:rFonts w:ascii="宋体" w:hAnsi="宋体" w:cs="宋体" w:eastAsia="宋体" w:hint="default"/>
        </w:rPr>
        <w:t>2.</w:t>
        <w:tab/>
      </w:r>
      <w:r>
        <w:rPr>
          <w:rFonts w:ascii="Times New Roman" w:hAnsi="Times New Roman" w:cs="Times New Roman" w:eastAsia="Times New Roman" w:hint="default"/>
        </w:rPr>
        <w:t>2</w:t>
      </w:r>
      <w:r>
        <w:rPr/>
        <w:t>）债务人违反合同，如偿付利息或本金违约或逾期等；</w:t>
      </w:r>
    </w:p>
    <w:p>
      <w:pPr>
        <w:pStyle w:val="Heading6"/>
        <w:tabs>
          <w:tab w:pos="809" w:val="left" w:leader="none"/>
        </w:tabs>
        <w:spacing w:line="256" w:lineRule="auto" w:before="21"/>
        <w:ind w:left="473" w:right="1129" w:hanging="361"/>
        <w:jc w:val="left"/>
      </w:pPr>
      <w:r>
        <w:rPr>
          <w:rFonts w:ascii="宋体" w:hAnsi="宋体" w:cs="宋体" w:eastAsia="宋体" w:hint="default"/>
        </w:rPr>
        <w:t>3.</w:t>
        <w:tab/>
        <w:tab/>
      </w:r>
      <w:r>
        <w:rPr>
          <w:rFonts w:ascii="Times New Roman" w:hAnsi="Times New Roman" w:cs="Times New Roman" w:eastAsia="Times New Roman" w:hint="default"/>
          <w:spacing w:val="-3"/>
        </w:rPr>
        <w:t>3</w:t>
      </w:r>
      <w:r>
        <w:rPr>
          <w:spacing w:val="-3"/>
        </w:rPr>
        <w:t>）债权人出于与债务人财务困难有关的经济或合同考虑，给予债务人在任何其他情况下都不会做出的</w:t>
      </w:r>
      <w:r>
        <w:rPr>
          <w:spacing w:val="-21"/>
        </w:rPr>
        <w:t> </w:t>
      </w:r>
      <w:r>
        <w:rPr>
          <w:spacing w:val="-21"/>
        </w:rPr>
      </w:r>
      <w:r>
        <w:rPr/>
        <w:t>让步；</w:t>
      </w:r>
    </w:p>
    <w:p>
      <w:pPr>
        <w:pStyle w:val="Heading6"/>
        <w:tabs>
          <w:tab w:pos="809" w:val="left" w:leader="none"/>
        </w:tabs>
        <w:spacing w:line="240" w:lineRule="auto" w:before="22"/>
        <w:ind w:left="112" w:right="1129"/>
        <w:jc w:val="left"/>
      </w:pPr>
      <w:r>
        <w:rPr>
          <w:rFonts w:ascii="宋体" w:hAnsi="宋体" w:cs="宋体" w:eastAsia="宋体" w:hint="default"/>
        </w:rPr>
        <w:t>4.</w:t>
        <w:tab/>
      </w:r>
      <w:r>
        <w:rPr>
          <w:rFonts w:ascii="Times New Roman" w:hAnsi="Times New Roman" w:cs="Times New Roman" w:eastAsia="Times New Roman" w:hint="default"/>
        </w:rPr>
        <w:t>4</w:t>
      </w:r>
      <w:r>
        <w:rPr/>
        <w:t>）债务人很可能破产或进行其他财务重组；</w:t>
      </w:r>
    </w:p>
    <w:p>
      <w:pPr>
        <w:pStyle w:val="Heading6"/>
        <w:spacing w:line="240" w:lineRule="auto" w:before="21"/>
        <w:ind w:left="112" w:right="1129"/>
        <w:jc w:val="left"/>
      </w:pPr>
      <w:r>
        <w:rPr>
          <w:rFonts w:ascii="宋体" w:hAnsi="宋体" w:cs="宋体" w:eastAsia="宋体" w:hint="default"/>
        </w:rPr>
        <w:t>5.</w:t>
      </w:r>
      <w:r>
        <w:rPr>
          <w:rFonts w:ascii="宋体" w:hAnsi="宋体" w:cs="宋体" w:eastAsia="宋体" w:hint="default"/>
          <w:spacing w:val="43"/>
        </w:rPr>
        <w:t> </w:t>
      </w:r>
      <w:r>
        <w:rPr/>
        <w:t>发行方或债务人财务困难导致该金融资产的活跃市场消失；</w:t>
      </w:r>
    </w:p>
    <w:p>
      <w:pPr>
        <w:pStyle w:val="Heading6"/>
        <w:spacing w:line="273" w:lineRule="auto" w:before="37"/>
        <w:ind w:left="893" w:right="1129" w:hanging="781"/>
        <w:jc w:val="left"/>
      </w:pPr>
      <w:r>
        <w:rPr>
          <w:rFonts w:ascii="宋体" w:hAnsi="宋体" w:cs="宋体" w:eastAsia="宋体" w:hint="default"/>
        </w:rPr>
        <w:t>6.</w:t>
      </w:r>
      <w:r>
        <w:rPr>
          <w:rFonts w:ascii="宋体" w:hAnsi="宋体" w:cs="宋体" w:eastAsia="宋体" w:hint="default"/>
          <w:spacing w:val="43"/>
        </w:rPr>
        <w:t> </w:t>
      </w:r>
      <w:r>
        <w:rPr/>
        <w:t>以大幅折扣购买或源生一项金融资产，该折扣反映了发生信用损失的事实。</w:t>
      </w:r>
      <w:r>
        <w:rPr>
          <w:w w:val="100"/>
        </w:rPr>
        <w:t> </w:t>
      </w:r>
      <w:r>
        <w:rPr>
          <w:spacing w:val="-2"/>
        </w:rPr>
        <w:t>金融资产发生信用减值，有可能是多个事件的共同作用所致，未必是可单独识别的事件所致。</w:t>
      </w:r>
    </w:p>
    <w:p>
      <w:pPr>
        <w:pStyle w:val="Heading6"/>
        <w:spacing w:line="256" w:lineRule="auto" w:before="127"/>
        <w:ind w:left="893" w:right="1129" w:hanging="84"/>
        <w:jc w:val="left"/>
      </w:pPr>
      <w:r>
        <w:rPr/>
        <w:t>（</w:t>
      </w:r>
      <w:r>
        <w:rPr>
          <w:rFonts w:ascii="Times New Roman" w:hAnsi="Times New Roman" w:cs="Times New Roman" w:eastAsia="Times New Roman" w:hint="default"/>
        </w:rPr>
        <w:t>3</w:t>
      </w:r>
      <w:r>
        <w:rPr/>
        <w:t>）预期信用损失的确定</w:t>
      </w:r>
      <w:r>
        <w:rPr>
          <w:w w:val="100"/>
        </w:rPr>
        <w:t> </w:t>
      </w:r>
      <w:r>
        <w:rPr>
          <w:spacing w:val="-2"/>
        </w:rPr>
        <w:t>本公司基于单项和组合评估金融工具的预期信用损失，在评估预期信用损失时，考虑有关过去事项、</w:t>
      </w:r>
    </w:p>
    <w:p>
      <w:pPr>
        <w:pStyle w:val="Heading6"/>
        <w:spacing w:line="273" w:lineRule="auto" w:before="22"/>
        <w:ind w:left="893" w:right="0" w:hanging="420"/>
        <w:jc w:val="left"/>
      </w:pPr>
      <w:r>
        <w:rPr/>
        <w:t>当前状况以及未来经济状况预测的合理且有依据的信息。</w:t>
      </w:r>
      <w:r>
        <w:rPr>
          <w:w w:val="100"/>
        </w:rPr>
        <w:t> </w:t>
      </w:r>
      <w:r>
        <w:rPr>
          <w:spacing w:val="-5"/>
        </w:rPr>
        <w:t>本公司以共同信用风险特征为依据，将金融工具分为不同组合。本公司采用的共同信用风险特征包括：</w:t>
      </w:r>
    </w:p>
    <w:p>
      <w:pPr>
        <w:pStyle w:val="Heading6"/>
        <w:spacing w:line="273" w:lineRule="auto"/>
        <w:ind w:left="473" w:right="1126"/>
        <w:jc w:val="both"/>
      </w:pPr>
      <w:r>
        <w:rPr>
          <w:spacing w:val="-2"/>
        </w:rPr>
        <w:t>金融工具类型、账龄组合等。相关金融工具的单项评估标准和组合信用风险特征详见相关金融工具的会计</w:t>
      </w:r>
      <w:r>
        <w:rPr>
          <w:spacing w:val="-43"/>
        </w:rPr>
        <w:t> </w:t>
      </w:r>
      <w:r>
        <w:rPr>
          <w:spacing w:val="-43"/>
        </w:rPr>
      </w:r>
      <w:r>
        <w:rPr/>
        <w:t>政策。</w:t>
      </w:r>
    </w:p>
    <w:p>
      <w:pPr>
        <w:pStyle w:val="Heading6"/>
        <w:spacing w:line="240" w:lineRule="auto"/>
        <w:ind w:left="893" w:right="1129"/>
        <w:jc w:val="left"/>
      </w:pPr>
      <w:r>
        <w:rPr/>
        <w:t>本公司按照下列方法确定相关金融工具的预期信用损失：</w:t>
      </w:r>
    </w:p>
    <w:p>
      <w:pPr>
        <w:pStyle w:val="Heading6"/>
        <w:spacing w:line="240" w:lineRule="auto" w:before="37"/>
        <w:ind w:left="893" w:right="0"/>
        <w:jc w:val="left"/>
      </w:pPr>
      <w:r>
        <w:rPr>
          <w:rFonts w:ascii="Times New Roman" w:hAnsi="Times New Roman" w:cs="Times New Roman" w:eastAsia="Times New Roman" w:hint="default"/>
        </w:rPr>
        <w:t>1</w:t>
      </w:r>
      <w:r>
        <w:rPr/>
        <w:t>）对于金融资产，信用损失为本公司应收取的合同现金流量与预期收取的现金流量之间差额的现值。</w:t>
      </w:r>
    </w:p>
    <w:p>
      <w:pPr>
        <w:pStyle w:val="Heading6"/>
        <w:spacing w:line="256" w:lineRule="auto" w:before="21"/>
        <w:ind w:left="473" w:right="1129" w:firstLine="420"/>
        <w:jc w:val="left"/>
      </w:pPr>
      <w:r>
        <w:rPr>
          <w:rFonts w:ascii="Times New Roman" w:hAnsi="Times New Roman" w:cs="Times New Roman" w:eastAsia="Times New Roman" w:hint="default"/>
        </w:rPr>
        <w:t>2</w:t>
      </w:r>
      <w:r>
        <w:rPr/>
        <w:t>）对于财务担保合同，信用损失为本公司就该合同持有人发生的信用损失向其做出赔付的预计付款</w:t>
      </w:r>
      <w:r>
        <w:rPr>
          <w:w w:val="100"/>
        </w:rPr>
        <w:t> </w:t>
      </w:r>
      <w:r>
        <w:rPr/>
        <w:t>额，减去本公司预期向该合同持有人、债务人或任何其他方收取的金额之间差额的现值。</w:t>
      </w:r>
    </w:p>
    <w:p>
      <w:pPr>
        <w:pStyle w:val="Heading6"/>
        <w:spacing w:line="259" w:lineRule="auto" w:before="22"/>
        <w:ind w:left="473" w:right="1129" w:firstLine="420"/>
        <w:jc w:val="left"/>
      </w:pPr>
      <w:r>
        <w:rPr>
          <w:rFonts w:ascii="Times New Roman" w:hAnsi="Times New Roman" w:cs="Times New Roman" w:eastAsia="Times New Roman" w:hint="default"/>
        </w:rPr>
        <w:t>3</w:t>
      </w:r>
      <w:r>
        <w:rPr/>
        <w:t>）对于资产负债表日已发生信用减值但并非购买或源生已发生信用减值的金融资产，信用损失为该</w:t>
      </w:r>
      <w:r>
        <w:rPr>
          <w:w w:val="100"/>
        </w:rPr>
        <w:t> </w:t>
      </w:r>
      <w:r>
        <w:rPr/>
        <w:t>金融资产账面余额与按原实际利率折现的估计未来现金流量的现值之间的差额。</w:t>
      </w:r>
    </w:p>
    <w:p>
      <w:pPr>
        <w:pStyle w:val="Heading6"/>
        <w:spacing w:line="273" w:lineRule="auto" w:before="20"/>
        <w:ind w:left="473" w:right="1126" w:firstLine="420"/>
        <w:jc w:val="both"/>
      </w:pPr>
      <w:r>
        <w:rPr>
          <w:spacing w:val="-2"/>
        </w:rPr>
        <w:t>本公司计量金融工具预期信用损失的方法反映的因素包括：通过评价一系列可能的结果而确定的无偏</w:t>
      </w:r>
      <w:r>
        <w:rPr>
          <w:w w:val="100"/>
        </w:rPr>
        <w:t> </w:t>
      </w:r>
      <w:r>
        <w:rPr>
          <w:spacing w:val="-2"/>
        </w:rPr>
        <w:t>概率加权平均金额；货币时间价值；在资产负债表日无须付出不必要的额外成本或努力即可获得的有关过</w:t>
      </w:r>
      <w:r>
        <w:rPr>
          <w:spacing w:val="-42"/>
        </w:rPr>
        <w:t> </w:t>
      </w:r>
      <w:r>
        <w:rPr>
          <w:spacing w:val="-42"/>
        </w:rPr>
      </w:r>
      <w:r>
        <w:rPr/>
        <w:t>去事项、当前状况以及未来经济状况预测的合理且有依据的信息。</w:t>
      </w:r>
    </w:p>
    <w:p>
      <w:pPr>
        <w:pStyle w:val="Heading6"/>
        <w:spacing w:line="256" w:lineRule="auto" w:before="127"/>
        <w:ind w:left="893" w:right="1129" w:hanging="84"/>
        <w:jc w:val="left"/>
      </w:pPr>
      <w:r>
        <w:rPr/>
        <w:t>（</w:t>
      </w:r>
      <w:r>
        <w:rPr>
          <w:rFonts w:ascii="Times New Roman" w:hAnsi="Times New Roman" w:cs="Times New Roman" w:eastAsia="Times New Roman" w:hint="default"/>
        </w:rPr>
        <w:t>4</w:t>
      </w:r>
      <w:r>
        <w:rPr/>
        <w:t>）减记金融资产</w:t>
      </w:r>
      <w:r>
        <w:rPr>
          <w:w w:val="100"/>
        </w:rPr>
        <w:t> </w:t>
      </w:r>
      <w:r>
        <w:rPr>
          <w:spacing w:val="-2"/>
        </w:rPr>
        <w:t>当本公司不再合理预期金融资产合同现金流量能够全部或部分收回的，直接减记该金融资产的账面余</w:t>
      </w:r>
    </w:p>
    <w:p>
      <w:pPr>
        <w:pStyle w:val="Heading6"/>
        <w:spacing w:line="260" w:lineRule="exact" w:before="22"/>
        <w:ind w:left="473" w:right="1129"/>
        <w:jc w:val="left"/>
      </w:pPr>
      <w:r>
        <w:rPr/>
        <w:t>额。这种减记构成相关金融资产的终止确认。</w:t>
      </w:r>
    </w:p>
    <w:p>
      <w:pPr>
        <w:spacing w:line="312" w:lineRule="exact" w:before="47"/>
        <w:ind w:left="893" w:right="1129"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金融资产及金融负债的抵销</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金融资产和金融负债在资产负债表内分别列示，没有相互抵销。但是，同时满足下列条件的，以相互</w:t>
      </w:r>
    </w:p>
    <w:p>
      <w:pPr>
        <w:pStyle w:val="Heading6"/>
        <w:spacing w:line="240" w:lineRule="auto" w:before="4"/>
        <w:ind w:left="473" w:right="1129"/>
        <w:jc w:val="left"/>
      </w:pPr>
      <w:r>
        <w:rPr/>
        <w:t>抵销后的净额在资产负债表内列示：</w:t>
      </w:r>
    </w:p>
    <w:p>
      <w:pPr>
        <w:pStyle w:val="Heading6"/>
        <w:spacing w:line="240" w:lineRule="auto" w:before="37"/>
        <w:ind w:left="893" w:right="1129"/>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Heading6"/>
        <w:spacing w:line="240" w:lineRule="auto" w:before="21"/>
        <w:ind w:left="893" w:right="1129"/>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after="0" w:line="240" w:lineRule="auto"/>
        <w:jc w:val="left"/>
        <w:sectPr>
          <w:pgSz w:w="11910" w:h="16840"/>
          <w:pgMar w:header="745" w:footer="979" w:top="1060" w:bottom="1160" w:left="66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6"/>
        <w:spacing w:line="256" w:lineRule="auto" w:before="0"/>
        <w:ind w:left="573" w:right="1033"/>
        <w:jc w:val="left"/>
      </w:pPr>
      <w:r>
        <w:rPr>
          <w:spacing w:val="-3"/>
        </w:rPr>
        <w:t>本公司对应收票据的预期信用损失的确定方法及会计处理方法详见本附注五、（</w:t>
      </w: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6.</w:t>
      </w:r>
      <w:r>
        <w:rPr>
          <w:spacing w:val="-3"/>
        </w:rPr>
        <w:t>金融工具减值。</w:t>
      </w:r>
      <w:r>
        <w:rPr>
          <w:spacing w:val="-49"/>
        </w:rPr>
        <w:t> </w:t>
      </w:r>
      <w:r>
        <w:rPr>
          <w:spacing w:val="-49"/>
        </w:rPr>
      </w:r>
      <w:r>
        <w:rPr/>
        <w:t>当在单项工具层面无法以合理成本评估预期信用损失的充分证据时，本公司参考历史信用损失经验，</w:t>
      </w:r>
    </w:p>
    <w:p>
      <w:pPr>
        <w:pStyle w:val="Heading6"/>
        <w:spacing w:line="273" w:lineRule="auto" w:before="22"/>
        <w:ind w:right="1033"/>
        <w:jc w:val="left"/>
      </w:pPr>
      <w:r>
        <w:rPr>
          <w:spacing w:val="-2"/>
        </w:rPr>
        <w:t>结合当前状况以及对未来经济状况的判断，依据信用风险特征将应收票据划分为若干组合，在组合基础上</w:t>
      </w:r>
      <w:r>
        <w:rPr>
          <w:spacing w:val="-43"/>
        </w:rPr>
        <w:t> </w:t>
      </w:r>
      <w:r>
        <w:rPr>
          <w:spacing w:val="-43"/>
        </w:rPr>
      </w:r>
      <w:r>
        <w:rPr/>
        <w:t>计算预期信用损失。确定组合的依据如下：</w:t>
      </w:r>
    </w:p>
    <w:p>
      <w:pPr>
        <w:spacing w:line="240" w:lineRule="auto" w:before="5"/>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960"/>
        <w:gridCol w:w="4103"/>
        <w:gridCol w:w="3466"/>
      </w:tblGrid>
      <w:tr>
        <w:trPr>
          <w:trHeight w:val="353" w:hRule="exact"/>
        </w:trPr>
        <w:tc>
          <w:tcPr>
            <w:tcW w:w="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1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1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3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977" w:hRule="exact"/>
        </w:trPr>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8"/>
              <w:jc w:val="left"/>
              <w:rPr>
                <w:rFonts w:ascii="宋体" w:hAnsi="宋体" w:cs="宋体" w:eastAsia="宋体" w:hint="default"/>
                <w:sz w:val="18"/>
                <w:szCs w:val="18"/>
              </w:rPr>
            </w:pPr>
            <w:r>
              <w:rPr>
                <w:rFonts w:ascii="宋体" w:hAnsi="宋体" w:cs="宋体" w:eastAsia="宋体" w:hint="default"/>
                <w:spacing w:val="9"/>
                <w:sz w:val="18"/>
                <w:szCs w:val="18"/>
              </w:rPr>
              <w:t>银行承兑票 </w:t>
            </w:r>
            <w:r>
              <w:rPr>
                <w:rFonts w:ascii="宋体" w:hAnsi="宋体" w:cs="宋体" w:eastAsia="宋体" w:hint="default"/>
                <w:sz w:val="18"/>
                <w:szCs w:val="18"/>
              </w:rPr>
              <w:t>据组合</w:t>
            </w:r>
          </w:p>
        </w:tc>
        <w:tc>
          <w:tcPr>
            <w:tcW w:w="4103"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1"/>
              <w:jc w:val="both"/>
              <w:rPr>
                <w:rFonts w:ascii="宋体" w:hAnsi="宋体" w:cs="宋体" w:eastAsia="宋体" w:hint="default"/>
                <w:sz w:val="18"/>
                <w:szCs w:val="18"/>
              </w:rPr>
            </w:pPr>
            <w:r>
              <w:rPr>
                <w:rFonts w:ascii="宋体" w:hAnsi="宋体" w:cs="宋体" w:eastAsia="宋体" w:hint="default"/>
                <w:spacing w:val="5"/>
                <w:sz w:val="18"/>
                <w:szCs w:val="18"/>
              </w:rPr>
              <w:t>出票人具有较高的信用评级，历史上未发生票据违</w:t>
            </w:r>
            <w:r>
              <w:rPr>
                <w:rFonts w:ascii="宋体" w:hAnsi="宋体" w:cs="宋体" w:eastAsia="宋体" w:hint="default"/>
                <w:sz w:val="18"/>
                <w:szCs w:val="18"/>
              </w:rPr>
              <w:t> </w:t>
            </w:r>
            <w:r>
              <w:rPr>
                <w:rFonts w:ascii="宋体" w:hAnsi="宋体" w:cs="宋体" w:eastAsia="宋体" w:hint="default"/>
                <w:spacing w:val="-3"/>
                <w:sz w:val="18"/>
                <w:szCs w:val="18"/>
              </w:rPr>
              <w:t>约，信用损失风险极低，在短期内履行其支付合同现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金流量义务的能力很强</w:t>
            </w:r>
          </w:p>
        </w:tc>
        <w:tc>
          <w:tcPr>
            <w:tcW w:w="3466" w:type="dxa"/>
            <w:vMerge w:val="restart"/>
            <w:tcBorders>
              <w:top w:val="single" w:sz="12" w:space="0" w:color="000000"/>
              <w:left w:val="single" w:sz="6" w:space="0" w:color="000000"/>
              <w:right w:val="single" w:sz="6" w:space="0" w:color="000000"/>
            </w:tcBorders>
          </w:tcPr>
          <w:p>
            <w:pPr>
              <w:pStyle w:val="TableParagraph"/>
              <w:spacing w:line="316" w:lineRule="auto" w:before="10"/>
              <w:ind w:left="2" w:right="1"/>
              <w:jc w:val="left"/>
              <w:rPr>
                <w:rFonts w:ascii="宋体" w:hAnsi="宋体" w:cs="宋体" w:eastAsia="宋体" w:hint="default"/>
                <w:sz w:val="18"/>
                <w:szCs w:val="18"/>
              </w:rPr>
            </w:pPr>
            <w:r>
              <w:rPr>
                <w:rFonts w:ascii="宋体" w:hAnsi="宋体" w:cs="宋体" w:eastAsia="宋体" w:hint="default"/>
                <w:sz w:val="18"/>
                <w:szCs w:val="18"/>
              </w:rPr>
              <w:t>参考历史信用损失经验，结合当期状况以及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对未来经济状况的预期计提坏账准备。</w:t>
            </w:r>
          </w:p>
        </w:tc>
      </w:tr>
      <w:tr>
        <w:trPr>
          <w:trHeight w:val="665" w:hRule="exact"/>
        </w:trPr>
        <w:tc>
          <w:tcPr>
            <w:tcW w:w="96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8"/>
              <w:jc w:val="left"/>
              <w:rPr>
                <w:rFonts w:ascii="宋体" w:hAnsi="宋体" w:cs="宋体" w:eastAsia="宋体" w:hint="default"/>
                <w:sz w:val="18"/>
                <w:szCs w:val="18"/>
              </w:rPr>
            </w:pPr>
            <w:r>
              <w:rPr>
                <w:rFonts w:ascii="宋体" w:hAnsi="宋体" w:cs="宋体" w:eastAsia="宋体" w:hint="default"/>
                <w:spacing w:val="9"/>
                <w:sz w:val="18"/>
                <w:szCs w:val="18"/>
              </w:rPr>
              <w:t>商业承兑汇 </w:t>
            </w:r>
            <w:r>
              <w:rPr>
                <w:rFonts w:ascii="宋体" w:hAnsi="宋体" w:cs="宋体" w:eastAsia="宋体" w:hint="default"/>
                <w:sz w:val="18"/>
                <w:szCs w:val="18"/>
              </w:rPr>
              <w:t>票组合</w:t>
            </w:r>
          </w:p>
        </w:tc>
        <w:tc>
          <w:tcPr>
            <w:tcW w:w="410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1"/>
              <w:jc w:val="left"/>
              <w:rPr>
                <w:rFonts w:ascii="宋体" w:hAnsi="宋体" w:cs="宋体" w:eastAsia="宋体" w:hint="default"/>
                <w:sz w:val="18"/>
                <w:szCs w:val="18"/>
              </w:rPr>
            </w:pPr>
            <w:r>
              <w:rPr>
                <w:rFonts w:ascii="宋体" w:hAnsi="宋体" w:cs="宋体" w:eastAsia="宋体" w:hint="default"/>
                <w:spacing w:val="-3"/>
                <w:sz w:val="18"/>
                <w:szCs w:val="18"/>
              </w:rPr>
              <w:t>出票人与银行相比信用评级较低，信用损失风险比银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行承兑票据高</w:t>
            </w:r>
          </w:p>
        </w:tc>
        <w:tc>
          <w:tcPr>
            <w:tcW w:w="3466" w:type="dxa"/>
            <w:vMerge/>
            <w:tcBorders>
              <w:left w:val="single" w:sz="6" w:space="0" w:color="000000"/>
              <w:bottom w:val="single" w:sz="12"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335" w:lineRule="exact"/>
        <w:ind w:right="1033"/>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6"/>
        <w:spacing w:line="266" w:lineRule="auto" w:before="0"/>
        <w:ind w:left="573" w:right="1033"/>
        <w:jc w:val="left"/>
      </w:pPr>
      <w:r>
        <w:rPr>
          <w:spacing w:val="-3"/>
        </w:rPr>
        <w:t>本公司对应收账款的预期信用损失的确定方法及会计处理方法详见本附注五、（</w:t>
      </w: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6.</w:t>
      </w:r>
      <w:r>
        <w:rPr>
          <w:spacing w:val="-3"/>
        </w:rPr>
        <w:t>金融工具减值。</w:t>
      </w:r>
      <w:r>
        <w:rPr>
          <w:spacing w:val="-49"/>
        </w:rPr>
        <w:t> </w:t>
      </w:r>
      <w:r>
        <w:rPr>
          <w:spacing w:val="-49"/>
        </w:rPr>
      </w:r>
      <w:r>
        <w:rPr/>
        <w:t>本公司在单项工具层面能以合理成本评估预期信用损失的充分证据的应收账款单独确定其信用损失。</w:t>
      </w:r>
      <w:r>
        <w:rPr>
          <w:w w:val="100"/>
        </w:rPr>
        <w:t> </w:t>
      </w:r>
      <w:r>
        <w:rPr/>
        <w:t>当在单项工具层面无法以合理成本评估预期信用损失的充分证据时，本公司参考历史信用损失经验，</w:t>
      </w:r>
    </w:p>
    <w:p>
      <w:pPr>
        <w:pStyle w:val="Heading6"/>
        <w:spacing w:line="273" w:lineRule="auto" w:before="14"/>
        <w:ind w:right="1033"/>
        <w:jc w:val="left"/>
      </w:pPr>
      <w:r>
        <w:rPr>
          <w:spacing w:val="-2"/>
        </w:rPr>
        <w:t>结合当前状况以及对未来经济状况的判断，依据信用风险特征将应收账款划分为若干组合，在组合基础上</w:t>
      </w:r>
      <w:r>
        <w:rPr>
          <w:spacing w:val="-43"/>
        </w:rPr>
        <w:t> </w:t>
      </w:r>
      <w:r>
        <w:rPr>
          <w:spacing w:val="-43"/>
        </w:rPr>
      </w:r>
      <w:r>
        <w:rPr/>
        <w:t>计算预期信用损失。确定组合的依据如下：</w:t>
      </w:r>
    </w:p>
    <w:tbl>
      <w:tblPr>
        <w:tblW w:w="0" w:type="auto"/>
        <w:jc w:val="left"/>
        <w:tblInd w:w="146" w:type="dxa"/>
        <w:tblLayout w:type="fixed"/>
        <w:tblCellMar>
          <w:top w:w="0" w:type="dxa"/>
          <w:left w:w="0" w:type="dxa"/>
          <w:bottom w:w="0" w:type="dxa"/>
          <w:right w:w="0" w:type="dxa"/>
        </w:tblCellMar>
        <w:tblLook w:val="01E0"/>
      </w:tblPr>
      <w:tblGrid>
        <w:gridCol w:w="1344"/>
        <w:gridCol w:w="4475"/>
        <w:gridCol w:w="2710"/>
      </w:tblGrid>
      <w:tr>
        <w:trPr>
          <w:trHeight w:val="355" w:hRule="exact"/>
        </w:trPr>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4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596"/>
              <w:jc w:val="right"/>
              <w:rPr>
                <w:rFonts w:ascii="宋体" w:hAnsi="宋体" w:cs="宋体" w:eastAsia="宋体" w:hint="default"/>
                <w:sz w:val="18"/>
                <w:szCs w:val="18"/>
              </w:rPr>
            </w:pPr>
            <w:r>
              <w:rPr>
                <w:rFonts w:ascii="宋体" w:hAnsi="宋体" w:cs="宋体" w:eastAsia="宋体" w:hint="default"/>
                <w:sz w:val="18"/>
                <w:szCs w:val="18"/>
              </w:rPr>
              <w:t>确定组合的依据</w:t>
            </w:r>
          </w:p>
        </w:tc>
        <w:tc>
          <w:tcPr>
            <w:tcW w:w="27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977" w:hRule="exact"/>
        </w:trPr>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pacing w:val="8"/>
                <w:sz w:val="18"/>
                <w:szCs w:val="18"/>
              </w:rPr>
              <w:t>组合一：合并范</w:t>
            </w:r>
            <w:r>
              <w:rPr>
                <w:rFonts w:ascii="宋体" w:hAnsi="宋体" w:cs="宋体" w:eastAsia="宋体" w:hint="default"/>
                <w:sz w:val="18"/>
                <w:szCs w:val="18"/>
              </w:rPr>
              <w:t> 围内关联方</w:t>
            </w:r>
          </w:p>
        </w:tc>
        <w:tc>
          <w:tcPr>
            <w:tcW w:w="44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573"/>
              <w:jc w:val="right"/>
              <w:rPr>
                <w:rFonts w:ascii="宋体" w:hAnsi="宋体" w:cs="宋体" w:eastAsia="宋体" w:hint="default"/>
                <w:sz w:val="18"/>
                <w:szCs w:val="18"/>
              </w:rPr>
            </w:pPr>
            <w:r>
              <w:rPr>
                <w:rFonts w:ascii="宋体" w:hAnsi="宋体" w:cs="宋体" w:eastAsia="宋体" w:hint="default"/>
                <w:sz w:val="18"/>
                <w:szCs w:val="18"/>
              </w:rPr>
              <w:t>合并范围内关联方在合并时进行抵销</w:t>
            </w:r>
          </w:p>
        </w:tc>
        <w:tc>
          <w:tcPr>
            <w:tcW w:w="2710"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7"/>
              <w:jc w:val="both"/>
              <w:rPr>
                <w:rFonts w:ascii="宋体" w:hAnsi="宋体" w:cs="宋体" w:eastAsia="宋体" w:hint="default"/>
                <w:sz w:val="18"/>
                <w:szCs w:val="18"/>
              </w:rPr>
            </w:pPr>
            <w:r>
              <w:rPr>
                <w:rFonts w:ascii="宋体" w:hAnsi="宋体" w:cs="宋体" w:eastAsia="宋体" w:hint="default"/>
                <w:spacing w:val="-1"/>
                <w:sz w:val="18"/>
                <w:szCs w:val="18"/>
              </w:rPr>
              <w:t>参考历史信用损失经验，结合当前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状况以及对未来经济状况的预期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计提坏账准备</w:t>
            </w:r>
          </w:p>
        </w:tc>
      </w:tr>
      <w:tr>
        <w:trPr>
          <w:trHeight w:val="665" w:hRule="exact"/>
        </w:trPr>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pacing w:val="8"/>
                <w:sz w:val="18"/>
                <w:szCs w:val="18"/>
              </w:rPr>
              <w:t>组合二：账龄组</w:t>
            </w:r>
            <w:r>
              <w:rPr>
                <w:rFonts w:ascii="宋体" w:hAnsi="宋体" w:cs="宋体" w:eastAsia="宋体" w:hint="default"/>
                <w:sz w:val="18"/>
                <w:szCs w:val="18"/>
              </w:rPr>
              <w:t> 合</w:t>
            </w:r>
          </w:p>
        </w:tc>
        <w:tc>
          <w:tcPr>
            <w:tcW w:w="447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7"/>
              <w:jc w:val="left"/>
              <w:rPr>
                <w:rFonts w:ascii="宋体" w:hAnsi="宋体" w:cs="宋体" w:eastAsia="宋体" w:hint="default"/>
                <w:sz w:val="18"/>
                <w:szCs w:val="18"/>
              </w:rPr>
            </w:pPr>
            <w:r>
              <w:rPr>
                <w:rFonts w:ascii="宋体" w:hAnsi="宋体" w:cs="宋体" w:eastAsia="宋体" w:hint="default"/>
                <w:spacing w:val="4"/>
                <w:sz w:val="18"/>
                <w:szCs w:val="18"/>
              </w:rPr>
              <w:t>本公司根据以往的历史经验对应收款项计提比例作出最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佳估计，参考应收款项的账龄进行信用风险组合分类</w:t>
            </w:r>
          </w:p>
        </w:tc>
        <w:tc>
          <w:tcPr>
            <w:tcW w:w="2710"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2" w:right="9"/>
              <w:jc w:val="left"/>
              <w:rPr>
                <w:rFonts w:ascii="宋体" w:hAnsi="宋体" w:cs="宋体" w:eastAsia="宋体" w:hint="default"/>
                <w:sz w:val="18"/>
                <w:szCs w:val="18"/>
              </w:rPr>
            </w:pPr>
            <w:r>
              <w:rPr>
                <w:rFonts w:ascii="宋体" w:hAnsi="宋体" w:cs="宋体" w:eastAsia="宋体" w:hint="default"/>
                <w:spacing w:val="11"/>
                <w:sz w:val="18"/>
                <w:szCs w:val="18"/>
              </w:rPr>
              <w:t>按账龄与整个存续期预期信用损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失率对照表计提</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6"/>
        <w:spacing w:line="256" w:lineRule="auto" w:before="0"/>
        <w:ind w:right="1033" w:firstLine="420"/>
        <w:jc w:val="left"/>
      </w:pPr>
      <w:r>
        <w:rPr>
          <w:spacing w:val="-1"/>
        </w:rPr>
        <w:t>本公司对应收款项融资的预期信用损失的确定方法及会计处理方法详见本附注五、（</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6.</w:t>
      </w:r>
      <w:r>
        <w:rPr>
          <w:spacing w:val="-1"/>
        </w:rPr>
        <w:t>金融工具</w:t>
      </w:r>
      <w:r>
        <w:rPr>
          <w:w w:val="100"/>
        </w:rPr>
        <w:t> </w:t>
      </w:r>
      <w:r>
        <w:rPr/>
        <w:t>减值。</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5"/>
        <w:spacing w:line="240" w:lineRule="auto"/>
        <w:ind w:right="1033"/>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t>其他应收款的预期信用损失的确定方法及会计处理方法</w:t>
      </w:r>
    </w:p>
    <w:p>
      <w:pPr>
        <w:pStyle w:val="Heading6"/>
        <w:spacing w:line="256" w:lineRule="auto" w:before="97"/>
        <w:ind w:right="1033" w:firstLine="420"/>
        <w:jc w:val="left"/>
      </w:pPr>
      <w:r>
        <w:rPr>
          <w:spacing w:val="-1"/>
        </w:rPr>
        <w:t>本公司对其他应收款的预期信用损失的确定方法及会计处理方法详见本附注五、（</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6.</w:t>
      </w:r>
      <w:r>
        <w:rPr>
          <w:spacing w:val="-1"/>
        </w:rPr>
        <w:t>金融工具减</w:t>
      </w:r>
      <w:r>
        <w:rPr>
          <w:w w:val="100"/>
        </w:rPr>
        <w:t> </w:t>
      </w:r>
      <w:r>
        <w:rPr/>
        <w:t>值。</w:t>
      </w:r>
    </w:p>
    <w:p>
      <w:pPr>
        <w:pStyle w:val="Heading6"/>
        <w:spacing w:line="273" w:lineRule="auto" w:before="22"/>
        <w:ind w:right="1033" w:firstLine="420"/>
        <w:jc w:val="left"/>
      </w:pPr>
      <w:r>
        <w:rPr>
          <w:spacing w:val="2"/>
        </w:rPr>
        <w:t>本公司对在单项工具层面能以合理成本评估预期信用损失的充分证据的其他应收款单独确定其信用</w:t>
      </w:r>
      <w:r>
        <w:rPr>
          <w:w w:val="100"/>
        </w:rPr>
        <w:t> </w:t>
      </w:r>
      <w:r>
        <w:rPr/>
        <w:t>损失。</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right="1104" w:firstLine="420"/>
        <w:jc w:val="both"/>
      </w:pPr>
      <w:r>
        <w:rPr>
          <w:spacing w:val="-2"/>
        </w:rPr>
        <w:t>当在单项工具层面无法以合理成本评估预期信用损失的充分证据时，本公司参考历史信用损失经验，</w:t>
      </w:r>
      <w:r>
        <w:rPr>
          <w:w w:val="100"/>
        </w:rPr>
        <w:t> </w:t>
      </w:r>
      <w:r>
        <w:rPr>
          <w:spacing w:val="-2"/>
        </w:rPr>
        <w:t>结合当前状况以及对未来经济状况的判断，依据信用风险特征将其他应收款划分为若干组合，在组合基础</w:t>
      </w:r>
      <w:r>
        <w:rPr>
          <w:spacing w:val="-44"/>
        </w:rPr>
        <w:t> </w:t>
      </w:r>
      <w:r>
        <w:rPr>
          <w:spacing w:val="-44"/>
        </w:rPr>
      </w:r>
      <w:r>
        <w:rPr/>
        <w:t>上计算预期信用损失。确定组合的依据如下：</w:t>
      </w:r>
    </w:p>
    <w:tbl>
      <w:tblPr>
        <w:tblW w:w="0" w:type="auto"/>
        <w:jc w:val="left"/>
        <w:tblInd w:w="138" w:type="dxa"/>
        <w:tblLayout w:type="fixed"/>
        <w:tblCellMar>
          <w:top w:w="0" w:type="dxa"/>
          <w:left w:w="0" w:type="dxa"/>
          <w:bottom w:w="0" w:type="dxa"/>
          <w:right w:w="0" w:type="dxa"/>
        </w:tblCellMar>
        <w:tblLook w:val="01E0"/>
      </w:tblPr>
      <w:tblGrid>
        <w:gridCol w:w="1344"/>
        <w:gridCol w:w="4475"/>
        <w:gridCol w:w="2710"/>
      </w:tblGrid>
      <w:tr>
        <w:trPr>
          <w:trHeight w:val="355" w:hRule="exact"/>
        </w:trPr>
        <w:tc>
          <w:tcPr>
            <w:tcW w:w="13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4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596"/>
              <w:jc w:val="right"/>
              <w:rPr>
                <w:rFonts w:ascii="宋体" w:hAnsi="宋体" w:cs="宋体" w:eastAsia="宋体" w:hint="default"/>
                <w:sz w:val="18"/>
                <w:szCs w:val="18"/>
              </w:rPr>
            </w:pPr>
            <w:r>
              <w:rPr>
                <w:rFonts w:ascii="宋体" w:hAnsi="宋体" w:cs="宋体" w:eastAsia="宋体" w:hint="default"/>
                <w:sz w:val="18"/>
                <w:szCs w:val="18"/>
              </w:rPr>
              <w:t>确定组合的依据</w:t>
            </w:r>
          </w:p>
        </w:tc>
        <w:tc>
          <w:tcPr>
            <w:tcW w:w="2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974" w:hRule="exact"/>
        </w:trPr>
        <w:tc>
          <w:tcPr>
            <w:tcW w:w="1344" w:type="dxa"/>
            <w:tcBorders>
              <w:top w:val="single" w:sz="12" w:space="0" w:color="000000"/>
              <w:left w:val="nil" w:sz="6" w:space="0" w:color="auto"/>
              <w:bottom w:val="single" w:sz="12" w:space="0" w:color="000000"/>
              <w:right w:val="single" w:sz="6" w:space="0" w:color="000000"/>
            </w:tcBorders>
          </w:tcPr>
          <w:p>
            <w:pPr>
              <w:pStyle w:val="TableParagraph"/>
              <w:spacing w:line="316" w:lineRule="auto" w:before="8"/>
              <w:ind w:left="12" w:right="1"/>
              <w:jc w:val="left"/>
              <w:rPr>
                <w:rFonts w:ascii="宋体" w:hAnsi="宋体" w:cs="宋体" w:eastAsia="宋体" w:hint="default"/>
                <w:sz w:val="18"/>
                <w:szCs w:val="18"/>
              </w:rPr>
            </w:pPr>
            <w:r>
              <w:rPr>
                <w:rFonts w:ascii="宋体" w:hAnsi="宋体" w:cs="宋体" w:eastAsia="宋体" w:hint="default"/>
                <w:spacing w:val="8"/>
                <w:sz w:val="18"/>
                <w:szCs w:val="18"/>
              </w:rPr>
              <w:t>组合一：合并范</w:t>
            </w:r>
            <w:r>
              <w:rPr>
                <w:rFonts w:ascii="宋体" w:hAnsi="宋体" w:cs="宋体" w:eastAsia="宋体" w:hint="default"/>
                <w:sz w:val="18"/>
                <w:szCs w:val="18"/>
              </w:rPr>
              <w:t> 围内关联方</w:t>
            </w:r>
          </w:p>
        </w:tc>
        <w:tc>
          <w:tcPr>
            <w:tcW w:w="44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573"/>
              <w:jc w:val="right"/>
              <w:rPr>
                <w:rFonts w:ascii="宋体" w:hAnsi="宋体" w:cs="宋体" w:eastAsia="宋体" w:hint="default"/>
                <w:sz w:val="18"/>
                <w:szCs w:val="18"/>
              </w:rPr>
            </w:pPr>
            <w:r>
              <w:rPr>
                <w:rFonts w:ascii="宋体" w:hAnsi="宋体" w:cs="宋体" w:eastAsia="宋体" w:hint="default"/>
                <w:sz w:val="18"/>
                <w:szCs w:val="18"/>
              </w:rPr>
              <w:t>合并范围内关联方在合并时进行抵销</w:t>
            </w:r>
          </w:p>
        </w:tc>
        <w:tc>
          <w:tcPr>
            <w:tcW w:w="271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0"/>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 </w:t>
            </w:r>
            <w:r>
              <w:rPr>
                <w:rFonts w:ascii="宋体" w:hAnsi="宋体" w:cs="宋体" w:eastAsia="宋体" w:hint="default"/>
                <w:spacing w:val="11"/>
                <w:sz w:val="18"/>
                <w:szCs w:val="18"/>
              </w:rPr>
              <w:t>状况以及对未来经济状况的预期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计提坏账准备</w:t>
            </w:r>
          </w:p>
        </w:tc>
      </w:tr>
      <w:tr>
        <w:trPr>
          <w:trHeight w:val="665" w:hRule="exact"/>
        </w:trPr>
        <w:tc>
          <w:tcPr>
            <w:tcW w:w="1344" w:type="dxa"/>
            <w:tcBorders>
              <w:top w:val="single" w:sz="12" w:space="0" w:color="000000"/>
              <w:left w:val="nil" w:sz="6" w:space="0" w:color="auto"/>
              <w:bottom w:val="single" w:sz="12" w:space="0" w:color="000000"/>
              <w:right w:val="single" w:sz="6" w:space="0" w:color="000000"/>
            </w:tcBorders>
          </w:tcPr>
          <w:p>
            <w:pPr>
              <w:pStyle w:val="TableParagraph"/>
              <w:spacing w:line="316" w:lineRule="auto" w:before="10"/>
              <w:ind w:left="12" w:right="1"/>
              <w:jc w:val="left"/>
              <w:rPr>
                <w:rFonts w:ascii="宋体" w:hAnsi="宋体" w:cs="宋体" w:eastAsia="宋体" w:hint="default"/>
                <w:sz w:val="18"/>
                <w:szCs w:val="18"/>
              </w:rPr>
            </w:pPr>
            <w:r>
              <w:rPr>
                <w:rFonts w:ascii="宋体" w:hAnsi="宋体" w:cs="宋体" w:eastAsia="宋体" w:hint="default"/>
                <w:spacing w:val="8"/>
                <w:sz w:val="18"/>
                <w:szCs w:val="18"/>
              </w:rPr>
              <w:t>组合二：账龄组</w:t>
            </w:r>
            <w:r>
              <w:rPr>
                <w:rFonts w:ascii="宋体" w:hAnsi="宋体" w:cs="宋体" w:eastAsia="宋体" w:hint="default"/>
                <w:sz w:val="18"/>
                <w:szCs w:val="18"/>
              </w:rPr>
              <w:t> 合</w:t>
            </w:r>
          </w:p>
        </w:tc>
        <w:tc>
          <w:tcPr>
            <w:tcW w:w="4475" w:type="dxa"/>
            <w:vMerge w:val="restart"/>
            <w:tcBorders>
              <w:top w:val="single" w:sz="12" w:space="0" w:color="000000"/>
              <w:left w:val="single" w:sz="6" w:space="0" w:color="000000"/>
              <w:right w:val="single" w:sz="6" w:space="0" w:color="000000"/>
            </w:tcBorders>
          </w:tcPr>
          <w:p>
            <w:pPr>
              <w:pStyle w:val="TableParagraph"/>
              <w:spacing w:line="316" w:lineRule="auto" w:before="10"/>
              <w:ind w:left="4" w:right="7"/>
              <w:jc w:val="left"/>
              <w:rPr>
                <w:rFonts w:ascii="宋体" w:hAnsi="宋体" w:cs="宋体" w:eastAsia="宋体" w:hint="default"/>
                <w:sz w:val="18"/>
                <w:szCs w:val="18"/>
              </w:rPr>
            </w:pPr>
            <w:r>
              <w:rPr>
                <w:rFonts w:ascii="宋体" w:hAnsi="宋体" w:cs="宋体" w:eastAsia="宋体" w:hint="default"/>
                <w:spacing w:val="4"/>
                <w:sz w:val="18"/>
                <w:szCs w:val="18"/>
              </w:rPr>
              <w:t>本公司根据以往的历史经验对应收款项计提比例作出最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佳估计，参考应收款项的账龄进行信用风险组合分类</w:t>
            </w:r>
          </w:p>
        </w:tc>
        <w:tc>
          <w:tcPr>
            <w:tcW w:w="2710" w:type="dxa"/>
            <w:vMerge w:val="restart"/>
            <w:tcBorders>
              <w:top w:val="single" w:sz="12" w:space="0" w:color="000000"/>
              <w:left w:val="single" w:sz="6"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11"/>
                <w:sz w:val="18"/>
                <w:szCs w:val="18"/>
              </w:rPr>
              <w:t>按账龄与整个存续期预期信用损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失率对照表计提</w:t>
            </w:r>
          </w:p>
        </w:tc>
      </w:tr>
      <w:tr>
        <w:trPr>
          <w:trHeight w:val="665" w:hRule="exact"/>
        </w:trPr>
        <w:tc>
          <w:tcPr>
            <w:tcW w:w="1344" w:type="dxa"/>
            <w:tcBorders>
              <w:top w:val="single" w:sz="12" w:space="0" w:color="000000"/>
              <w:left w:val="nil" w:sz="6" w:space="0" w:color="auto"/>
              <w:bottom w:val="single" w:sz="12" w:space="0" w:color="000000"/>
              <w:right w:val="single" w:sz="6" w:space="0" w:color="000000"/>
            </w:tcBorders>
          </w:tcPr>
          <w:p>
            <w:pPr>
              <w:pStyle w:val="TableParagraph"/>
              <w:spacing w:line="319" w:lineRule="auto" w:before="8"/>
              <w:ind w:left="12" w:right="1"/>
              <w:jc w:val="left"/>
              <w:rPr>
                <w:rFonts w:ascii="宋体" w:hAnsi="宋体" w:cs="宋体" w:eastAsia="宋体" w:hint="default"/>
                <w:sz w:val="18"/>
                <w:szCs w:val="18"/>
              </w:rPr>
            </w:pPr>
            <w:r>
              <w:rPr>
                <w:rFonts w:ascii="宋体" w:hAnsi="宋体" w:cs="宋体" w:eastAsia="宋体" w:hint="default"/>
                <w:spacing w:val="8"/>
                <w:sz w:val="18"/>
                <w:szCs w:val="18"/>
              </w:rPr>
              <w:t>其中：押金、保</w:t>
            </w:r>
            <w:r>
              <w:rPr>
                <w:rFonts w:ascii="宋体" w:hAnsi="宋体" w:cs="宋体" w:eastAsia="宋体" w:hint="default"/>
                <w:sz w:val="18"/>
                <w:szCs w:val="18"/>
              </w:rPr>
              <w:t> 证金款项</w:t>
            </w:r>
          </w:p>
        </w:tc>
        <w:tc>
          <w:tcPr>
            <w:tcW w:w="4475" w:type="dxa"/>
            <w:vMerge/>
            <w:tcBorders>
              <w:left w:val="single" w:sz="6" w:space="0" w:color="000000"/>
              <w:right w:val="single" w:sz="6" w:space="0" w:color="000000"/>
            </w:tcBorders>
          </w:tcPr>
          <w:p>
            <w:pPr/>
          </w:p>
        </w:tc>
        <w:tc>
          <w:tcPr>
            <w:tcW w:w="2710" w:type="dxa"/>
            <w:vMerge/>
            <w:tcBorders>
              <w:left w:val="single" w:sz="6" w:space="0" w:color="000000"/>
              <w:right w:val="single" w:sz="6" w:space="0" w:color="000000"/>
            </w:tcBorders>
          </w:tcPr>
          <w:p>
            <w:pPr/>
          </w:p>
        </w:tc>
      </w:tr>
      <w:tr>
        <w:trPr>
          <w:trHeight w:val="353" w:hRule="exact"/>
        </w:trPr>
        <w:tc>
          <w:tcPr>
            <w:tcW w:w="1344"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8"/>
              <w:ind w:right="50"/>
              <w:jc w:val="center"/>
              <w:rPr>
                <w:rFonts w:ascii="宋体" w:hAnsi="宋体" w:cs="宋体" w:eastAsia="宋体" w:hint="default"/>
                <w:sz w:val="18"/>
                <w:szCs w:val="18"/>
              </w:rPr>
            </w:pPr>
            <w:r>
              <w:rPr>
                <w:rFonts w:ascii="宋体" w:hAnsi="宋体" w:cs="宋体" w:eastAsia="宋体" w:hint="default"/>
                <w:sz w:val="18"/>
                <w:szCs w:val="18"/>
              </w:rPr>
              <w:t>往来及其他款项</w:t>
            </w:r>
          </w:p>
        </w:tc>
        <w:tc>
          <w:tcPr>
            <w:tcW w:w="4475" w:type="dxa"/>
            <w:vMerge/>
            <w:tcBorders>
              <w:left w:val="single" w:sz="6" w:space="0" w:color="000000"/>
              <w:bottom w:val="single" w:sz="12" w:space="0" w:color="000000"/>
              <w:right w:val="single" w:sz="6" w:space="0" w:color="000000"/>
            </w:tcBorders>
          </w:tcPr>
          <w:p>
            <w:pPr/>
          </w:p>
        </w:tc>
        <w:tc>
          <w:tcPr>
            <w:tcW w:w="2710" w:type="dxa"/>
            <w:vMerge/>
            <w:tcBorders>
              <w:left w:val="single" w:sz="6" w:space="0" w:color="000000"/>
              <w:bottom w:val="single" w:sz="12"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5"/>
        <w:spacing w:line="335" w:lineRule="exact"/>
        <w:ind w:right="0"/>
        <w:jc w:val="both"/>
        <w:rPr>
          <w:b w:val="0"/>
          <w:bCs w:val="0"/>
        </w:rPr>
      </w:pPr>
      <w:r>
        <w:rPr>
          <w:rFonts w:ascii="Times New Roman" w:hAnsi="Times New Roman" w:cs="Times New Roman" w:eastAsia="Times New Roman" w:hint="default"/>
        </w:rPr>
        <w:t>15</w:t>
      </w:r>
      <w:r>
        <w:rPr/>
        <w:t>、存货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9" w:lineRule="auto" w:before="0"/>
        <w:ind w:left="573" w:right="1033" w:hanging="65"/>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5"/>
        </w:rPr>
        <w:t> </w:t>
      </w:r>
      <w:r>
        <w:rPr>
          <w:rFonts w:ascii="Microsoft JhengHei" w:hAnsi="Microsoft JhengHei" w:cs="Microsoft JhengHei" w:eastAsia="Microsoft JhengHei" w:hint="default"/>
          <w:b/>
          <w:bCs/>
        </w:rPr>
        <w:t>存货的分类</w:t>
      </w:r>
      <w:r>
        <w:rPr>
          <w:rFonts w:ascii="Microsoft JhengHei" w:hAnsi="Microsoft JhengHei" w:cs="Microsoft JhengHei" w:eastAsia="Microsoft JhengHei" w:hint="default"/>
          <w:b/>
          <w:bCs/>
          <w:spacing w:val="-44"/>
        </w:rPr>
        <w:t> </w:t>
      </w:r>
      <w:r>
        <w:rPr>
          <w:rFonts w:ascii="Microsoft JhengHei" w:hAnsi="Microsoft JhengHei" w:cs="Microsoft JhengHei" w:eastAsia="Microsoft JhengHei" w:hint="default"/>
          <w:b/>
          <w:bCs/>
          <w:spacing w:val="-44"/>
        </w:rPr>
      </w:r>
      <w:r>
        <w:rPr>
          <w:spacing w:val="-2"/>
        </w:rPr>
        <w:t>存货是指本公司在日常活动中持有以备出售的产成品或商品、处在生产过程中的在产品、在生产过程</w:t>
      </w:r>
    </w:p>
    <w:p>
      <w:pPr>
        <w:pStyle w:val="Heading6"/>
        <w:spacing w:line="240" w:lineRule="auto" w:before="28"/>
        <w:ind w:right="0"/>
        <w:jc w:val="both"/>
      </w:pPr>
      <w:r>
        <w:rPr/>
        <w:t>或提供劳务过程中耗用的材料和物料等。主要包括原材料、委托加工物资、在产品、自制半成品、产成品</w:t>
      </w:r>
    </w:p>
    <w:p>
      <w:pPr>
        <w:pStyle w:val="Heading6"/>
        <w:spacing w:line="260" w:lineRule="exact" w:before="37"/>
        <w:ind w:right="0"/>
        <w:jc w:val="both"/>
      </w:pPr>
      <w:r>
        <w:rPr/>
        <w:t>（库存商品）、发出商品等。</w:t>
      </w:r>
    </w:p>
    <w:p>
      <w:pPr>
        <w:pStyle w:val="Heading6"/>
        <w:spacing w:line="312" w:lineRule="exact" w:before="47"/>
        <w:ind w:left="573" w:right="1033" w:hanging="65"/>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5"/>
        </w:rPr>
        <w:t> </w:t>
      </w:r>
      <w:r>
        <w:rPr>
          <w:rFonts w:ascii="Microsoft JhengHei" w:hAnsi="Microsoft JhengHei" w:cs="Microsoft JhengHei" w:eastAsia="Microsoft JhengHei" w:hint="default"/>
          <w:b/>
          <w:bCs/>
        </w:rPr>
        <w:t>存货的计价方法</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spacing w:val="-3"/>
        </w:rPr>
        <w:t>存货在取得时，按成本进行初始计量，包括采购成本、加工成本和其他成本。存货发出时按月末一次</w:t>
      </w:r>
    </w:p>
    <w:p>
      <w:pPr>
        <w:pStyle w:val="Heading6"/>
        <w:spacing w:line="260" w:lineRule="exact" w:before="4"/>
        <w:ind w:right="0"/>
        <w:jc w:val="both"/>
      </w:pPr>
      <w:r>
        <w:rPr/>
        <w:t>加权平均法计价。</w:t>
      </w:r>
    </w:p>
    <w:p>
      <w:pPr>
        <w:spacing w:line="312" w:lineRule="exact" w:before="47"/>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 </w:t>
      </w:r>
      <w:r>
        <w:rPr>
          <w:rFonts w:ascii="Microsoft JhengHei" w:hAnsi="Microsoft JhengHei" w:cs="Microsoft JhengHei" w:eastAsia="Microsoft JhengHei" w:hint="default"/>
          <w:b/>
          <w:bCs/>
          <w:sz w:val="21"/>
          <w:szCs w:val="21"/>
        </w:rPr>
        <w:t>存货可变现净值的确定依据及存货跌价准备的计提方法</w:t>
      </w:r>
      <w:r>
        <w:rPr>
          <w:rFonts w:ascii="Microsoft JhengHei" w:hAnsi="Microsoft JhengHei" w:cs="Microsoft JhengHei" w:eastAsia="Microsoft JhengHei" w:hint="default"/>
          <w:b/>
          <w:bCs/>
          <w:spacing w:val="5"/>
          <w:sz w:val="21"/>
          <w:szCs w:val="21"/>
        </w:rPr>
        <w:t> </w:t>
      </w:r>
      <w:r>
        <w:rPr>
          <w:rFonts w:ascii="Microsoft JhengHei" w:hAnsi="Microsoft JhengHei" w:cs="Microsoft JhengHei" w:eastAsia="Microsoft JhengHei" w:hint="default"/>
          <w:b/>
          <w:bCs/>
          <w:spacing w:val="5"/>
          <w:sz w:val="21"/>
          <w:szCs w:val="21"/>
        </w:rPr>
      </w:r>
      <w:r>
        <w:rPr>
          <w:rFonts w:ascii="宋体" w:hAnsi="宋体" w:cs="宋体" w:eastAsia="宋体" w:hint="default"/>
          <w:spacing w:val="-2"/>
          <w:sz w:val="21"/>
          <w:szCs w:val="21"/>
        </w:rPr>
        <w:t>期末对存货进行全面清查后，按存货的成本与可变现净值孰低提取或调整存货跌价准备。产成品、库</w:t>
      </w:r>
    </w:p>
    <w:p>
      <w:pPr>
        <w:pStyle w:val="Heading6"/>
        <w:spacing w:line="273" w:lineRule="auto" w:before="4"/>
        <w:ind w:right="1126"/>
        <w:jc w:val="both"/>
      </w:pPr>
      <w:r>
        <w:rPr>
          <w:spacing w:val="-2"/>
        </w:rPr>
        <w:t>存商品和用于出售的材料等直接用于出售的商品存货，在正常生产经营过程中，以该存货的估计售价减去</w:t>
      </w:r>
      <w:r>
        <w:rPr>
          <w:spacing w:val="-44"/>
        </w:rPr>
        <w:t> </w:t>
      </w:r>
      <w:r>
        <w:rPr>
          <w:spacing w:val="-44"/>
        </w:rPr>
      </w:r>
      <w:r>
        <w:rPr>
          <w:spacing w:val="-2"/>
        </w:rPr>
        <w:t>估计的销售费用和相关税费后的金额，确定其可变现净值；需要经过加工的材料存货，在正常生产经营过</w:t>
      </w:r>
      <w:r>
        <w:rPr>
          <w:spacing w:val="-43"/>
        </w:rPr>
        <w:t> </w:t>
      </w:r>
      <w:r>
        <w:rPr>
          <w:spacing w:val="-43"/>
        </w:rPr>
      </w:r>
      <w:r>
        <w:rPr>
          <w:spacing w:val="-2"/>
        </w:rPr>
        <w:t>程中，以所生产的产成品的估计售价减去至完工时估计将要发生的成本、估计的销售费用和相关税费后的</w:t>
      </w:r>
      <w:r>
        <w:rPr>
          <w:spacing w:val="-43"/>
        </w:rPr>
        <w:t> </w:t>
      </w:r>
      <w:r>
        <w:rPr>
          <w:spacing w:val="-43"/>
        </w:rPr>
      </w:r>
      <w:r>
        <w:rPr>
          <w:spacing w:val="-2"/>
        </w:rPr>
        <w:t>金额，确定其可变现净值；为执行销售合同或者劳务合同而持有的存货，其可变现净值以合同价格为基础</w:t>
      </w:r>
      <w:r>
        <w:rPr>
          <w:spacing w:val="-45"/>
        </w:rPr>
        <w:t> </w:t>
      </w:r>
      <w:r>
        <w:rPr>
          <w:spacing w:val="-45"/>
        </w:rPr>
      </w:r>
      <w:r>
        <w:rPr>
          <w:spacing w:val="-2"/>
        </w:rPr>
        <w:t>计算，若持有存货的数量多于销售合同订购数量的，超出部分的存货的可变现净值以一般销售价格为基础</w:t>
      </w:r>
      <w:r>
        <w:rPr>
          <w:spacing w:val="-43"/>
        </w:rPr>
        <w:t> </w:t>
      </w:r>
      <w:r>
        <w:rPr>
          <w:spacing w:val="-43"/>
        </w:rPr>
      </w:r>
      <w:r>
        <w:rPr/>
        <w:t>计算。</w:t>
      </w:r>
    </w:p>
    <w:p>
      <w:pPr>
        <w:pStyle w:val="Heading6"/>
        <w:spacing w:line="273" w:lineRule="auto"/>
        <w:ind w:right="112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Heading6"/>
        <w:spacing w:line="273" w:lineRule="auto"/>
        <w:ind w:right="1033" w:firstLine="420"/>
        <w:jc w:val="left"/>
      </w:pPr>
      <w:r>
        <w:rPr>
          <w:spacing w:val="-2"/>
        </w:rPr>
        <w:t>以前减记存货价值的影响因素已经消失的，减记的金额予以恢复，并在原已计提的存货跌价准备金额</w:t>
      </w:r>
      <w:r>
        <w:rPr>
          <w:w w:val="100"/>
        </w:rPr>
        <w:t> </w:t>
      </w:r>
      <w:r>
        <w:rPr/>
        <w:t>内转回，转回的金额计入当期损益。</w:t>
      </w:r>
    </w:p>
    <w:p>
      <w:pPr>
        <w:spacing w:line="312" w:lineRule="exact" w:before="3"/>
        <w:ind w:left="573" w:right="751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44"/>
          <w:sz w:val="21"/>
          <w:szCs w:val="21"/>
        </w:rPr>
        <w:t> </w:t>
      </w:r>
      <w:r>
        <w:rPr>
          <w:rFonts w:ascii="Microsoft JhengHei" w:hAnsi="Microsoft JhengHei" w:cs="Microsoft JhengHei" w:eastAsia="Microsoft JhengHei" w:hint="default"/>
          <w:b/>
          <w:bCs/>
          <w:sz w:val="21"/>
          <w:szCs w:val="21"/>
        </w:rPr>
        <w:t>存货的盘存制度</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pacing w:val="-50"/>
          <w:sz w:val="21"/>
          <w:szCs w:val="21"/>
        </w:rPr>
      </w:r>
      <w:r>
        <w:rPr>
          <w:rFonts w:ascii="宋体" w:hAnsi="宋体" w:cs="宋体" w:eastAsia="宋体" w:hint="default"/>
          <w:spacing w:val="-2"/>
          <w:sz w:val="21"/>
          <w:szCs w:val="21"/>
        </w:rPr>
        <w:t>采用永续盘存制。</w:t>
      </w:r>
    </w:p>
    <w:p>
      <w:pPr>
        <w:pStyle w:val="Heading5"/>
        <w:spacing w:line="303" w:lineRule="exact"/>
        <w:ind w:left="508" w:right="1033"/>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52"/>
        </w:rPr>
        <w:t> </w:t>
      </w:r>
      <w:r>
        <w:rPr/>
        <w:t>低值易耗品和包装物的摊销方法</w:t>
      </w:r>
      <w:r>
        <w:rPr>
          <w:b w:val="0"/>
          <w:bCs w:val="0"/>
        </w:rPr>
      </w:r>
    </w:p>
    <w:p>
      <w:pPr>
        <w:pStyle w:val="Heading6"/>
        <w:spacing w:line="240" w:lineRule="auto" w:before="13"/>
        <w:ind w:left="489" w:right="1033"/>
        <w:jc w:val="left"/>
      </w:pPr>
      <w:r>
        <w:rPr/>
        <w:t>（</w:t>
      </w:r>
      <w:r>
        <w:rPr>
          <w:rFonts w:ascii="Times New Roman" w:hAnsi="Times New Roman" w:cs="Times New Roman" w:eastAsia="Times New Roman" w:hint="default"/>
        </w:rPr>
        <w:t>1</w:t>
      </w:r>
      <w:r>
        <w:rPr/>
        <w:t>）低值易耗品采用一次转销法；</w:t>
      </w:r>
    </w:p>
    <w:p>
      <w:pPr>
        <w:pStyle w:val="Heading6"/>
        <w:spacing w:line="240" w:lineRule="auto" w:before="21"/>
        <w:ind w:left="489" w:right="1033"/>
        <w:jc w:val="left"/>
      </w:pPr>
      <w:r>
        <w:rPr/>
        <w:t>（</w:t>
      </w:r>
      <w:r>
        <w:rPr>
          <w:rFonts w:ascii="Times New Roman" w:hAnsi="Times New Roman" w:cs="Times New Roman" w:eastAsia="Times New Roman" w:hint="default"/>
        </w:rPr>
        <w:t>2</w:t>
      </w:r>
      <w:r>
        <w:rPr/>
        <w:t>）包装物采用一次转销法。</w:t>
      </w:r>
    </w:p>
    <w:p>
      <w:pPr>
        <w:pStyle w:val="Heading6"/>
        <w:spacing w:line="240" w:lineRule="auto" w:before="21"/>
        <w:ind w:left="489" w:right="1033"/>
        <w:jc w:val="left"/>
      </w:pPr>
      <w:r>
        <w:rPr/>
        <w:t>（</w:t>
      </w:r>
      <w:r>
        <w:rPr>
          <w:rFonts w:ascii="Times New Roman" w:hAnsi="Times New Roman" w:cs="Times New Roman" w:eastAsia="Times New Roman" w:hint="default"/>
        </w:rPr>
        <w:t>3</w:t>
      </w:r>
      <w:r>
        <w:rPr/>
        <w:t>）其他周转材料采用一次转销法摊销。</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493"/>
        <w:jc w:val="left"/>
      </w:pPr>
      <w:r>
        <w:rPr/>
        <w:t>不适用。 不适用。</w:t>
      </w:r>
    </w:p>
    <w:p>
      <w:pPr>
        <w:spacing w:line="240" w:lineRule="auto" w:before="9"/>
        <w:rPr>
          <w:rFonts w:ascii="宋体" w:hAnsi="宋体" w:cs="宋体" w:eastAsia="宋体" w:hint="default"/>
          <w:sz w:val="17"/>
          <w:szCs w:val="17"/>
        </w:rPr>
      </w:pPr>
    </w:p>
    <w:p>
      <w:pPr>
        <w:pStyle w:val="Heading5"/>
        <w:spacing w:line="240" w:lineRule="auto"/>
        <w:ind w:right="1033"/>
        <w:jc w:val="left"/>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3"/>
        <w:jc w:val="left"/>
      </w:pPr>
      <w:r>
        <w:rPr/>
        <w:t>不适用。</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line="249" w:lineRule="auto" w:before="0"/>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划分为持有待售确认标准</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本公司将同时满足下列条件的非流动资产或处置组确认为持有待售组成部分：</w:t>
      </w:r>
    </w:p>
    <w:p>
      <w:pPr>
        <w:pStyle w:val="Heading6"/>
        <w:spacing w:line="240" w:lineRule="auto" w:before="28"/>
        <w:ind w:left="573" w:right="103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Heading6"/>
        <w:spacing w:line="256" w:lineRule="auto" w:before="21"/>
        <w:ind w:right="1136" w:firstLine="420"/>
        <w:jc w:val="both"/>
      </w:pPr>
      <w:r>
        <w:rPr/>
        <w:t>（</w:t>
      </w:r>
      <w:r>
        <w:rPr>
          <w:rFonts w:ascii="Times New Roman" w:hAnsi="Times New Roman" w:cs="Times New Roman" w:eastAsia="Times New Roman" w:hint="default"/>
        </w:rPr>
        <w:t>2</w:t>
      </w:r>
      <w:r>
        <w:rPr/>
        <w:t>）出售极可能发生，即本公司已经就一项出售计划作出决议，并已获得监管部门批准，且获得确</w:t>
      </w:r>
      <w:r>
        <w:rPr>
          <w:w w:val="100"/>
        </w:rPr>
        <w:t> </w:t>
      </w:r>
      <w:r>
        <w:rPr/>
        <w:t>定的购买承诺，预计出售将在一年内完成。</w:t>
      </w:r>
    </w:p>
    <w:p>
      <w:pPr>
        <w:pStyle w:val="Heading6"/>
        <w:spacing w:line="273" w:lineRule="auto" w:before="22"/>
        <w:ind w:right="1126" w:firstLine="420"/>
        <w:jc w:val="both"/>
      </w:pPr>
      <w:r>
        <w:rPr>
          <w:spacing w:val="-2"/>
        </w:rPr>
        <w:t>确定的购买承诺，是指本公司与其他方签订的具有法律约束力的购买协议，该协议包含交易价格、时</w:t>
      </w:r>
      <w:r>
        <w:rPr>
          <w:w w:val="100"/>
        </w:rPr>
        <w:t> </w:t>
      </w:r>
      <w:r>
        <w:rPr/>
        <w:t>间和足够严厉的违约惩罚等重要条款，使协议出现重大调整或者撤销的可能性极小。</w:t>
      </w:r>
    </w:p>
    <w:p>
      <w:pPr>
        <w:spacing w:line="312" w:lineRule="exact" w:before="3"/>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持有待售核算方法</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2"/>
          <w:sz w:val="21"/>
          <w:szCs w:val="21"/>
        </w:rPr>
        <w:t>本公司对于持有待售的非流动资产或处置组不计提折旧或摊销，其账面价值高于公允价值减去出售费</w:t>
      </w:r>
    </w:p>
    <w:p>
      <w:pPr>
        <w:pStyle w:val="Heading6"/>
        <w:spacing w:line="273" w:lineRule="auto" w:before="4"/>
        <w:ind w:right="1033"/>
        <w:jc w:val="left"/>
      </w:pPr>
      <w:r>
        <w:rPr>
          <w:spacing w:val="-5"/>
        </w:rPr>
        <w:t>用后的净额的，应当将账面价值减记至公允价值减去出售费用后的净额，减记的金额确认为资产减值损失， </w:t>
      </w:r>
      <w:r>
        <w:rPr/>
        <w:t>计入当期损益，同时计提持有待售资产减值准备。</w:t>
      </w:r>
    </w:p>
    <w:p>
      <w:pPr>
        <w:pStyle w:val="Heading6"/>
        <w:spacing w:line="273" w:lineRule="auto"/>
        <w:ind w:right="1126" w:firstLine="420"/>
        <w:jc w:val="both"/>
      </w:pPr>
      <w:r>
        <w:rPr>
          <w:spacing w:val="-2"/>
        </w:rPr>
        <w:t>对于取得日划分为持有待售类别的非流动资产或处置组，在初始计量时比较假定其不划分为持有待售</w:t>
      </w:r>
      <w:r>
        <w:rPr>
          <w:w w:val="100"/>
        </w:rPr>
        <w:t> </w:t>
      </w:r>
      <w:r>
        <w:rPr/>
        <w:t>类别情况下的初始计量金额和公允价值减去出售费用后的净额，以两者孰低计量。</w:t>
      </w:r>
    </w:p>
    <w:p>
      <w:pPr>
        <w:pStyle w:val="Heading6"/>
        <w:spacing w:line="273" w:lineRule="auto"/>
        <w:ind w:right="1125" w:firstLine="420"/>
        <w:jc w:val="both"/>
      </w:pPr>
      <w:r>
        <w:rPr>
          <w:spacing w:val="-2"/>
        </w:rPr>
        <w:t>上述原则适用于所有非流动资产，但不包括采用公允价值模式进行后续计量的投资性房地产、采用公</w:t>
      </w:r>
      <w:r>
        <w:rPr>
          <w:w w:val="100"/>
        </w:rPr>
        <w:t> </w:t>
      </w:r>
      <w:r>
        <w:rPr>
          <w:spacing w:val="-2"/>
        </w:rPr>
        <w:t>允价值减去出售费用后的净额计量的生物资产、职工薪酬形成的资产、递延所得税资产、由金融工具相关</w:t>
      </w:r>
      <w:r>
        <w:rPr>
          <w:spacing w:val="-43"/>
        </w:rPr>
        <w:t> </w:t>
      </w:r>
      <w:r>
        <w:rPr>
          <w:spacing w:val="-43"/>
        </w:rPr>
      </w:r>
      <w:r>
        <w:rPr/>
        <w:t>会计准则规范的金融资产、由保险合同相关会计准则规范的保险合同所产生的权利。</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1033"/>
        <w:jc w:val="left"/>
      </w:pPr>
      <w:r>
        <w:rPr/>
        <w:t>不适用。</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t>不适用。</w:t>
      </w:r>
    </w:p>
    <w:p>
      <w:pPr>
        <w:spacing w:line="240" w:lineRule="auto" w:before="1"/>
        <w:rPr>
          <w:rFonts w:ascii="宋体" w:hAnsi="宋体" w:cs="宋体" w:eastAsia="宋体" w:hint="default"/>
          <w:sz w:val="22"/>
          <w:szCs w:val="22"/>
        </w:rPr>
      </w:pPr>
    </w:p>
    <w:p>
      <w:pPr>
        <w:spacing w:line="448" w:lineRule="auto" w:before="0"/>
        <w:ind w:left="153" w:right="64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21</w:t>
      </w:r>
      <w:r>
        <w:rPr>
          <w:rFonts w:ascii="Microsoft JhengHei" w:hAnsi="Microsoft JhengHei" w:cs="Microsoft JhengHei" w:eastAsia="Microsoft JhengHei" w:hint="default"/>
          <w:b/>
          <w:bCs/>
          <w:sz w:val="21"/>
          <w:szCs w:val="21"/>
        </w:rPr>
        <w:t>、长期应收款</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pacing w:val="-2"/>
          <w:sz w:val="21"/>
          <w:szCs w:val="21"/>
        </w:rPr>
        <w:t>详见本附注五、（</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）金融工具。</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Times New Roman" w:hAnsi="Times New Roman" w:cs="Times New Roman" w:eastAsia="Times New Roman" w:hint="default"/>
          <w:b/>
          <w:bCs/>
          <w:sz w:val="21"/>
          <w:szCs w:val="21"/>
        </w:rPr>
        <w:t>22</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pStyle w:val="Heading5"/>
        <w:spacing w:line="240" w:lineRule="auto" w:before="6"/>
        <w:ind w:left="508" w:right="1033"/>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初始投资成本的确定</w:t>
      </w:r>
      <w:r>
        <w:rPr>
          <w:b w:val="0"/>
          <w:bCs w:val="0"/>
        </w:rPr>
      </w:r>
    </w:p>
    <w:p>
      <w:pPr>
        <w:pStyle w:val="Heading6"/>
        <w:spacing w:line="240" w:lineRule="auto" w:before="13"/>
        <w:ind w:left="573" w:right="1033"/>
        <w:jc w:val="left"/>
      </w:pPr>
      <w:r>
        <w:rPr/>
        <w:t>（</w:t>
      </w:r>
      <w:r>
        <w:rPr>
          <w:rFonts w:ascii="Times New Roman" w:hAnsi="Times New Roman" w:cs="Times New Roman" w:eastAsia="Times New Roman" w:hint="default"/>
        </w:rPr>
        <w:t>1</w:t>
      </w:r>
      <w:r>
        <w:rPr/>
        <w:t>）企业合并形成的长期股权投资，具体会计政策详见本附注五、（</w:t>
      </w:r>
      <w:r>
        <w:rPr>
          <w:rFonts w:ascii="Times New Roman" w:hAnsi="Times New Roman" w:cs="Times New Roman" w:eastAsia="Times New Roman" w:hint="default"/>
        </w:rPr>
        <w:t>5</w:t>
      </w:r>
      <w:r>
        <w:rPr/>
        <w:t>）同一控制下和非同一控制下</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right="0"/>
        <w:jc w:val="both"/>
      </w:pPr>
      <w:r>
        <w:rPr/>
        <w:t>企业合并的会计处理方法。</w:t>
      </w:r>
    </w:p>
    <w:p>
      <w:pPr>
        <w:pStyle w:val="Heading6"/>
        <w:spacing w:line="256" w:lineRule="auto" w:before="37"/>
        <w:ind w:left="573" w:right="1033"/>
        <w:jc w:val="left"/>
      </w:pPr>
      <w:r>
        <w:rPr/>
        <w:t>（</w:t>
      </w:r>
      <w:r>
        <w:rPr>
          <w:rFonts w:ascii="Times New Roman" w:hAnsi="Times New Roman" w:cs="Times New Roman" w:eastAsia="Times New Roman" w:hint="default"/>
        </w:rPr>
        <w:t>2</w:t>
      </w:r>
      <w:r>
        <w:rPr/>
        <w:t>）其他方式取得的长期股权投资</w:t>
      </w:r>
      <w:r>
        <w:rPr>
          <w:w w:val="100"/>
        </w:rPr>
        <w:t> </w:t>
      </w:r>
      <w:r>
        <w:rPr>
          <w:spacing w:val="-2"/>
        </w:rPr>
        <w:t>以支付现金方式取得的长期股权投资，按照实际支付的购买价款作为初始投资成本。初始投资成本包</w:t>
      </w:r>
    </w:p>
    <w:p>
      <w:pPr>
        <w:pStyle w:val="Heading6"/>
        <w:spacing w:line="273" w:lineRule="auto" w:before="22"/>
        <w:ind w:left="573" w:right="1033" w:hanging="420"/>
        <w:jc w:val="left"/>
      </w:pPr>
      <w:r>
        <w:rPr/>
        <w:t>括与取得长期股权投资直接相关的费用、税金及其他必要支出。</w:t>
      </w:r>
      <w:r>
        <w:rPr>
          <w:w w:val="100"/>
        </w:rPr>
        <w:t> </w:t>
      </w:r>
      <w:r>
        <w:rPr>
          <w:spacing w:val="-2"/>
        </w:rPr>
        <w:t>以发行权益性证券取得的长期股权投资，按照发行权益性证券的公允价值作为初始投资成本；发行或</w:t>
      </w:r>
    </w:p>
    <w:p>
      <w:pPr>
        <w:pStyle w:val="Heading6"/>
        <w:spacing w:line="273" w:lineRule="auto"/>
        <w:ind w:left="573" w:right="1033" w:hanging="420"/>
        <w:jc w:val="left"/>
      </w:pPr>
      <w:r>
        <w:rPr/>
        <w:t>取得自身权益工具时发生的交易费用，可直接归属于权益性交易的从权益中扣减。</w:t>
      </w:r>
      <w:r>
        <w:rPr>
          <w:w w:val="100"/>
        </w:rPr>
        <w:t> </w:t>
      </w:r>
      <w:r>
        <w:rPr>
          <w:spacing w:val="-2"/>
        </w:rPr>
        <w:t>在非货币性资产交换具备商业实质和换入资产或换出资产的公允价值能够可靠计量的前提下，非货币</w:t>
      </w:r>
    </w:p>
    <w:p>
      <w:pPr>
        <w:pStyle w:val="Heading6"/>
        <w:spacing w:line="273" w:lineRule="auto"/>
        <w:ind w:right="1126"/>
        <w:jc w:val="both"/>
      </w:pPr>
      <w:r>
        <w:rPr>
          <w:spacing w:val="-2"/>
        </w:rPr>
        <w:t>性资产交换换入的长期股权投资以换出资产的公允价值为基础确定其初始投资成本，除非有确凿证据表明</w:t>
      </w:r>
      <w:r>
        <w:rPr>
          <w:spacing w:val="-43"/>
        </w:rPr>
        <w:t> </w:t>
      </w:r>
      <w:r>
        <w:rPr>
          <w:spacing w:val="-43"/>
        </w:rPr>
      </w:r>
      <w:r>
        <w:rPr>
          <w:spacing w:val="-2"/>
        </w:rPr>
        <w:t>换入资产的公允价值更加可靠；不满足上述前提的非货币性资产交换，以换出资产的账面价值和应支付的</w:t>
      </w:r>
      <w:r>
        <w:rPr>
          <w:spacing w:val="-42"/>
        </w:rPr>
        <w:t> </w:t>
      </w:r>
      <w:r>
        <w:rPr>
          <w:spacing w:val="-42"/>
        </w:rPr>
      </w:r>
      <w:r>
        <w:rPr/>
        <w:t>相关税费作为换入长期股权投资的初始投资成本。</w:t>
      </w:r>
    </w:p>
    <w:p>
      <w:pPr>
        <w:pStyle w:val="Heading6"/>
        <w:spacing w:line="260" w:lineRule="exact" w:before="8"/>
        <w:ind w:left="573" w:right="1033"/>
        <w:jc w:val="left"/>
      </w:pPr>
      <w:r>
        <w:rPr/>
        <w:t>通过债务重组取得的长期股权投资，其初始投资成本按照公允价值为基础确定。</w:t>
      </w:r>
    </w:p>
    <w:p>
      <w:pPr>
        <w:pStyle w:val="Heading5"/>
        <w:spacing w:line="351" w:lineRule="exact"/>
        <w:ind w:left="508" w:right="1033"/>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后续计量及损益确认</w:t>
      </w:r>
      <w:r>
        <w:rPr>
          <w:b w:val="0"/>
          <w:bCs w:val="0"/>
        </w:rPr>
      </w:r>
    </w:p>
    <w:p>
      <w:pPr>
        <w:pStyle w:val="Heading6"/>
        <w:spacing w:line="256" w:lineRule="auto" w:before="13"/>
        <w:ind w:left="573" w:right="1033"/>
        <w:jc w:val="left"/>
      </w:pPr>
      <w:r>
        <w:rPr/>
        <w:t>（</w:t>
      </w:r>
      <w:r>
        <w:rPr>
          <w:rFonts w:ascii="Times New Roman" w:hAnsi="Times New Roman" w:cs="Times New Roman" w:eastAsia="Times New Roman" w:hint="default"/>
        </w:rPr>
        <w:t>1</w:t>
      </w:r>
      <w:r>
        <w:rPr/>
        <w:t>）成本法</w:t>
      </w:r>
      <w:r>
        <w:rPr>
          <w:w w:val="100"/>
        </w:rPr>
        <w:t> </w:t>
      </w:r>
      <w:r>
        <w:rPr>
          <w:spacing w:val="-2"/>
        </w:rPr>
        <w:t>本公司能够对被投资单位实施控制的长期股权投资采用成本法核算，并按照初始投资成本计价，追加</w:t>
      </w:r>
    </w:p>
    <w:p>
      <w:pPr>
        <w:pStyle w:val="Heading6"/>
        <w:spacing w:line="273" w:lineRule="auto" w:before="22"/>
        <w:ind w:left="573" w:right="1033" w:hanging="420"/>
        <w:jc w:val="left"/>
      </w:pPr>
      <w:r>
        <w:rPr/>
        <w:t>或收回投资调整长期股权投资的成本。</w:t>
      </w:r>
      <w:r>
        <w:rPr>
          <w:w w:val="100"/>
        </w:rPr>
        <w:t> </w:t>
      </w:r>
      <w:r>
        <w:rPr>
          <w:spacing w:val="-2"/>
        </w:rPr>
        <w:t>除取得投资时实际支付的价款或对价中包含的已宣告但尚未发放的现金股利或利润外，本公司按照享</w:t>
      </w:r>
    </w:p>
    <w:p>
      <w:pPr>
        <w:pStyle w:val="Heading6"/>
        <w:spacing w:line="240" w:lineRule="auto"/>
        <w:ind w:right="0"/>
        <w:jc w:val="both"/>
      </w:pPr>
      <w:r>
        <w:rPr/>
        <w:t>有被投资单位宣告分派的现金股利或利润确认为当期投资收益。</w:t>
      </w:r>
    </w:p>
    <w:p>
      <w:pPr>
        <w:pStyle w:val="Heading6"/>
        <w:spacing w:line="256" w:lineRule="auto" w:before="37"/>
        <w:ind w:left="573" w:right="1033"/>
        <w:jc w:val="left"/>
      </w:pPr>
      <w:r>
        <w:rPr/>
        <w:t>（</w:t>
      </w:r>
      <w:r>
        <w:rPr>
          <w:rFonts w:ascii="Times New Roman" w:hAnsi="Times New Roman" w:cs="Times New Roman" w:eastAsia="Times New Roman" w:hint="default"/>
        </w:rPr>
        <w:t>2</w:t>
      </w:r>
      <w:r>
        <w:rPr/>
        <w:t>）权益法</w:t>
      </w:r>
      <w:r>
        <w:rPr>
          <w:w w:val="100"/>
        </w:rPr>
        <w:t> </w:t>
      </w:r>
      <w:r>
        <w:rPr>
          <w:spacing w:val="-2"/>
        </w:rPr>
        <w:t>本公司对联营企业和合营企业的长期股权投资采用权益法核算；对于其中一部分通过风险投资机构、</w:t>
      </w:r>
    </w:p>
    <w:p>
      <w:pPr>
        <w:pStyle w:val="Heading6"/>
        <w:spacing w:line="273" w:lineRule="auto" w:before="22"/>
        <w:ind w:right="1126"/>
        <w:jc w:val="both"/>
      </w:pPr>
      <w:r>
        <w:rPr>
          <w:spacing w:val="-2"/>
        </w:rPr>
        <w:t>共同基金、信托公司或包括投连险基金在内的类似主体间接持有的联营企业的权益性投资，采用公允价值</w:t>
      </w:r>
      <w:r>
        <w:rPr>
          <w:spacing w:val="-42"/>
        </w:rPr>
        <w:t> </w:t>
      </w:r>
      <w:r>
        <w:rPr>
          <w:spacing w:val="-42"/>
        </w:rPr>
      </w:r>
      <w:r>
        <w:rPr/>
        <w:t>计量且其变动计入损益。</w:t>
      </w:r>
    </w:p>
    <w:p>
      <w:pPr>
        <w:pStyle w:val="Heading6"/>
        <w:spacing w:line="273" w:lineRule="auto"/>
        <w:ind w:right="1126" w:firstLine="420"/>
        <w:jc w:val="both"/>
      </w:pPr>
      <w:r>
        <w:rPr>
          <w:spacing w:val="-2"/>
        </w:rPr>
        <w:t>长期股权投资的初始投资成本大于投资时应享有被投资单位可辨认净资产公允价值份额的差额，不调</w:t>
      </w:r>
      <w:r>
        <w:rPr>
          <w:w w:val="100"/>
        </w:rPr>
        <w:t> </w:t>
      </w:r>
      <w:r>
        <w:rPr>
          <w:spacing w:val="-2"/>
        </w:rPr>
        <w:t>整长期股权投资的初始投资成本；初始投资成本小于投资时应享有被投资单位可辨认净资产公允价值份额</w:t>
      </w:r>
      <w:r>
        <w:rPr>
          <w:spacing w:val="-43"/>
        </w:rPr>
        <w:t> </w:t>
      </w:r>
      <w:r>
        <w:rPr>
          <w:spacing w:val="-43"/>
        </w:rPr>
      </w:r>
      <w:r>
        <w:rPr/>
        <w:t>的差额，计入当期损益。</w:t>
      </w:r>
    </w:p>
    <w:p>
      <w:pPr>
        <w:pStyle w:val="Heading6"/>
        <w:spacing w:line="273" w:lineRule="auto"/>
        <w:ind w:right="1126" w:firstLine="420"/>
        <w:jc w:val="both"/>
      </w:pPr>
      <w:r>
        <w:rPr>
          <w:spacing w:val="2"/>
        </w:rPr>
        <w:t>本公司取得长期股权投资后，按照应享有或应分担的被投资单位实现的净损益和其他综合收益的份</w:t>
      </w:r>
      <w:r>
        <w:rPr>
          <w:w w:val="100"/>
        </w:rPr>
        <w:t> </w:t>
      </w:r>
      <w:r>
        <w:rPr>
          <w:spacing w:val="-2"/>
        </w:rPr>
        <w:t>额，分别确认投资收益和其他综合收益，同时调整长期股权投资的账面价值；并按照被投资单位宣告分派</w:t>
      </w:r>
      <w:r>
        <w:rPr>
          <w:spacing w:val="-45"/>
        </w:rPr>
        <w:t> </w:t>
      </w:r>
      <w:r>
        <w:rPr>
          <w:spacing w:val="-45"/>
        </w:rPr>
      </w:r>
      <w:r>
        <w:rPr>
          <w:spacing w:val="-2"/>
        </w:rPr>
        <w:t>的利润或现金股利计算应享有的部分，相应减少长期股权投资的账面价值；对于被投资单位除净损益、其</w:t>
      </w:r>
      <w:r>
        <w:rPr>
          <w:spacing w:val="-42"/>
        </w:rPr>
        <w:t> </w:t>
      </w:r>
      <w:r>
        <w:rPr>
          <w:spacing w:val="-42"/>
        </w:rPr>
      </w:r>
      <w:r>
        <w:rPr/>
        <w:t>他综合收益和利润分配以外所有者权益的其他变动，调整长期股权投资的账面价值并计入所有者权益。</w:t>
      </w:r>
    </w:p>
    <w:p>
      <w:pPr>
        <w:pStyle w:val="Heading6"/>
        <w:spacing w:line="273" w:lineRule="auto"/>
        <w:ind w:right="1126" w:firstLine="420"/>
        <w:jc w:val="both"/>
      </w:pPr>
      <w:r>
        <w:rPr>
          <w:spacing w:val="-2"/>
        </w:rPr>
        <w:t>本公司在确认应享有被投资单位净损益的份额时，以取得投资时被投资单位各项可辨认资产等的公允</w:t>
      </w:r>
      <w:r>
        <w:rPr>
          <w:w w:val="100"/>
        </w:rPr>
        <w:t> </w:t>
      </w:r>
      <w:r>
        <w:rPr>
          <w:spacing w:val="-2"/>
        </w:rPr>
        <w:t>价值为基础，对被投资单位的净利润进行调整后确认。本公司与联营企业、合营企业之间发生的未实现内</w:t>
      </w:r>
      <w:r>
        <w:rPr>
          <w:spacing w:val="-42"/>
        </w:rPr>
        <w:t> </w:t>
      </w:r>
      <w:r>
        <w:rPr>
          <w:spacing w:val="-42"/>
        </w:rPr>
      </w:r>
      <w:r>
        <w:rPr/>
        <w:t>部交易损益按照应享有的比例计算归属于本公司的部分予以抵销，在此基础上确认投资损益。</w:t>
      </w:r>
    </w:p>
    <w:p>
      <w:pPr>
        <w:pStyle w:val="Heading6"/>
        <w:spacing w:line="273" w:lineRule="auto"/>
        <w:ind w:right="1126" w:firstLine="420"/>
        <w:jc w:val="both"/>
      </w:pPr>
      <w:r>
        <w:rPr>
          <w:spacing w:val="-2"/>
        </w:rPr>
        <w:t>本公司确认应分担被投资单位发生的亏损时，按照以下顺序进行处理：首先，冲减长期股权投资的账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Heading6"/>
        <w:spacing w:line="273" w:lineRule="auto"/>
        <w:ind w:right="1126" w:firstLine="420"/>
        <w:jc w:val="both"/>
      </w:pPr>
      <w:r>
        <w:rPr>
          <w:spacing w:val="-2"/>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43"/>
        </w:rPr>
        <w:t> </w:t>
      </w:r>
      <w:r>
        <w:rPr>
          <w:spacing w:val="-43"/>
        </w:rPr>
      </w:r>
      <w:r>
        <w:rPr/>
        <w:t>面价值后，恢复确认投资收益。</w:t>
      </w:r>
    </w:p>
    <w:p>
      <w:pPr>
        <w:pStyle w:val="Heading5"/>
        <w:spacing w:line="306" w:lineRule="exact"/>
        <w:ind w:left="508" w:right="1033"/>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长期股权投资核算方法的转换</w:t>
      </w:r>
      <w:r>
        <w:rPr>
          <w:b w:val="0"/>
          <w:bCs w:val="0"/>
        </w:rPr>
      </w:r>
    </w:p>
    <w:p>
      <w:pPr>
        <w:pStyle w:val="Heading6"/>
        <w:spacing w:line="256" w:lineRule="auto" w:before="13"/>
        <w:ind w:left="573" w:right="1033" w:hanging="84"/>
        <w:jc w:val="left"/>
      </w:pPr>
      <w:r>
        <w:rPr/>
        <w:t>（</w:t>
      </w:r>
      <w:r>
        <w:rPr>
          <w:rFonts w:ascii="Times New Roman" w:hAnsi="Times New Roman" w:cs="Times New Roman" w:eastAsia="Times New Roman" w:hint="default"/>
        </w:rPr>
        <w:t>1</w:t>
      </w:r>
      <w:r>
        <w:rPr/>
        <w:t>）公允价值计量转权益法核算</w:t>
      </w:r>
      <w:r>
        <w:rPr>
          <w:spacing w:val="-103"/>
        </w:rPr>
        <w:t> </w:t>
      </w:r>
      <w:r>
        <w:rPr>
          <w:spacing w:val="-103"/>
        </w:rPr>
      </w:r>
      <w:r>
        <w:rPr>
          <w:spacing w:val="-2"/>
        </w:rPr>
        <w:t>本公司原持有的对被投资单位不具有控制、共同控制或重大影响的按金融工具确认和计量准则进行会</w:t>
      </w:r>
    </w:p>
    <w:p>
      <w:pPr>
        <w:pStyle w:val="Heading6"/>
        <w:spacing w:line="264" w:lineRule="auto" w:before="22"/>
        <w:ind w:right="1126"/>
        <w:jc w:val="both"/>
      </w:pPr>
      <w:r>
        <w:rPr>
          <w:spacing w:val="2"/>
        </w:rPr>
        <w:t>计处理的权益性投资，因追加投资等原因能够对被投资单位施加重大影响或实施共同控制但不构成控制</w:t>
      </w:r>
      <w:r>
        <w:rPr>
          <w:spacing w:val="-30"/>
        </w:rPr>
        <w:t> </w:t>
      </w:r>
      <w:r>
        <w:rPr>
          <w:spacing w:val="-30"/>
        </w:rPr>
      </w:r>
      <w:r>
        <w:rPr>
          <w:spacing w:val="-2"/>
        </w:rPr>
        <w:t>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w:t>
      </w:r>
      <w:r>
        <w:rPr>
          <w:spacing w:val="-40"/>
        </w:rPr>
        <w:t> </w:t>
      </w:r>
      <w:r>
        <w:rPr>
          <w:spacing w:val="-40"/>
        </w:rPr>
      </w:r>
      <w:r>
        <w:rPr/>
        <w:t>投资成本之和，作为改按权益法核算的初始投资成本。</w:t>
      </w:r>
    </w:p>
    <w:p>
      <w:pPr>
        <w:spacing w:after="0" w:line="264"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right="1126" w:firstLine="420"/>
        <w:jc w:val="both"/>
      </w:pPr>
      <w:r>
        <w:rPr>
          <w:spacing w:val="-2"/>
        </w:rPr>
        <w:t>原持有的股权投资分类为可供出售金融资产的，其公允价值与账面价值之间的差额，以及原计入其他</w:t>
      </w:r>
      <w:r>
        <w:rPr>
          <w:w w:val="100"/>
        </w:rPr>
        <w:t> </w:t>
      </w:r>
      <w:r>
        <w:rPr/>
        <w:t>综合收益的累计公允价值变动转入改按权益法核算的当期损益。</w:t>
      </w:r>
    </w:p>
    <w:p>
      <w:pPr>
        <w:pStyle w:val="Heading6"/>
        <w:spacing w:line="273" w:lineRule="auto"/>
        <w:ind w:right="1126" w:firstLine="420"/>
        <w:jc w:val="both"/>
      </w:pPr>
      <w:r>
        <w:rPr>
          <w:spacing w:val="2"/>
        </w:rPr>
        <w:t>按权益法核算的初始投资成本小于按照追加投资后全新的持股比例计算确定的应享有被投资单位在</w:t>
      </w:r>
      <w:r>
        <w:rPr>
          <w:w w:val="100"/>
        </w:rPr>
        <w:t> </w:t>
      </w:r>
      <w:r>
        <w:rPr>
          <w:spacing w:val="-2"/>
        </w:rPr>
        <w:t>追加投资日可辨认净资产公允价值份额之间的差额，调整长期股权投资的账面价值，并计入当期营业外收</w:t>
      </w:r>
      <w:r>
        <w:rPr>
          <w:spacing w:val="-44"/>
        </w:rPr>
        <w:t> </w:t>
      </w:r>
      <w:r>
        <w:rPr>
          <w:spacing w:val="-44"/>
        </w:rPr>
      </w:r>
      <w:r>
        <w:rPr/>
        <w:t>入。</w:t>
      </w:r>
    </w:p>
    <w:p>
      <w:pPr>
        <w:pStyle w:val="Heading6"/>
        <w:spacing w:line="256" w:lineRule="auto"/>
        <w:ind w:left="573" w:right="1033" w:hanging="84"/>
        <w:jc w:val="left"/>
      </w:pPr>
      <w:r>
        <w:rPr/>
        <w:t>（</w:t>
      </w:r>
      <w:r>
        <w:rPr>
          <w:rFonts w:ascii="Times New Roman" w:hAnsi="Times New Roman" w:cs="Times New Roman" w:eastAsia="Times New Roman" w:hint="default"/>
        </w:rPr>
        <w:t>2</w:t>
      </w:r>
      <w:r>
        <w:rPr/>
        <w:t>）公允价值计量或权益法核算转成本法核算</w:t>
      </w:r>
      <w:r>
        <w:rPr>
          <w:w w:val="100"/>
        </w:rPr>
        <w:t> </w:t>
      </w:r>
      <w:r>
        <w:rPr>
          <w:spacing w:val="-2"/>
        </w:rPr>
        <w:t>本公司原持有的对被投资单位不具有控制、共同控制或重大影响的按金融工具确认和计量准则进行会</w:t>
      </w:r>
    </w:p>
    <w:p>
      <w:pPr>
        <w:pStyle w:val="Heading6"/>
        <w:spacing w:line="273" w:lineRule="auto" w:before="22"/>
        <w:ind w:right="1126"/>
        <w:jc w:val="both"/>
      </w:pPr>
      <w:r>
        <w:rPr>
          <w:spacing w:val="-2"/>
        </w:rPr>
        <w:t>计处理的权益性投资，或原持有对联营企业、合营企业的长期股权投资，因追加投资等原因能够对非同一</w:t>
      </w:r>
      <w:r>
        <w:rPr>
          <w:spacing w:val="-44"/>
        </w:rPr>
        <w:t> </w:t>
      </w:r>
      <w:r>
        <w:rPr>
          <w:spacing w:val="-44"/>
        </w:rPr>
      </w:r>
      <w:r>
        <w:rPr>
          <w:spacing w:val="-2"/>
        </w:rPr>
        <w:t>控制下的被投资单位实施控制的，在编制个别财务报表时，按照原持有的股权投资账面价值加上新增投资</w:t>
      </w:r>
      <w:r>
        <w:rPr>
          <w:spacing w:val="-44"/>
        </w:rPr>
        <w:t> </w:t>
      </w:r>
      <w:r>
        <w:rPr>
          <w:spacing w:val="-44"/>
        </w:rPr>
      </w:r>
      <w:r>
        <w:rPr/>
        <w:t>成本之和，作为改按成本法核算的初始投资成本。</w:t>
      </w:r>
    </w:p>
    <w:p>
      <w:pPr>
        <w:pStyle w:val="Heading6"/>
        <w:spacing w:line="273" w:lineRule="auto" w:before="8"/>
        <w:ind w:right="1126" w:firstLine="420"/>
        <w:jc w:val="both"/>
      </w:pPr>
      <w:r>
        <w:rPr>
          <w:spacing w:val="-2"/>
        </w:rPr>
        <w:t>购买日之前持有的股权投资因采用权益法核算而确认的其他综合收益，在处置该项投资时采用与被投</w:t>
      </w:r>
      <w:r>
        <w:rPr>
          <w:w w:val="100"/>
        </w:rPr>
        <w:t> </w:t>
      </w:r>
      <w:r>
        <w:rPr/>
        <w:t>资单位直接处置相关资产或负债相同的基础进行会计处理。</w:t>
      </w:r>
    </w:p>
    <w:p>
      <w:pPr>
        <w:pStyle w:val="Heading6"/>
        <w:spacing w:line="256" w:lineRule="auto"/>
        <w:ind w:right="1128" w:firstLine="420"/>
        <w:jc w:val="both"/>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w:t>
      </w:r>
      <w:r>
        <w:rPr>
          <w:w w:val="100"/>
        </w:rPr>
        <w:t> </w:t>
      </w:r>
      <w:r>
        <w:rPr/>
        <w:t>计处理的，原计入其他综合收益的累计公允价值变动在改按成本法核算时转入当期损益。</w:t>
      </w:r>
    </w:p>
    <w:p>
      <w:pPr>
        <w:pStyle w:val="Heading6"/>
        <w:spacing w:line="256" w:lineRule="auto" w:before="22"/>
        <w:ind w:left="573" w:right="1033" w:hanging="84"/>
        <w:jc w:val="left"/>
      </w:pPr>
      <w:r>
        <w:rPr/>
        <w:t>（</w:t>
      </w:r>
      <w:r>
        <w:rPr>
          <w:rFonts w:ascii="Times New Roman" w:hAnsi="Times New Roman" w:cs="Times New Roman" w:eastAsia="Times New Roman" w:hint="default"/>
        </w:rPr>
        <w:t>3</w:t>
      </w:r>
      <w:r>
        <w:rPr/>
        <w:t>）权益法核算转公允价值计量</w:t>
      </w:r>
      <w:r>
        <w:rPr>
          <w:spacing w:val="-103"/>
        </w:rPr>
        <w:t> </w:t>
      </w:r>
      <w:r>
        <w:rPr>
          <w:spacing w:val="-103"/>
        </w:rPr>
      </w:r>
      <w:r>
        <w:rPr>
          <w:spacing w:val="-2"/>
        </w:rPr>
        <w:t>本公司因处置部分股权投资等原因丧失了对被投资单位的共同控制或重大影响的，处置后的剩余股权</w:t>
      </w:r>
    </w:p>
    <w:p>
      <w:pPr>
        <w:pStyle w:val="Heading6"/>
        <w:spacing w:line="256" w:lineRule="auto" w:before="22"/>
        <w:ind w:right="1126"/>
        <w:jc w:val="both"/>
      </w:pPr>
      <w:r>
        <w:rPr>
          <w:spacing w:val="-2"/>
        </w:rPr>
        <w:t>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w:t>
      </w:r>
      <w:r>
        <w:rPr>
          <w:spacing w:val="-41"/>
        </w:rPr>
        <w:t> </w:t>
      </w:r>
      <w:r>
        <w:rPr>
          <w:spacing w:val="-41"/>
        </w:rPr>
      </w:r>
      <w:r>
        <w:rPr/>
        <w:t>值与账面价值之间的差额计入当期损益。</w:t>
      </w:r>
    </w:p>
    <w:p>
      <w:pPr>
        <w:pStyle w:val="Heading6"/>
        <w:spacing w:line="273" w:lineRule="auto" w:before="22"/>
        <w:ind w:right="1126" w:firstLine="420"/>
        <w:jc w:val="both"/>
      </w:pPr>
      <w:r>
        <w:rPr>
          <w:spacing w:val="-2"/>
        </w:rPr>
        <w:t>原股权投资因采用权益法核算而确认的其他综合收益，在终止采用权益法核算时采用与被投资单位直</w:t>
      </w:r>
      <w:r>
        <w:rPr>
          <w:w w:val="100"/>
        </w:rPr>
        <w:t> </w:t>
      </w:r>
      <w:r>
        <w:rPr/>
        <w:t>接处置相关资产或负债相同的基础进行会计处理。</w:t>
      </w:r>
    </w:p>
    <w:p>
      <w:pPr>
        <w:pStyle w:val="Heading6"/>
        <w:spacing w:line="256" w:lineRule="auto" w:before="8"/>
        <w:ind w:left="573" w:right="1033" w:hanging="84"/>
        <w:jc w:val="left"/>
      </w:pPr>
      <w:r>
        <w:rPr/>
        <w:t>（</w:t>
      </w:r>
      <w:r>
        <w:rPr>
          <w:rFonts w:ascii="Times New Roman" w:hAnsi="Times New Roman" w:cs="Times New Roman" w:eastAsia="Times New Roman" w:hint="default"/>
        </w:rPr>
        <w:t>4</w:t>
      </w:r>
      <w:r>
        <w:rPr/>
        <w:t>）成本法转权益法</w:t>
      </w:r>
      <w:r>
        <w:rPr>
          <w:spacing w:val="-103"/>
        </w:rPr>
        <w:t> </w:t>
      </w:r>
      <w:r>
        <w:rPr>
          <w:spacing w:val="-103"/>
        </w:rPr>
      </w:r>
      <w:r>
        <w:rPr>
          <w:spacing w:val="-2"/>
        </w:rPr>
        <w:t>本公司因处置部分权益性投资等原因丧失了对被投资单位的控制的，在编制个别财务报表时，处置后</w:t>
      </w:r>
    </w:p>
    <w:p>
      <w:pPr>
        <w:pStyle w:val="Heading6"/>
        <w:spacing w:line="273" w:lineRule="auto" w:before="22"/>
        <w:ind w:right="1126"/>
        <w:jc w:val="both"/>
      </w:pPr>
      <w:r>
        <w:rPr>
          <w:spacing w:val="-2"/>
        </w:rPr>
        <w:t>的剩余股权能够对被投资单位实施共同控制或施加重大影响的，改按权益法核算，并对该剩余股权视同自</w:t>
      </w:r>
      <w:r>
        <w:rPr>
          <w:spacing w:val="-43"/>
        </w:rPr>
        <w:t> </w:t>
      </w:r>
      <w:r>
        <w:rPr>
          <w:spacing w:val="-43"/>
        </w:rPr>
      </w:r>
      <w:r>
        <w:rPr/>
        <w:t>取得时即采用权益法核算进行调整。</w:t>
      </w:r>
    </w:p>
    <w:p>
      <w:pPr>
        <w:pStyle w:val="Heading6"/>
        <w:spacing w:line="256" w:lineRule="auto"/>
        <w:ind w:left="573" w:right="1033" w:hanging="84"/>
        <w:jc w:val="left"/>
      </w:pPr>
      <w:r>
        <w:rPr/>
        <w:t>（</w:t>
      </w:r>
      <w:r>
        <w:rPr>
          <w:rFonts w:ascii="Times New Roman" w:hAnsi="Times New Roman" w:cs="Times New Roman" w:eastAsia="Times New Roman" w:hint="default"/>
        </w:rPr>
        <w:t>5</w:t>
      </w:r>
      <w:r>
        <w:rPr/>
        <w:t>）成本法转公允价值计量</w:t>
      </w:r>
      <w:r>
        <w:rPr>
          <w:spacing w:val="-102"/>
        </w:rPr>
        <w:t> </w:t>
      </w:r>
      <w:r>
        <w:rPr>
          <w:spacing w:val="-102"/>
        </w:rPr>
      </w:r>
      <w:r>
        <w:rPr>
          <w:spacing w:val="-2"/>
        </w:rPr>
        <w:t>本公司因处置部分权益性投资等原因丧失了对被投资单位的控制的，在编制个别财务报表时，处置后</w:t>
      </w:r>
    </w:p>
    <w:p>
      <w:pPr>
        <w:pStyle w:val="Heading6"/>
        <w:spacing w:line="256" w:lineRule="auto" w:before="22"/>
        <w:ind w:right="1033"/>
        <w:jc w:val="left"/>
      </w:pPr>
      <w:r>
        <w:rPr>
          <w:spacing w:val="-2"/>
        </w:rPr>
        <w:t>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w:t>
      </w:r>
      <w:r>
        <w:rPr>
          <w:spacing w:val="-41"/>
        </w:rPr>
        <w:t> </w:t>
      </w:r>
      <w:r>
        <w:rPr>
          <w:spacing w:val="-41"/>
        </w:rPr>
      </w:r>
      <w:r>
        <w:rPr>
          <w:spacing w:val="-5"/>
        </w:rPr>
        <w:t>确认和计量》的有关规定进行会计处理，其在丧失控制之日的公允价值与账面价值间的差额计入当期损益。</w:t>
      </w:r>
    </w:p>
    <w:p>
      <w:pPr>
        <w:spacing w:line="312" w:lineRule="exact" w:before="18"/>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长期股权投资的处置</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处置长期股权投资，其账面价值与实际取得价款之间的差额，应当计入当期损益。采用权益法核算的</w:t>
      </w:r>
    </w:p>
    <w:p>
      <w:pPr>
        <w:pStyle w:val="Heading6"/>
        <w:spacing w:line="273" w:lineRule="auto" w:before="5"/>
        <w:ind w:right="1126"/>
        <w:jc w:val="both"/>
      </w:pPr>
      <w:r>
        <w:rPr>
          <w:spacing w:val="-2"/>
        </w:rPr>
        <w:t>长期股权投资，在处置该项投资时，采用与被投资单位直接处置相关资产或负债相同的基础，按相应比例</w:t>
      </w:r>
      <w:r>
        <w:rPr>
          <w:spacing w:val="-45"/>
        </w:rPr>
        <w:t> </w:t>
      </w:r>
      <w:r>
        <w:rPr>
          <w:spacing w:val="-45"/>
        </w:rPr>
      </w:r>
      <w:r>
        <w:rPr/>
        <w:t>对原计入其他综合收益的部分进行会计处理。</w:t>
      </w:r>
    </w:p>
    <w:p>
      <w:pPr>
        <w:pStyle w:val="Heading6"/>
        <w:spacing w:line="273" w:lineRule="auto"/>
        <w:ind w:right="1126" w:firstLine="420"/>
        <w:jc w:val="both"/>
      </w:pPr>
      <w:r>
        <w:rPr>
          <w:spacing w:val="-2"/>
        </w:rPr>
        <w:t>处置对子公司股权投资的各项交易的条款、条件以及经济影响符合以下一种或多种情况，将多次交易</w:t>
      </w:r>
      <w:r>
        <w:rPr>
          <w:w w:val="100"/>
        </w:rPr>
        <w:t> </w:t>
      </w:r>
      <w:r>
        <w:rPr/>
        <w:t>事项作为一揽子交易进行会计处理：</w:t>
      </w:r>
    </w:p>
    <w:p>
      <w:pPr>
        <w:pStyle w:val="Heading6"/>
        <w:spacing w:line="240" w:lineRule="auto"/>
        <w:ind w:left="489" w:right="1033"/>
        <w:jc w:val="left"/>
      </w:pPr>
      <w:r>
        <w:rPr/>
        <w:t>（</w:t>
      </w:r>
      <w:r>
        <w:rPr>
          <w:rFonts w:ascii="Times New Roman" w:hAnsi="Times New Roman" w:cs="Times New Roman" w:eastAsia="Times New Roman" w:hint="default"/>
        </w:rPr>
        <w:t>1</w:t>
      </w:r>
      <w:r>
        <w:rPr/>
        <w:t>）这些交易是同时或者在考虑了彼此影响的情况下订立的；</w:t>
      </w:r>
    </w:p>
    <w:p>
      <w:pPr>
        <w:pStyle w:val="Heading6"/>
        <w:spacing w:line="240" w:lineRule="auto" w:before="21"/>
        <w:ind w:left="489" w:right="1033"/>
        <w:jc w:val="left"/>
      </w:pPr>
      <w:r>
        <w:rPr/>
        <w:t>（</w:t>
      </w:r>
      <w:r>
        <w:rPr>
          <w:rFonts w:ascii="Times New Roman" w:hAnsi="Times New Roman" w:cs="Times New Roman" w:eastAsia="Times New Roman" w:hint="default"/>
        </w:rPr>
        <w:t>2</w:t>
      </w:r>
      <w:r>
        <w:rPr/>
        <w:t>）这些交易整体才能达成一项完整的商业结果；</w:t>
      </w:r>
    </w:p>
    <w:p>
      <w:pPr>
        <w:pStyle w:val="Heading6"/>
        <w:spacing w:line="240" w:lineRule="auto" w:before="21"/>
        <w:ind w:left="489" w:right="1033"/>
        <w:jc w:val="left"/>
      </w:pPr>
      <w:r>
        <w:rPr/>
        <w:t>（</w:t>
      </w:r>
      <w:r>
        <w:rPr>
          <w:rFonts w:ascii="Times New Roman" w:hAnsi="Times New Roman" w:cs="Times New Roman" w:eastAsia="Times New Roman" w:hint="default"/>
        </w:rPr>
        <w:t>3</w:t>
      </w:r>
      <w:r>
        <w:rPr/>
        <w:t>）一项交易的发生取决于其他至少一项交易的发生；</w:t>
      </w:r>
    </w:p>
    <w:p>
      <w:pPr>
        <w:pStyle w:val="Heading6"/>
        <w:spacing w:line="256" w:lineRule="auto" w:before="21"/>
        <w:ind w:left="489" w:right="1033"/>
        <w:jc w:val="left"/>
      </w:pPr>
      <w:r>
        <w:rPr/>
        <w:t>（</w:t>
      </w:r>
      <w:r>
        <w:rPr>
          <w:rFonts w:ascii="Times New Roman" w:hAnsi="Times New Roman" w:cs="Times New Roman" w:eastAsia="Times New Roman" w:hint="default"/>
        </w:rPr>
        <w:t>4</w:t>
      </w:r>
      <w:r>
        <w:rPr/>
        <w:t>）一项交易单独看是不经济的，但是和其他交易一并考虑时是经济的。</w:t>
      </w:r>
      <w:r>
        <w:rPr>
          <w:w w:val="100"/>
        </w:rPr>
        <w:t> </w:t>
      </w:r>
      <w:r>
        <w:rPr/>
        <w:t>因处置部分股权投资或其他原因丧失了对原有子公司控制权的，不属于一揽子交易的，区分个别财务</w:t>
      </w:r>
    </w:p>
    <w:p>
      <w:pPr>
        <w:pStyle w:val="Heading6"/>
        <w:spacing w:line="240" w:lineRule="auto" w:before="22"/>
        <w:ind w:right="0"/>
        <w:jc w:val="both"/>
      </w:pPr>
      <w:r>
        <w:rPr/>
        <w:t>报表和合并财务报表进行相关会计处理：</w:t>
      </w:r>
    </w:p>
    <w:p>
      <w:pPr>
        <w:pStyle w:val="Heading6"/>
        <w:spacing w:line="266" w:lineRule="auto" w:before="37"/>
        <w:ind w:right="1126" w:firstLine="42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w:t>
      </w:r>
      <w:r>
        <w:rPr>
          <w:w w:val="100"/>
        </w:rPr>
        <w:t> </w:t>
      </w:r>
      <w:r>
        <w:rPr>
          <w:spacing w:val="-2"/>
        </w:rPr>
        <w:t>处置后的剩余股权能够对被投资单位实施共同控制或施加重大影响的，改按权益法核算，并对该剩余股权</w:t>
      </w:r>
      <w:r>
        <w:rPr>
          <w:spacing w:val="-43"/>
        </w:rPr>
        <w:t> </w:t>
      </w:r>
      <w:r>
        <w:rPr>
          <w:spacing w:val="-43"/>
        </w:rPr>
      </w:r>
      <w:r>
        <w:rPr>
          <w:spacing w:val="-2"/>
        </w:rPr>
        <w:t>视同自取得时即采用权益法核算进行调整；处置后的剩余股权不能对被投资单位实施共同控制或施加重大</w:t>
      </w:r>
      <w:r>
        <w:rPr>
          <w:spacing w:val="-43"/>
        </w:rPr>
        <w:t> </w:t>
      </w:r>
      <w:r>
        <w:rPr>
          <w:spacing w:val="-43"/>
        </w:rPr>
      </w:r>
      <w:r>
        <w:rPr>
          <w:spacing w:val="-2"/>
        </w:rPr>
        <w:t>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金融工具确认和计量》的有关规定进行会计处理，其在丧失控制</w:t>
      </w:r>
    </w:p>
    <w:p>
      <w:pPr>
        <w:spacing w:after="0" w:line="26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right="1033"/>
        <w:jc w:val="left"/>
      </w:pPr>
      <w:r>
        <w:rPr/>
        <w:t>之日的公允价值与账面价值间的差额计入当期损益。</w:t>
      </w:r>
    </w:p>
    <w:p>
      <w:pPr>
        <w:pStyle w:val="Heading6"/>
        <w:spacing w:line="268" w:lineRule="auto" w:before="37"/>
        <w:ind w:right="1104" w:firstLine="42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w:t>
      </w:r>
      <w:r>
        <w:rPr>
          <w:w w:val="100"/>
        </w:rPr>
        <w:t> </w:t>
      </w:r>
      <w:r>
        <w:rPr>
          <w:spacing w:val="2"/>
        </w:rPr>
        <w:t>资相应对享有子公司自购买日或合并日开始持续计算的净资产份额之间的差额，调整资本公积（股本溢</w:t>
      </w:r>
      <w:r>
        <w:rPr>
          <w:spacing w:val="-30"/>
        </w:rPr>
        <w:t> </w:t>
      </w:r>
      <w:r>
        <w:rPr>
          <w:spacing w:val="-30"/>
        </w:rPr>
      </w:r>
      <w:r>
        <w:rPr>
          <w:spacing w:val="-2"/>
        </w:rPr>
        <w:t>价），资本公积不足冲减的，调整留存收益；在丧失对子公司控制权时，对于剩余股权，按照其在丧失控</w:t>
      </w:r>
      <w:r>
        <w:rPr>
          <w:spacing w:val="-42"/>
        </w:rPr>
        <w:t> </w:t>
      </w:r>
      <w:r>
        <w:rPr>
          <w:spacing w:val="-42"/>
        </w:rPr>
      </w:r>
      <w:r>
        <w:rPr>
          <w:spacing w:val="-2"/>
        </w:rPr>
        <w:t>制权日的公允价值进行重新计量。处置股权取得的对价与剩余股权公允价值之和，减去按原持股比例计算</w:t>
      </w:r>
      <w:r>
        <w:rPr>
          <w:spacing w:val="-43"/>
        </w:rPr>
        <w:t> </w:t>
      </w:r>
      <w:r>
        <w:rPr>
          <w:spacing w:val="-43"/>
        </w:rPr>
      </w:r>
      <w:r>
        <w:rPr>
          <w:spacing w:val="-2"/>
        </w:rPr>
        <w:t>应享有原有子公司自购买日开始持续计算的净资产的份额之间的差额，计入丧失控制权当期的投资收益，</w:t>
      </w:r>
      <w:r>
        <w:rPr>
          <w:spacing w:val="-21"/>
        </w:rPr>
        <w:t> </w:t>
      </w:r>
      <w:r>
        <w:rPr>
          <w:spacing w:val="-21"/>
        </w:rPr>
      </w:r>
      <w:r>
        <w:rPr/>
        <w:t>同时冲减商誉。与原有子公司股权投资相关的其他综合收益等，在丧失控制权时转为当期投资收益。</w:t>
      </w:r>
    </w:p>
    <w:p>
      <w:pPr>
        <w:pStyle w:val="Heading6"/>
        <w:spacing w:line="273" w:lineRule="auto" w:before="12"/>
        <w:ind w:right="1126" w:firstLine="420"/>
        <w:jc w:val="both"/>
      </w:pPr>
      <w:r>
        <w:rPr>
          <w:spacing w:val="-2"/>
        </w:rPr>
        <w:t>处置对子公司股权投资直至丧失控制权的各项交易属于一揽子交易的，将各项交易作为一项处置子公</w:t>
      </w:r>
      <w:r>
        <w:rPr>
          <w:w w:val="100"/>
        </w:rPr>
        <w:t> </w:t>
      </w:r>
      <w:r>
        <w:rPr/>
        <w:t>司股权投资并丧失控制权的交易进行会计处理，区分个别财务报表和合并财务报表进行相关会计处理：</w:t>
      </w:r>
    </w:p>
    <w:p>
      <w:pPr>
        <w:pStyle w:val="Heading6"/>
        <w:spacing w:line="259" w:lineRule="auto"/>
        <w:ind w:right="1136" w:firstLine="42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w:t>
      </w:r>
      <w:r>
        <w:rPr>
          <w:w w:val="100"/>
        </w:rPr>
        <w:t> </w:t>
      </w:r>
      <w:r>
        <w:rPr/>
        <w:t>价值之间的差额，确认为其他综合收益，在丧失控制权时一并转入丧失控制权当期的损益。</w:t>
      </w:r>
    </w:p>
    <w:p>
      <w:pPr>
        <w:pStyle w:val="Heading6"/>
        <w:spacing w:line="256" w:lineRule="auto" w:before="20"/>
        <w:ind w:right="1136" w:firstLine="42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w:t>
      </w:r>
      <w:r>
        <w:rPr>
          <w:w w:val="100"/>
        </w:rPr>
        <w:t> </w:t>
      </w:r>
      <w:r>
        <w:rPr/>
        <w:t>份额的差额，确认为其他综合收益，在丧失控制权时一并转入丧失控制权当期的损益。</w:t>
      </w:r>
    </w:p>
    <w:p>
      <w:pPr>
        <w:spacing w:line="312" w:lineRule="exact" w:before="18"/>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 </w:t>
      </w:r>
      <w:r>
        <w:rPr>
          <w:rFonts w:ascii="Microsoft JhengHei" w:hAnsi="Microsoft JhengHei" w:cs="Microsoft JhengHei" w:eastAsia="Microsoft JhengHei" w:hint="default"/>
          <w:b/>
          <w:bCs/>
          <w:sz w:val="21"/>
          <w:szCs w:val="21"/>
        </w:rPr>
        <w:t>共同控制、重大影响的判断标准</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pacing w:val="-1"/>
          <w:sz w:val="21"/>
          <w:szCs w:val="21"/>
        </w:rPr>
      </w:r>
      <w:r>
        <w:rPr>
          <w:rFonts w:ascii="宋体" w:hAnsi="宋体" w:cs="宋体" w:eastAsia="宋体" w:hint="default"/>
          <w:spacing w:val="-2"/>
          <w:sz w:val="21"/>
          <w:szCs w:val="21"/>
        </w:rPr>
        <w:t>如果本公司按照相关约定与其他参与方集体控制某项安排，并且对该安排回报具有重大影响的活动决</w:t>
      </w:r>
    </w:p>
    <w:p>
      <w:pPr>
        <w:pStyle w:val="Heading6"/>
        <w:spacing w:line="273" w:lineRule="auto" w:before="4"/>
        <w:ind w:right="1033"/>
        <w:jc w:val="left"/>
      </w:pPr>
      <w:r>
        <w:rPr>
          <w:spacing w:val="-2"/>
        </w:rPr>
        <w:t>策，需要经过分享控制权的参与方一致同意时才存在，则视为本公司与其他参与方共同控制某项安排，该</w:t>
      </w:r>
      <w:r>
        <w:rPr>
          <w:spacing w:val="-42"/>
        </w:rPr>
        <w:t> </w:t>
      </w:r>
      <w:r>
        <w:rPr>
          <w:spacing w:val="-42"/>
        </w:rPr>
      </w:r>
      <w:r>
        <w:rPr/>
        <w:t>安排即属于合营安排。</w:t>
      </w:r>
    </w:p>
    <w:p>
      <w:pPr>
        <w:pStyle w:val="Heading6"/>
        <w:spacing w:line="273" w:lineRule="auto"/>
        <w:ind w:right="1126" w:firstLine="420"/>
        <w:jc w:val="both"/>
      </w:pPr>
      <w:r>
        <w:rPr>
          <w:spacing w:val="-2"/>
        </w:rPr>
        <w:t>合营安排通过单独主体达成的，根据相关约定判断本公司对该单独主体的净资产享有权利时，将该单</w:t>
      </w:r>
      <w:r>
        <w:rPr>
          <w:w w:val="100"/>
        </w:rPr>
        <w:t> </w:t>
      </w:r>
      <w:r>
        <w:rPr>
          <w:spacing w:val="-2"/>
        </w:rPr>
        <w:t>独主体作为合营企业，采用权益法核算。若根据相关约定判断本公司并非对该单独主体的净资产享有权利</w:t>
      </w:r>
      <w:r>
        <w:rPr>
          <w:spacing w:val="-43"/>
        </w:rPr>
        <w:t> </w:t>
      </w:r>
      <w:r>
        <w:rPr>
          <w:spacing w:val="-43"/>
        </w:rPr>
      </w:r>
      <w:r>
        <w:rPr>
          <w:spacing w:val="-2"/>
        </w:rPr>
        <w:t>时，该单独主体作为共同经营，本公司确认与共同经营利益份额相关的项目，并按照相关企业会计准则的</w:t>
      </w:r>
      <w:r>
        <w:rPr>
          <w:spacing w:val="-45"/>
        </w:rPr>
        <w:t> </w:t>
      </w:r>
      <w:r>
        <w:rPr>
          <w:spacing w:val="-45"/>
        </w:rPr>
      </w:r>
      <w:r>
        <w:rPr/>
        <w:t>规定进行会计处理。</w:t>
      </w:r>
    </w:p>
    <w:p>
      <w:pPr>
        <w:pStyle w:val="Heading6"/>
        <w:spacing w:line="264" w:lineRule="auto"/>
        <w:ind w:right="1126" w:firstLine="420"/>
        <w:jc w:val="both"/>
      </w:pPr>
      <w:r>
        <w:rPr>
          <w:spacing w:val="-2"/>
        </w:rPr>
        <w:t>重大影响，是指投资方对被投资单位的财务和经营政策有参与决策的权力，但并不能够控制或者与其</w:t>
      </w:r>
      <w:r>
        <w:rPr>
          <w:w w:val="100"/>
        </w:rPr>
        <w:t> </w:t>
      </w:r>
      <w:r>
        <w:rPr>
          <w:spacing w:val="-2"/>
        </w:rPr>
        <w:t>他方一起共同控制这些政策的制定。本公司通过以下一种或多种情形，并综合考虑所有事实和情况后，判</w:t>
      </w:r>
      <w:r>
        <w:rPr>
          <w:spacing w:val="-43"/>
        </w:rPr>
        <w:t> </w:t>
      </w:r>
      <w:r>
        <w:rPr>
          <w:spacing w:val="-43"/>
        </w:rPr>
      </w:r>
      <w:r>
        <w:rPr>
          <w:spacing w:val="-2"/>
        </w:rPr>
        <w:t>断对被投资单位具有重大影响：（</w:t>
      </w:r>
      <w:r>
        <w:rPr>
          <w:rFonts w:ascii="Times New Roman" w:hAnsi="Times New Roman" w:cs="Times New Roman" w:eastAsia="Times New Roman" w:hint="default"/>
          <w:spacing w:val="-2"/>
        </w:rPr>
        <w:t>1</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w:t>
      </w:r>
      <w:r>
        <w:rPr>
          <w:spacing w:val="-43"/>
        </w:rPr>
        <w:t> </w:t>
      </w:r>
      <w:r>
        <w:rPr>
          <w:spacing w:val="-43"/>
        </w:rPr>
      </w:r>
      <w:r>
        <w:rPr>
          <w:spacing w:val="-2"/>
        </w:rPr>
        <w:t>资单位财务和经营政策制定过程；（</w:t>
      </w:r>
      <w:r>
        <w:rPr>
          <w:rFonts w:ascii="Times New Roman" w:hAnsi="Times New Roman" w:cs="Times New Roman" w:eastAsia="Times New Roman" w:hint="default"/>
          <w:spacing w:val="-2"/>
        </w:rPr>
        <w:t>3</w:t>
      </w:r>
      <w:r>
        <w:rPr>
          <w:spacing w:val="-2"/>
        </w:rPr>
        <w:t>）与被投资单位之间发生重要交易；（</w:t>
      </w:r>
      <w:r>
        <w:rPr>
          <w:rFonts w:ascii="Times New Roman" w:hAnsi="Times New Roman" w:cs="Times New Roman" w:eastAsia="Times New Roman" w:hint="default"/>
          <w:spacing w:val="-2"/>
        </w:rPr>
        <w:t>4</w:t>
      </w:r>
      <w:r>
        <w:rPr>
          <w:spacing w:val="-2"/>
        </w:rPr>
        <w:t>）向被投资单位派出管理人</w:t>
      </w:r>
      <w:r>
        <w:rPr>
          <w:spacing w:val="-43"/>
        </w:rPr>
        <w:t> </w:t>
      </w:r>
      <w:r>
        <w:rPr>
          <w:spacing w:val="-43"/>
        </w:rPr>
      </w:r>
      <w:r>
        <w:rPr/>
        <w:t>员；（</w:t>
      </w:r>
      <w:r>
        <w:rPr>
          <w:rFonts w:ascii="Times New Roman" w:hAnsi="Times New Roman" w:cs="Times New Roman" w:eastAsia="Times New Roman" w:hint="default"/>
        </w:rPr>
        <w:t>5</w:t>
      </w:r>
      <w:r>
        <w:rPr/>
        <w:t>）向被投资单位提供关键技术资料。</w:t>
      </w:r>
    </w:p>
    <w:p>
      <w:pPr>
        <w:spacing w:line="240" w:lineRule="auto" w:before="9"/>
        <w:rPr>
          <w:rFonts w:ascii="宋体" w:hAnsi="宋体" w:cs="宋体" w:eastAsia="宋体" w:hint="default"/>
          <w:sz w:val="17"/>
          <w:szCs w:val="17"/>
        </w:rPr>
      </w:pPr>
    </w:p>
    <w:p>
      <w:pPr>
        <w:pStyle w:val="Heading5"/>
        <w:spacing w:line="240" w:lineRule="auto"/>
        <w:ind w:right="1033"/>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953"/>
        <w:jc w:val="left"/>
      </w:pPr>
      <w:r>
        <w:rPr/>
        <w:t>投资性房地产计量模式 不适用</w:t>
      </w:r>
    </w:p>
    <w:p>
      <w:pPr>
        <w:spacing w:line="240" w:lineRule="auto" w:before="5"/>
        <w:rPr>
          <w:rFonts w:ascii="宋体" w:hAnsi="宋体" w:cs="宋体" w:eastAsia="宋体" w:hint="default"/>
          <w:sz w:val="15"/>
          <w:szCs w:val="15"/>
        </w:rPr>
      </w:pPr>
    </w:p>
    <w:p>
      <w:pPr>
        <w:pStyle w:val="Heading5"/>
        <w:spacing w:line="240" w:lineRule="auto"/>
        <w:ind w:right="1033"/>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033"/>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2"/>
        <w:rPr>
          <w:rFonts w:ascii="宋体" w:hAnsi="宋体" w:cs="宋体" w:eastAsia="宋体" w:hint="default"/>
          <w:sz w:val="16"/>
          <w:szCs w:val="16"/>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pStyle w:val="Heading5"/>
        <w:spacing w:line="240" w:lineRule="auto" w:before="148"/>
        <w:ind w:right="10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tabs>
          <w:tab w:pos="1055" w:val="left" w:leader="none"/>
          <w:tab w:pos="2496" w:val="left" w:leader="none"/>
          <w:tab w:pos="3036" w:val="left" w:leader="none"/>
          <w:tab w:pos="6636" w:val="left" w:leader="none"/>
          <w:tab w:pos="7357" w:val="left" w:leader="none"/>
          <w:tab w:pos="8897" w:val="left" w:leader="none"/>
        </w:tabs>
        <w:spacing w:line="309" w:lineRule="auto"/>
        <w:ind w:right="1051" w:firstLine="362"/>
        <w:jc w:val="left"/>
      </w:pPr>
      <w:r>
        <w:rPr>
          <w:spacing w:val="-1"/>
        </w:rPr>
        <w:t>当本公司租入的固定资产符合下列一项或数项标准时，确认为融资租入固定资产：</w:t>
        <w:tab/>
      </w:r>
      <w:r>
        <w:rPr>
          <w:rFonts w:ascii="Times New Roman" w:hAnsi="Times New Roman" w:cs="Times New Roman" w:eastAsia="Times New Roman" w:hint="default"/>
          <w:spacing w:val="-1"/>
        </w:rPr>
        <w:t>1</w:t>
      </w:r>
      <w:r>
        <w:rPr>
          <w:spacing w:val="-1"/>
        </w:rPr>
        <w:t>）在租赁期届满时，租赁资产</w:t>
      </w:r>
      <w:r>
        <w:rPr/>
        <w:t> 的所有权转移给本公司。</w:t>
        <w:tab/>
      </w:r>
      <w:r>
        <w:rPr>
          <w:rFonts w:ascii="Times New Roman" w:hAnsi="Times New Roman" w:cs="Times New Roman" w:eastAsia="Times New Roman" w:hint="default"/>
        </w:rPr>
        <w:t>2</w:t>
      </w:r>
      <w:r>
        <w:rPr/>
        <w:t>）本公司有购买租赁资产的选择权，所订立的购买价款预计将远低于行使选择权时租赁资产 的公允价值，因而在租赁开始日就可以合理确定本公司将会行使这种选择权。</w:t>
        <w:tab/>
      </w:r>
      <w:r>
        <w:rPr>
          <w:rFonts w:ascii="Times New Roman" w:hAnsi="Times New Roman" w:cs="Times New Roman" w:eastAsia="Times New Roman" w:hint="default"/>
        </w:rPr>
        <w:t>3</w:t>
      </w:r>
      <w:r>
        <w:rPr/>
        <w:t>）即使资产的所有权不转移，但租赁期 占租赁资产使用寿命的大部分。</w:t>
        <w:tab/>
      </w:r>
      <w:r>
        <w:rPr>
          <w:rFonts w:ascii="Times New Roman" w:hAnsi="Times New Roman" w:cs="Times New Roman" w:eastAsia="Times New Roman" w:hint="default"/>
        </w:rPr>
        <w:t>4</w:t>
      </w:r>
      <w:r>
        <w:rPr/>
        <w:t>）本公司在租赁开始日的最低租赁付款额现值，几乎相当于租赁开始日租赁资产公允 价值。</w:t>
        <w:tab/>
      </w:r>
      <w:r>
        <w:rPr>
          <w:rFonts w:ascii="Times New Roman" w:hAnsi="Times New Roman" w:cs="Times New Roman" w:eastAsia="Times New Roman" w:hint="default"/>
          <w:spacing w:val="-1"/>
        </w:rPr>
        <w:t>5</w:t>
      </w:r>
      <w:r>
        <w:rPr>
          <w:spacing w:val="-1"/>
        </w:rPr>
        <w:t>）租赁资产性质特殊，如果不作较大改造，只有本公司才能使用。</w:t>
        <w:tab/>
        <w:t>融资租赁租入的固定资产，按租赁开始</w:t>
      </w:r>
      <w:r>
        <w:rPr>
          <w:spacing w:val="-76"/>
        </w:rPr>
        <w:t> </w:t>
      </w:r>
      <w:r>
        <w:rPr>
          <w:spacing w:val="-76"/>
        </w:rPr>
      </w:r>
      <w:r>
        <w:rPr/>
        <w:t>日租赁资产公允价值与最低租赁付款额的现值两者中较低者，作为入账价值。最低租赁付款额作为长期应付款的入账价值， </w:t>
      </w:r>
      <w:r>
        <w:rPr>
          <w:spacing w:val="-2"/>
        </w:rPr>
        <w:t>其差额作为未确认融资费用。在租赁谈判和签订租赁合同过程中发生的，可归属于租赁项目的手续费、律师费、差旅费、印</w:t>
      </w:r>
      <w:r>
        <w:rPr>
          <w:spacing w:val="-67"/>
        </w:rPr>
        <w:t> </w:t>
      </w:r>
      <w:r>
        <w:rPr>
          <w:spacing w:val="-67"/>
        </w:rPr>
      </w:r>
      <w:r>
        <w:rPr>
          <w:spacing w:val="-2"/>
        </w:rPr>
        <w:t>花税等初始直接费用，计入租入资产价值。未确认融资费用在租赁期内各个期间采用实际利率法进行分摊。</w:t>
        <w:tab/>
      </w:r>
      <w:r>
        <w:rPr>
          <w:spacing w:val="-1"/>
        </w:rPr>
        <w:t>本公司采用</w:t>
      </w:r>
      <w:r>
        <w:rPr>
          <w:spacing w:val="-88"/>
        </w:rPr>
        <w:t> </w:t>
      </w:r>
      <w:r>
        <w:rPr>
          <w:spacing w:val="-88"/>
        </w:rPr>
      </w:r>
      <w:r>
        <w:rPr>
          <w:spacing w:val="-2"/>
        </w:rPr>
        <w:t>与自有固定资产相一致的折旧政策计提融资租入固定资产折旧。能够合理确定租赁期届满时取得租赁资产所有权的，在租赁</w:t>
      </w:r>
      <w:r>
        <w:rPr>
          <w:spacing w:val="-64"/>
        </w:rPr>
        <w:t> </w:t>
      </w:r>
      <w:r>
        <w:rPr>
          <w:spacing w:val="-64"/>
        </w:rPr>
      </w:r>
      <w:r>
        <w:rPr>
          <w:spacing w:val="-2"/>
        </w:rPr>
        <w:t>资产使用寿命内计提折旧。无法合理确定租赁期届满时能够取得租赁资产所有权的，在租赁期与租赁资产使用寿命两者中较</w:t>
      </w:r>
      <w:r>
        <w:rPr>
          <w:spacing w:val="-64"/>
        </w:rPr>
        <w:t> </w:t>
      </w:r>
      <w:r>
        <w:rPr>
          <w:spacing w:val="-64"/>
        </w:rPr>
      </w:r>
      <w:r>
        <w:rPr/>
        <w:t>短的期间内计提折旧。</w:t>
      </w:r>
    </w:p>
    <w:p>
      <w:pPr>
        <w:spacing w:line="240" w:lineRule="auto" w:before="12"/>
        <w:rPr>
          <w:rFonts w:ascii="宋体" w:hAnsi="宋体" w:cs="宋体" w:eastAsia="宋体" w:hint="default"/>
          <w:sz w:val="17"/>
          <w:szCs w:val="17"/>
        </w:rPr>
      </w:pPr>
    </w:p>
    <w:p>
      <w:pPr>
        <w:pStyle w:val="Heading5"/>
        <w:spacing w:line="240" w:lineRule="auto"/>
        <w:ind w:right="1033"/>
        <w:jc w:val="left"/>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249" w:lineRule="auto" w:before="0"/>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在建工程初始计量</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2"/>
          <w:sz w:val="21"/>
          <w:szCs w:val="21"/>
        </w:rPr>
        <w:t>本公司自行建造的在建工程按实际成本计价，实际成本由建造该项资产达到预定可使用状态前所发生</w:t>
      </w:r>
    </w:p>
    <w:p>
      <w:pPr>
        <w:pStyle w:val="Heading6"/>
        <w:spacing w:line="260" w:lineRule="exact" w:before="28"/>
        <w:ind w:right="1033"/>
        <w:jc w:val="left"/>
      </w:pPr>
      <w:r>
        <w:rPr/>
        <w:t>的必要支出构成等。</w:t>
      </w:r>
    </w:p>
    <w:p>
      <w:pPr>
        <w:spacing w:line="312" w:lineRule="exact" w:before="47"/>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Microsoft JhengHei" w:hAnsi="Microsoft JhengHei" w:cs="Microsoft JhengHei" w:eastAsia="Microsoft JhengHei" w:hint="default"/>
          <w:b/>
          <w:bCs/>
          <w:sz w:val="21"/>
          <w:szCs w:val="21"/>
        </w:rPr>
        <w:t>在建工程结转为固定资产的标准和时点</w:t>
      </w:r>
      <w:r>
        <w:rPr>
          <w:rFonts w:ascii="Microsoft JhengHei" w:hAnsi="Microsoft JhengHei" w:cs="Microsoft JhengHei" w:eastAsia="Microsoft JhengHei" w:hint="default"/>
          <w:b/>
          <w:bCs/>
          <w:spacing w:val="3"/>
          <w:sz w:val="21"/>
          <w:szCs w:val="21"/>
        </w:rPr>
        <w:t> </w:t>
      </w:r>
      <w:r>
        <w:rPr>
          <w:rFonts w:ascii="Microsoft JhengHei" w:hAnsi="Microsoft JhengHei" w:cs="Microsoft JhengHei" w:eastAsia="Microsoft JhengHei" w:hint="default"/>
          <w:b/>
          <w:bCs/>
          <w:spacing w:val="3"/>
          <w:sz w:val="21"/>
          <w:szCs w:val="21"/>
        </w:rPr>
      </w:r>
      <w:r>
        <w:rPr>
          <w:rFonts w:ascii="宋体" w:hAnsi="宋体" w:cs="宋体" w:eastAsia="宋体" w:hint="default"/>
          <w:spacing w:val="-2"/>
          <w:sz w:val="21"/>
          <w:szCs w:val="21"/>
        </w:rPr>
        <w:t>在建工程项目按建造该项资产达到预定可使用状态前所发生的全部支出，作为固定资产的入账价值。</w:t>
      </w:r>
    </w:p>
    <w:p>
      <w:pPr>
        <w:pStyle w:val="Heading6"/>
        <w:spacing w:line="273" w:lineRule="auto" w:before="4"/>
        <w:ind w:right="1126"/>
        <w:jc w:val="both"/>
      </w:pPr>
      <w:r>
        <w:rPr>
          <w:spacing w:val="-2"/>
        </w:rPr>
        <w:t>所建造的在建工程已达到预定可使用状态，但尚未办理竣工决算的，自达到预定可使用状态之日起，根据</w:t>
      </w:r>
      <w:r>
        <w:rPr>
          <w:spacing w:val="-44"/>
        </w:rPr>
        <w:t> </w:t>
      </w:r>
      <w:r>
        <w:rPr>
          <w:spacing w:val="-44"/>
        </w:rPr>
      </w:r>
      <w:r>
        <w:rPr>
          <w:spacing w:val="-2"/>
        </w:rPr>
        <w:t>工程预算、造价或者工程实际成本等，按估计的价值转入固定资产，并按本公司固定资产折旧政策计提固</w:t>
      </w:r>
      <w:r>
        <w:rPr>
          <w:spacing w:val="-44"/>
        </w:rPr>
        <w:t> </w:t>
      </w:r>
      <w:r>
        <w:rPr>
          <w:spacing w:val="-44"/>
        </w:rPr>
      </w:r>
      <w:r>
        <w:rPr/>
        <w:t>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249" w:lineRule="auto" w:before="0"/>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借款费用资本化的确认原则</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本公司发生的借款费用，可直接归属于符合资本化条件的资产的购建或者生产的，予以资本化，计入</w:t>
      </w:r>
    </w:p>
    <w:p>
      <w:pPr>
        <w:pStyle w:val="Heading6"/>
        <w:spacing w:line="273" w:lineRule="auto" w:before="28"/>
        <w:ind w:left="573" w:right="1033" w:hanging="420"/>
        <w:jc w:val="left"/>
      </w:pPr>
      <w:r>
        <w:rPr/>
        <w:t>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Heading6"/>
        <w:spacing w:line="273" w:lineRule="auto" w:before="8"/>
        <w:ind w:left="573" w:right="2653" w:hanging="420"/>
        <w:jc w:val="left"/>
      </w:pPr>
      <w:r>
        <w:rPr>
          <w:spacing w:val="-2"/>
        </w:rPr>
        <w:t>售状态的固定资产、投资性房地产和存货等资产。</w:t>
      </w:r>
      <w:r>
        <w:rPr>
          <w:spacing w:val="-62"/>
        </w:rPr>
        <w:t> </w:t>
      </w:r>
      <w:r>
        <w:rPr>
          <w:spacing w:val="-62"/>
        </w:rPr>
      </w:r>
      <w:r>
        <w:rPr/>
        <w:t>借款费用同时满足下列条件时开始资本化：</w:t>
      </w:r>
    </w:p>
    <w:p>
      <w:pPr>
        <w:pStyle w:val="Heading6"/>
        <w:spacing w:line="256" w:lineRule="auto"/>
        <w:ind w:right="1033"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w:t>
      </w:r>
      <w:r>
        <w:rPr>
          <w:w w:val="100"/>
        </w:rPr>
        <w:t> </w:t>
      </w:r>
      <w:r>
        <w:rPr/>
        <w:t>非现金资产或者承担带息债务形式发生的支出；</w:t>
      </w:r>
    </w:p>
    <w:p>
      <w:pPr>
        <w:spacing w:after="0" w:line="256"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left="573" w:right="1033"/>
        <w:jc w:val="left"/>
      </w:pPr>
      <w:r>
        <w:rPr/>
        <w:t>（</w:t>
      </w:r>
      <w:r>
        <w:rPr>
          <w:rFonts w:ascii="Times New Roman" w:hAnsi="Times New Roman" w:cs="Times New Roman" w:eastAsia="Times New Roman" w:hint="default"/>
        </w:rPr>
        <w:t>2</w:t>
      </w:r>
      <w:r>
        <w:rPr/>
        <w:t>）借款费用已经发生；</w:t>
      </w:r>
    </w:p>
    <w:p>
      <w:pPr>
        <w:pStyle w:val="Heading6"/>
        <w:spacing w:line="268" w:lineRule="exact" w:before="21"/>
        <w:ind w:left="573" w:right="1033"/>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312" w:lineRule="exact" w:before="39"/>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借款费用资本化期间</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资本化期间，指从借款费用开始资本化时点到停止资本化时点的期间，借款费用暂停资本化的期间不</w:t>
      </w:r>
    </w:p>
    <w:p>
      <w:pPr>
        <w:pStyle w:val="Heading6"/>
        <w:spacing w:line="240" w:lineRule="auto" w:before="4"/>
        <w:ind w:right="0"/>
        <w:jc w:val="both"/>
      </w:pPr>
      <w:r>
        <w:rPr/>
        <w:t>包括在内。</w:t>
      </w:r>
    </w:p>
    <w:p>
      <w:pPr>
        <w:pStyle w:val="Heading6"/>
        <w:spacing w:line="273" w:lineRule="auto" w:before="37"/>
        <w:ind w:left="573" w:right="1033"/>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Heading6"/>
        <w:spacing w:line="240" w:lineRule="auto"/>
        <w:ind w:right="0"/>
        <w:jc w:val="both"/>
      </w:pPr>
      <w:r>
        <w:rPr/>
        <w:t>止资本化。</w:t>
      </w:r>
    </w:p>
    <w:p>
      <w:pPr>
        <w:pStyle w:val="Heading6"/>
        <w:spacing w:line="273" w:lineRule="auto" w:before="37"/>
        <w:ind w:right="1033" w:firstLine="420"/>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Heading6"/>
        <w:spacing w:line="312" w:lineRule="exact" w:before="4"/>
        <w:ind w:left="573" w:right="1033" w:hanging="65"/>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35"/>
        </w:rPr>
        <w:t> </w:t>
      </w:r>
      <w:r>
        <w:rPr>
          <w:rFonts w:ascii="Microsoft JhengHei" w:hAnsi="Microsoft JhengHei" w:cs="Microsoft JhengHei" w:eastAsia="Microsoft JhengHei" w:hint="default"/>
          <w:b/>
          <w:bCs/>
        </w:rPr>
        <w:t>暂停资本化期间</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Heading6"/>
        <w:spacing w:line="273" w:lineRule="auto" w:before="4"/>
        <w:ind w:right="1126"/>
        <w:jc w:val="both"/>
      </w:pPr>
      <w:r>
        <w:rPr>
          <w:spacing w:val="-2"/>
        </w:rPr>
        <w:t>款费用暂停资本化；该项中断如是所购建或生产的符合资本化条件的资产达到预定可使用状态或者可销售</w:t>
      </w:r>
      <w:r>
        <w:rPr>
          <w:spacing w:val="-44"/>
        </w:rPr>
        <w:t> </w:t>
      </w:r>
      <w:r>
        <w:rPr>
          <w:spacing w:val="-44"/>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312" w:lineRule="exact" w:before="3"/>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 </w:t>
      </w:r>
      <w:r>
        <w:rPr>
          <w:rFonts w:ascii="Microsoft JhengHei" w:hAnsi="Microsoft JhengHei" w:cs="Microsoft JhengHei" w:eastAsia="Microsoft JhengHei" w:hint="default"/>
          <w:b/>
          <w:bCs/>
          <w:sz w:val="21"/>
          <w:szCs w:val="21"/>
        </w:rPr>
        <w:t>借款费用资本化金额的计算方法</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pacing w:val="-1"/>
          <w:sz w:val="21"/>
          <w:szCs w:val="21"/>
        </w:rPr>
      </w:r>
      <w:r>
        <w:rPr>
          <w:rFonts w:ascii="宋体" w:hAnsi="宋体" w:cs="宋体" w:eastAsia="宋体" w:hint="default"/>
          <w:spacing w:val="-2"/>
          <w:sz w:val="21"/>
          <w:szCs w:val="21"/>
        </w:rPr>
        <w:t>专门借款的利息费用（扣除尚未动用的借款资金存入银行取得的利息收入或者进行暂时性投资取得的</w:t>
      </w:r>
    </w:p>
    <w:p>
      <w:pPr>
        <w:pStyle w:val="Heading6"/>
        <w:spacing w:line="273" w:lineRule="auto" w:before="4"/>
        <w:ind w:right="1033"/>
        <w:jc w:val="left"/>
      </w:pPr>
      <w:r>
        <w:rPr>
          <w:spacing w:val="-2"/>
        </w:rPr>
        <w:t>投资收益）及其辅助费用在所购建或者生产的符合资本化条件的资产达到预定可使用或者可销售状态前，</w:t>
      </w:r>
      <w:r>
        <w:rPr>
          <w:spacing w:val="-21"/>
        </w:rPr>
        <w:t> </w:t>
      </w:r>
      <w:r>
        <w:rPr>
          <w:spacing w:val="-21"/>
        </w:rPr>
      </w:r>
      <w:r>
        <w:rPr/>
        <w:t>予以资本化。</w:t>
      </w:r>
    </w:p>
    <w:p>
      <w:pPr>
        <w:pStyle w:val="Heading6"/>
        <w:spacing w:line="273" w:lineRule="auto"/>
        <w:ind w:right="1033" w:firstLine="420"/>
        <w:jc w:val="left"/>
      </w:pPr>
      <w:r>
        <w:rPr>
          <w:spacing w:val="-2"/>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p>
    <w:p>
      <w:pPr>
        <w:pStyle w:val="Heading6"/>
        <w:spacing w:line="273" w:lineRule="auto"/>
        <w:ind w:right="1033" w:firstLine="420"/>
        <w:jc w:val="left"/>
      </w:pPr>
      <w:r>
        <w:rPr>
          <w:spacing w:val="-2"/>
        </w:rPr>
        <w:t>借款存在折价或者溢价的，按照实际利率法确定每一会计期间应摊销的折价或者溢价金额，调整每期</w:t>
      </w:r>
      <w:r>
        <w:rPr>
          <w:w w:val="100"/>
        </w:rPr>
        <w:t> </w:t>
      </w:r>
      <w:r>
        <w:rPr/>
        <w:t>利息金额。</w:t>
      </w:r>
    </w:p>
    <w:p>
      <w:pPr>
        <w:spacing w:line="240" w:lineRule="auto" w:before="5"/>
        <w:rPr>
          <w:rFonts w:ascii="宋体" w:hAnsi="宋体" w:cs="宋体" w:eastAsia="宋体" w:hint="default"/>
          <w:sz w:val="18"/>
          <w:szCs w:val="18"/>
        </w:rPr>
      </w:pPr>
    </w:p>
    <w:p>
      <w:pPr>
        <w:pStyle w:val="Heading5"/>
        <w:spacing w:line="240" w:lineRule="auto"/>
        <w:ind w:right="0"/>
        <w:jc w:val="both"/>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不适用。</w:t>
      </w:r>
    </w:p>
    <w:p>
      <w:pPr>
        <w:spacing w:line="240" w:lineRule="auto" w:before="1"/>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0"/>
        <w:ind w:right="0"/>
        <w:jc w:val="both"/>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0"/>
        <w:ind w:right="0"/>
        <w:jc w:val="both"/>
        <w:rPr>
          <w:b w:val="0"/>
          <w:bCs w:val="0"/>
        </w:rPr>
      </w:pPr>
      <w:r>
        <w:rPr>
          <w:rFonts w:ascii="Times New Roman" w:hAnsi="Times New Roman" w:cs="Times New Roman" w:eastAsia="Times New Roman" w:hint="default"/>
        </w:rPr>
        <w:t>30</w:t>
      </w:r>
      <w:r>
        <w:rPr/>
        <w:t>、无形资产</w:t>
      </w:r>
      <w:r>
        <w:rPr>
          <w:b w:val="0"/>
          <w:bCs w:val="0"/>
        </w:rPr>
      </w:r>
    </w:p>
    <w:p>
      <w:pPr>
        <w:spacing w:line="590" w:lineRule="atLeast" w:before="22"/>
        <w:ind w:left="573" w:right="1033"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）计价方法、使用寿命、减值测试</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无形资产是指本公司拥有或者控制的没有实物形态的可辨认非货币性资产，包括土地使用权、软件、</w:t>
      </w:r>
    </w:p>
    <w:p>
      <w:pPr>
        <w:pStyle w:val="Heading6"/>
        <w:spacing w:line="260" w:lineRule="exact" w:before="37"/>
        <w:ind w:right="0"/>
        <w:jc w:val="both"/>
      </w:pPr>
      <w:r>
        <w:rPr/>
        <w:t>专利及著作权、商标等。</w:t>
      </w:r>
    </w:p>
    <w:p>
      <w:pPr>
        <w:pStyle w:val="Heading5"/>
        <w:spacing w:line="351" w:lineRule="exact"/>
        <w:ind w:left="508" w:right="1033"/>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无形资产的初始计量</w:t>
      </w:r>
      <w:r>
        <w:rPr>
          <w:b w:val="0"/>
          <w:bCs w:val="0"/>
        </w:rPr>
      </w:r>
    </w:p>
    <w:p>
      <w:pPr>
        <w:spacing w:after="0" w:line="351" w:lineRule="exact"/>
        <w:jc w:val="left"/>
        <w:sectPr>
          <w:pgSz w:w="11910" w:h="16840"/>
          <w:pgMar w:header="745" w:footer="979" w:top="1060" w:bottom="1160" w:left="980" w:right="0"/>
        </w:sectPr>
      </w:pPr>
    </w:p>
    <w:p>
      <w:pPr>
        <w:spacing w:line="240" w:lineRule="auto" w:before="11"/>
        <w:rPr>
          <w:rFonts w:ascii="Microsoft JhengHei" w:hAnsi="Microsoft JhengHei" w:cs="Microsoft JhengHei" w:eastAsia="Microsoft JhengHei" w:hint="default"/>
          <w:b/>
          <w:bCs/>
          <w:sz w:val="18"/>
          <w:szCs w:val="18"/>
        </w:rPr>
      </w:pPr>
    </w:p>
    <w:p>
      <w:pPr>
        <w:pStyle w:val="Heading6"/>
        <w:spacing w:line="273" w:lineRule="auto" w:before="36"/>
        <w:ind w:right="1126" w:firstLine="420"/>
        <w:jc w:val="both"/>
      </w:pPr>
      <w:r>
        <w:rPr>
          <w:spacing w:val="-2"/>
        </w:rPr>
        <w:t>外购无形资产的成本，包括购买价款、相关税费以及直接归属于使该项资产达到预定用途所发生的其</w:t>
      </w:r>
      <w:r>
        <w:rPr>
          <w:w w:val="100"/>
        </w:rPr>
        <w:t> </w:t>
      </w: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Heading6"/>
        <w:spacing w:line="273" w:lineRule="auto"/>
        <w:ind w:right="1126"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Heading6"/>
        <w:spacing w:line="273" w:lineRule="auto"/>
        <w:ind w:right="112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Heading6"/>
        <w:spacing w:line="273" w:lineRule="auto"/>
        <w:ind w:right="1126"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Heading6"/>
        <w:spacing w:line="273" w:lineRule="auto"/>
        <w:ind w:right="1126" w:firstLine="420"/>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spacing w:line="312" w:lineRule="exact" w:before="3"/>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无形资产的后续计量</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本公司在取得无形资产时分析判断其使用寿命，划分为使用寿命有限和使用寿命不确定的无形资产。</w:t>
      </w:r>
    </w:p>
    <w:p>
      <w:pPr>
        <w:pStyle w:val="Heading6"/>
        <w:spacing w:line="256" w:lineRule="auto" w:before="4"/>
        <w:ind w:left="573" w:right="1033" w:hanging="84"/>
        <w:jc w:val="left"/>
      </w:pPr>
      <w:r>
        <w:rPr/>
        <w:t>（</w:t>
      </w:r>
      <w:r>
        <w:rPr>
          <w:rFonts w:ascii="Times New Roman" w:hAnsi="Times New Roman" w:cs="Times New Roman" w:eastAsia="Times New Roman" w:hint="default"/>
        </w:rPr>
        <w:t>1</w:t>
      </w:r>
      <w:r>
        <w:rPr/>
        <w:t>）使用寿命有限的无形资产</w:t>
      </w:r>
      <w:r>
        <w:rPr>
          <w:w w:val="100"/>
        </w:rPr>
        <w:t> </w:t>
      </w:r>
      <w:r>
        <w:rPr>
          <w:spacing w:val="-2"/>
        </w:rPr>
        <w:t>对于使用寿命有限的无形资产，在为企业带来经济利益的期限内按直线法摊销。使用寿命有限的无形</w:t>
      </w:r>
    </w:p>
    <w:p>
      <w:pPr>
        <w:pStyle w:val="Heading6"/>
        <w:spacing w:line="240" w:lineRule="auto" w:before="22"/>
        <w:ind w:right="1033"/>
        <w:jc w:val="left"/>
      </w:pPr>
      <w:r>
        <w:rPr/>
        <w:t>资产预计寿命及依据如下：</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806"/>
        <w:gridCol w:w="1872"/>
        <w:gridCol w:w="3742"/>
      </w:tblGrid>
      <w:tr>
        <w:trPr>
          <w:trHeight w:val="356" w:hRule="exact"/>
        </w:trPr>
        <w:tc>
          <w:tcPr>
            <w:tcW w:w="2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0"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7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按合同规定的使用年限</w:t>
            </w:r>
          </w:p>
        </w:tc>
      </w:tr>
      <w:tr>
        <w:trPr>
          <w:trHeight w:val="353"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专利及著作权</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按剩余使用年限</w:t>
            </w:r>
          </w:p>
        </w:tc>
        <w:tc>
          <w:tcPr>
            <w:tcW w:w="37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根据预计可使用年限</w:t>
            </w:r>
          </w:p>
        </w:tc>
      </w:tr>
      <w:tr>
        <w:trPr>
          <w:trHeight w:val="353"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按剩余使用年限</w:t>
            </w:r>
          </w:p>
        </w:tc>
        <w:tc>
          <w:tcPr>
            <w:tcW w:w="37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根据预计可使用年限</w:t>
            </w:r>
          </w:p>
        </w:tc>
      </w:tr>
      <w:tr>
        <w:trPr>
          <w:trHeight w:val="353"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7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根据预计可使用年限</w:t>
            </w:r>
          </w:p>
        </w:tc>
      </w:tr>
    </w:tbl>
    <w:p>
      <w:pPr>
        <w:pStyle w:val="Heading6"/>
        <w:spacing w:line="273" w:lineRule="auto" w:before="0"/>
        <w:ind w:right="1033" w:firstLine="420"/>
        <w:jc w:val="left"/>
      </w:pPr>
      <w:r>
        <w:rPr>
          <w:spacing w:val="-2"/>
        </w:rPr>
        <w:t>每期末，对使用寿命有限的无形资产的使用寿命及摊销方法进行复核，如与原先估计数存在差异的，</w:t>
      </w:r>
      <w:r>
        <w:rPr>
          <w:w w:val="100"/>
        </w:rPr>
        <w:t> </w:t>
      </w:r>
      <w:r>
        <w:rPr/>
        <w:t>进行相应的调整。</w:t>
      </w:r>
    </w:p>
    <w:p>
      <w:pPr>
        <w:pStyle w:val="Heading6"/>
        <w:spacing w:line="240" w:lineRule="auto"/>
        <w:ind w:left="573" w:right="1033"/>
        <w:jc w:val="left"/>
      </w:pPr>
      <w:r>
        <w:rPr/>
        <w:t>经复核，本期期末无形资产的使用寿命及摊销方法与以前估计未有不同。</w:t>
      </w:r>
    </w:p>
    <w:p>
      <w:pPr>
        <w:pStyle w:val="Heading6"/>
        <w:spacing w:line="256" w:lineRule="auto" w:before="37"/>
        <w:ind w:left="573" w:right="1033" w:hanging="84"/>
        <w:jc w:val="left"/>
      </w:pPr>
      <w:r>
        <w:rPr/>
        <w:t>（</w:t>
      </w:r>
      <w:r>
        <w:rPr>
          <w:rFonts w:ascii="Times New Roman" w:hAnsi="Times New Roman" w:cs="Times New Roman" w:eastAsia="Times New Roman" w:hint="default"/>
        </w:rPr>
        <w:t>2</w:t>
      </w:r>
      <w:r>
        <w:rPr/>
        <w:t>）使用寿命不确定的无形资产</w:t>
      </w:r>
      <w:r>
        <w:rPr>
          <w:spacing w:val="-103"/>
        </w:rPr>
        <w:t> </w:t>
      </w:r>
      <w:r>
        <w:rPr>
          <w:spacing w:val="-103"/>
        </w:rPr>
      </w:r>
      <w:r>
        <w:rPr/>
        <w:t>无法预见无形资产为企业带来经济利益期限的，视为使用寿命不确定的无形资产。</w:t>
      </w:r>
    </w:p>
    <w:p>
      <w:pPr>
        <w:pStyle w:val="Heading6"/>
        <w:spacing w:line="273" w:lineRule="auto" w:before="143"/>
        <w:ind w:right="1033" w:firstLine="420"/>
        <w:jc w:val="left"/>
      </w:pPr>
      <w:r>
        <w:rPr>
          <w:spacing w:val="-2"/>
        </w:rPr>
        <w:t>对于使用寿命不确定的无形资产，在持有期间内不摊销，每期末对无形资产的寿命进行复核。如果期</w:t>
      </w:r>
      <w:r>
        <w:rPr>
          <w:w w:val="100"/>
        </w:rPr>
        <w:t> </w:t>
      </w:r>
      <w:r>
        <w:rPr/>
        <w:t>末重新复核后仍为不确定的，在每个会计期间继续进行减值测试。</w:t>
      </w:r>
    </w:p>
    <w:p>
      <w:pPr>
        <w:pStyle w:val="Heading6"/>
        <w:spacing w:line="240" w:lineRule="auto"/>
        <w:ind w:left="573" w:right="1033"/>
        <w:jc w:val="left"/>
      </w:pPr>
      <w:r>
        <w:rPr/>
        <w:t>经复核，本公司无使用寿命不确定的无形资产。</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261" w:lineRule="auto" w:before="0"/>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划分公司内部研究开发项目的研究阶段和开发阶段具体标准</w:t>
      </w:r>
      <w:r>
        <w:rPr>
          <w:rFonts w:ascii="Microsoft JhengHei" w:hAnsi="Microsoft JhengHei" w:cs="Microsoft JhengHei" w:eastAsia="Microsoft JhengHei" w:hint="default"/>
          <w:b/>
          <w:bCs/>
          <w:spacing w:val="8"/>
          <w:sz w:val="21"/>
          <w:szCs w:val="21"/>
        </w:rPr>
        <w:t> </w:t>
      </w:r>
      <w:r>
        <w:rPr>
          <w:rFonts w:ascii="Microsoft JhengHei" w:hAnsi="Microsoft JhengHei" w:cs="Microsoft JhengHei" w:eastAsia="Microsoft JhengHei" w:hint="default"/>
          <w:b/>
          <w:bCs/>
          <w:spacing w:val="8"/>
          <w:sz w:val="21"/>
          <w:szCs w:val="21"/>
        </w:rPr>
      </w:r>
      <w:r>
        <w:rPr>
          <w:rFonts w:ascii="宋体" w:hAnsi="宋体" w:cs="宋体" w:eastAsia="宋体" w:hint="default"/>
          <w:sz w:val="21"/>
          <w:szCs w:val="21"/>
        </w:rPr>
        <w:t>研究阶段：为获取并理解新的科学或技术知识等而进行的独创性的有计划调查、研究活动的阶段。</w:t>
      </w:r>
      <w:r>
        <w:rPr>
          <w:rFonts w:ascii="宋体" w:hAnsi="宋体" w:cs="宋体" w:eastAsia="宋体" w:hint="default"/>
          <w:w w:val="100"/>
          <w:sz w:val="21"/>
          <w:szCs w:val="21"/>
        </w:rPr>
        <w:t> </w:t>
      </w:r>
      <w:r>
        <w:rPr>
          <w:rFonts w:ascii="宋体" w:hAnsi="宋体" w:cs="宋体" w:eastAsia="宋体" w:hint="default"/>
          <w:spacing w:val="-2"/>
          <w:sz w:val="21"/>
          <w:szCs w:val="21"/>
        </w:rPr>
        <w:t>开发阶段：在进行商业性生产或使用前，将研究成果或其他知识应用于某项计划或设计，以生产出新</w:t>
      </w:r>
    </w:p>
    <w:p>
      <w:pPr>
        <w:spacing w:line="312" w:lineRule="exact" w:before="14"/>
        <w:ind w:left="508" w:right="4633" w:hanging="356"/>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的或具有实质性改进的材料、装置、产品等活动的阶段。</w:t>
      </w:r>
      <w:r>
        <w:rPr>
          <w:rFonts w:ascii="宋体" w:hAnsi="宋体" w:cs="宋体" w:eastAsia="宋体" w:hint="default"/>
          <w:w w:val="100"/>
          <w:sz w:val="21"/>
          <w:szCs w:val="21"/>
        </w:rPr>
        <w:t> </w:t>
      </w:r>
      <w:r>
        <w:rPr>
          <w:rFonts w:ascii="宋体" w:hAnsi="宋体" w:cs="宋体" w:eastAsia="宋体" w:hint="default"/>
          <w:sz w:val="21"/>
          <w:szCs w:val="21"/>
        </w:rPr>
        <w:t>内部研究开发项目研究阶段的支出，在发生时计入当期损益。</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 </w:t>
      </w:r>
      <w:r>
        <w:rPr>
          <w:rFonts w:ascii="Times New Roman" w:hAnsi="Times New Roman" w:cs="Times New Roman" w:eastAsia="Times New Roman" w:hint="default"/>
          <w:b/>
          <w:bCs/>
          <w:spacing w:val="2"/>
          <w:sz w:val="21"/>
          <w:szCs w:val="21"/>
        </w:rPr>
        <w:t> </w:t>
      </w:r>
      <w:r>
        <w:rPr>
          <w:rFonts w:ascii="Microsoft JhengHei" w:hAnsi="Microsoft JhengHei" w:cs="Microsoft JhengHei" w:eastAsia="Microsoft JhengHei" w:hint="default"/>
          <w:b/>
          <w:bCs/>
          <w:sz w:val="21"/>
          <w:szCs w:val="21"/>
        </w:rPr>
        <w:t>开发阶段支出符合资本化的具体标准</w:t>
      </w:r>
      <w:r>
        <w:rPr>
          <w:rFonts w:ascii="Microsoft JhengHei" w:hAnsi="Microsoft JhengHei" w:cs="Microsoft JhengHei" w:eastAsia="Microsoft JhengHei" w:hint="default"/>
          <w:sz w:val="21"/>
          <w:szCs w:val="21"/>
        </w:rPr>
      </w:r>
    </w:p>
    <w:p>
      <w:pPr>
        <w:pStyle w:val="Heading6"/>
        <w:spacing w:line="240" w:lineRule="auto" w:before="4"/>
        <w:ind w:left="573" w:right="1033"/>
        <w:jc w:val="left"/>
      </w:pPr>
      <w:r>
        <w:rPr/>
        <w:t>内部研究开发项目开发阶段的支出，同时满足下列条件时确认为无形资产：</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left="573" w:right="103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6"/>
        <w:spacing w:line="240" w:lineRule="auto" w:before="21"/>
        <w:ind w:left="573" w:right="1033"/>
        <w:jc w:val="left"/>
      </w:pPr>
      <w:r>
        <w:rPr/>
        <w:t>（</w:t>
      </w:r>
      <w:r>
        <w:rPr>
          <w:rFonts w:ascii="Times New Roman" w:hAnsi="Times New Roman" w:cs="Times New Roman" w:eastAsia="Times New Roman" w:hint="default"/>
        </w:rPr>
        <w:t>2</w:t>
      </w:r>
      <w:r>
        <w:rPr/>
        <w:t>）具有完成该无形资产并使用或出售的意图；</w:t>
      </w:r>
    </w:p>
    <w:p>
      <w:pPr>
        <w:pStyle w:val="Heading6"/>
        <w:spacing w:line="256" w:lineRule="auto" w:before="21"/>
        <w:ind w:right="1136" w:firstLine="420"/>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Heading6"/>
        <w:spacing w:line="256" w:lineRule="auto" w:before="22"/>
        <w:ind w:right="1136" w:firstLine="420"/>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w w:val="100"/>
        </w:rPr>
        <w:t> </w:t>
      </w:r>
      <w:r>
        <w:rPr/>
        <w:t>无形资产；</w:t>
      </w:r>
    </w:p>
    <w:p>
      <w:pPr>
        <w:pStyle w:val="Heading6"/>
        <w:spacing w:line="256" w:lineRule="auto" w:before="22"/>
        <w:ind w:left="573" w:right="1033"/>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不满足上述条件的开发阶段的支出，于发生时计入当期损益。以前期间已计入损益的开发支出不在以</w:t>
      </w:r>
    </w:p>
    <w:p>
      <w:pPr>
        <w:pStyle w:val="Heading6"/>
        <w:spacing w:line="273" w:lineRule="auto" w:before="22"/>
        <w:ind w:right="1033"/>
        <w:jc w:val="left"/>
      </w:pPr>
      <w:r>
        <w:rPr>
          <w:spacing w:val="-2"/>
        </w:rPr>
        <w:t>后期间重新确认为资产。已资本化的开发阶段的支出在资产负债表上列示为开发支出，自该项目达到预定</w:t>
      </w:r>
      <w:r>
        <w:rPr>
          <w:spacing w:val="-42"/>
        </w:rPr>
        <w:t> </w:t>
      </w:r>
      <w:r>
        <w:rPr>
          <w:spacing w:val="-42"/>
        </w:rPr>
      </w:r>
      <w:r>
        <w:rPr/>
        <w:t>用途之日起转为无形资产。</w:t>
      </w:r>
    </w:p>
    <w:p>
      <w:pPr>
        <w:spacing w:line="240" w:lineRule="auto" w:before="2"/>
        <w:rPr>
          <w:rFonts w:ascii="宋体" w:hAnsi="宋体" w:cs="宋体" w:eastAsia="宋体" w:hint="default"/>
          <w:sz w:val="25"/>
          <w:szCs w:val="25"/>
        </w:rPr>
      </w:pPr>
    </w:p>
    <w:p>
      <w:pPr>
        <w:pStyle w:val="Heading6"/>
        <w:spacing w:line="590" w:lineRule="atLeast" w:before="0"/>
        <w:ind w:left="573" w:right="1033" w:hanging="420"/>
        <w:jc w:val="left"/>
      </w:pPr>
      <w:r>
        <w:rPr>
          <w:rFonts w:ascii="Times New Roman" w:hAnsi="Times New Roman" w:cs="Times New Roman" w:eastAsia="Times New Roman" w:hint="default"/>
          <w:b/>
          <w:bCs/>
        </w:rPr>
        <w:t>31</w:t>
      </w:r>
      <w:r>
        <w:rPr>
          <w:rFonts w:ascii="Microsoft JhengHei" w:hAnsi="Microsoft JhengHei" w:cs="Microsoft JhengHei" w:eastAsia="Microsoft JhengHei" w:hint="default"/>
          <w:b/>
          <w:bCs/>
        </w:rPr>
        <w:t>、长期资产减值</w:t>
      </w:r>
      <w:r>
        <w:rPr>
          <w:rFonts w:ascii="Microsoft JhengHei" w:hAnsi="Microsoft JhengHei" w:cs="Microsoft JhengHei" w:eastAsia="Microsoft JhengHei" w:hint="default"/>
          <w:b/>
          <w:bCs/>
          <w:spacing w:val="-46"/>
        </w:rPr>
        <w:t> </w:t>
      </w:r>
      <w:r>
        <w:rPr>
          <w:spacing w:val="-2"/>
        </w:rPr>
        <w:t>本公司在资产负债表日判断长期资产是否存在可能发生减值的迹象。如果长期资产存在减值迹象的，</w:t>
      </w:r>
    </w:p>
    <w:p>
      <w:pPr>
        <w:pStyle w:val="Heading6"/>
        <w:spacing w:line="273" w:lineRule="auto" w:before="37"/>
        <w:ind w:right="1033"/>
        <w:jc w:val="left"/>
      </w:pPr>
      <w:r>
        <w:rPr>
          <w:spacing w:val="-2"/>
        </w:rPr>
        <w:t>以单项资产为基础估计其可收回金额；难以对单项资产的可收回金额进行估计的，以该资产所属的资产组</w:t>
      </w:r>
      <w:r>
        <w:rPr>
          <w:spacing w:val="-43"/>
        </w:rPr>
        <w:t> </w:t>
      </w:r>
      <w:r>
        <w:rPr>
          <w:spacing w:val="-43"/>
        </w:rPr>
      </w:r>
      <w:r>
        <w:rPr/>
        <w:t>为基础确定资产组的可收回金额。</w:t>
      </w:r>
    </w:p>
    <w:p>
      <w:pPr>
        <w:pStyle w:val="Heading6"/>
        <w:spacing w:line="273" w:lineRule="auto"/>
        <w:ind w:right="1126" w:firstLine="420"/>
        <w:jc w:val="both"/>
      </w:pPr>
      <w:r>
        <w:rPr>
          <w:spacing w:val="-2"/>
        </w:rPr>
        <w:t>资产可收回金额的估计，根据其公允价值减去处置费用后的净额与资产预计未来现金流量的现值两者</w:t>
      </w:r>
      <w:r>
        <w:rPr>
          <w:w w:val="100"/>
        </w:rPr>
        <w:t> </w:t>
      </w:r>
      <w:r>
        <w:rPr/>
        <w:t>之间较高者确定。</w:t>
      </w:r>
    </w:p>
    <w:p>
      <w:pPr>
        <w:pStyle w:val="Heading6"/>
        <w:spacing w:line="273" w:lineRule="auto"/>
        <w:ind w:right="1126" w:firstLine="420"/>
        <w:jc w:val="both"/>
      </w:pPr>
      <w:r>
        <w:rPr>
          <w:spacing w:val="-2"/>
        </w:rPr>
        <w:t>可收回金额的计量结果表明，长期资产的可收回金额低于其账面价值的，将长期资产的账面价值减记</w:t>
      </w:r>
      <w:r>
        <w:rPr>
          <w:w w:val="100"/>
        </w:rPr>
        <w:t> </w:t>
      </w:r>
      <w:r>
        <w:rPr>
          <w:spacing w:val="-2"/>
        </w:rPr>
        <w:t>至可收回金额，减记的金额确认为资产减值损失，计入当期损益，同时计提相应的资产减值准备。资产减</w:t>
      </w:r>
      <w:r>
        <w:rPr>
          <w:spacing w:val="-49"/>
        </w:rPr>
        <w:t> </w:t>
      </w:r>
      <w:r>
        <w:rPr>
          <w:spacing w:val="-49"/>
        </w:rPr>
      </w:r>
      <w:r>
        <w:rPr/>
        <w:t>值损失一经确认，在以后会计期间不得转回。</w:t>
      </w:r>
    </w:p>
    <w:p>
      <w:pPr>
        <w:pStyle w:val="Heading6"/>
        <w:spacing w:line="273" w:lineRule="auto"/>
        <w:ind w:right="1126" w:firstLine="420"/>
        <w:jc w:val="both"/>
      </w:pPr>
      <w:r>
        <w:rPr>
          <w:spacing w:val="-2"/>
        </w:rPr>
        <w:t>资产减值损失确认后，减值资产的折旧或者摊销费用在未来期间作相应调整，以使该资产在剩余使用</w:t>
      </w:r>
      <w:r>
        <w:rPr>
          <w:w w:val="100"/>
        </w:rPr>
        <w:t> </w:t>
      </w:r>
      <w:r>
        <w:rPr/>
        <w:t>寿命内，系统地分摊调整后的资产账面价值（扣除预计净残值）。</w:t>
      </w:r>
    </w:p>
    <w:p>
      <w:pPr>
        <w:pStyle w:val="Heading6"/>
        <w:spacing w:line="273" w:lineRule="auto"/>
        <w:ind w:right="1126" w:firstLine="420"/>
        <w:jc w:val="both"/>
      </w:pPr>
      <w:r>
        <w:rPr>
          <w:spacing w:val="-2"/>
        </w:rPr>
        <w:t>因企业合并所形成的商誉和使用寿命不确定的无形资产，无论是否存在减值迹象，每年都进行减值测</w:t>
      </w:r>
      <w:r>
        <w:rPr>
          <w:w w:val="100"/>
        </w:rPr>
        <w:t> </w:t>
      </w:r>
      <w:r>
        <w:rPr/>
        <w:t>试。</w:t>
      </w:r>
    </w:p>
    <w:p>
      <w:pPr>
        <w:pStyle w:val="Heading6"/>
        <w:spacing w:line="273" w:lineRule="auto"/>
        <w:ind w:right="1126" w:firstLine="420"/>
        <w:jc w:val="both"/>
      </w:pPr>
      <w:r>
        <w:rPr>
          <w:spacing w:val="-2"/>
        </w:rPr>
        <w:t>在对商誉进行减值测试时，将商誉的账面价值分摊至预期从企业合并的协同效应中受益的资产组或资</w:t>
      </w:r>
      <w:r>
        <w:rPr>
          <w:w w:val="100"/>
        </w:rPr>
        <w:t> </w:t>
      </w:r>
      <w:r>
        <w:rPr>
          <w:spacing w:val="-2"/>
        </w:rPr>
        <w:t>产组组合。在对包含商誉的相关资产组或者资产组组合进行减值测试时，如与商誉相关的资产组或者资产</w:t>
      </w:r>
      <w:r>
        <w:rPr>
          <w:spacing w:val="-43"/>
        </w:rPr>
        <w:t> </w:t>
      </w:r>
      <w:r>
        <w:rPr>
          <w:spacing w:val="-43"/>
        </w:rPr>
      </w:r>
      <w:r>
        <w:rPr>
          <w:spacing w:val="-2"/>
        </w:rPr>
        <w:t>组组合存在减值迹象的，先对不包含商誉的资产组或者资产组组合进行减值测试，计算可收回金额，并与</w:t>
      </w:r>
      <w:r>
        <w:rPr>
          <w:spacing w:val="-43"/>
        </w:rPr>
        <w:t> </w:t>
      </w:r>
      <w:r>
        <w:rPr>
          <w:spacing w:val="-43"/>
        </w:rPr>
      </w:r>
      <w:r>
        <w:rPr>
          <w:spacing w:val="-2"/>
        </w:rPr>
        <w:t>相关账面价值相比较，确认相应的减值损失。再对包含商誉的资产组或者资产组组合进行减值测试，比较</w:t>
      </w:r>
      <w:r>
        <w:rPr>
          <w:spacing w:val="-43"/>
        </w:rPr>
        <w:t> </w:t>
      </w:r>
      <w:r>
        <w:rPr>
          <w:spacing w:val="-43"/>
        </w:rPr>
      </w:r>
      <w:r>
        <w:rPr>
          <w:spacing w:val="-2"/>
        </w:rPr>
        <w:t>这些相关资产组或者资产组组合的账面价值（包括所分摊的商誉的账面价值部分）与其可收回金额，如相</w:t>
      </w:r>
      <w:r>
        <w:rPr>
          <w:spacing w:val="-44"/>
        </w:rPr>
        <w:t> </w:t>
      </w:r>
      <w:r>
        <w:rPr>
          <w:spacing w:val="-44"/>
        </w:rPr>
      </w:r>
      <w:r>
        <w:rPr/>
        <w:t>关资产组或者资产组组合的可收回金额低于其账面价值的，确认商誉的减值损失。</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9" w:lineRule="auto" w:before="0"/>
        <w:ind w:left="573" w:right="1033" w:hanging="65"/>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5"/>
        </w:rPr>
        <w:t> </w:t>
      </w:r>
      <w:r>
        <w:rPr>
          <w:rFonts w:ascii="Microsoft JhengHei" w:hAnsi="Microsoft JhengHei" w:cs="Microsoft JhengHei" w:eastAsia="Microsoft JhengHei" w:hint="default"/>
          <w:b/>
          <w:bCs/>
        </w:rPr>
        <w:t>摊销方法</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w:t>
      </w:r>
    </w:p>
    <w:p>
      <w:pPr>
        <w:pStyle w:val="Heading6"/>
        <w:spacing w:line="260" w:lineRule="exact" w:before="12"/>
        <w:ind w:right="1033"/>
        <w:jc w:val="left"/>
      </w:pPr>
      <w:r>
        <w:rPr/>
        <w:t>长期待摊费用在受益期内按直线法分期摊销。</w:t>
      </w:r>
    </w:p>
    <w:p>
      <w:pPr>
        <w:pStyle w:val="Heading5"/>
        <w:spacing w:line="351" w:lineRule="exact"/>
        <w:ind w:left="508" w:right="1033"/>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摊销年限</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4265"/>
        <w:gridCol w:w="4263"/>
      </w:tblGrid>
      <w:tr>
        <w:trPr>
          <w:trHeight w:val="355" w:hRule="exact"/>
        </w:trPr>
        <w:tc>
          <w:tcPr>
            <w:tcW w:w="4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2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50" w:hRule="exact"/>
        </w:trPr>
        <w:tc>
          <w:tcPr>
            <w:tcW w:w="42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42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53" w:hRule="exact"/>
        </w:trPr>
        <w:tc>
          <w:tcPr>
            <w:tcW w:w="42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模具费</w:t>
            </w:r>
          </w:p>
        </w:tc>
        <w:tc>
          <w:tcPr>
            <w:tcW w:w="42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r>
      <w:tr>
        <w:trPr>
          <w:trHeight w:val="353" w:hRule="exact"/>
        </w:trPr>
        <w:tc>
          <w:tcPr>
            <w:tcW w:w="42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42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6" w:type="dxa"/>
        <w:tblLayout w:type="fixed"/>
        <w:tblCellMar>
          <w:top w:w="0" w:type="dxa"/>
          <w:left w:w="0" w:type="dxa"/>
          <w:bottom w:w="0" w:type="dxa"/>
          <w:right w:w="0" w:type="dxa"/>
        </w:tblCellMar>
        <w:tblLook w:val="01E0"/>
      </w:tblPr>
      <w:tblGrid>
        <w:gridCol w:w="4265"/>
        <w:gridCol w:w="4263"/>
      </w:tblGrid>
      <w:tr>
        <w:trPr>
          <w:trHeight w:val="356" w:hRule="exact"/>
        </w:trPr>
        <w:tc>
          <w:tcPr>
            <w:tcW w:w="4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地图平台服务费</w:t>
            </w:r>
          </w:p>
        </w:tc>
        <w:tc>
          <w:tcPr>
            <w:tcW w:w="42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53" w:hRule="exact"/>
        </w:trPr>
        <w:tc>
          <w:tcPr>
            <w:tcW w:w="42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5"/>
        <w:spacing w:line="335" w:lineRule="exact"/>
        <w:ind w:right="1033"/>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3"/>
        <w:jc w:val="left"/>
      </w:pPr>
      <w:r>
        <w:rPr/>
        <w:t>不适用。</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34</w:t>
      </w:r>
      <w:r>
        <w:rPr/>
        <w:t>、职工薪酬</w:t>
      </w:r>
      <w:r>
        <w:rPr>
          <w:b w:val="0"/>
          <w:bCs w:val="0"/>
        </w:rPr>
      </w:r>
    </w:p>
    <w:p>
      <w:pPr>
        <w:spacing w:line="590" w:lineRule="atLeast" w:before="25"/>
        <w:ind w:left="573" w:right="1033"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）短期薪酬的会计处理方法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短期薪酬是指本公司在职工提供相关服务的年度报告期间结束后十二个月内需要全部予以支付的职</w:t>
      </w:r>
    </w:p>
    <w:p>
      <w:pPr>
        <w:pStyle w:val="Heading6"/>
        <w:spacing w:line="273" w:lineRule="auto" w:before="37"/>
        <w:ind w:right="1033"/>
        <w:jc w:val="left"/>
      </w:pPr>
      <w:r>
        <w:rPr>
          <w:spacing w:val="-5"/>
        </w:rPr>
        <w:t>工薪酬，离职后福利和辞退福利除外。本公司在职工提供服务的会计期间，将应付的短期薪酬确认为负债， </w:t>
      </w:r>
      <w:r>
        <w:rPr/>
        <w:t>并根据职工提供服务的受益对象计入相关资产成本和费用。</w:t>
      </w:r>
    </w:p>
    <w:p>
      <w:pPr>
        <w:spacing w:line="240" w:lineRule="auto" w:before="1"/>
        <w:rPr>
          <w:rFonts w:ascii="宋体" w:hAnsi="宋体" w:cs="宋体" w:eastAsia="宋体" w:hint="default"/>
          <w:sz w:val="25"/>
          <w:szCs w:val="25"/>
        </w:rPr>
      </w:pPr>
    </w:p>
    <w:p>
      <w:pPr>
        <w:spacing w:line="590" w:lineRule="atLeast" w:before="0"/>
        <w:ind w:left="573" w:right="1033"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）离职后福利的会计处理方法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离职后福利是指本公司为获得职工提供的服务而在职工退休或与企业解除劳动关系后，提供的各种形</w:t>
      </w:r>
    </w:p>
    <w:p>
      <w:pPr>
        <w:pStyle w:val="Heading6"/>
        <w:spacing w:line="273" w:lineRule="auto" w:before="37"/>
        <w:ind w:left="573" w:right="2653" w:hanging="420"/>
        <w:jc w:val="left"/>
      </w:pPr>
      <w:r>
        <w:rPr/>
        <w:t>式的报酬和福利，短期薪酬和辞退福利除外。</w:t>
      </w:r>
      <w:r>
        <w:rPr>
          <w:w w:val="100"/>
        </w:rPr>
        <w:t> </w:t>
      </w:r>
      <w:r>
        <w:rPr>
          <w:spacing w:val="-2"/>
        </w:rPr>
        <w:t>本公司的离职后福利计划全部为设定提存计划。</w:t>
      </w:r>
    </w:p>
    <w:p>
      <w:pPr>
        <w:pStyle w:val="Heading6"/>
        <w:spacing w:line="273" w:lineRule="auto"/>
        <w:ind w:right="1126" w:firstLine="420"/>
        <w:jc w:val="both"/>
      </w:pPr>
      <w:r>
        <w:rPr>
          <w:spacing w:val="-2"/>
        </w:rPr>
        <w:t>离职后福利设定提存计划主要为参加由各地劳动及社会保障机构组织实施的社会基本养老保险、失业</w:t>
      </w:r>
      <w:r>
        <w:rPr>
          <w:w w:val="100"/>
        </w:rPr>
        <w:t> </w:t>
      </w:r>
      <w:r>
        <w:rPr>
          <w:spacing w:val="-2"/>
        </w:rPr>
        <w:t>保险等；在职工为本公司提供服务的会计期间，将根据设定提存计划计算的应缴存金额确认为负债，并计</w:t>
      </w:r>
      <w:r>
        <w:rPr>
          <w:spacing w:val="-43"/>
        </w:rPr>
        <w:t> </w:t>
      </w:r>
      <w:r>
        <w:rPr>
          <w:spacing w:val="-43"/>
        </w:rPr>
      </w:r>
      <w:r>
        <w:rPr/>
        <w:t>入当期损益或相关资产成本。</w:t>
      </w:r>
    </w:p>
    <w:p>
      <w:pPr>
        <w:pStyle w:val="Heading6"/>
        <w:spacing w:line="240" w:lineRule="auto"/>
        <w:ind w:left="573" w:right="1033"/>
        <w:jc w:val="left"/>
      </w:pPr>
      <w:r>
        <w:rPr/>
        <w:t>本公司按照国家规定的标准定期缴付上述款项后，不再有其他的支付义务。</w:t>
      </w:r>
    </w:p>
    <w:p>
      <w:pPr>
        <w:spacing w:line="240" w:lineRule="auto" w:before="5"/>
        <w:rPr>
          <w:rFonts w:ascii="宋体" w:hAnsi="宋体" w:cs="宋体" w:eastAsia="宋体" w:hint="default"/>
          <w:sz w:val="27"/>
          <w:szCs w:val="27"/>
        </w:rPr>
      </w:pPr>
    </w:p>
    <w:p>
      <w:pPr>
        <w:spacing w:line="590" w:lineRule="atLeast" w:before="0"/>
        <w:ind w:left="573" w:right="1033"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）辞退福利的会计处理方法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辞退福利是指本公司在职工劳动合同到期之前解除与职工的劳动关系，或者为鼓励职工自愿接受裁减</w:t>
      </w:r>
    </w:p>
    <w:p>
      <w:pPr>
        <w:pStyle w:val="Heading6"/>
        <w:spacing w:line="273" w:lineRule="auto" w:before="37"/>
        <w:ind w:right="1126"/>
        <w:jc w:val="both"/>
      </w:pPr>
      <w:r>
        <w:rPr>
          <w:spacing w:val="-2"/>
        </w:rPr>
        <w:t>而给予职工的补偿，在本公司不能单方面撤回解除劳动关系计划或裁减建议时和确认与涉及支付辞退福利</w:t>
      </w:r>
      <w:r>
        <w:rPr>
          <w:spacing w:val="-43"/>
        </w:rPr>
        <w:t> </w:t>
      </w:r>
      <w:r>
        <w:rPr>
          <w:spacing w:val="-43"/>
        </w:rPr>
      </w:r>
      <w:r>
        <w:rPr>
          <w:spacing w:val="-2"/>
        </w:rPr>
        <w:t>的重组相关的成本费用时两者孰早日，确认因解除与职工的劳动关系给予补偿而产生的负债，同时计入当</w:t>
      </w:r>
      <w:r>
        <w:rPr>
          <w:spacing w:val="-44"/>
        </w:rPr>
        <w:t> </w:t>
      </w:r>
      <w:r>
        <w:rPr>
          <w:spacing w:val="-44"/>
        </w:rPr>
      </w:r>
      <w:r>
        <w:rPr/>
        <w:t>期损益。</w:t>
      </w:r>
    </w:p>
    <w:p>
      <w:pPr>
        <w:pStyle w:val="Heading6"/>
        <w:spacing w:line="273" w:lineRule="auto"/>
        <w:ind w:right="1126" w:firstLine="420"/>
        <w:jc w:val="both"/>
      </w:pPr>
      <w:r>
        <w:rPr>
          <w:spacing w:val="-2"/>
        </w:rPr>
        <w:t>本公司向接受内部退休安排的职工提供内退福利。内退福利是指，向未达到国家规定的退休年龄、经</w:t>
      </w:r>
      <w:r>
        <w:rPr>
          <w:w w:val="100"/>
        </w:rPr>
        <w:t> </w:t>
      </w:r>
      <w:r>
        <w:rPr>
          <w:spacing w:val="-2"/>
        </w:rPr>
        <w:t>本公司管理层批准自愿退出工作岗位的职工支付的工资及为其缴纳的社会保险费等。本公司自内部退休安</w:t>
      </w:r>
      <w:r>
        <w:rPr>
          <w:spacing w:val="-43"/>
        </w:rPr>
        <w:t> </w:t>
      </w:r>
      <w:r>
        <w:rPr>
          <w:spacing w:val="-43"/>
        </w:rPr>
      </w:r>
      <w:r>
        <w:rPr>
          <w:spacing w:val="-2"/>
        </w:rPr>
        <w:t>排开始之日起至职工达到正常退休年龄止，向内退职工支付内部退养福利。对于内退福利，本公司比照辞</w:t>
      </w:r>
      <w:r>
        <w:rPr>
          <w:spacing w:val="-44"/>
        </w:rPr>
        <w:t> </w:t>
      </w:r>
      <w:r>
        <w:rPr>
          <w:spacing w:val="-44"/>
        </w:rPr>
      </w:r>
      <w:r>
        <w:rPr>
          <w:spacing w:val="-2"/>
        </w:rPr>
        <w:t>退福利进行会计处理，在符合辞退福利相关确认条件时，将自职工停止提供服务日至正常退休日期间拟支</w:t>
      </w:r>
      <w:r>
        <w:rPr>
          <w:spacing w:val="-43"/>
        </w:rPr>
        <w:t> </w:t>
      </w:r>
      <w:r>
        <w:rPr>
          <w:spacing w:val="-43"/>
        </w:rPr>
      </w:r>
      <w:r>
        <w:rPr>
          <w:spacing w:val="-2"/>
        </w:rPr>
        <w:t>付的内退职工工资和缴纳的社会保险费等，确认为负债，一次性计入当期损益。内退福利的精算假设变化</w:t>
      </w:r>
      <w:r>
        <w:rPr>
          <w:spacing w:val="-44"/>
        </w:rPr>
        <w:t> </w:t>
      </w:r>
      <w:r>
        <w:rPr>
          <w:spacing w:val="-44"/>
        </w:rPr>
      </w:r>
      <w:r>
        <w:rPr/>
        <w:t>及福利标准调整引起的差异于发生时计入当期损益。</w:t>
      </w:r>
    </w:p>
    <w:p>
      <w:pPr>
        <w:spacing w:after="0" w:line="273"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6"/>
        <w:spacing w:line="240" w:lineRule="auto" w:before="0"/>
        <w:ind w:left="573" w:right="1033"/>
        <w:jc w:val="left"/>
      </w:pPr>
      <w:r>
        <w:rPr/>
        <w:t>其他长期职工福利是指除短期薪酬、离职后福利、辞退福利之外的其他所有职工福利。</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5"/>
        <w:spacing w:line="240" w:lineRule="auto"/>
        <w:ind w:right="1033"/>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3"/>
        <w:jc w:val="left"/>
      </w:pPr>
      <w:r>
        <w:rPr/>
        <w:t>不适用。</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6"/>
        <w:spacing w:line="266" w:lineRule="auto" w:before="0"/>
        <w:ind w:left="573" w:right="3553" w:hanging="65"/>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5"/>
        </w:rPr>
        <w:t> </w:t>
      </w:r>
      <w:r>
        <w:rPr>
          <w:rFonts w:ascii="Microsoft JhengHei" w:hAnsi="Microsoft JhengHei" w:cs="Microsoft JhengHei" w:eastAsia="Microsoft JhengHei" w:hint="default"/>
          <w:b/>
          <w:bCs/>
        </w:rPr>
        <w:t>预计负债的确认标准</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spacing w:val="-2"/>
        </w:rPr>
        <w:t>与或有事项相关的义务同时满足下列条件时，本公司确认为预计负债：</w:t>
      </w:r>
      <w:r>
        <w:rPr>
          <w:w w:val="100"/>
        </w:rPr>
        <w:t> </w:t>
      </w:r>
      <w:r>
        <w:rPr/>
        <w:t>该义务是本公司承担的现时义务；</w:t>
      </w:r>
      <w:r>
        <w:rPr>
          <w:w w:val="100"/>
        </w:rPr>
        <w:t> </w:t>
      </w:r>
      <w:r>
        <w:rPr/>
        <w:t>履行该义务很可能导致经济利益流出本公司；</w:t>
      </w:r>
      <w:r>
        <w:rPr>
          <w:w w:val="100"/>
        </w:rPr>
        <w:t> </w:t>
      </w:r>
      <w:r>
        <w:rPr/>
        <w:t>该义务的金额能够可靠地计量。</w:t>
      </w:r>
    </w:p>
    <w:p>
      <w:pPr>
        <w:pStyle w:val="Heading6"/>
        <w:spacing w:line="312" w:lineRule="exact" w:before="9"/>
        <w:ind w:left="573" w:right="1126" w:hanging="65"/>
        <w:jc w:val="left"/>
      </w:pPr>
      <w:r>
        <w:rPr>
          <w:rFonts w:ascii="Times New Roman" w:hAnsi="Times New Roman" w:cs="Times New Roman" w:eastAsia="Times New Roman" w:hint="default"/>
          <w:b/>
          <w:bCs/>
        </w:rPr>
        <w:t>2. </w:t>
      </w:r>
      <w:r>
        <w:rPr>
          <w:rFonts w:ascii="Times New Roman" w:hAnsi="Times New Roman" w:cs="Times New Roman" w:eastAsia="Times New Roman" w:hint="default"/>
          <w:b/>
          <w:bCs/>
          <w:spacing w:val="3"/>
        </w:rPr>
        <w:t> </w:t>
      </w:r>
      <w:r>
        <w:rPr>
          <w:rFonts w:ascii="Microsoft JhengHei" w:hAnsi="Microsoft JhengHei" w:cs="Microsoft JhengHei" w:eastAsia="Microsoft JhengHei" w:hint="default"/>
          <w:b/>
          <w:bCs/>
        </w:rPr>
        <w:t>预计负债的计量方法</w:t>
      </w:r>
      <w:r>
        <w:rPr>
          <w:rFonts w:ascii="Microsoft JhengHei" w:hAnsi="Microsoft JhengHei" w:cs="Microsoft JhengHei" w:eastAsia="Microsoft JhengHei" w:hint="default"/>
          <w:b/>
          <w:bCs/>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pStyle w:val="Heading6"/>
        <w:spacing w:line="273" w:lineRule="auto" w:before="4"/>
        <w:ind w:left="573" w:right="1033" w:hanging="420"/>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w:t>
      </w:r>
    </w:p>
    <w:p>
      <w:pPr>
        <w:pStyle w:val="Heading6"/>
        <w:spacing w:line="273" w:lineRule="auto"/>
        <w:ind w:left="573" w:right="1033" w:hanging="420"/>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Heading6"/>
        <w:spacing w:line="273" w:lineRule="auto"/>
        <w:ind w:right="1033"/>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Heading6"/>
        <w:spacing w:line="273" w:lineRule="auto"/>
        <w:ind w:right="1033" w:firstLine="420"/>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13"/>
        <w:rPr>
          <w:rFonts w:ascii="Microsoft JhengHei" w:hAnsi="Microsoft JhengHei" w:cs="Microsoft JhengHei" w:eastAsia="Microsoft JhengHei" w:hint="default"/>
          <w:b/>
          <w:bCs/>
          <w:sz w:val="17"/>
          <w:szCs w:val="17"/>
        </w:rPr>
      </w:pPr>
    </w:p>
    <w:p>
      <w:pPr>
        <w:spacing w:line="312" w:lineRule="exact" w:before="0"/>
        <w:ind w:left="508" w:right="356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股份支付的种类</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21"/>
          <w:szCs w:val="21"/>
        </w:rPr>
        <w:t>本公司的股份支付分为以权益结算的股份支付和以现金结算的股份支付。</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权益工具公允价值的确定方法</w:t>
      </w:r>
      <w:r>
        <w:rPr>
          <w:rFonts w:ascii="Microsoft JhengHei" w:hAnsi="Microsoft JhengHei" w:cs="Microsoft JhengHei" w:eastAsia="Microsoft JhengHei" w:hint="default"/>
          <w:sz w:val="21"/>
          <w:szCs w:val="21"/>
        </w:rPr>
      </w:r>
    </w:p>
    <w:p>
      <w:pPr>
        <w:pStyle w:val="Heading6"/>
        <w:spacing w:line="266" w:lineRule="auto" w:before="4"/>
        <w:ind w:right="1033" w:firstLine="420"/>
        <w:jc w:val="left"/>
      </w:pPr>
      <w:r>
        <w:rPr/>
        <w:t>对于授予的存在活跃市场的期权等权益工具，按照活跃市场中的报价确定其公允价值。对于授予的不</w:t>
      </w:r>
      <w:r>
        <w:rPr>
          <w:w w:val="100"/>
        </w:rPr>
        <w:t> </w:t>
      </w:r>
      <w:r>
        <w:rPr>
          <w:spacing w:val="-2"/>
        </w:rPr>
        <w:t>存在活跃市场的期权等权益工具，采用期权定价模型等确定其公允价值，选用的期权定价模型考虑以下因</w:t>
      </w:r>
      <w:r>
        <w:rPr>
          <w:spacing w:val="-44"/>
        </w:rPr>
        <w:t> </w:t>
      </w:r>
      <w:r>
        <w:rPr>
          <w:spacing w:val="-44"/>
        </w:rPr>
      </w:r>
      <w:r>
        <w:rPr>
          <w:spacing w:val="-6"/>
        </w:rPr>
        <w:t>素：（</w:t>
      </w:r>
      <w:r>
        <w:rPr>
          <w:rFonts w:ascii="Times New Roman" w:hAnsi="Times New Roman" w:cs="Times New Roman" w:eastAsia="Times New Roman" w:hint="default"/>
          <w:spacing w:val="-6"/>
        </w:rPr>
        <w:t>1</w:t>
      </w:r>
      <w:r>
        <w:rPr>
          <w:spacing w:val="-6"/>
        </w:rPr>
        <w:t>）期权的行权价格；（</w:t>
      </w:r>
      <w:r>
        <w:rPr>
          <w:rFonts w:ascii="Times New Roman" w:hAnsi="Times New Roman" w:cs="Times New Roman" w:eastAsia="Times New Roman" w:hint="default"/>
          <w:spacing w:val="-6"/>
        </w:rPr>
        <w:t>2</w:t>
      </w:r>
      <w:r>
        <w:rPr>
          <w:spacing w:val="-6"/>
        </w:rPr>
        <w:t>）期权的有效期；（</w:t>
      </w:r>
      <w:r>
        <w:rPr>
          <w:rFonts w:ascii="Times New Roman" w:hAnsi="Times New Roman" w:cs="Times New Roman" w:eastAsia="Times New Roman" w:hint="default"/>
          <w:spacing w:val="-6"/>
        </w:rPr>
        <w:t>3</w:t>
      </w:r>
      <w:r>
        <w:rPr>
          <w:spacing w:val="-6"/>
        </w:rPr>
        <w:t>）标的股份的现行价格；（</w:t>
      </w:r>
      <w:r>
        <w:rPr>
          <w:rFonts w:ascii="Times New Roman" w:hAnsi="Times New Roman" w:cs="Times New Roman" w:eastAsia="Times New Roman" w:hint="default"/>
          <w:spacing w:val="-6"/>
        </w:rPr>
        <w:t>4</w:t>
      </w:r>
      <w:r>
        <w:rPr>
          <w:spacing w:val="-6"/>
        </w:rPr>
        <w:t>）股价预计波动率；（</w:t>
      </w:r>
      <w:r>
        <w:rPr>
          <w:rFonts w:ascii="Times New Roman" w:hAnsi="Times New Roman" w:cs="Times New Roman" w:eastAsia="Times New Roman" w:hint="default"/>
          <w:spacing w:val="-6"/>
        </w:rPr>
        <w:t>5</w:t>
      </w:r>
      <w:r>
        <w:rPr>
          <w:spacing w:val="-6"/>
        </w:rPr>
        <w:t>）</w:t>
      </w:r>
      <w:r>
        <w:rPr>
          <w:spacing w:val="-48"/>
        </w:rPr>
        <w:t> </w:t>
      </w:r>
      <w:r>
        <w:rPr/>
        <w:t>股份的预计股利；（</w:t>
      </w:r>
      <w:r>
        <w:rPr>
          <w:rFonts w:ascii="Times New Roman" w:hAnsi="Times New Roman" w:cs="Times New Roman" w:eastAsia="Times New Roman" w:hint="default"/>
        </w:rPr>
        <w:t>6</w:t>
      </w:r>
      <w:r>
        <w:rPr/>
        <w:t>）期权有效期内的无风险利率。</w:t>
      </w:r>
    </w:p>
    <w:p>
      <w:pPr>
        <w:pStyle w:val="Heading6"/>
        <w:spacing w:line="273" w:lineRule="auto" w:before="0"/>
        <w:ind w:right="1126" w:firstLine="420"/>
        <w:jc w:val="both"/>
      </w:pPr>
      <w:r>
        <w:rPr>
          <w:spacing w:val="-2"/>
        </w:rPr>
        <w:t>在确定权益工具授予日的公允价值时，考虑股份支付协议规定的可行权条件中的市场条件和非可行权</w:t>
      </w:r>
      <w:r>
        <w:rPr>
          <w:w w:val="100"/>
        </w:rPr>
        <w:t> </w:t>
      </w:r>
      <w:r>
        <w:rPr>
          <w:spacing w:val="-7"/>
        </w:rPr>
        <w:t>条件的影响。股份支付存在非可行权条件的，只要职工或其他方满足了所有可行权条件中的非市场条件（如</w:t>
      </w:r>
      <w:r>
        <w:rPr>
          <w:spacing w:val="-17"/>
        </w:rPr>
        <w:t> </w:t>
      </w:r>
      <w:r>
        <w:rPr>
          <w:spacing w:val="-17"/>
        </w:rPr>
      </w:r>
      <w:r>
        <w:rPr/>
        <w:t>服务期限等），即确认已得到服务相对应的成本费用。</w:t>
      </w:r>
    </w:p>
    <w:p>
      <w:pPr>
        <w:spacing w:line="312" w:lineRule="exact" w:before="3"/>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 </w:t>
      </w:r>
      <w:r>
        <w:rPr>
          <w:rFonts w:ascii="Microsoft JhengHei" w:hAnsi="Microsoft JhengHei" w:cs="Microsoft JhengHei" w:eastAsia="Microsoft JhengHei" w:hint="default"/>
          <w:b/>
          <w:bCs/>
          <w:sz w:val="21"/>
          <w:szCs w:val="21"/>
        </w:rPr>
        <w:t>确定可行权权益工具最佳估计的依据</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pacing w:val="2"/>
          <w:sz w:val="21"/>
          <w:szCs w:val="21"/>
        </w:rPr>
      </w:r>
      <w:r>
        <w:rPr>
          <w:rFonts w:ascii="宋体" w:hAnsi="宋体" w:cs="宋体" w:eastAsia="宋体" w:hint="default"/>
          <w:spacing w:val="-2"/>
          <w:sz w:val="21"/>
          <w:szCs w:val="21"/>
        </w:rPr>
        <w:t>等待期内每个资产负债表日，根据最新取得的可行权职工人数变动等后续信息作出最佳估计，修正预</w:t>
      </w:r>
    </w:p>
    <w:p>
      <w:pPr>
        <w:pStyle w:val="Heading6"/>
        <w:spacing w:line="240" w:lineRule="auto" w:before="4"/>
        <w:ind w:right="1033"/>
        <w:jc w:val="left"/>
      </w:pPr>
      <w:r>
        <w:rPr/>
        <w:t>计可行权的权益工具数量。在可行权日，最终预计可行权权益工具的数量与实际可行权数量一致。</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312" w:lineRule="exact" w:before="32"/>
        <w:ind w:left="573" w:right="1033" w:hanging="65"/>
        <w:jc w:val="left"/>
      </w:pPr>
      <w:r>
        <w:rPr>
          <w:rFonts w:ascii="Times New Roman" w:hAnsi="Times New Roman" w:cs="Times New Roman" w:eastAsia="Times New Roman" w:hint="default"/>
          <w:b/>
          <w:bCs/>
        </w:rPr>
        <w:t>4.</w:t>
      </w:r>
      <w:r>
        <w:rPr>
          <w:rFonts w:ascii="Times New Roman" w:hAnsi="Times New Roman" w:cs="Times New Roman" w:eastAsia="Times New Roman" w:hint="default"/>
          <w:b/>
          <w:bCs/>
          <w:spacing w:val="35"/>
        </w:rPr>
        <w:t> </w:t>
      </w:r>
      <w:r>
        <w:rPr>
          <w:rFonts w:ascii="Microsoft JhengHei" w:hAnsi="Microsoft JhengHei" w:cs="Microsoft JhengHei" w:eastAsia="Microsoft JhengHei" w:hint="default"/>
          <w:b/>
          <w:bCs/>
        </w:rPr>
        <w:t>会计处理方法</w:t>
      </w:r>
      <w:r>
        <w:rPr>
          <w:rFonts w:ascii="Microsoft JhengHei" w:hAnsi="Microsoft JhengHei" w:cs="Microsoft JhengHei" w:eastAsia="Microsoft JhengHei" w:hint="default"/>
          <w:b/>
          <w:bCs/>
          <w:spacing w:val="-43"/>
        </w:rPr>
        <w:t> </w:t>
      </w:r>
      <w:r>
        <w:rPr>
          <w:rFonts w:ascii="Microsoft JhengHei" w:hAnsi="Microsoft JhengHei" w:cs="Microsoft JhengHei" w:eastAsia="Microsoft JhengHei" w:hint="default"/>
          <w:b/>
          <w:bCs/>
          <w:spacing w:val="-43"/>
        </w:rPr>
      </w:r>
      <w:r>
        <w:rPr>
          <w:spacing w:val="-2"/>
        </w:rPr>
        <w:t>以权益结算的股份支付，按授予职工权益工具的公允价值计量。授予后立即可行权的，在授予日按照</w:t>
      </w:r>
    </w:p>
    <w:p>
      <w:pPr>
        <w:pStyle w:val="Heading6"/>
        <w:spacing w:line="273" w:lineRule="auto" w:before="4"/>
        <w:ind w:right="1126"/>
        <w:jc w:val="both"/>
      </w:pPr>
      <w:r>
        <w:rPr>
          <w:spacing w:val="-2"/>
        </w:rPr>
        <w:t>权益工具的公允价值计入相关成本或费用，相应增加资本公积。在完成等待期内的服务或达到规定业绩条</w:t>
      </w:r>
      <w:r>
        <w:rPr>
          <w:spacing w:val="-44"/>
        </w:rPr>
        <w:t> </w:t>
      </w:r>
      <w:r>
        <w:rPr>
          <w:spacing w:val="-44"/>
        </w:rPr>
      </w:r>
      <w:r>
        <w:rPr>
          <w:spacing w:val="-2"/>
        </w:rPr>
        <w:t>件才可行权的，在等待期内的每个资产负债表日，以对可行权权益工具数量的最佳估计为基础，按照权益</w:t>
      </w:r>
      <w:r>
        <w:rPr>
          <w:spacing w:val="-43"/>
        </w:rPr>
        <w:t> </w:t>
      </w:r>
      <w:r>
        <w:rPr>
          <w:spacing w:val="-43"/>
        </w:rPr>
      </w:r>
      <w:r>
        <w:rPr>
          <w:spacing w:val="-2"/>
        </w:rPr>
        <w:t>工具授予日的公允价值，将当期取得的服务计入相关成本或费用和资本公积。在可行权日之后不再对已确</w:t>
      </w:r>
      <w:r>
        <w:rPr>
          <w:spacing w:val="-43"/>
        </w:rPr>
        <w:t> </w:t>
      </w:r>
      <w:r>
        <w:rPr>
          <w:spacing w:val="-43"/>
        </w:rPr>
      </w:r>
      <w:r>
        <w:rPr/>
        <w:t>认的相关成本或费用和所有者权益总额进行调整。</w:t>
      </w:r>
    </w:p>
    <w:p>
      <w:pPr>
        <w:pStyle w:val="Heading6"/>
        <w:spacing w:line="273" w:lineRule="auto"/>
        <w:ind w:right="1033" w:firstLine="420"/>
        <w:jc w:val="left"/>
      </w:pPr>
      <w:r>
        <w:rPr/>
        <w:t>以现金结算的股份支付，按照本公司承担的以股份或其他权益工具为基础计算确定的负债的公允价值</w:t>
      </w:r>
      <w:r>
        <w:rPr>
          <w:w w:val="100"/>
        </w:rPr>
        <w:t> </w:t>
      </w:r>
      <w:r>
        <w:rPr>
          <w:spacing w:val="-5"/>
        </w:rPr>
        <w:t>计量。授予后立即可行权的，在授予日以本公司承担负债的公允价值计入相关成本或费用，相应增加负债。</w:t>
      </w:r>
      <w:r>
        <w:rPr>
          <w:spacing w:val="-4"/>
        </w:rPr>
        <w:t> </w:t>
      </w:r>
      <w:r>
        <w:rPr>
          <w:spacing w:val="-4"/>
        </w:rPr>
      </w:r>
      <w:r>
        <w:rPr>
          <w:spacing w:val="-2"/>
        </w:rPr>
        <w:t>在完成等待期内的服务或达到规定业绩条件以后才可行权的以现金结算的股份支付，在等待期内的每个资</w:t>
      </w:r>
      <w:r>
        <w:rPr>
          <w:spacing w:val="-43"/>
        </w:rPr>
        <w:t> </w:t>
      </w:r>
      <w:r>
        <w:rPr>
          <w:spacing w:val="-43"/>
        </w:rPr>
      </w:r>
      <w:r>
        <w:rPr>
          <w:spacing w:val="-2"/>
        </w:rPr>
        <w:t>产负债表日，以对可行权情况的最佳估计为基础，按照本公司承担负债的公允价值金额，将当期取得的服</w:t>
      </w:r>
      <w:r>
        <w:rPr>
          <w:spacing w:val="-43"/>
        </w:rPr>
        <w:t> </w:t>
      </w:r>
      <w:r>
        <w:rPr>
          <w:spacing w:val="-43"/>
        </w:rPr>
      </w:r>
      <w:r>
        <w:rPr>
          <w:spacing w:val="-2"/>
        </w:rPr>
        <w:t>务计入成本或费用和相应的负债。在相关负债结算前的每个资产负债表日以及结算日，对负债的公允价值</w:t>
      </w:r>
      <w:r>
        <w:rPr>
          <w:spacing w:val="-43"/>
        </w:rPr>
        <w:t> </w:t>
      </w:r>
      <w:r>
        <w:rPr>
          <w:spacing w:val="-43"/>
        </w:rPr>
      </w:r>
      <w:r>
        <w:rPr/>
        <w:t>重新计量，其变动计入当期损益。</w:t>
      </w:r>
    </w:p>
    <w:p>
      <w:pPr>
        <w:pStyle w:val="Heading6"/>
        <w:spacing w:line="273" w:lineRule="auto"/>
        <w:ind w:right="1126" w:firstLine="420"/>
        <w:jc w:val="both"/>
      </w:pPr>
      <w:r>
        <w:rPr>
          <w:spacing w:val="-2"/>
        </w:rPr>
        <w:t>若在等待期内取消了授予的权益工具，本公司对取消所授予的权益性工具作为加速行权处理，将剩余</w:t>
      </w:r>
      <w:r>
        <w:rPr>
          <w:w w:val="100"/>
        </w:rPr>
        <w:t> </w:t>
      </w:r>
      <w:r>
        <w:rPr>
          <w:spacing w:val="-2"/>
        </w:rPr>
        <w:t>等待期内应确认的金额立即计入当期损益，同时确认资本公积。职工或其他方能够选择满足非可行权条件</w:t>
      </w:r>
      <w:r>
        <w:rPr>
          <w:spacing w:val="-44"/>
        </w:rPr>
        <w:t> </w:t>
      </w:r>
      <w:r>
        <w:rPr>
          <w:spacing w:val="-44"/>
        </w:rPr>
      </w:r>
      <w:r>
        <w:rPr/>
        <w:t>但在等待期内未满足的，本公司将其作为授予权益工具的取消处理。</w:t>
      </w:r>
    </w:p>
    <w:p>
      <w:pPr>
        <w:spacing w:line="240" w:lineRule="auto" w:before="5"/>
        <w:rPr>
          <w:rFonts w:ascii="宋体" w:hAnsi="宋体" w:cs="宋体" w:eastAsia="宋体" w:hint="default"/>
          <w:sz w:val="18"/>
          <w:szCs w:val="18"/>
        </w:rPr>
      </w:pPr>
    </w:p>
    <w:p>
      <w:pPr>
        <w:pStyle w:val="Heading5"/>
        <w:spacing w:line="240" w:lineRule="auto"/>
        <w:ind w:right="0"/>
        <w:jc w:val="both"/>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不适用。</w:t>
      </w:r>
    </w:p>
    <w:p>
      <w:pPr>
        <w:spacing w:line="240" w:lineRule="auto" w:before="2"/>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39</w:t>
      </w:r>
      <w:r>
        <w:rPr/>
        <w:t>、收入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both"/>
      </w:pPr>
      <w:r>
        <w:rPr/>
        <w:t>是否已执行新收入准则</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9" w:lineRule="auto" w:before="13"/>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销售商品收入确认时间的具体判断标准</w:t>
      </w:r>
      <w:r>
        <w:rPr>
          <w:rFonts w:ascii="Microsoft JhengHei" w:hAnsi="Microsoft JhengHei" w:cs="Microsoft JhengHei" w:eastAsia="Microsoft JhengHei" w:hint="default"/>
          <w:b/>
          <w:bCs/>
          <w:spacing w:val="3"/>
          <w:sz w:val="21"/>
          <w:szCs w:val="21"/>
        </w:rPr>
        <w:t> </w:t>
      </w:r>
      <w:r>
        <w:rPr>
          <w:rFonts w:ascii="Microsoft JhengHei" w:hAnsi="Microsoft JhengHei" w:cs="Microsoft JhengHei" w:eastAsia="Microsoft JhengHei" w:hint="default"/>
          <w:b/>
          <w:bCs/>
          <w:spacing w:val="3"/>
          <w:sz w:val="21"/>
          <w:szCs w:val="21"/>
        </w:rPr>
      </w:r>
      <w:r>
        <w:rPr>
          <w:rFonts w:ascii="宋体" w:hAnsi="宋体" w:cs="宋体" w:eastAsia="宋体" w:hint="default"/>
          <w:spacing w:val="-2"/>
          <w:sz w:val="21"/>
          <w:szCs w:val="21"/>
        </w:rPr>
        <w:t>公司已将商品所有权上的主要风险和报酬转移给购买方；公司既没有保留与所有权相联系的继续管理</w:t>
      </w:r>
    </w:p>
    <w:p>
      <w:pPr>
        <w:pStyle w:val="Heading6"/>
        <w:spacing w:line="273" w:lineRule="auto" w:before="28"/>
        <w:ind w:right="1033"/>
        <w:jc w:val="left"/>
      </w:pPr>
      <w:r>
        <w:rPr>
          <w:spacing w:val="-5"/>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相关的已发生或将发生的成本能够可靠地计量时，确认商品销售收入实现。</w:t>
      </w:r>
    </w:p>
    <w:p>
      <w:pPr>
        <w:pStyle w:val="Heading6"/>
        <w:spacing w:line="273" w:lineRule="auto"/>
        <w:ind w:right="1033" w:firstLine="420"/>
        <w:jc w:val="left"/>
      </w:pPr>
      <w:r>
        <w:rPr>
          <w:spacing w:val="-2"/>
        </w:rPr>
        <w:t>合同或协议价款的收取采用递延方式，实质上具有融资性质的，按照应收的合同或协议价款的公允价</w:t>
      </w:r>
      <w:r>
        <w:rPr>
          <w:w w:val="100"/>
        </w:rPr>
        <w:t> </w:t>
      </w:r>
      <w:r>
        <w:rPr/>
        <w:t>值确定销售商品收入金额。</w:t>
      </w:r>
    </w:p>
    <w:p>
      <w:pPr>
        <w:spacing w:line="312" w:lineRule="exact" w:before="4"/>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Microsoft JhengHei" w:hAnsi="Microsoft JhengHei" w:cs="Microsoft JhengHei" w:eastAsia="Microsoft JhengHei" w:hint="default"/>
          <w:b/>
          <w:bCs/>
          <w:sz w:val="21"/>
          <w:szCs w:val="21"/>
        </w:rPr>
        <w:t>确认让渡资产使用权收入的依据</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pacing w:val="-1"/>
          <w:sz w:val="21"/>
          <w:szCs w:val="21"/>
        </w:rPr>
      </w:r>
      <w:r>
        <w:rPr>
          <w:rFonts w:ascii="宋体" w:hAnsi="宋体" w:cs="宋体" w:eastAsia="宋体" w:hint="default"/>
          <w:spacing w:val="-2"/>
          <w:sz w:val="21"/>
          <w:szCs w:val="21"/>
        </w:rPr>
        <w:t>与交易相关的经济利益很可能流入企业，收入的金额能够可靠地计量时，分别下列情况确定让渡资产</w:t>
      </w:r>
    </w:p>
    <w:p>
      <w:pPr>
        <w:pStyle w:val="Heading6"/>
        <w:spacing w:line="240" w:lineRule="auto" w:before="4"/>
        <w:ind w:right="0"/>
        <w:jc w:val="both"/>
      </w:pPr>
      <w:r>
        <w:rPr/>
        <w:t>使用权收入金额：</w:t>
      </w:r>
    </w:p>
    <w:p>
      <w:pPr>
        <w:pStyle w:val="Heading6"/>
        <w:spacing w:line="240" w:lineRule="auto" w:before="37"/>
        <w:ind w:left="573" w:right="1033"/>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Heading6"/>
        <w:spacing w:line="268" w:lineRule="exact" w:before="21"/>
        <w:ind w:left="573" w:right="1033"/>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12" w:lineRule="exact" w:before="39"/>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 </w:t>
      </w:r>
      <w:r>
        <w:rPr>
          <w:rFonts w:ascii="Microsoft JhengHei" w:hAnsi="Microsoft JhengHei" w:cs="Microsoft JhengHei" w:eastAsia="Microsoft JhengHei" w:hint="default"/>
          <w:b/>
          <w:bCs/>
          <w:sz w:val="21"/>
          <w:szCs w:val="21"/>
        </w:rPr>
        <w:t>提供劳务收入的确认依据和方法</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pacing w:val="-1"/>
          <w:sz w:val="21"/>
          <w:szCs w:val="21"/>
        </w:rPr>
      </w:r>
      <w:r>
        <w:rPr>
          <w:rFonts w:ascii="宋体" w:hAnsi="宋体" w:cs="宋体" w:eastAsia="宋体" w:hint="default"/>
          <w:spacing w:val="-2"/>
          <w:sz w:val="21"/>
          <w:szCs w:val="21"/>
        </w:rPr>
        <w:t>在资产负债表日提供劳务交易的结果能够可靠估计的，采用完工百分比法确认提供劳务收入。提供劳</w:t>
      </w:r>
    </w:p>
    <w:p>
      <w:pPr>
        <w:pStyle w:val="Heading6"/>
        <w:spacing w:line="273" w:lineRule="auto" w:before="4"/>
        <w:ind w:left="573" w:right="1033" w:hanging="420"/>
        <w:jc w:val="left"/>
      </w:pPr>
      <w:r>
        <w:rPr/>
        <w:t>务交易的完工进度，依据已完工作的测量确定。</w:t>
      </w:r>
      <w:r>
        <w:rPr>
          <w:w w:val="100"/>
        </w:rPr>
        <w:t> </w:t>
      </w:r>
      <w:r>
        <w:rPr>
          <w:spacing w:val="-2"/>
        </w:rPr>
        <w:t>提供劳务交易的结果能够可靠估计，是指同时满足下列条件：</w:t>
      </w:r>
    </w:p>
    <w:p>
      <w:pPr>
        <w:pStyle w:val="Heading6"/>
        <w:spacing w:line="240" w:lineRule="auto" w:before="8"/>
        <w:ind w:left="573" w:right="1033"/>
        <w:jc w:val="left"/>
      </w:pPr>
      <w:r>
        <w:rPr/>
        <w:t>（</w:t>
      </w:r>
      <w:r>
        <w:rPr>
          <w:rFonts w:ascii="Times New Roman" w:hAnsi="Times New Roman" w:cs="Times New Roman" w:eastAsia="Times New Roman" w:hint="default"/>
        </w:rPr>
        <w:t>1</w:t>
      </w:r>
      <w:r>
        <w:rPr/>
        <w:t>）收入的金额能够可靠地计量；</w:t>
      </w:r>
    </w:p>
    <w:p>
      <w:pPr>
        <w:pStyle w:val="Heading6"/>
        <w:spacing w:line="240" w:lineRule="auto" w:before="21"/>
        <w:ind w:left="573" w:right="1033"/>
        <w:jc w:val="left"/>
      </w:pPr>
      <w:r>
        <w:rPr/>
        <w:t>（</w:t>
      </w:r>
      <w:r>
        <w:rPr>
          <w:rFonts w:ascii="Times New Roman" w:hAnsi="Times New Roman" w:cs="Times New Roman" w:eastAsia="Times New Roman" w:hint="default"/>
        </w:rPr>
        <w:t>2</w:t>
      </w:r>
      <w:r>
        <w:rPr/>
        <w:t>）相关的经济利益很可能流入企业；</w:t>
      </w:r>
    </w:p>
    <w:p>
      <w:pPr>
        <w:pStyle w:val="Heading6"/>
        <w:spacing w:line="240" w:lineRule="auto" w:before="21"/>
        <w:ind w:left="573" w:right="1033"/>
        <w:jc w:val="left"/>
      </w:pPr>
      <w:r>
        <w:rPr/>
        <w:t>（</w:t>
      </w:r>
      <w:r>
        <w:rPr>
          <w:rFonts w:ascii="Times New Roman" w:hAnsi="Times New Roman" w:cs="Times New Roman" w:eastAsia="Times New Roman" w:hint="default"/>
        </w:rPr>
        <w:t>3</w:t>
      </w:r>
      <w:r>
        <w:rPr/>
        <w:t>）交易的完工进度能够可靠地确定；</w:t>
      </w:r>
    </w:p>
    <w:p>
      <w:pPr>
        <w:pStyle w:val="Heading6"/>
        <w:spacing w:line="256" w:lineRule="auto" w:before="21"/>
        <w:ind w:left="573" w:right="1033"/>
        <w:jc w:val="left"/>
      </w:pPr>
      <w:r>
        <w:rPr/>
        <w:t>（</w:t>
      </w:r>
      <w:r>
        <w:rPr>
          <w:rFonts w:ascii="Times New Roman" w:hAnsi="Times New Roman" w:cs="Times New Roman" w:eastAsia="Times New Roman" w:hint="default"/>
        </w:rPr>
        <w:t>4</w:t>
      </w:r>
      <w:r>
        <w:rPr/>
        <w:t>）交易中已发生和将发生的成本能够可靠地计量。</w:t>
      </w:r>
      <w:r>
        <w:rPr>
          <w:w w:val="100"/>
        </w:rPr>
        <w:t> </w:t>
      </w:r>
      <w:r>
        <w:rPr>
          <w:spacing w:val="-2"/>
        </w:rPr>
        <w:t>按照已收或应收的合同或协议价款确定提供劳务收入总额，但已收或应收的合同或协议价款不公允的</w:t>
      </w:r>
    </w:p>
    <w:p>
      <w:pPr>
        <w:spacing w:after="0" w:line="256"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right="1126"/>
        <w:jc w:val="both"/>
      </w:pPr>
      <w:r>
        <w:rPr>
          <w:spacing w:val="-2"/>
        </w:rPr>
        <w:t>除外。资产负债表日按照提供劳务收入总额乘以完工进度扣除以前会计期间累计已确认提供劳务收入后的</w:t>
      </w:r>
      <w:r>
        <w:rPr>
          <w:spacing w:val="-43"/>
        </w:rPr>
        <w:t> </w:t>
      </w:r>
      <w:r>
        <w:rPr>
          <w:spacing w:val="-43"/>
        </w:rPr>
      </w:r>
      <w:r>
        <w:rPr>
          <w:spacing w:val="-2"/>
        </w:rPr>
        <w:t>金额，确认当期提供劳务收入；同时，按照提供劳务估计总成本乘以完工进度扣除以前会计期间累计已确</w:t>
      </w:r>
      <w:r>
        <w:rPr>
          <w:spacing w:val="-44"/>
        </w:rPr>
        <w:t> </w:t>
      </w:r>
      <w:r>
        <w:rPr>
          <w:spacing w:val="-44"/>
        </w:rPr>
      </w:r>
      <w:r>
        <w:rPr/>
        <w:t>认劳务成本后的金额，结转当期劳务成本。</w:t>
      </w:r>
    </w:p>
    <w:p>
      <w:pPr>
        <w:pStyle w:val="Heading6"/>
        <w:spacing w:line="240" w:lineRule="auto"/>
        <w:ind w:left="573" w:right="1033"/>
        <w:jc w:val="left"/>
      </w:pPr>
      <w:r>
        <w:rPr/>
        <w:t>在资产负债表日提供劳务交易结果不能够可靠估计的，分别下列情况处理：</w:t>
      </w:r>
    </w:p>
    <w:p>
      <w:pPr>
        <w:pStyle w:val="Heading6"/>
        <w:spacing w:line="256" w:lineRule="auto" w:before="37"/>
        <w:ind w:right="1132" w:firstLine="420"/>
        <w:jc w:val="both"/>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w:t>
      </w:r>
      <w:r>
        <w:rPr>
          <w:w w:val="100"/>
        </w:rPr>
        <w:t> </w:t>
      </w:r>
      <w:r>
        <w:rPr/>
        <w:t>并按相同金额结转劳务成本。</w:t>
      </w:r>
    </w:p>
    <w:p>
      <w:pPr>
        <w:pStyle w:val="Heading6"/>
        <w:spacing w:line="256" w:lineRule="auto" w:before="22"/>
        <w:ind w:right="1136" w:firstLine="420"/>
        <w:jc w:val="both"/>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w:t>
      </w:r>
      <w:r>
        <w:rPr>
          <w:w w:val="100"/>
        </w:rPr>
        <w:t> </w:t>
      </w:r>
      <w:r>
        <w:rPr/>
        <w:t>供劳务收入。</w:t>
      </w:r>
    </w:p>
    <w:p>
      <w:pPr>
        <w:pStyle w:val="Heading6"/>
        <w:spacing w:line="273" w:lineRule="auto" w:before="22"/>
        <w:ind w:right="1126" w:firstLine="420"/>
        <w:jc w:val="both"/>
      </w:pPr>
      <w:r>
        <w:rPr>
          <w:spacing w:val="-2"/>
        </w:rPr>
        <w:t>本公司与其他企业签订的合同或协议包括销售商品和提供劳务时，销售商品部分和提供劳务部分能够</w:t>
      </w:r>
      <w:r>
        <w:rPr>
          <w:w w:val="100"/>
        </w:rPr>
        <w:t> </w:t>
      </w:r>
      <w:r>
        <w:rPr>
          <w:spacing w:val="-2"/>
        </w:rPr>
        <w:t>区分且能够单独计量的，将销售商品的部分作为销售商品处理，将提供劳务的部分作为提供劳务处理。销</w:t>
      </w:r>
      <w:r>
        <w:rPr>
          <w:spacing w:val="-42"/>
        </w:rPr>
        <w:t> </w:t>
      </w:r>
      <w:r>
        <w:rPr>
          <w:spacing w:val="-42"/>
        </w:rPr>
      </w:r>
      <w:r>
        <w:rPr>
          <w:spacing w:val="-2"/>
        </w:rPr>
        <w:t>售商品部分和提供劳务部分不能够区分，或虽能区分但不能够单独计量的，将销售商品部分和提供劳务部</w:t>
      </w:r>
      <w:r>
        <w:rPr>
          <w:spacing w:val="-42"/>
        </w:rPr>
        <w:t> </w:t>
      </w:r>
      <w:r>
        <w:rPr>
          <w:spacing w:val="-42"/>
        </w:rPr>
      </w:r>
      <w:r>
        <w:rPr/>
        <w:t>分全部作为销售商品处理。</w:t>
      </w:r>
    </w:p>
    <w:p>
      <w:pPr>
        <w:pStyle w:val="Heading5"/>
        <w:spacing w:line="306" w:lineRule="exact"/>
        <w:ind w:left="508" w:right="1033"/>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46"/>
        </w:rPr>
        <w:t> </w:t>
      </w:r>
      <w:r>
        <w:rPr/>
        <w:t>收入确认的具体方法</w:t>
      </w:r>
      <w:r>
        <w:rPr>
          <w:b w:val="0"/>
          <w:bCs w:val="0"/>
        </w:rPr>
      </w:r>
    </w:p>
    <w:p>
      <w:pPr>
        <w:pStyle w:val="Heading6"/>
        <w:spacing w:line="264" w:lineRule="auto" w:before="13"/>
        <w:ind w:right="1033" w:firstLine="420"/>
        <w:jc w:val="left"/>
      </w:pPr>
      <w:r>
        <w:rPr/>
        <w:t>（</w:t>
      </w:r>
      <w:r>
        <w:rPr>
          <w:rFonts w:ascii="Times New Roman" w:hAnsi="Times New Roman" w:cs="Times New Roman" w:eastAsia="Times New Roman" w:hint="default"/>
        </w:rPr>
        <w:t>1</w:t>
      </w:r>
      <w:r>
        <w:rPr/>
        <w:t>）商品销售收入：对于国内商品销售，在订单货物已经发出，客户收到货物并签收，出具签收单</w:t>
      </w:r>
      <w:r>
        <w:rPr>
          <w:w w:val="100"/>
        </w:rPr>
        <w:t> </w:t>
      </w:r>
      <w:r>
        <w:rPr>
          <w:spacing w:val="-2"/>
        </w:rPr>
        <w:t>后确认收入；对于出口销售，根据合同中相关权利和义务的约定，订单货物已经报关离岸时确认销售收入</w:t>
      </w:r>
      <w:r>
        <w:rPr>
          <w:spacing w:val="-43"/>
        </w:rPr>
        <w:t> </w:t>
      </w:r>
      <w:r>
        <w:rPr>
          <w:spacing w:val="-43"/>
        </w:rPr>
      </w:r>
      <w:r>
        <w:rPr/>
        <w:t>的实现。</w:t>
      </w:r>
    </w:p>
    <w:p>
      <w:pPr>
        <w:pStyle w:val="Heading6"/>
        <w:spacing w:line="256" w:lineRule="auto" w:before="16"/>
        <w:ind w:right="1210" w:firstLine="420"/>
        <w:jc w:val="both"/>
      </w:pPr>
      <w:r>
        <w:rPr>
          <w:spacing w:val="-2"/>
        </w:rPr>
        <w:t>（</w:t>
      </w:r>
      <w:r>
        <w:rPr>
          <w:rFonts w:ascii="Times New Roman" w:hAnsi="Times New Roman" w:cs="Times New Roman" w:eastAsia="Times New Roman" w:hint="default"/>
          <w:spacing w:val="-2"/>
        </w:rPr>
        <w:t>2</w:t>
      </w:r>
      <w:r>
        <w:rPr>
          <w:spacing w:val="-2"/>
        </w:rPr>
        <w:t>）收单服务收入：根据银行卡收单业务许可，为特约商户提供授权请求、账单结算、资金结算等</w:t>
      </w:r>
      <w:r>
        <w:rPr>
          <w:w w:val="100"/>
        </w:rPr>
        <w:t> </w:t>
      </w:r>
      <w:r>
        <w:rPr/>
        <w:t>服务，按照</w:t>
      </w:r>
      <w:r>
        <w:rPr>
          <w:rFonts w:ascii="Times New Roman" w:hAnsi="Times New Roman" w:cs="Times New Roman" w:eastAsia="Times New Roman" w:hint="default"/>
        </w:rPr>
        <w:t>POS</w:t>
      </w:r>
      <w:r>
        <w:rPr/>
        <w:t>机实际发生的交易资金及签约费率确认服务收入的实现。</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0"/>
          <w:szCs w:val="20"/>
        </w:rPr>
      </w:pPr>
    </w:p>
    <w:p>
      <w:pPr>
        <w:pStyle w:val="Heading5"/>
        <w:spacing w:line="240" w:lineRule="auto"/>
        <w:ind w:right="1033"/>
        <w:jc w:val="left"/>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49" w:lineRule="auto" w:before="0"/>
        <w:ind w:left="573" w:right="1033" w:hanging="65"/>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5"/>
        </w:rPr>
        <w:t> </w:t>
      </w:r>
      <w:r>
        <w:rPr>
          <w:rFonts w:ascii="Microsoft JhengHei" w:hAnsi="Microsoft JhengHei" w:cs="Microsoft JhengHei" w:eastAsia="Microsoft JhengHei" w:hint="default"/>
          <w:b/>
          <w:bCs/>
        </w:rPr>
        <w:t>类型</w:t>
      </w:r>
      <w:r>
        <w:rPr>
          <w:rFonts w:ascii="Microsoft JhengHei" w:hAnsi="Microsoft JhengHei" w:cs="Microsoft JhengHei" w:eastAsia="Microsoft JhengHei" w:hint="default"/>
          <w:b/>
          <w:bCs/>
          <w:spacing w:val="-46"/>
        </w:rPr>
        <w:t> </w:t>
      </w:r>
      <w:r>
        <w:rPr>
          <w:spacing w:val="-2"/>
        </w:rPr>
        <w:t>政府补助，是本公司从政府无偿取得的货币性资产与非货币性资产。根据相关政府文件规定的补助对</w:t>
      </w:r>
    </w:p>
    <w:p>
      <w:pPr>
        <w:pStyle w:val="Heading6"/>
        <w:spacing w:line="273" w:lineRule="auto" w:before="28"/>
        <w:ind w:left="573" w:right="1033" w:hanging="420"/>
        <w:jc w:val="left"/>
      </w:pPr>
      <w:r>
        <w:rPr/>
        <w:t>象，将政府补助划分为与资产相关的政府补助和与收益相关的政府补助。</w:t>
      </w:r>
      <w:r>
        <w:rPr>
          <w:w w:val="100"/>
        </w:rPr>
        <w:t> </w:t>
      </w:r>
      <w:r>
        <w:rPr>
          <w:spacing w:val="-2"/>
        </w:rPr>
        <w:t>与资产相关的政府补助，是指本公司取得的、用于购建或以其他方式形成长期资产的政府补助。与收</w:t>
      </w:r>
    </w:p>
    <w:p>
      <w:pPr>
        <w:pStyle w:val="Heading6"/>
        <w:spacing w:line="260" w:lineRule="exact"/>
        <w:ind w:right="1033"/>
        <w:jc w:val="left"/>
      </w:pPr>
      <w:r>
        <w:rPr/>
        <w:t>益相关的政府补助，是指除与资产相关的政府补助之外的政府补助。</w:t>
      </w:r>
    </w:p>
    <w:p>
      <w:pPr>
        <w:pStyle w:val="Heading6"/>
        <w:spacing w:line="312" w:lineRule="exact" w:before="47"/>
        <w:ind w:left="573" w:right="1033" w:hanging="65"/>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5"/>
        </w:rPr>
        <w:t> </w:t>
      </w:r>
      <w:r>
        <w:rPr>
          <w:rFonts w:ascii="Microsoft JhengHei" w:hAnsi="Microsoft JhengHei" w:cs="Microsoft JhengHei" w:eastAsia="Microsoft JhengHei" w:hint="default"/>
          <w:b/>
          <w:bCs/>
        </w:rPr>
        <w:t>政府补助的确认</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spacing w:val="-2"/>
        </w:rPr>
        <w:t>对期末有证据表明公司能够符合财政扶持政策规定的相关条件且预计能够收到财政扶持资金的，按应</w:t>
      </w:r>
    </w:p>
    <w:p>
      <w:pPr>
        <w:pStyle w:val="Heading6"/>
        <w:spacing w:line="273" w:lineRule="auto" w:before="4"/>
        <w:ind w:left="573" w:right="1033" w:hanging="420"/>
        <w:jc w:val="left"/>
      </w:pPr>
      <w:r>
        <w:rPr/>
        <w:t>收金额确认政府补助。除此之外，政府补助均在实际收到时确认。</w:t>
      </w:r>
      <w:r>
        <w:rPr>
          <w:w w:val="100"/>
        </w:rPr>
        <w:t> </w:t>
      </w:r>
      <w:r>
        <w:rPr>
          <w:spacing w:val="-2"/>
        </w:rPr>
        <w:t>政府补助为货币性资产的，按照收到或应收的金额计量。政府补助为非货币性资产的，按照公允价值</w:t>
      </w:r>
    </w:p>
    <w:p>
      <w:pPr>
        <w:pStyle w:val="Heading6"/>
        <w:spacing w:line="256" w:lineRule="auto"/>
        <w:ind w:right="1128"/>
        <w:jc w:val="both"/>
      </w:pPr>
      <w:r>
        <w:rPr/>
        <w:t>计量；公允价值不能够可靠取得的，按照名义金额（人民币</w:t>
      </w:r>
      <w:r>
        <w:rPr>
          <w:rFonts w:ascii="Times New Roman" w:hAnsi="Times New Roman" w:cs="Times New Roman" w:eastAsia="Times New Roman" w:hint="default"/>
        </w:rPr>
        <w:t>1</w:t>
      </w:r>
      <w:r>
        <w:rPr/>
        <w:t>元）计量。按照名义金额计量的政府补助，</w:t>
      </w:r>
      <w:r>
        <w:rPr>
          <w:spacing w:val="-20"/>
        </w:rPr>
        <w:t> </w:t>
      </w:r>
      <w:r>
        <w:rPr>
          <w:spacing w:val="-20"/>
        </w:rPr>
      </w:r>
      <w:r>
        <w:rPr/>
        <w:t>直接计入当期损益。</w:t>
      </w:r>
    </w:p>
    <w:p>
      <w:pPr>
        <w:pStyle w:val="Heading6"/>
        <w:spacing w:line="312" w:lineRule="exact" w:before="18"/>
        <w:ind w:left="578" w:right="1033" w:hanging="70"/>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35"/>
        </w:rPr>
        <w:t> </w:t>
      </w:r>
      <w:r>
        <w:rPr>
          <w:rFonts w:ascii="Microsoft JhengHei" w:hAnsi="Microsoft JhengHei" w:cs="Microsoft JhengHei" w:eastAsia="Microsoft JhengHei" w:hint="default"/>
          <w:b/>
          <w:bCs/>
        </w:rPr>
        <w:t>会计处理方法</w:t>
      </w:r>
      <w:r>
        <w:rPr>
          <w:rFonts w:ascii="Microsoft JhengHei" w:hAnsi="Microsoft JhengHei" w:cs="Microsoft JhengHei" w:eastAsia="Microsoft JhengHei" w:hint="default"/>
          <w:b/>
          <w:bCs/>
          <w:spacing w:val="-43"/>
        </w:rPr>
        <w:t> </w:t>
      </w:r>
      <w:r>
        <w:rPr>
          <w:rFonts w:ascii="Microsoft JhengHei" w:hAnsi="Microsoft JhengHei" w:cs="Microsoft JhengHei" w:eastAsia="Microsoft JhengHei" w:hint="default"/>
          <w:b/>
          <w:bCs/>
          <w:spacing w:val="-43"/>
        </w:rPr>
      </w:r>
      <w:r>
        <w:rPr>
          <w:spacing w:val="-2"/>
        </w:rPr>
        <w:t>本公司根据经济业务的实质，确定某一类政府补助业务应当采用总额法还是净额法进行会计处理。通</w:t>
      </w:r>
    </w:p>
    <w:p>
      <w:pPr>
        <w:pStyle w:val="Heading6"/>
        <w:spacing w:line="271" w:lineRule="auto" w:before="4"/>
        <w:ind w:right="1126"/>
        <w:jc w:val="both"/>
      </w:pPr>
      <w:r>
        <w:rPr>
          <w:spacing w:val="-2"/>
        </w:rPr>
        <w:t>常情况下，本公司对于同类或类似政府补助业务只选用一种方法，且对该业务一贯地运用该方法。本公司</w:t>
      </w:r>
      <w:r>
        <w:rPr>
          <w:spacing w:val="-45"/>
        </w:rPr>
        <w:t> </w:t>
      </w:r>
      <w:r>
        <w:rPr>
          <w:spacing w:val="-45"/>
        </w:rPr>
      </w:r>
      <w:r>
        <w:rPr/>
        <w:t>采用总额法核算政府补助。</w:t>
      </w:r>
    </w:p>
    <w:p>
      <w:pPr>
        <w:pStyle w:val="Heading6"/>
        <w:spacing w:line="273" w:lineRule="auto" w:before="10"/>
        <w:ind w:right="1126" w:firstLine="420"/>
        <w:jc w:val="both"/>
      </w:pPr>
      <w:r>
        <w:rPr>
          <w:spacing w:val="-2"/>
        </w:rPr>
        <w:t>与资产相关的政府补助，应当冲减相关资产的账面价值或确认为递延收益。与资产相关的政府补助确</w:t>
      </w:r>
      <w:r>
        <w:rPr>
          <w:w w:val="100"/>
        </w:rPr>
        <w:t> </w:t>
      </w:r>
      <w:r>
        <w:rPr/>
        <w:t>认为递延收益的，在所建造或购买资产使用寿命内按照合理、系统的方法分期计入损益。</w:t>
      </w:r>
    </w:p>
    <w:p>
      <w:pPr>
        <w:pStyle w:val="Heading6"/>
        <w:spacing w:line="273" w:lineRule="auto"/>
        <w:ind w:right="1126" w:firstLine="420"/>
        <w:jc w:val="both"/>
      </w:pPr>
      <w:r>
        <w:rPr>
          <w:spacing w:val="-2"/>
        </w:rPr>
        <w:t>与收益相关的政府补助，用于补偿企业以后期间的相关费用或损失的，确认为递延收益，在确认相关</w:t>
      </w:r>
      <w:r>
        <w:rPr>
          <w:spacing w:val="-3"/>
          <w:w w:val="100"/>
        </w:rPr>
        <w:t> </w:t>
      </w:r>
      <w:r>
        <w:rPr>
          <w:spacing w:val="-2"/>
        </w:rPr>
        <w:t>费用或损失的期间计入当期损益或冲减相关成本；用于补偿企业已发生的相关费用或损失的，取得时直接</w:t>
      </w:r>
      <w:r>
        <w:rPr>
          <w:spacing w:val="-43"/>
        </w:rPr>
        <w:t> </w:t>
      </w:r>
      <w:r>
        <w:rPr>
          <w:spacing w:val="-43"/>
        </w:rPr>
      </w:r>
      <w:r>
        <w:rPr/>
        <w:t>计入当期损益或冲减相关成本。</w:t>
      </w:r>
    </w:p>
    <w:p>
      <w:pPr>
        <w:pStyle w:val="Heading6"/>
        <w:spacing w:line="273" w:lineRule="auto"/>
        <w:ind w:right="1126" w:firstLine="420"/>
        <w:jc w:val="both"/>
      </w:pPr>
      <w:r>
        <w:rPr>
          <w:spacing w:val="-2"/>
        </w:rPr>
        <w:t>与企业日常活动相关的政府补助计入其他收益或冲减相关成本费用；与企业日常活动无关的政府补助</w:t>
      </w:r>
      <w:r>
        <w:rPr>
          <w:w w:val="100"/>
        </w:rPr>
        <w:t> </w:t>
      </w:r>
      <w:r>
        <w:rPr/>
        <w:t>计入营业外收支。</w:t>
      </w:r>
    </w:p>
    <w:p>
      <w:pPr>
        <w:spacing w:after="0" w:line="273"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73" w:lineRule="auto" w:before="36"/>
        <w:ind w:right="1126" w:firstLine="420"/>
        <w:jc w:val="both"/>
      </w:pPr>
      <w:r>
        <w:rPr>
          <w:spacing w:val="-2"/>
        </w:rPr>
        <w:t>收到与政策性优惠贷款贴息相关的政府补助冲减相关借款费用；取得贷款银行提供的政策性优惠利率</w:t>
      </w:r>
      <w:r>
        <w:rPr>
          <w:w w:val="100"/>
        </w:rPr>
        <w:t> </w:t>
      </w:r>
      <w:r>
        <w:rPr>
          <w:spacing w:val="-2"/>
        </w:rPr>
        <w:t>贷款的，以实际收到的借款金额作为借款的入账价值，按照借款本金和该政策性优惠利率计算相关借款费</w:t>
      </w:r>
      <w:r>
        <w:rPr>
          <w:spacing w:val="-44"/>
        </w:rPr>
        <w:t> </w:t>
      </w:r>
      <w:r>
        <w:rPr>
          <w:spacing w:val="-44"/>
        </w:rPr>
      </w:r>
      <w:r>
        <w:rPr/>
        <w:t>用。</w:t>
      </w:r>
    </w:p>
    <w:p>
      <w:pPr>
        <w:pStyle w:val="Heading6"/>
        <w:spacing w:line="273" w:lineRule="auto"/>
        <w:ind w:right="1126" w:firstLine="420"/>
        <w:jc w:val="both"/>
      </w:pPr>
      <w:r>
        <w:rPr>
          <w:spacing w:val="-2"/>
        </w:rPr>
        <w:t>已确认的政府补助需要返还时，初始确认时冲减相关资产账面价值的，调整资产账面价值；存在相关</w:t>
      </w:r>
      <w:r>
        <w:rPr>
          <w:w w:val="100"/>
        </w:rPr>
        <w:t> </w:t>
      </w:r>
      <w:r>
        <w:rPr>
          <w:spacing w:val="-2"/>
        </w:rPr>
        <w:t>递延收益余额的，冲减相关递延收益账面余额，超出部分计入当期损益；不存在相关递延收益的，直接计</w:t>
      </w:r>
      <w:r>
        <w:rPr>
          <w:spacing w:val="-50"/>
        </w:rPr>
        <w:t> </w:t>
      </w:r>
      <w:r>
        <w:rPr>
          <w:spacing w:val="-50"/>
        </w:rPr>
      </w:r>
      <w:r>
        <w:rPr/>
        <w:t>入当期损益。</w:t>
      </w:r>
    </w:p>
    <w:p>
      <w:pPr>
        <w:spacing w:line="240" w:lineRule="auto" w:before="4"/>
        <w:rPr>
          <w:rFonts w:ascii="宋体" w:hAnsi="宋体" w:cs="宋体" w:eastAsia="宋体" w:hint="default"/>
          <w:sz w:val="24"/>
          <w:szCs w:val="24"/>
        </w:rPr>
      </w:pPr>
    </w:p>
    <w:p>
      <w:pPr>
        <w:spacing w:line="600" w:lineRule="atLeast" w:before="0"/>
        <w:ind w:left="573" w:right="103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Microsoft JhengHei" w:hAnsi="Microsoft JhengHei" w:cs="Microsoft JhengHei" w:eastAsia="Microsoft JhengHei" w:hint="default"/>
          <w:b/>
          <w:bCs/>
          <w:sz w:val="21"/>
          <w:szCs w:val="21"/>
        </w:rPr>
        <w:t>、递延所得税资产</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暂时性差异</w:t>
      </w:r>
      <w:r>
        <w:rPr>
          <w:rFonts w:ascii="Times New Roman" w:hAnsi="Times New Roman" w:cs="Times New Roman" w:eastAsia="Times New Roman" w:hint="default"/>
          <w:sz w:val="21"/>
          <w:szCs w:val="21"/>
        </w:rPr>
        <w:t>)</w:t>
      </w:r>
      <w:r>
        <w:rPr>
          <w:rFonts w:ascii="宋体" w:hAnsi="宋体" w:cs="宋体" w:eastAsia="宋体" w:hint="default"/>
          <w:sz w:val="21"/>
          <w:szCs w:val="21"/>
        </w:rPr>
        <w:t>计算</w:t>
      </w:r>
    </w:p>
    <w:p>
      <w:pPr>
        <w:pStyle w:val="Heading6"/>
        <w:spacing w:line="273" w:lineRule="auto" w:before="21"/>
        <w:ind w:right="1033"/>
        <w:jc w:val="left"/>
      </w:pPr>
      <w:r>
        <w:rPr>
          <w:spacing w:val="-2"/>
        </w:rPr>
        <w:t>确认。于资产负债表日，递延所得税资产和递延所得税负债，按照预期收回该资产或清偿该负债期间的适</w:t>
      </w:r>
      <w:r>
        <w:rPr>
          <w:spacing w:val="-44"/>
        </w:rPr>
        <w:t> </w:t>
      </w:r>
      <w:r>
        <w:rPr>
          <w:spacing w:val="-44"/>
        </w:rPr>
      </w:r>
      <w:r>
        <w:rPr/>
        <w:t>用税率计量。</w:t>
      </w:r>
    </w:p>
    <w:p>
      <w:pPr>
        <w:spacing w:line="312" w:lineRule="exact" w:before="3"/>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确认递延所得税资产的依据</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本公司以很可能取得用来抵扣可抵扣暂时性差异、能够结转以后年度的可抵扣亏损和税款抵减的应纳</w:t>
      </w:r>
    </w:p>
    <w:p>
      <w:pPr>
        <w:pStyle w:val="Heading6"/>
        <w:spacing w:line="264" w:lineRule="auto" w:before="4"/>
        <w:ind w:right="1126"/>
        <w:jc w:val="both"/>
      </w:pPr>
      <w:r>
        <w:rPr>
          <w:spacing w:val="-2"/>
        </w:rPr>
        <w:t>税所得额为限，确认由可抵扣暂时性差异产生的递延所得税资产。但是，同时具有下列特征的交易中因资</w:t>
      </w:r>
      <w:r>
        <w:rPr>
          <w:spacing w:val="-44"/>
        </w:rPr>
        <w:t> </w:t>
      </w:r>
      <w:r>
        <w:rPr>
          <w:spacing w:val="-44"/>
        </w:rPr>
      </w:r>
      <w:r>
        <w:rPr>
          <w:spacing w:val="-2"/>
        </w:rPr>
        <w:t>产或负债的初始确认所产生的递延所得税资产不予确认：（</w:t>
      </w:r>
      <w:r>
        <w:rPr>
          <w:rFonts w:ascii="Times New Roman" w:hAnsi="Times New Roman" w:cs="Times New Roman" w:eastAsia="Times New Roman" w:hint="default"/>
          <w:spacing w:val="-2"/>
        </w:rPr>
        <w:t>1</w:t>
      </w:r>
      <w:r>
        <w:rPr>
          <w:spacing w:val="-2"/>
        </w:rPr>
        <w:t>）该交易不是企业合并；（</w:t>
      </w:r>
      <w:r>
        <w:rPr>
          <w:rFonts w:ascii="Times New Roman" w:hAnsi="Times New Roman" w:cs="Times New Roman" w:eastAsia="Times New Roman" w:hint="default"/>
          <w:spacing w:val="-2"/>
        </w:rPr>
        <w:t>2</w:t>
      </w:r>
      <w:r>
        <w:rPr>
          <w:spacing w:val="-2"/>
        </w:rPr>
        <w:t>）交易发生时既</w:t>
      </w:r>
      <w:r>
        <w:rPr>
          <w:spacing w:val="-43"/>
        </w:rPr>
        <w:t> </w:t>
      </w:r>
      <w:r>
        <w:rPr>
          <w:spacing w:val="-43"/>
        </w:rPr>
      </w:r>
      <w:r>
        <w:rPr/>
        <w:t>不影响会计利润也不影响应纳税所得额或可抵扣亏损。</w:t>
      </w:r>
    </w:p>
    <w:p>
      <w:pPr>
        <w:pStyle w:val="Heading6"/>
        <w:spacing w:line="273" w:lineRule="auto" w:before="16"/>
        <w:ind w:right="1104" w:firstLine="420"/>
        <w:jc w:val="both"/>
      </w:pPr>
      <w:r>
        <w:rPr>
          <w:spacing w:val="-2"/>
        </w:rPr>
        <w:t>对于与联营企业投资相关的可抵扣暂时性差异，同时满足下列条件的，确认相应的递延所得税资产：</w:t>
      </w:r>
      <w:r>
        <w:rPr>
          <w:w w:val="100"/>
        </w:rPr>
        <w:t> </w:t>
      </w:r>
      <w:r>
        <w:rPr>
          <w:spacing w:val="-2"/>
        </w:rPr>
        <w:t>暂时性差异在可预见的未来很可能转回，且未来很可能获得用来抵扣可抵扣暂时性差异的应纳税所得额。</w:t>
      </w:r>
    </w:p>
    <w:p>
      <w:pPr>
        <w:spacing w:line="312" w:lineRule="exact" w:before="4"/>
        <w:ind w:left="573" w:right="1033"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确认递延所得税负债的依据</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公司将当期与以前期间应交未交的应纳税暂时性差异确认为递延所得税负债。但不包括：</w:t>
      </w:r>
    </w:p>
    <w:p>
      <w:pPr>
        <w:pStyle w:val="Heading6"/>
        <w:spacing w:line="240" w:lineRule="auto" w:before="4"/>
        <w:ind w:left="573" w:right="1033"/>
        <w:jc w:val="left"/>
      </w:pPr>
      <w:r>
        <w:rPr/>
        <w:t>（</w:t>
      </w:r>
      <w:r>
        <w:rPr>
          <w:rFonts w:ascii="Times New Roman" w:hAnsi="Times New Roman" w:cs="Times New Roman" w:eastAsia="Times New Roman" w:hint="default"/>
        </w:rPr>
        <w:t>1</w:t>
      </w:r>
      <w:r>
        <w:rPr/>
        <w:t>）商誉的初始确认所形成的暂时性差异；</w:t>
      </w:r>
    </w:p>
    <w:p>
      <w:pPr>
        <w:pStyle w:val="Heading6"/>
        <w:spacing w:line="256" w:lineRule="auto" w:before="21"/>
        <w:ind w:right="1136" w:firstLine="420"/>
        <w:jc w:val="both"/>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w:t>
      </w:r>
      <w:r>
        <w:rPr>
          <w:w w:val="100"/>
        </w:rPr>
        <w:t> </w:t>
      </w:r>
      <w:r>
        <w:rPr/>
        <w:t>得额（或可抵扣亏损）所形成的暂时性差异；</w:t>
      </w:r>
    </w:p>
    <w:p>
      <w:pPr>
        <w:pStyle w:val="Heading6"/>
        <w:spacing w:line="256" w:lineRule="auto" w:before="22"/>
        <w:ind w:right="1136" w:firstLine="420"/>
        <w:jc w:val="both"/>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w:t>
      </w:r>
      <w:r>
        <w:rPr>
          <w:w w:val="100"/>
        </w:rPr>
        <w:t> </w:t>
      </w:r>
      <w:r>
        <w:rPr/>
        <w:t>且该暂时性差异在可预见的未来很可能不会转回。</w:t>
      </w:r>
    </w:p>
    <w:p>
      <w:pPr>
        <w:pStyle w:val="Heading5"/>
        <w:spacing w:line="321" w:lineRule="exact"/>
        <w:ind w:left="508" w:right="1033"/>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2"/>
        </w:rPr>
        <w:t> </w:t>
      </w:r>
      <w:r>
        <w:rPr/>
        <w:t>同时满足下列条件时，将递延所得税资产及递延所得税负债以抵销后的净额列示</w:t>
      </w:r>
      <w:r>
        <w:rPr>
          <w:b w:val="0"/>
          <w:bCs w:val="0"/>
        </w:rPr>
      </w:r>
    </w:p>
    <w:p>
      <w:pPr>
        <w:pStyle w:val="Heading6"/>
        <w:spacing w:line="240" w:lineRule="auto" w:before="13"/>
        <w:ind w:left="573" w:right="1033"/>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Heading6"/>
        <w:spacing w:line="266" w:lineRule="auto" w:before="21"/>
        <w:ind w:right="1104" w:firstLine="424"/>
        <w:jc w:val="both"/>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w:t>
      </w:r>
      <w:r>
        <w:rPr>
          <w:w w:val="100"/>
        </w:rPr>
        <w:t> </w:t>
      </w:r>
      <w:r>
        <w:rPr>
          <w:spacing w:val="-2"/>
        </w:rPr>
        <w:t>者对不同的纳税主体相关，但在未来每一具有重要性的递延所得税资产和递延所得税负债转回的期间内，</w:t>
      </w:r>
      <w:r>
        <w:rPr>
          <w:spacing w:val="-21"/>
        </w:rPr>
        <w:t> </w:t>
      </w:r>
      <w:r>
        <w:rPr>
          <w:spacing w:val="-21"/>
        </w:rPr>
      </w:r>
      <w:r>
        <w:rPr/>
        <w:t>涉及的纳税主体体意图以净额结算当期所得税资产及当期所得税负债或是同时取得资产、清偿债务。</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42</w:t>
      </w:r>
      <w:r>
        <w:rPr/>
        <w:t>、租赁</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Microsoft JhengHei" w:hAnsi="Microsoft JhengHei" w:cs="Microsoft JhengHei" w:eastAsia="Microsoft JhengHei" w:hint="default"/>
          <w:b/>
          <w:bCs/>
          <w:sz w:val="22"/>
          <w:szCs w:val="22"/>
        </w:rPr>
      </w:pPr>
    </w:p>
    <w:p>
      <w:pPr>
        <w:spacing w:line="240" w:lineRule="auto" w:before="1"/>
        <w:rPr>
          <w:rFonts w:ascii="Microsoft JhengHei" w:hAnsi="Microsoft JhengHei" w:cs="Microsoft JhengHei" w:eastAsia="Microsoft JhengHei" w:hint="default"/>
          <w:b/>
          <w:bCs/>
          <w:sz w:val="14"/>
          <w:szCs w:val="14"/>
        </w:rPr>
      </w:pPr>
    </w:p>
    <w:p>
      <w:pPr>
        <w:pStyle w:val="Heading6"/>
        <w:spacing w:line="256" w:lineRule="auto" w:before="0"/>
        <w:ind w:left="573" w:right="1033"/>
        <w:jc w:val="left"/>
      </w:pPr>
      <w:r>
        <w:rPr>
          <w:rFonts w:ascii="Times New Roman" w:hAnsi="Times New Roman" w:cs="Times New Roman" w:eastAsia="Times New Roman" w:hint="default"/>
        </w:rPr>
        <w:t>1</w:t>
      </w:r>
      <w:r>
        <w:rPr/>
        <w:t>）经营租入资产</w:t>
      </w:r>
      <w:r>
        <w:rPr>
          <w:w w:val="100"/>
        </w:rPr>
        <w:t> </w:t>
      </w:r>
      <w:r>
        <w:rPr>
          <w:spacing w:val="-5"/>
        </w:rPr>
        <w:t>公司租入资产所支付的租赁费，在不扣除免租期的整个租赁期内，按直线法进行分摊，计入当期费用。</w:t>
      </w:r>
    </w:p>
    <w:p>
      <w:pPr>
        <w:pStyle w:val="Heading6"/>
        <w:spacing w:line="273" w:lineRule="auto" w:before="22"/>
        <w:ind w:left="573" w:right="1033" w:hanging="420"/>
        <w:jc w:val="left"/>
      </w:pPr>
      <w:r>
        <w:rPr/>
        <w:t>公司支付的与租赁交易相关的初始直接费用，计入当期费用。</w:t>
      </w:r>
      <w:r>
        <w:rPr>
          <w:w w:val="100"/>
        </w:rPr>
        <w:t> </w:t>
      </w:r>
      <w:r>
        <w:rPr>
          <w:spacing w:val="-2"/>
        </w:rPr>
        <w:t>资产出租方承担了应由公司承担的与租赁相关的费用时，公司将该部分费用从租金总额中扣除，按扣</w:t>
      </w:r>
    </w:p>
    <w:p>
      <w:pPr>
        <w:pStyle w:val="Heading6"/>
        <w:spacing w:line="240" w:lineRule="auto"/>
        <w:ind w:right="1033"/>
        <w:jc w:val="left"/>
      </w:pPr>
      <w:r>
        <w:rPr/>
        <w:t>除后的租金费用在租赁期内分摊，计入当期费用。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56" w:lineRule="auto" w:before="36"/>
        <w:ind w:left="573" w:right="1033"/>
        <w:jc w:val="left"/>
      </w:pPr>
      <w:r>
        <w:rPr>
          <w:rFonts w:ascii="Times New Roman" w:hAnsi="Times New Roman" w:cs="Times New Roman" w:eastAsia="Times New Roman" w:hint="default"/>
        </w:rPr>
        <w:t>2</w:t>
      </w:r>
      <w:r>
        <w:rPr/>
        <w:t>）经营租出资产</w:t>
      </w:r>
      <w:r>
        <w:rPr>
          <w:w w:val="100"/>
        </w:rPr>
        <w:t> </w:t>
      </w:r>
      <w:r>
        <w:rPr>
          <w:spacing w:val="-2"/>
        </w:rPr>
        <w:t>公司出租资产所收取的租赁费，在不扣除免租期的整个租赁期内，按直线法进行分摊，确认为租赁收</w:t>
      </w:r>
    </w:p>
    <w:p>
      <w:pPr>
        <w:pStyle w:val="Heading6"/>
        <w:spacing w:line="273" w:lineRule="auto" w:before="22"/>
        <w:ind w:right="1033"/>
        <w:jc w:val="left"/>
      </w:pPr>
      <w:r>
        <w:rPr>
          <w:spacing w:val="-2"/>
        </w:rPr>
        <w:t>入。公司支付的与租赁交易相关的初始直接费用，计入当期费用；如金额较大的，则予以资本化，在整个</w:t>
      </w:r>
      <w:r>
        <w:rPr>
          <w:spacing w:val="-43"/>
        </w:rPr>
        <w:t> </w:t>
      </w:r>
      <w:r>
        <w:rPr>
          <w:spacing w:val="-43"/>
        </w:rPr>
      </w:r>
      <w:r>
        <w:rPr/>
        <w:t>租赁期间内按照与租赁收入确认相同的基础分期计入当期收益。</w:t>
      </w:r>
    </w:p>
    <w:p>
      <w:pPr>
        <w:pStyle w:val="Heading6"/>
        <w:spacing w:line="273" w:lineRule="auto"/>
        <w:ind w:right="1033" w:firstLine="420"/>
        <w:jc w:val="left"/>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6"/>
        <w:spacing w:line="256" w:lineRule="auto" w:before="0"/>
        <w:ind w:right="1033" w:firstLine="420"/>
        <w:jc w:val="left"/>
      </w:pPr>
      <w:r>
        <w:rPr>
          <w:rFonts w:ascii="Times New Roman" w:hAnsi="Times New Roman" w:cs="Times New Roman" w:eastAsia="Times New Roman" w:hint="default"/>
        </w:rPr>
        <w:t>1</w:t>
      </w:r>
      <w:r>
        <w:rPr/>
        <w:t>）融资租入资产：公司在承租开始日，将租赁资产公允价值与最低租赁付款额现值两者中较低者作</w:t>
      </w:r>
      <w:r>
        <w:rPr>
          <w:w w:val="100"/>
        </w:rPr>
        <w:t> </w:t>
      </w:r>
      <w:r>
        <w:rPr>
          <w:spacing w:val="-2"/>
        </w:rPr>
        <w:t>为租入资产的入账价值，将最低租赁付款额作为长期应付款的入账价值，其差额作为未确认的融资费用。</w:t>
      </w:r>
    </w:p>
    <w:p>
      <w:pPr>
        <w:pStyle w:val="Heading6"/>
        <w:spacing w:line="264" w:lineRule="auto" w:before="22"/>
        <w:ind w:left="573" w:right="1033"/>
        <w:jc w:val="left"/>
      </w:pPr>
      <w:r>
        <w:rPr/>
        <w:t>融资租入资产的认定依据、计价和折旧方法详见本附注五、（</w:t>
      </w:r>
      <w:r>
        <w:rPr>
          <w:rFonts w:ascii="Times New Roman" w:hAnsi="Times New Roman" w:cs="Times New Roman" w:eastAsia="Times New Roman" w:hint="default"/>
        </w:rPr>
        <w:t>24</w:t>
      </w:r>
      <w:r>
        <w:rPr/>
        <w:t>）固定资产。</w:t>
      </w:r>
      <w:r>
        <w:rPr>
          <w:w w:val="100"/>
        </w:rPr>
        <w:t> </w:t>
      </w:r>
      <w:r>
        <w:rPr/>
        <w:t>公司采用实际利率法对未确认的融资费用，在资产租赁期间内摊销，计入财务费用。</w:t>
      </w:r>
      <w:r>
        <w:rPr>
          <w:w w:val="100"/>
        </w:rPr>
        <w:t> </w:t>
      </w:r>
      <w:r>
        <w:rPr>
          <w:rFonts w:ascii="Times New Roman" w:hAnsi="Times New Roman" w:cs="Times New Roman" w:eastAsia="Times New Roman" w:hint="default"/>
        </w:rPr>
        <w:t>2</w:t>
      </w:r>
      <w:r>
        <w:rPr/>
        <w:t>）融资租出资产：公司在租赁开始日，将应收融资租赁款，未担保余值之和与其现值的差额确认为</w:t>
      </w:r>
    </w:p>
    <w:p>
      <w:pPr>
        <w:pStyle w:val="Heading6"/>
        <w:spacing w:line="273" w:lineRule="auto" w:before="0"/>
        <w:ind w:right="1033"/>
        <w:jc w:val="left"/>
      </w:pPr>
      <w:r>
        <w:rPr>
          <w:spacing w:val="-2"/>
        </w:rPr>
        <w:t>未实现融资收益，在将来收到租金的各期间内确认为租赁收入，公司发生的与出租交易相关的初始直接费</w:t>
      </w:r>
      <w:r>
        <w:rPr>
          <w:spacing w:val="-44"/>
        </w:rPr>
        <w:t> </w:t>
      </w:r>
      <w:r>
        <w:rPr>
          <w:spacing w:val="-44"/>
        </w:rPr>
      </w:r>
      <w:r>
        <w:rPr/>
        <w:t>用，计入应收融资租赁款的初始计量中，并减少租赁期内确认的收益金额。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6"/>
        <w:spacing w:line="249" w:lineRule="auto" w:before="0"/>
        <w:ind w:left="573" w:right="1033" w:hanging="65"/>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5"/>
        </w:rPr>
        <w:t> </w:t>
      </w:r>
      <w:r>
        <w:rPr>
          <w:rFonts w:ascii="Microsoft JhengHei" w:hAnsi="Microsoft JhengHei" w:cs="Microsoft JhengHei" w:eastAsia="Microsoft JhengHei" w:hint="default"/>
          <w:b/>
          <w:bCs/>
        </w:rPr>
        <w:t>回购本公司股份</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spacing w:val="-2"/>
        </w:rPr>
        <w:t>公司回购的股份在注销或者转让之前，作为库存股管理。回购自身权益工具（库存股）支付的对价和</w:t>
      </w:r>
    </w:p>
    <w:p>
      <w:pPr>
        <w:pStyle w:val="Heading6"/>
        <w:spacing w:line="273" w:lineRule="auto" w:before="28"/>
        <w:ind w:left="573" w:right="1033" w:hanging="420"/>
        <w:jc w:val="left"/>
      </w:pPr>
      <w:r>
        <w:rPr/>
        <w:t>交易费用，应当减少所有者权益，不得确认金融资产。</w:t>
      </w:r>
      <w:r>
        <w:rPr>
          <w:w w:val="100"/>
        </w:rPr>
        <w:t> </w:t>
      </w:r>
      <w:r>
        <w:rPr>
          <w:spacing w:val="-2"/>
        </w:rPr>
        <w:t>库存股可由企业自身购回和持有，也可由企业集团合并财务报表范围内的其他成员购回和持有。</w:t>
      </w:r>
      <w:r>
        <w:rPr>
          <w:w w:val="100"/>
        </w:rPr>
        <w:t> </w:t>
      </w:r>
      <w:r>
        <w:rPr/>
        <w:t>库存股不得参与公司利润分配，股份有限公司应当将其作为股东权益的备抵项目反映。</w:t>
      </w:r>
    </w:p>
    <w:p>
      <w:pPr>
        <w:pStyle w:val="Heading6"/>
        <w:spacing w:line="256" w:lineRule="auto"/>
        <w:ind w:left="573" w:right="1033"/>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）减少公司注册资本</w:t>
      </w:r>
      <w:r>
        <w:rPr>
          <w:w w:val="100"/>
        </w:rPr>
        <w:t> </w:t>
      </w:r>
      <w:r>
        <w:rPr>
          <w:spacing w:val="-1"/>
        </w:rPr>
        <w:t>股份有限公司采用收购本公司股票方式减资的，回购时借记</w:t>
      </w:r>
      <w:r>
        <w:rPr>
          <w:rFonts w:ascii="Times New Roman" w:hAnsi="Times New Roman" w:cs="Times New Roman" w:eastAsia="Times New Roman" w:hint="default"/>
          <w:spacing w:val="-1"/>
        </w:rPr>
        <w:t>“</w:t>
      </w:r>
      <w:r>
        <w:rPr>
          <w:spacing w:val="-1"/>
        </w:rPr>
        <w:t>库存股</w:t>
      </w:r>
      <w:r>
        <w:rPr>
          <w:rFonts w:ascii="Times New Roman" w:hAnsi="Times New Roman" w:cs="Times New Roman" w:eastAsia="Times New Roman" w:hint="default"/>
          <w:spacing w:val="-1"/>
        </w:rPr>
        <w:t>”</w:t>
      </w:r>
      <w:r>
        <w:rPr>
          <w:spacing w:val="-1"/>
        </w:rPr>
        <w:t>，贷记</w:t>
      </w:r>
      <w:r>
        <w:rPr>
          <w:rFonts w:ascii="Times New Roman" w:hAnsi="Times New Roman" w:cs="Times New Roman" w:eastAsia="Times New Roman" w:hint="default"/>
          <w:spacing w:val="-1"/>
        </w:rPr>
        <w:t>“</w:t>
      </w:r>
      <w:r>
        <w:rPr>
          <w:spacing w:val="-1"/>
        </w:rPr>
        <w:t>库存现金</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银行存款</w:t>
      </w:r>
      <w:r>
        <w:rPr>
          <w:rFonts w:ascii="Times New Roman" w:hAnsi="Times New Roman" w:cs="Times New Roman" w:eastAsia="Times New Roman" w:hint="default"/>
          <w:spacing w:val="-1"/>
        </w:rPr>
        <w:t>”</w:t>
      </w:r>
    </w:p>
    <w:p>
      <w:pPr>
        <w:pStyle w:val="Heading6"/>
        <w:spacing w:line="240" w:lineRule="auto" w:before="5"/>
        <w:ind w:right="1033"/>
        <w:jc w:val="left"/>
      </w:pPr>
      <w:r>
        <w:rPr/>
        <w:t>等科目。</w:t>
      </w:r>
    </w:p>
    <w:p>
      <w:pPr>
        <w:pStyle w:val="Heading6"/>
        <w:spacing w:line="273" w:lineRule="auto" w:before="37"/>
        <w:ind w:left="573" w:right="1033"/>
        <w:jc w:val="left"/>
      </w:pPr>
      <w:r>
        <w:rPr/>
        <w:t>公司为减少注册资本回购股份的，应当自收购之日起十日内注销。</w:t>
      </w:r>
      <w:r>
        <w:rPr>
          <w:w w:val="100"/>
        </w:rPr>
        <w:t> </w:t>
      </w:r>
      <w:r>
        <w:rPr>
          <w:spacing w:val="-4"/>
        </w:rPr>
        <w:t>公司按法定程序报经批准减少注册资本的，按股票面值和注销股数计算的股票面值总额，借记</w:t>
      </w:r>
      <w:r>
        <w:rPr>
          <w:rFonts w:ascii="Times New Roman" w:hAnsi="Times New Roman" w:cs="Times New Roman" w:eastAsia="Times New Roman" w:hint="default"/>
          <w:spacing w:val="-4"/>
        </w:rPr>
        <w:t>“</w:t>
      </w:r>
      <w:r>
        <w:rPr>
          <w:spacing w:val="-4"/>
        </w:rPr>
        <w:t>股本</w:t>
      </w:r>
      <w:r>
        <w:rPr>
          <w:rFonts w:ascii="Times New Roman" w:hAnsi="Times New Roman" w:cs="Times New Roman" w:eastAsia="Times New Roman" w:hint="default"/>
          <w:spacing w:val="-4"/>
        </w:rPr>
        <w:t>”</w:t>
      </w:r>
      <w:r>
        <w:rPr>
          <w:spacing w:val="-4"/>
        </w:rPr>
        <w:t>，</w:t>
      </w:r>
    </w:p>
    <w:p>
      <w:pPr>
        <w:pStyle w:val="Heading6"/>
        <w:spacing w:line="256" w:lineRule="auto" w:before="0"/>
        <w:ind w:right="1033"/>
        <w:jc w:val="left"/>
      </w:pPr>
      <w:r>
        <w:rPr>
          <w:spacing w:val="-1"/>
        </w:rPr>
        <w:t>按所注销库存股的账面余额，贷记</w:t>
      </w:r>
      <w:r>
        <w:rPr>
          <w:rFonts w:ascii="Times New Roman" w:hAnsi="Times New Roman" w:cs="Times New Roman" w:eastAsia="Times New Roman" w:hint="default"/>
          <w:spacing w:val="-1"/>
        </w:rPr>
        <w:t>“</w:t>
      </w:r>
      <w:r>
        <w:rPr>
          <w:spacing w:val="-1"/>
        </w:rPr>
        <w:t>库存股</w:t>
      </w:r>
      <w:r>
        <w:rPr>
          <w:rFonts w:ascii="Times New Roman" w:hAnsi="Times New Roman" w:cs="Times New Roman" w:eastAsia="Times New Roman" w:hint="default"/>
          <w:spacing w:val="-1"/>
        </w:rPr>
        <w:t>”</w:t>
      </w:r>
      <w:r>
        <w:rPr>
          <w:spacing w:val="-1"/>
        </w:rPr>
        <w:t>科目，按其差额，借记</w:t>
      </w:r>
      <w:r>
        <w:rPr>
          <w:rFonts w:ascii="Times New Roman" w:hAnsi="Times New Roman" w:cs="Times New Roman" w:eastAsia="Times New Roman" w:hint="default"/>
          <w:spacing w:val="-1"/>
        </w:rPr>
        <w:t>“</w:t>
      </w:r>
      <w:r>
        <w:rPr>
          <w:spacing w:val="-1"/>
        </w:rPr>
        <w:t>资本公积</w:t>
      </w:r>
      <w:r>
        <w:rPr>
          <w:rFonts w:ascii="Times New Roman" w:hAnsi="Times New Roman" w:cs="Times New Roman" w:eastAsia="Times New Roman" w:hint="default"/>
          <w:spacing w:val="-1"/>
        </w:rPr>
        <w:t>——</w:t>
      </w:r>
      <w:r>
        <w:rPr>
          <w:spacing w:val="-1"/>
        </w:rPr>
        <w:t>股本溢价</w:t>
      </w:r>
      <w:r>
        <w:rPr>
          <w:rFonts w:ascii="Times New Roman" w:hAnsi="Times New Roman" w:cs="Times New Roman" w:eastAsia="Times New Roman" w:hint="default"/>
          <w:spacing w:val="-1"/>
        </w:rPr>
        <w:t>”</w:t>
      </w:r>
      <w:r>
        <w:rPr>
          <w:spacing w:val="-1"/>
        </w:rPr>
        <w:t>科目，股本溢</w:t>
      </w:r>
      <w:r>
        <w:rPr>
          <w:spacing w:val="-43"/>
        </w:rPr>
        <w:t> </w:t>
      </w:r>
      <w:r>
        <w:rPr>
          <w:spacing w:val="-43"/>
        </w:rPr>
      </w:r>
      <w:r>
        <w:rPr/>
        <w:t>价不足冲减的，应借记</w:t>
      </w:r>
      <w:r>
        <w:rPr>
          <w:rFonts w:ascii="Times New Roman" w:hAnsi="Times New Roman" w:cs="Times New Roman" w:eastAsia="Times New Roman" w:hint="default"/>
        </w:rPr>
        <w:t>“</w:t>
      </w:r>
      <w:r>
        <w:rPr/>
        <w:t>盈余公积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利润分配</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科目。</w:t>
      </w:r>
    </w:p>
    <w:p>
      <w:pPr>
        <w:pStyle w:val="Heading6"/>
        <w:spacing w:line="256" w:lineRule="auto" w:before="5"/>
        <w:ind w:right="1033" w:firstLine="420"/>
        <w:jc w:val="left"/>
      </w:pPr>
      <w:r>
        <w:rPr>
          <w:spacing w:val="-4"/>
        </w:rPr>
        <w:t>购回股票支付的价款低于面值总额的，应按股票面值总额，借记</w:t>
      </w:r>
      <w:r>
        <w:rPr>
          <w:rFonts w:ascii="Times New Roman" w:hAnsi="Times New Roman" w:cs="Times New Roman" w:eastAsia="Times New Roman" w:hint="default"/>
          <w:spacing w:val="-4"/>
        </w:rPr>
        <w:t>“</w:t>
      </w:r>
      <w:r>
        <w:rPr>
          <w:spacing w:val="-4"/>
        </w:rPr>
        <w:t>股本</w:t>
      </w:r>
      <w:r>
        <w:rPr>
          <w:rFonts w:ascii="Times New Roman" w:hAnsi="Times New Roman" w:cs="Times New Roman" w:eastAsia="Times New Roman" w:hint="default"/>
          <w:spacing w:val="-4"/>
        </w:rPr>
        <w:t>”</w:t>
      </w:r>
      <w:r>
        <w:rPr>
          <w:spacing w:val="-4"/>
        </w:rPr>
        <w:t>，按所注销库存股的账面余额，</w:t>
      </w:r>
      <w:r>
        <w:rPr>
          <w:w w:val="100"/>
        </w:rPr>
        <w:t> </w:t>
      </w:r>
      <w:r>
        <w:rPr/>
        <w:t>贷记</w:t>
      </w:r>
      <w:r>
        <w:rPr>
          <w:rFonts w:ascii="Times New Roman" w:hAnsi="Times New Roman" w:cs="Times New Roman" w:eastAsia="Times New Roman" w:hint="default"/>
        </w:rPr>
        <w:t>“</w:t>
      </w:r>
      <w:r>
        <w:rPr/>
        <w:t>库存股</w:t>
      </w:r>
      <w:r>
        <w:rPr>
          <w:rFonts w:ascii="Times New Roman" w:hAnsi="Times New Roman" w:cs="Times New Roman" w:eastAsia="Times New Roman" w:hint="default"/>
        </w:rPr>
        <w:t>”</w:t>
      </w:r>
      <w:r>
        <w:rPr/>
        <w:t>科目，按其差额，贷记</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科目。</w:t>
      </w:r>
    </w:p>
    <w:p>
      <w:pPr>
        <w:pStyle w:val="Heading6"/>
        <w:spacing w:line="256" w:lineRule="auto" w:before="5"/>
        <w:ind w:left="573" w:right="1033"/>
        <w:jc w:val="left"/>
      </w:pPr>
      <w:r>
        <w:rPr/>
        <w:t>（</w:t>
      </w:r>
      <w:r>
        <w:rPr>
          <w:rFonts w:ascii="Times New Roman" w:hAnsi="Times New Roman" w:cs="Times New Roman" w:eastAsia="Times New Roman" w:hint="default"/>
        </w:rPr>
        <w:t>2</w:t>
      </w:r>
      <w:r>
        <w:rPr/>
        <w:t>）与持有本公司股份的其他公司合并</w:t>
      </w:r>
      <w:r>
        <w:rPr>
          <w:w w:val="100"/>
        </w:rPr>
        <w:t> </w:t>
      </w:r>
      <w:r>
        <w:rPr>
          <w:spacing w:val="-2"/>
        </w:rPr>
        <w:t>与持有本公司股份的其他公司合并而导致的股份回购，参与合并各方在合并前及合并后如均属于同一</w:t>
      </w:r>
    </w:p>
    <w:p>
      <w:pPr>
        <w:pStyle w:val="Heading6"/>
        <w:spacing w:line="273" w:lineRule="auto" w:before="22"/>
        <w:ind w:left="573" w:right="1033" w:hanging="420"/>
        <w:jc w:val="left"/>
      </w:pPr>
      <w:r>
        <w:rPr/>
        <w:t>股东最终控制的，库存股成本按参与合并的其他公司持有本公司股份的相关投资账面价值确认。</w:t>
      </w:r>
      <w:r>
        <w:rPr>
          <w:w w:val="100"/>
        </w:rPr>
        <w:t> </w:t>
      </w:r>
      <w:r>
        <w:rPr>
          <w:spacing w:val="-2"/>
        </w:rPr>
        <w:t>如不属于同一股东最终控制的，库存股按参与合并的其他公司持有本公司股份的相关投资公允价值确</w:t>
      </w:r>
    </w:p>
    <w:p>
      <w:pPr>
        <w:pStyle w:val="Heading6"/>
        <w:spacing w:line="240" w:lineRule="auto"/>
        <w:ind w:right="1033"/>
        <w:jc w:val="left"/>
      </w:pPr>
      <w:r>
        <w:rPr/>
        <w:t>认。</w:t>
      </w:r>
    </w:p>
    <w:p>
      <w:pPr>
        <w:pStyle w:val="Heading6"/>
        <w:spacing w:line="240" w:lineRule="auto" w:before="37"/>
        <w:ind w:left="573" w:right="1033"/>
        <w:jc w:val="left"/>
      </w:pPr>
      <w:r>
        <w:rPr/>
        <w:t>此种情形回购股份的，应当在六个月内转让或者注销。</w:t>
      </w:r>
    </w:p>
    <w:p>
      <w:pPr>
        <w:pStyle w:val="Heading6"/>
        <w:spacing w:line="256" w:lineRule="auto" w:before="37"/>
        <w:ind w:left="573" w:right="1033"/>
        <w:jc w:val="left"/>
      </w:pPr>
      <w:r>
        <w:rPr/>
        <w:t>（</w:t>
      </w:r>
      <w:r>
        <w:rPr>
          <w:rFonts w:ascii="Times New Roman" w:hAnsi="Times New Roman" w:cs="Times New Roman" w:eastAsia="Times New Roman" w:hint="default"/>
        </w:rPr>
        <w:t>3</w:t>
      </w:r>
      <w:r>
        <w:rPr/>
        <w:t>）将股份用于员工持股计划或者股权激励</w:t>
      </w:r>
      <w:r>
        <w:rPr>
          <w:w w:val="100"/>
        </w:rPr>
        <w:t> </w:t>
      </w:r>
      <w:r>
        <w:rPr>
          <w:spacing w:val="-2"/>
        </w:rPr>
        <w:t>因将股份用于员工持股计划或者股权激励而回购的，公司合计持有的本公司股份数不得超过本公司已</w:t>
      </w:r>
    </w:p>
    <w:p>
      <w:pPr>
        <w:pStyle w:val="Heading6"/>
        <w:spacing w:line="240" w:lineRule="auto" w:before="22"/>
        <w:ind w:right="1033"/>
        <w:jc w:val="left"/>
      </w:pPr>
      <w:r>
        <w:rPr/>
        <w:t>发行股份总额的百分之十，并应当在三年内转让。</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left="573" w:right="1033"/>
        <w:jc w:val="left"/>
      </w:pPr>
      <w:r>
        <w:rPr/>
        <w:t>公司回购股份用于员工持股计划或者股权激励的，属于权益结算的股份支付，应当进行以下处理：</w:t>
      </w:r>
    </w:p>
    <w:p>
      <w:pPr>
        <w:pStyle w:val="Heading6"/>
        <w:spacing w:line="240" w:lineRule="auto" w:before="37"/>
        <w:ind w:left="573" w:right="1033"/>
        <w:jc w:val="left"/>
      </w:pPr>
      <w:r>
        <w:rPr>
          <w:rFonts w:ascii="Times New Roman" w:hAnsi="Times New Roman" w:cs="Times New Roman" w:eastAsia="Times New Roman" w:hint="default"/>
        </w:rPr>
        <w:t>1</w:t>
      </w:r>
      <w:r>
        <w:rPr/>
        <w:t>）回购股份时，应当按照回购股份的全部支出作为库存股处理，同时进行备查登记。</w:t>
      </w:r>
    </w:p>
    <w:p>
      <w:pPr>
        <w:pStyle w:val="Heading6"/>
        <w:spacing w:line="256" w:lineRule="auto" w:before="21"/>
        <w:ind w:right="1033" w:firstLine="420"/>
        <w:jc w:val="left"/>
      </w:pPr>
      <w:r>
        <w:rPr>
          <w:rFonts w:ascii="Times New Roman" w:hAnsi="Times New Roman" w:cs="Times New Roman" w:eastAsia="Times New Roman" w:hint="default"/>
        </w:rPr>
        <w:t>2</w:t>
      </w:r>
      <w:r>
        <w:rPr/>
        <w:t>）在等待期内每个资产负债表日，按照权益工具在授予日的公允价值，将取得的职工服务计入成本</w:t>
      </w:r>
      <w:r>
        <w:rPr>
          <w:w w:val="100"/>
        </w:rPr>
        <w:t> </w:t>
      </w:r>
      <w:r>
        <w:rPr/>
        <w:t>费用，同时增加资本公积（其他资本公积）。</w:t>
      </w:r>
    </w:p>
    <w:p>
      <w:pPr>
        <w:pStyle w:val="Heading6"/>
        <w:spacing w:line="256" w:lineRule="auto" w:before="22"/>
        <w:ind w:right="1033" w:firstLine="420"/>
        <w:jc w:val="left"/>
      </w:pPr>
      <w:r>
        <w:rPr>
          <w:rFonts w:ascii="Times New Roman" w:hAnsi="Times New Roman" w:cs="Times New Roman" w:eastAsia="Times New Roman" w:hint="default"/>
        </w:rPr>
        <w:t>3</w:t>
      </w:r>
      <w:r>
        <w:rPr/>
        <w:t>）职工行权时，公司应于职工行权购买本公司股份收到价款时，转销交付职工的库存股成本和等待</w:t>
      </w:r>
      <w:r>
        <w:rPr>
          <w:w w:val="100"/>
        </w:rPr>
        <w:t> </w:t>
      </w:r>
      <w:r>
        <w:rPr/>
        <w:t>期内资本公积（其他资本公积）累计金额，同时，按照其差额调整资本公积（股本溢价）。</w:t>
      </w:r>
    </w:p>
    <w:p>
      <w:pPr>
        <w:pStyle w:val="Heading6"/>
        <w:spacing w:line="256" w:lineRule="auto" w:before="22"/>
        <w:ind w:left="573" w:right="1033"/>
        <w:jc w:val="left"/>
      </w:pPr>
      <w:r>
        <w:rPr/>
        <w:t>（</w:t>
      </w:r>
      <w:r>
        <w:rPr>
          <w:rFonts w:ascii="Times New Roman" w:hAnsi="Times New Roman" w:cs="Times New Roman" w:eastAsia="Times New Roman" w:hint="default"/>
        </w:rPr>
        <w:t>4</w:t>
      </w:r>
      <w:r>
        <w:rPr/>
        <w:t>）股东因异议要求公司收购其股份</w:t>
      </w:r>
      <w:r>
        <w:rPr>
          <w:w w:val="100"/>
        </w:rPr>
        <w:t> </w:t>
      </w:r>
      <w:r>
        <w:rPr>
          <w:spacing w:val="-2"/>
        </w:rPr>
        <w:t>股东因对股东大会作出的公司合并、分立决议持异议，要求公司收购其股份的，应当在六个月内转让</w:t>
      </w:r>
    </w:p>
    <w:p>
      <w:pPr>
        <w:pStyle w:val="Heading6"/>
        <w:spacing w:line="240" w:lineRule="auto" w:before="22"/>
        <w:ind w:right="0"/>
        <w:jc w:val="both"/>
      </w:pPr>
      <w:r>
        <w:rPr/>
        <w:t>或者注销。</w:t>
      </w:r>
    </w:p>
    <w:p>
      <w:pPr>
        <w:pStyle w:val="Heading6"/>
        <w:spacing w:line="240" w:lineRule="auto" w:before="37"/>
        <w:ind w:left="573" w:right="1033"/>
        <w:jc w:val="left"/>
      </w:pPr>
      <w:r>
        <w:rPr/>
        <w:t>具体会计处理与上述因减资回购相同。</w:t>
      </w:r>
    </w:p>
    <w:p>
      <w:pPr>
        <w:pStyle w:val="Heading6"/>
        <w:spacing w:line="256" w:lineRule="auto" w:before="37"/>
        <w:ind w:left="573" w:right="1033"/>
        <w:jc w:val="left"/>
      </w:pPr>
      <w:r>
        <w:rPr/>
        <w:t>（</w:t>
      </w:r>
      <w:r>
        <w:rPr>
          <w:rFonts w:ascii="Times New Roman" w:hAnsi="Times New Roman" w:cs="Times New Roman" w:eastAsia="Times New Roman" w:hint="default"/>
        </w:rPr>
        <w:t>5</w:t>
      </w:r>
      <w:r>
        <w:rPr/>
        <w:t>）将股份用于转换公司发行的可转债</w:t>
      </w:r>
      <w:r>
        <w:rPr>
          <w:w w:val="100"/>
        </w:rPr>
        <w:t> </w:t>
      </w:r>
      <w:r>
        <w:rPr>
          <w:spacing w:val="-2"/>
        </w:rPr>
        <w:t>因将股份用于转换上市公司发行的可转债而回购的，公司合计持有的本公司股份数不得超过本公司已</w:t>
      </w:r>
    </w:p>
    <w:p>
      <w:pPr>
        <w:pStyle w:val="Heading6"/>
        <w:spacing w:line="273" w:lineRule="auto" w:before="22"/>
        <w:ind w:left="573" w:right="1033" w:hanging="420"/>
        <w:jc w:val="left"/>
      </w:pPr>
      <w:r>
        <w:rPr/>
        <w:t>发行股份总额的百分之十，并应当在三年内转让。</w:t>
      </w:r>
      <w:r>
        <w:rPr>
          <w:w w:val="100"/>
        </w:rPr>
        <w:t> </w:t>
      </w:r>
      <w:r>
        <w:rPr>
          <w:spacing w:val="-2"/>
        </w:rPr>
        <w:t>公司按合同条款约定将发行的可转换债券转换为普通股的，按该工具对应的金融负债或其他权益工具</w:t>
      </w:r>
    </w:p>
    <w:p>
      <w:pPr>
        <w:pStyle w:val="Heading6"/>
        <w:spacing w:line="256" w:lineRule="auto"/>
        <w:ind w:right="1126"/>
        <w:jc w:val="both"/>
      </w:pPr>
      <w:r>
        <w:rPr>
          <w:spacing w:val="-7"/>
        </w:rPr>
        <w:t>的账面价值，借记</w:t>
      </w:r>
      <w:r>
        <w:rPr>
          <w:rFonts w:ascii="Times New Roman" w:hAnsi="Times New Roman" w:cs="Times New Roman" w:eastAsia="Times New Roman" w:hint="default"/>
          <w:spacing w:val="-7"/>
        </w:rPr>
        <w:t>“</w:t>
      </w:r>
      <w:r>
        <w:rPr>
          <w:spacing w:val="-7"/>
        </w:rPr>
        <w:t>应付债券</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w:t>
      </w:r>
      <w:r>
        <w:rPr>
          <w:spacing w:val="-7"/>
        </w:rPr>
        <w:t>其他权益工具</w:t>
      </w:r>
      <w:r>
        <w:rPr>
          <w:rFonts w:ascii="Times New Roman" w:hAnsi="Times New Roman" w:cs="Times New Roman" w:eastAsia="Times New Roman" w:hint="default"/>
          <w:spacing w:val="-7"/>
        </w:rPr>
        <w:t>”</w:t>
      </w:r>
      <w:r>
        <w:rPr>
          <w:spacing w:val="-7"/>
        </w:rPr>
        <w:t>等科目，按转换为普通股的股数对应的库存股金额，贷记</w:t>
      </w:r>
      <w:r>
        <w:rPr>
          <w:rFonts w:ascii="Times New Roman" w:hAnsi="Times New Roman" w:cs="Times New Roman" w:eastAsia="Times New Roman" w:hint="default"/>
          <w:spacing w:val="-7"/>
        </w:rPr>
        <w:t>“</w:t>
      </w:r>
      <w:r>
        <w:rPr>
          <w:spacing w:val="-7"/>
        </w:rPr>
        <w:t>库</w:t>
      </w:r>
      <w:r>
        <w:rPr>
          <w:spacing w:val="-48"/>
        </w:rPr>
        <w:t> </w:t>
      </w:r>
      <w:r>
        <w:rPr>
          <w:spacing w:val="-1"/>
        </w:rPr>
        <w:t>存股</w:t>
      </w:r>
      <w:r>
        <w:rPr>
          <w:rFonts w:ascii="Times New Roman" w:hAnsi="Times New Roman" w:cs="Times New Roman" w:eastAsia="Times New Roman" w:hint="default"/>
          <w:spacing w:val="-1"/>
        </w:rPr>
        <w:t>”</w:t>
      </w:r>
      <w:r>
        <w:rPr>
          <w:spacing w:val="-1"/>
        </w:rPr>
        <w:t>科目，按其差额，贷记</w:t>
      </w:r>
      <w:r>
        <w:rPr>
          <w:rFonts w:ascii="Times New Roman" w:hAnsi="Times New Roman" w:cs="Times New Roman" w:eastAsia="Times New Roman" w:hint="default"/>
          <w:spacing w:val="-1"/>
        </w:rPr>
        <w:t>“</w:t>
      </w:r>
      <w:r>
        <w:rPr>
          <w:spacing w:val="-1"/>
        </w:rPr>
        <w:t>资本公积</w:t>
      </w:r>
      <w:r>
        <w:rPr>
          <w:rFonts w:ascii="Times New Roman" w:hAnsi="Times New Roman" w:cs="Times New Roman" w:eastAsia="Times New Roman" w:hint="default"/>
          <w:spacing w:val="-1"/>
        </w:rPr>
        <w:t>——</w:t>
      </w:r>
      <w:r>
        <w:rPr>
          <w:spacing w:val="-1"/>
        </w:rPr>
        <w:t>股本溢价</w:t>
      </w:r>
      <w:r>
        <w:rPr>
          <w:rFonts w:ascii="Times New Roman" w:hAnsi="Times New Roman" w:cs="Times New Roman" w:eastAsia="Times New Roman" w:hint="default"/>
          <w:spacing w:val="-1"/>
        </w:rPr>
        <w:t>”</w:t>
      </w:r>
      <w:r>
        <w:rPr>
          <w:spacing w:val="-1"/>
        </w:rPr>
        <w:t>科目（如转股时金融工具的账面价值不足转换为</w:t>
      </w:r>
      <w:r>
        <w:rPr>
          <w:rFonts w:ascii="Times New Roman" w:hAnsi="Times New Roman" w:cs="Times New Roman" w:eastAsia="Times New Roman" w:hint="default"/>
          <w:spacing w:val="-1"/>
        </w:rPr>
        <w:t>1</w:t>
      </w:r>
      <w:r>
        <w:rPr>
          <w:spacing w:val="-1"/>
        </w:rPr>
        <w:t>股</w:t>
      </w:r>
      <w:r>
        <w:rPr>
          <w:spacing w:val="-50"/>
        </w:rPr>
        <w:t> </w:t>
      </w:r>
      <w:r>
        <w:rPr>
          <w:spacing w:val="-2"/>
        </w:rPr>
        <w:t>普通股而以现金或其他金融资产支付的，还需按支付的现金或其他金融资产的金额，贷记</w:t>
      </w:r>
      <w:r>
        <w:rPr>
          <w:rFonts w:ascii="Times New Roman" w:hAnsi="Times New Roman" w:cs="Times New Roman" w:eastAsia="Times New Roman" w:hint="default"/>
          <w:spacing w:val="-2"/>
        </w:rPr>
        <w:t>“</w:t>
      </w:r>
      <w:r>
        <w:rPr>
          <w:spacing w:val="-2"/>
        </w:rPr>
        <w:t>银行存款</w:t>
      </w:r>
      <w:r>
        <w:rPr>
          <w:rFonts w:ascii="Times New Roman" w:hAnsi="Times New Roman" w:cs="Times New Roman" w:eastAsia="Times New Roman" w:hint="default"/>
          <w:spacing w:val="-2"/>
        </w:rPr>
        <w:t>”</w:t>
      </w:r>
      <w:r>
        <w:rPr>
          <w:spacing w:val="-2"/>
        </w:rPr>
        <w:t>等科</w:t>
      </w:r>
      <w:r>
        <w:rPr>
          <w:spacing w:val="-17"/>
        </w:rPr>
        <w:t> </w:t>
      </w:r>
      <w:r>
        <w:rPr/>
        <w:t>目）。</w:t>
      </w:r>
    </w:p>
    <w:p>
      <w:pPr>
        <w:pStyle w:val="Heading6"/>
        <w:spacing w:line="256" w:lineRule="auto" w:before="22"/>
        <w:ind w:left="573" w:right="1033"/>
        <w:jc w:val="left"/>
      </w:pPr>
      <w:r>
        <w:rPr/>
        <w:t>（</w:t>
      </w:r>
      <w:r>
        <w:rPr>
          <w:rFonts w:ascii="Times New Roman" w:hAnsi="Times New Roman" w:cs="Times New Roman" w:eastAsia="Times New Roman" w:hint="default"/>
        </w:rPr>
        <w:t>6</w:t>
      </w:r>
      <w:r>
        <w:rPr/>
        <w:t>）上市公司为维护公司价值及股东权益所必需回购</w:t>
      </w:r>
      <w:r>
        <w:rPr>
          <w:w w:val="100"/>
        </w:rPr>
        <w:t> </w:t>
      </w:r>
      <w:r>
        <w:rPr>
          <w:spacing w:val="-2"/>
        </w:rPr>
        <w:t>因上市公司为维护公司价值及股东权益所必需而回购的，公司合计持有的本公司股份数不得超过本公</w:t>
      </w:r>
    </w:p>
    <w:p>
      <w:pPr>
        <w:pStyle w:val="Heading6"/>
        <w:spacing w:line="273" w:lineRule="auto" w:before="23"/>
        <w:ind w:left="573" w:right="1033" w:hanging="420"/>
        <w:jc w:val="left"/>
      </w:pPr>
      <w:r>
        <w:rPr/>
        <w:t>司已发行股份总额的百分之十，并应当在三年内转让。</w:t>
      </w:r>
      <w:r>
        <w:rPr>
          <w:w w:val="100"/>
        </w:rPr>
        <w:t> </w:t>
      </w:r>
      <w:r>
        <w:rPr>
          <w:spacing w:val="-2"/>
        </w:rPr>
        <w:t>库存股注销时，按照注销的股份数量减少相应股本，库存股成本高于对应股本的部分，依次冲减资本</w:t>
      </w:r>
    </w:p>
    <w:p>
      <w:pPr>
        <w:pStyle w:val="Heading6"/>
        <w:spacing w:line="273" w:lineRule="auto"/>
        <w:ind w:left="573" w:right="1033" w:hanging="420"/>
        <w:jc w:val="left"/>
      </w:pPr>
      <w:r>
        <w:rPr/>
        <w:t>公积、盈余公积、未分配利润；低于对应股本的部分，增加资本公积。</w:t>
      </w:r>
      <w:r>
        <w:rPr>
          <w:w w:val="100"/>
        </w:rPr>
        <w:t> </w:t>
      </w:r>
      <w:r>
        <w:rPr>
          <w:spacing w:val="-2"/>
        </w:rPr>
        <w:t>如果公司持有库存股之后又将其重新出售，反映的是不同所有者之间的转让，而非公司本身的利得或</w:t>
      </w:r>
    </w:p>
    <w:p>
      <w:pPr>
        <w:pStyle w:val="Heading6"/>
        <w:spacing w:line="273" w:lineRule="auto"/>
        <w:ind w:right="1104"/>
        <w:jc w:val="both"/>
      </w:pPr>
      <w:r>
        <w:rPr>
          <w:spacing w:val="-2"/>
        </w:rPr>
        <w:t>损失。因此，无论这些库存股的公允价值如何波动，公司应直接将支付或收取的所有对价在权益中确认，</w:t>
      </w:r>
      <w:r>
        <w:rPr>
          <w:spacing w:val="-21"/>
        </w:rPr>
        <w:t> </w:t>
      </w:r>
      <w:r>
        <w:rPr>
          <w:spacing w:val="-21"/>
        </w:rPr>
      </w:r>
      <w:r>
        <w:rPr>
          <w:spacing w:val="-2"/>
        </w:rPr>
        <w:t>而不产生任何损益。库存股转让时，转让收入高于库存股成本的部分，增加资本公积；低于库存股成本的</w:t>
      </w:r>
      <w:r>
        <w:rPr>
          <w:spacing w:val="-50"/>
        </w:rPr>
        <w:t> </w:t>
      </w:r>
      <w:r>
        <w:rPr>
          <w:spacing w:val="-50"/>
        </w:rPr>
      </w:r>
      <w:r>
        <w:rPr/>
        <w:t>部分，依次冲减资本公积、盈余公积、未分配利润。</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1"/>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日起执行财政部</w:t>
            </w:r>
          </w:p>
          <w:p>
            <w:pPr>
              <w:pStyle w:val="TableParagraph"/>
              <w:spacing w:line="309" w:lineRule="auto" w:before="63"/>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年修订的《企业会计准则第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11"/>
                <w:sz w:val="18"/>
                <w:szCs w:val="18"/>
              </w:rPr>
              <w:t>金融工具确认和计量》、《企业会计准则</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金融资产转移》和《企业会计准</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套期会计</w:t>
            </w:r>
            <w:r>
              <w:rPr>
                <w:rFonts w:ascii="宋体" w:hAnsi="宋体" w:cs="宋体" w:eastAsia="宋体" w:hint="default"/>
                <w:spacing w:val="-92"/>
                <w:sz w:val="18"/>
                <w:szCs w:val="18"/>
              </w:rPr>
              <w:t>》</w:t>
            </w:r>
            <w:r>
              <w:rPr>
                <w:rFonts w:ascii="宋体" w:hAnsi="宋体" w:cs="宋体" w:eastAsia="宋体" w:hint="default"/>
                <w:spacing w:val="-166"/>
                <w:sz w:val="18"/>
                <w:szCs w:val="18"/>
              </w:rPr>
              <w:t>、</w:t>
            </w:r>
            <w:r>
              <w:rPr>
                <w:rFonts w:ascii="宋体" w:hAnsi="宋体" w:cs="宋体" w:eastAsia="宋体" w:hint="default"/>
                <w:sz w:val="18"/>
                <w:szCs w:val="18"/>
              </w:rPr>
              <w:t>《企业</w:t>
            </w:r>
            <w:r>
              <w:rPr>
                <w:rFonts w:ascii="宋体" w:hAnsi="宋体" w:cs="宋体" w:eastAsia="宋体" w:hint="default"/>
                <w:spacing w:val="-3"/>
                <w:sz w:val="18"/>
                <w:szCs w:val="18"/>
              </w:rPr>
              <w:t>会</w:t>
            </w:r>
            <w:r>
              <w:rPr>
                <w:rFonts w:ascii="宋体" w:hAnsi="宋体" w:cs="宋体" w:eastAsia="宋体" w:hint="default"/>
                <w:sz w:val="18"/>
                <w:szCs w:val="18"/>
              </w:rPr>
              <w:t>计准则第</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第四届董事会第四十四次会议、第四届 监事会第四十一次会议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5"/>
        <w:gridCol w:w="3188"/>
        <w:gridCol w:w="3191"/>
      </w:tblGrid>
      <w:tr>
        <w:trPr>
          <w:trHeight w:val="165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日起执行财政</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年修订的《企业会计准则第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r>
              <w:rPr>
                <w:rFonts w:ascii="宋体" w:hAnsi="宋体" w:cs="宋体" w:eastAsia="宋体" w:hint="default"/>
                <w:spacing w:val="-92"/>
                <w:sz w:val="18"/>
                <w:szCs w:val="18"/>
              </w:rPr>
              <w:t>》</w:t>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日起执行财政部</w:t>
            </w:r>
            <w:r>
              <w:rPr>
                <w:rFonts w:ascii="宋体" w:hAnsi="宋体" w:cs="宋体" w:eastAsia="宋体" w:hint="default"/>
                <w:spacing w:val="-6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修订</w:t>
            </w:r>
            <w:r>
              <w:rPr>
                <w:rFonts w:ascii="宋体" w:hAnsi="宋体" w:cs="宋体" w:eastAsia="宋体" w:hint="default"/>
                <w:spacing w:val="-92"/>
                <w:sz w:val="18"/>
                <w:szCs w:val="18"/>
              </w:rPr>
              <w:t>的</w:t>
            </w:r>
            <w:r>
              <w:rPr>
                <w:rFonts w:ascii="宋体" w:hAnsi="宋体" w:cs="宋体" w:eastAsia="宋体" w:hint="default"/>
                <w:sz w:val="18"/>
                <w:szCs w:val="18"/>
              </w:rPr>
              <w:t>《企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bl>
    <w:p>
      <w:pPr>
        <w:pStyle w:val="Heading6"/>
        <w:spacing w:line="248" w:lineRule="exact" w:before="0"/>
        <w:ind w:left="573" w:right="1033"/>
        <w:jc w:val="left"/>
      </w:pPr>
      <w:r>
        <w:rPr/>
        <w:t>会计政策变更说明：</w:t>
      </w:r>
    </w:p>
    <w:p>
      <w:pPr>
        <w:spacing w:line="312" w:lineRule="exact" w:before="47"/>
        <w:ind w:left="573" w:right="1126" w:hanging="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）执行新金融工具准则对本公司的影响</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pacing w:val="-33"/>
          <w:sz w:val="21"/>
          <w:szCs w:val="21"/>
        </w:rPr>
      </w:r>
      <w:r>
        <w:rPr>
          <w:rFonts w:ascii="宋体" w:hAnsi="宋体" w:cs="宋体" w:eastAsia="宋体" w:hint="default"/>
          <w:spacing w:val="-7"/>
          <w:w w:val="100"/>
          <w:sz w:val="21"/>
          <w:szCs w:val="21"/>
        </w:rPr>
        <w:t>本公司自</w:t>
      </w:r>
      <w:r>
        <w:rPr>
          <w:rFonts w:ascii="Times New Roman" w:hAnsi="Times New Roman" w:cs="Times New Roman" w:eastAsia="Times New Roman" w:hint="default"/>
          <w:spacing w:val="-7"/>
          <w:w w:val="100"/>
          <w:sz w:val="21"/>
          <w:szCs w:val="21"/>
        </w:rPr>
        <w:t>2019</w:t>
      </w:r>
      <w:r>
        <w:rPr>
          <w:rFonts w:ascii="宋体" w:hAnsi="宋体" w:cs="宋体" w:eastAsia="宋体" w:hint="default"/>
          <w:spacing w:val="-7"/>
          <w:w w:val="100"/>
          <w:sz w:val="21"/>
          <w:szCs w:val="21"/>
        </w:rPr>
        <w:t>年</w:t>
      </w:r>
      <w:r>
        <w:rPr>
          <w:rFonts w:ascii="Times New Roman" w:hAnsi="Times New Roman" w:cs="Times New Roman" w:eastAsia="Times New Roman" w:hint="default"/>
          <w:spacing w:val="-7"/>
          <w:w w:val="100"/>
          <w:sz w:val="21"/>
          <w:szCs w:val="21"/>
        </w:rPr>
        <w:t>1</w:t>
      </w:r>
      <w:r>
        <w:rPr>
          <w:rFonts w:ascii="宋体" w:hAnsi="宋体" w:cs="宋体" w:eastAsia="宋体" w:hint="default"/>
          <w:spacing w:val="-7"/>
          <w:w w:val="100"/>
          <w:sz w:val="21"/>
          <w:szCs w:val="21"/>
        </w:rPr>
        <w:t>月</w:t>
      </w:r>
      <w:r>
        <w:rPr>
          <w:rFonts w:ascii="Times New Roman" w:hAnsi="Times New Roman" w:cs="Times New Roman" w:eastAsia="Times New Roman" w:hint="default"/>
          <w:spacing w:val="-7"/>
          <w:w w:val="100"/>
          <w:sz w:val="21"/>
          <w:szCs w:val="21"/>
        </w:rPr>
        <w:t>1</w:t>
      </w:r>
      <w:r>
        <w:rPr>
          <w:rFonts w:ascii="宋体" w:hAnsi="宋体" w:cs="宋体" w:eastAsia="宋体" w:hint="default"/>
          <w:spacing w:val="-7"/>
          <w:w w:val="100"/>
          <w:sz w:val="21"/>
          <w:szCs w:val="21"/>
        </w:rPr>
        <w:t>日起执行财政部</w:t>
      </w:r>
      <w:r>
        <w:rPr>
          <w:rFonts w:ascii="Times New Roman" w:hAnsi="Times New Roman" w:cs="Times New Roman" w:eastAsia="Times New Roman" w:hint="default"/>
          <w:spacing w:val="-7"/>
          <w:w w:val="100"/>
          <w:sz w:val="21"/>
          <w:szCs w:val="21"/>
        </w:rPr>
        <w:t>2017</w:t>
      </w:r>
      <w:r>
        <w:rPr>
          <w:rFonts w:ascii="宋体" w:hAnsi="宋体" w:cs="宋体" w:eastAsia="宋体" w:hint="default"/>
          <w:spacing w:val="-7"/>
          <w:w w:val="100"/>
          <w:sz w:val="21"/>
          <w:szCs w:val="21"/>
        </w:rPr>
        <w:t>年修订的《企业会计准则第</w:t>
      </w:r>
      <w:r>
        <w:rPr>
          <w:rFonts w:ascii="Times New Roman" w:hAnsi="Times New Roman" w:cs="Times New Roman" w:eastAsia="Times New Roman" w:hint="default"/>
          <w:spacing w:val="-7"/>
          <w:w w:val="100"/>
          <w:sz w:val="21"/>
          <w:szCs w:val="21"/>
        </w:rPr>
        <w:t>22</w:t>
      </w:r>
      <w:r>
        <w:rPr>
          <w:rFonts w:ascii="宋体" w:hAnsi="宋体" w:cs="宋体" w:eastAsia="宋体" w:hint="default"/>
          <w:spacing w:val="-7"/>
          <w:w w:val="100"/>
          <w:sz w:val="21"/>
          <w:szCs w:val="21"/>
        </w:rPr>
        <w:t>号</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金融工具确认和计量》、《企</w:t>
      </w:r>
    </w:p>
    <w:p>
      <w:pPr>
        <w:pStyle w:val="Heading6"/>
        <w:spacing w:line="256" w:lineRule="auto" w:before="4"/>
        <w:ind w:right="1033"/>
        <w:jc w:val="left"/>
      </w:pPr>
      <w:r>
        <w:rPr>
          <w:spacing w:val="-2"/>
        </w:rPr>
        <w:t>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金融资产转移》和《企业会计准则第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w:t>
      </w:r>
      <w:r>
        <w:rPr>
          <w:spacing w:val="-36"/>
        </w:rPr>
        <w:t> </w:t>
      </w:r>
      <w:r>
        <w:rPr>
          <w:spacing w:val="-36"/>
        </w:rPr>
      </w:r>
      <w:r>
        <w:rPr/>
        <w:t>具列报》（以上四项统称</w:t>
      </w:r>
      <w:r>
        <w:rPr>
          <w:rFonts w:ascii="Times New Roman" w:hAnsi="Times New Roman" w:cs="Times New Roman" w:eastAsia="Times New Roman" w:hint="default"/>
        </w:rPr>
        <w:t>&lt;</w:t>
      </w:r>
      <w:r>
        <w:rPr/>
        <w:t>新金融工具准则</w:t>
      </w:r>
      <w:r>
        <w:rPr>
          <w:rFonts w:ascii="Times New Roman" w:hAnsi="Times New Roman" w:cs="Times New Roman" w:eastAsia="Times New Roman" w:hint="default"/>
        </w:rPr>
        <w:t>&gt;</w:t>
      </w:r>
      <w:r>
        <w:rPr/>
        <w:t>），变更后的会计政策详见附注四。</w:t>
      </w:r>
    </w:p>
    <w:p>
      <w:pPr>
        <w:pStyle w:val="Heading6"/>
        <w:spacing w:line="261" w:lineRule="auto" w:before="5"/>
        <w:ind w:right="1126" w:firstLine="420"/>
        <w:jc w:val="both"/>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日之前的金融工具确认和计量与新金融工具准则要求不一致的，本公司按照新金融工具</w:t>
      </w:r>
      <w:r>
        <w:rPr>
          <w:w w:val="100"/>
        </w:rPr>
        <w:t> </w:t>
      </w:r>
      <w:r>
        <w:rPr>
          <w:spacing w:val="-2"/>
        </w:rPr>
        <w:t>准则的要求进行衔接调整。涉及前期比较财务报表数据与新金融工具准则要求不一致的，本公司未调整可</w:t>
      </w:r>
      <w:r>
        <w:rPr>
          <w:spacing w:val="-44"/>
        </w:rPr>
        <w:t> </w:t>
      </w:r>
      <w:r>
        <w:rPr>
          <w:spacing w:val="-44"/>
        </w:rPr>
      </w:r>
      <w:r>
        <w:rPr>
          <w:spacing w:val="-2"/>
        </w:rPr>
        <w:t>比期间信息。金融工具原账面价值和新金融工具准则施行日的新账面价值之间的差额，计入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w:t>
      </w:r>
      <w:r>
        <w:rPr>
          <w:spacing w:val="-37"/>
        </w:rPr>
        <w:t> </w:t>
      </w:r>
      <w:r>
        <w:rPr/>
        <w:t>留存收益或其他综合收益。</w:t>
      </w:r>
    </w:p>
    <w:p>
      <w:pPr>
        <w:pStyle w:val="Heading6"/>
        <w:spacing w:line="240" w:lineRule="auto" w:before="18"/>
        <w:ind w:left="573" w:right="1033"/>
        <w:jc w:val="left"/>
      </w:pPr>
      <w:r>
        <w:rPr/>
        <w:t>执行新金融工具准则对本期期初资产负债表相关项目的影响列示如下：</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399"/>
        <w:gridCol w:w="1498"/>
        <w:gridCol w:w="1688"/>
        <w:gridCol w:w="998"/>
        <w:gridCol w:w="1472"/>
        <w:gridCol w:w="1510"/>
      </w:tblGrid>
      <w:tr>
        <w:trPr>
          <w:trHeight w:val="353" w:hRule="exact"/>
        </w:trPr>
        <w:tc>
          <w:tcPr>
            <w:tcW w:w="139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686"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1531" w:right="0"/>
              <w:jc w:val="left"/>
              <w:rPr>
                <w:rFonts w:ascii="宋体" w:hAnsi="宋体" w:cs="宋体" w:eastAsia="宋体" w:hint="default"/>
                <w:sz w:val="18"/>
                <w:szCs w:val="18"/>
              </w:rPr>
            </w:pPr>
            <w:r>
              <w:rPr>
                <w:rFonts w:ascii="宋体" w:hAnsi="宋体" w:cs="宋体" w:eastAsia="宋体" w:hint="default"/>
                <w:sz w:val="18"/>
                <w:szCs w:val="18"/>
              </w:rPr>
              <w:t>累积影响金额</w:t>
            </w:r>
          </w:p>
        </w:tc>
        <w:tc>
          <w:tcPr>
            <w:tcW w:w="1472" w:type="dxa"/>
            <w:tcBorders>
              <w:top w:val="single" w:sz="6" w:space="0" w:color="000000"/>
              <w:left w:val="nil" w:sz="6" w:space="0" w:color="auto"/>
              <w:bottom w:val="single" w:sz="12" w:space="0" w:color="000000"/>
              <w:right w:val="single" w:sz="6" w:space="0" w:color="000000"/>
            </w:tcBorders>
          </w:tcPr>
          <w:p>
            <w:pPr/>
          </w:p>
        </w:tc>
        <w:tc>
          <w:tcPr>
            <w:tcW w:w="1510" w:type="dxa"/>
            <w:tcBorders>
              <w:top w:val="single" w:sz="6" w:space="0" w:color="000000"/>
              <w:left w:val="single" w:sz="6" w:space="0" w:color="000000"/>
              <w:bottom w:val="nil" w:sz="6" w:space="0" w:color="auto"/>
              <w:right w:val="nil" w:sz="6" w:space="0" w:color="auto"/>
            </w:tcBorders>
          </w:tcPr>
          <w:p>
            <w:pPr>
              <w:pStyle w:val="TableParagraph"/>
              <w:spacing w:line="240" w:lineRule="auto" w:before="17"/>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977" w:hRule="exact"/>
        </w:trPr>
        <w:tc>
          <w:tcPr>
            <w:tcW w:w="1399" w:type="dxa"/>
            <w:tcBorders>
              <w:top w:val="nil" w:sz="6" w:space="0" w:color="auto"/>
              <w:left w:val="single" w:sz="6" w:space="0" w:color="000000"/>
              <w:bottom w:val="single" w:sz="12" w:space="0" w:color="000000"/>
              <w:right w:val="single" w:sz="6" w:space="0" w:color="000000"/>
            </w:tcBorders>
          </w:tcPr>
          <w:p>
            <w:pPr/>
          </w:p>
        </w:tc>
        <w:tc>
          <w:tcPr>
            <w:tcW w:w="1498" w:type="dxa"/>
            <w:tcBorders>
              <w:top w:val="nil" w:sz="6" w:space="0" w:color="auto"/>
              <w:left w:val="single" w:sz="6" w:space="0" w:color="000000"/>
              <w:bottom w:val="single" w:sz="12" w:space="0" w:color="000000"/>
              <w:right w:val="single" w:sz="6" w:space="0" w:color="000000"/>
            </w:tcBorders>
          </w:tcPr>
          <w:p>
            <w:pPr/>
          </w:p>
        </w:tc>
        <w:tc>
          <w:tcPr>
            <w:tcW w:w="168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75" w:right="477" w:firstLine="91"/>
              <w:jc w:val="left"/>
              <w:rPr>
                <w:rFonts w:ascii="宋体" w:hAnsi="宋体" w:cs="宋体" w:eastAsia="宋体" w:hint="default"/>
                <w:sz w:val="18"/>
                <w:szCs w:val="18"/>
              </w:rPr>
            </w:pPr>
            <w:r>
              <w:rPr>
                <w:rFonts w:ascii="宋体" w:hAnsi="宋体" w:cs="宋体" w:eastAsia="宋体" w:hint="default"/>
                <w:sz w:val="18"/>
                <w:szCs w:val="18"/>
              </w:rPr>
              <w:t>分类和 计量影响</w:t>
            </w:r>
          </w:p>
          <w:p>
            <w:pPr>
              <w:pStyle w:val="TableParagraph"/>
              <w:spacing w:line="240" w:lineRule="auto" w:before="7"/>
              <w:ind w:left="520" w:right="0"/>
              <w:jc w:val="left"/>
              <w:rPr>
                <w:rFonts w:ascii="宋体" w:hAnsi="宋体" w:cs="宋体" w:eastAsia="宋体" w:hint="default"/>
                <w:sz w:val="19"/>
                <w:szCs w:val="19"/>
              </w:rPr>
            </w:pPr>
            <w:r>
              <w:rPr>
                <w:rFonts w:ascii="宋体" w:hAnsi="宋体" w:cs="宋体" w:eastAsia="宋体" w:hint="default"/>
                <w:sz w:val="19"/>
                <w:szCs w:val="19"/>
              </w:rPr>
              <w:t>（注</w:t>
            </w:r>
            <w:r>
              <w:rPr>
                <w:rFonts w:ascii="Times New Roman" w:hAnsi="Times New Roman" w:cs="Times New Roman" w:eastAsia="Times New Roman" w:hint="default"/>
                <w:i/>
                <w:sz w:val="18"/>
                <w:szCs w:val="18"/>
              </w:rPr>
              <w:t>1</w:t>
            </w:r>
            <w:r>
              <w:rPr>
                <w:rFonts w:ascii="宋体" w:hAnsi="宋体" w:cs="宋体" w:eastAsia="宋体" w:hint="default"/>
                <w:sz w:val="19"/>
                <w:szCs w:val="19"/>
              </w:rPr>
              <w:t>）</w:t>
            </w:r>
          </w:p>
        </w:tc>
        <w:tc>
          <w:tcPr>
            <w:tcW w:w="998"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6" w:right="242"/>
              <w:jc w:val="left"/>
              <w:rPr>
                <w:rFonts w:ascii="宋体" w:hAnsi="宋体" w:cs="宋体" w:eastAsia="宋体" w:hint="default"/>
                <w:sz w:val="18"/>
                <w:szCs w:val="18"/>
              </w:rPr>
            </w:pPr>
            <w:r>
              <w:rPr>
                <w:rFonts w:ascii="宋体" w:hAnsi="宋体" w:cs="宋体" w:eastAsia="宋体" w:hint="default"/>
                <w:sz w:val="18"/>
                <w:szCs w:val="18"/>
              </w:rPr>
              <w:t>金融资产 减值影响</w:t>
            </w:r>
          </w:p>
          <w:p>
            <w:pPr>
              <w:pStyle w:val="TableParagraph"/>
              <w:spacing w:line="240" w:lineRule="auto" w:before="7"/>
              <w:ind w:left="69" w:right="0"/>
              <w:jc w:val="left"/>
              <w:rPr>
                <w:rFonts w:ascii="宋体" w:hAnsi="宋体" w:cs="宋体" w:eastAsia="宋体" w:hint="default"/>
                <w:sz w:val="19"/>
                <w:szCs w:val="19"/>
              </w:rPr>
            </w:pPr>
            <w:r>
              <w:rPr>
                <w:rFonts w:ascii="宋体" w:hAnsi="宋体" w:cs="宋体" w:eastAsia="宋体" w:hint="default"/>
                <w:sz w:val="19"/>
                <w:szCs w:val="19"/>
              </w:rPr>
              <w:t>（注</w:t>
            </w:r>
            <w:r>
              <w:rPr>
                <w:rFonts w:ascii="Times New Roman" w:hAnsi="Times New Roman" w:cs="Times New Roman" w:eastAsia="Times New Roman" w:hint="default"/>
                <w:i/>
                <w:sz w:val="18"/>
                <w:szCs w:val="18"/>
              </w:rPr>
              <w:t>2</w:t>
            </w:r>
            <w:r>
              <w:rPr>
                <w:rFonts w:ascii="宋体" w:hAnsi="宋体" w:cs="宋体" w:eastAsia="宋体" w:hint="default"/>
                <w:sz w:val="19"/>
                <w:szCs w:val="19"/>
              </w:rPr>
              <w:t>）</w:t>
            </w:r>
          </w:p>
        </w:tc>
        <w:tc>
          <w:tcPr>
            <w:tcW w:w="1472"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10" w:type="dxa"/>
            <w:tcBorders>
              <w:top w:val="nil" w:sz="6" w:space="0" w:color="auto"/>
              <w:left w:val="single" w:sz="6" w:space="0" w:color="000000"/>
              <w:bottom w:val="single" w:sz="12" w:space="0" w:color="000000"/>
              <w:right w:val="nil" w:sz="6" w:space="0" w:color="auto"/>
            </w:tcBorders>
          </w:tcPr>
          <w:p>
            <w:pPr/>
          </w:p>
        </w:tc>
      </w:tr>
      <w:tr>
        <w:trPr>
          <w:trHeight w:val="309" w:hRule="exact"/>
        </w:trPr>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1,329,870,820.76</w:t>
            </w:r>
          </w:p>
        </w:tc>
        <w:tc>
          <w:tcPr>
            <w:tcW w:w="1688" w:type="dxa"/>
            <w:tcBorders>
              <w:top w:val="single" w:sz="12" w:space="0" w:color="000000"/>
              <w:left w:val="single" w:sz="6" w:space="0" w:color="000000"/>
              <w:bottom w:val="single" w:sz="44"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b/>
                <w:spacing w:val="-1"/>
                <w:sz w:val="18"/>
              </w:rPr>
              <w:t>738,461.24</w:t>
            </w:r>
            <w:r>
              <w:rPr>
                <w:rFonts w:ascii="Times New Roman"/>
                <w:spacing w:val="-1"/>
                <w:sz w:val="18"/>
              </w:rPr>
            </w:r>
          </w:p>
        </w:tc>
        <w:tc>
          <w:tcPr>
            <w:tcW w:w="9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22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72" w:type="dxa"/>
            <w:tcBorders>
              <w:top w:val="single" w:sz="12" w:space="0" w:color="000000"/>
              <w:left w:val="nil" w:sz="6" w:space="0" w:color="auto"/>
              <w:bottom w:val="single" w:sz="44"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b/>
                <w:spacing w:val="-1"/>
                <w:sz w:val="18"/>
              </w:rPr>
              <w:t>738,461.24</w:t>
            </w:r>
            <w:r>
              <w:rPr>
                <w:rFonts w:ascii="Times New Roman"/>
                <w:spacing w:val="-1"/>
                <w:sz w:val="18"/>
              </w:rPr>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b/>
                <w:sz w:val="18"/>
              </w:rPr>
            </w:r>
            <w:r>
              <w:rPr>
                <w:rFonts w:ascii="Times New Roman"/>
                <w:b/>
                <w:spacing w:val="-1"/>
                <w:sz w:val="18"/>
                <w:u w:val="single" w:color="000000"/>
              </w:rPr>
              <w:t>1,330,609,282.00</w:t>
            </w:r>
            <w:r>
              <w:rPr>
                <w:rFonts w:ascii="Times New Roman"/>
                <w:b/>
                <w:spacing w:val="-1"/>
                <w:sz w:val="18"/>
              </w:rPr>
            </w:r>
            <w:r>
              <w:rPr>
                <w:rFonts w:ascii="Times New Roman"/>
                <w:spacing w:val="-1"/>
                <w:sz w:val="18"/>
              </w:rPr>
            </w:r>
          </w:p>
        </w:tc>
      </w:tr>
      <w:tr>
        <w:trPr>
          <w:trHeight w:val="352" w:hRule="exact"/>
        </w:trPr>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8" w:type="dxa"/>
            <w:tcBorders>
              <w:top w:val="single" w:sz="44" w:space="0" w:color="000000"/>
              <w:left w:val="single" w:sz="6" w:space="0" w:color="000000"/>
              <w:bottom w:val="single" w:sz="43" w:space="0" w:color="000000"/>
              <w:right w:val="single" w:sz="6" w:space="0" w:color="000000"/>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b/>
                <w:spacing w:val="-1"/>
                <w:sz w:val="18"/>
              </w:rPr>
              <w:t>320,000,100.00</w:t>
            </w:r>
            <w:r>
              <w:rPr>
                <w:rFonts w:ascii="Times New Roman"/>
                <w:spacing w:val="-1"/>
                <w:sz w:val="18"/>
              </w:rPr>
            </w:r>
          </w:p>
        </w:tc>
        <w:tc>
          <w:tcPr>
            <w:tcW w:w="998" w:type="dxa"/>
            <w:tcBorders>
              <w:top w:val="single" w:sz="12" w:space="0" w:color="000000"/>
              <w:left w:val="single" w:sz="6" w:space="0" w:color="000000"/>
              <w:bottom w:val="single" w:sz="12" w:space="0" w:color="000000"/>
              <w:right w:val="nil" w:sz="6" w:space="0" w:color="auto"/>
            </w:tcBorders>
          </w:tcPr>
          <w:p>
            <w:pPr/>
          </w:p>
        </w:tc>
        <w:tc>
          <w:tcPr>
            <w:tcW w:w="1472" w:type="dxa"/>
            <w:tcBorders>
              <w:top w:val="single" w:sz="44" w:space="0" w:color="000000"/>
              <w:left w:val="nil" w:sz="6" w:space="0" w:color="auto"/>
              <w:bottom w:val="single" w:sz="43" w:space="0" w:color="000000"/>
              <w:right w:val="single" w:sz="6" w:space="0" w:color="000000"/>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b/>
                <w:spacing w:val="-1"/>
                <w:sz w:val="18"/>
              </w:rPr>
              <w:t>320,000,100.00</w:t>
            </w:r>
            <w:r>
              <w:rPr>
                <w:rFonts w:ascii="Times New Roman"/>
                <w:spacing w:val="-1"/>
                <w:sz w:val="18"/>
              </w:rPr>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9"/>
              <w:ind w:right="7"/>
              <w:jc w:val="right"/>
              <w:rPr>
                <w:rFonts w:ascii="Times New Roman" w:hAnsi="Times New Roman" w:cs="Times New Roman" w:eastAsia="Times New Roman" w:hint="default"/>
                <w:sz w:val="18"/>
                <w:szCs w:val="18"/>
              </w:rPr>
            </w:pPr>
            <w:r>
              <w:rPr>
                <w:rFonts w:ascii="Times New Roman"/>
                <w:b/>
                <w:sz w:val="18"/>
              </w:rPr>
            </w:r>
            <w:r>
              <w:rPr>
                <w:rFonts w:ascii="Times New Roman"/>
                <w:b/>
                <w:spacing w:val="-1"/>
                <w:sz w:val="18"/>
                <w:u w:val="single" w:color="000000"/>
              </w:rPr>
              <w:t>320,000,100.00</w:t>
            </w:r>
            <w:r>
              <w:rPr>
                <w:rFonts w:ascii="Times New Roman"/>
                <w:b/>
                <w:spacing w:val="-1"/>
                <w:sz w:val="18"/>
              </w:rPr>
            </w:r>
            <w:r>
              <w:rPr>
                <w:rFonts w:ascii="Times New Roman"/>
                <w:spacing w:val="-1"/>
                <w:sz w:val="18"/>
              </w:rPr>
            </w:r>
          </w:p>
        </w:tc>
      </w:tr>
      <w:tr>
        <w:trPr>
          <w:trHeight w:val="351" w:hRule="exact"/>
        </w:trPr>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8"/>
                <w:szCs w:val="18"/>
              </w:rPr>
            </w:pPr>
            <w:r>
              <w:rPr>
                <w:rFonts w:ascii="Times New Roman"/>
                <w:spacing w:val="-1"/>
                <w:sz w:val="18"/>
              </w:rPr>
              <w:t>462,884,719.30</w:t>
            </w:r>
          </w:p>
        </w:tc>
        <w:tc>
          <w:tcPr>
            <w:tcW w:w="1688" w:type="dxa"/>
            <w:tcBorders>
              <w:top w:val="single" w:sz="43" w:space="0" w:color="000000"/>
              <w:left w:val="single" w:sz="6" w:space="0" w:color="000000"/>
              <w:bottom w:val="single" w:sz="44" w:space="0" w:color="000000"/>
              <w:right w:val="single" w:sz="6" w:space="0" w:color="000000"/>
            </w:tcBorders>
          </w:tcPr>
          <w:p>
            <w:pPr>
              <w:pStyle w:val="TableParagraph"/>
              <w:spacing w:line="270" w:lineRule="exact"/>
              <w:ind w:right="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
                <w:sz w:val="18"/>
                <w:szCs w:val="18"/>
              </w:rPr>
              <w:t>（</w:t>
            </w:r>
            <w:r>
              <w:rPr>
                <w:rFonts w:ascii="Times New Roman" w:hAnsi="Times New Roman" w:cs="Times New Roman" w:eastAsia="Times New Roman" w:hint="default"/>
                <w:b/>
                <w:bCs/>
                <w:spacing w:val="-1"/>
                <w:sz w:val="18"/>
                <w:szCs w:val="18"/>
              </w:rPr>
              <w:t>320,000,100.00</w:t>
            </w:r>
            <w:r>
              <w:rPr>
                <w:rFonts w:ascii="Microsoft JhengHei" w:hAnsi="Microsoft JhengHei" w:cs="Microsoft JhengHei" w:eastAsia="Microsoft JhengHei" w:hint="default"/>
                <w:b/>
                <w:bCs/>
                <w:spacing w:val="-1"/>
                <w:sz w:val="18"/>
                <w:szCs w:val="18"/>
              </w:rPr>
              <w:t>）</w:t>
            </w:r>
            <w:r>
              <w:rPr>
                <w:rFonts w:ascii="Microsoft JhengHei" w:hAnsi="Microsoft JhengHei" w:cs="Microsoft JhengHei" w:eastAsia="Microsoft JhengHei" w:hint="default"/>
                <w:spacing w:val="-1"/>
                <w:sz w:val="18"/>
                <w:szCs w:val="18"/>
              </w:rPr>
            </w:r>
          </w:p>
        </w:tc>
        <w:tc>
          <w:tcPr>
            <w:tcW w:w="998" w:type="dxa"/>
            <w:tcBorders>
              <w:top w:val="single" w:sz="12" w:space="0" w:color="000000"/>
              <w:left w:val="single" w:sz="6" w:space="0" w:color="000000"/>
              <w:bottom w:val="single" w:sz="12" w:space="0" w:color="000000"/>
              <w:right w:val="nil" w:sz="6" w:space="0" w:color="auto"/>
            </w:tcBorders>
          </w:tcPr>
          <w:p>
            <w:pPr/>
          </w:p>
        </w:tc>
        <w:tc>
          <w:tcPr>
            <w:tcW w:w="1472" w:type="dxa"/>
            <w:tcBorders>
              <w:top w:val="single" w:sz="43" w:space="0" w:color="000000"/>
              <w:left w:val="nil" w:sz="6" w:space="0" w:color="auto"/>
              <w:bottom w:val="single" w:sz="44" w:space="0" w:color="000000"/>
              <w:right w:val="single" w:sz="6" w:space="0" w:color="000000"/>
            </w:tcBorders>
          </w:tcPr>
          <w:p>
            <w:pPr>
              <w:pStyle w:val="TableParagraph"/>
              <w:spacing w:line="270" w:lineRule="exact"/>
              <w:ind w:left="-22" w:right="-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
                <w:sz w:val="18"/>
                <w:szCs w:val="18"/>
              </w:rPr>
              <w:t>（</w:t>
            </w:r>
            <w:r>
              <w:rPr>
                <w:rFonts w:ascii="Times New Roman" w:hAnsi="Times New Roman" w:cs="Times New Roman" w:eastAsia="Times New Roman" w:hint="default"/>
                <w:b/>
                <w:bCs/>
                <w:spacing w:val="-1"/>
                <w:sz w:val="18"/>
                <w:szCs w:val="18"/>
              </w:rPr>
              <w:t>320,000,100.00</w:t>
            </w:r>
            <w:r>
              <w:rPr>
                <w:rFonts w:ascii="Microsoft JhengHei" w:hAnsi="Microsoft JhengHei" w:cs="Microsoft JhengHei" w:eastAsia="Microsoft JhengHei" w:hint="default"/>
                <w:b/>
                <w:bCs/>
                <w:spacing w:val="-1"/>
                <w:sz w:val="18"/>
                <w:szCs w:val="18"/>
              </w:rPr>
              <w:t>）</w:t>
            </w:r>
            <w:r>
              <w:rPr>
                <w:rFonts w:ascii="Microsoft JhengHei" w:hAnsi="Microsoft JhengHei" w:cs="Microsoft JhengHei" w:eastAsia="Microsoft JhengHei" w:hint="default"/>
                <w:spacing w:val="-1"/>
                <w:sz w:val="18"/>
                <w:szCs w:val="18"/>
              </w:rPr>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b/>
                <w:sz w:val="18"/>
              </w:rPr>
            </w:r>
            <w:r>
              <w:rPr>
                <w:rFonts w:ascii="Times New Roman"/>
                <w:b/>
                <w:spacing w:val="-1"/>
                <w:sz w:val="18"/>
                <w:u w:val="single" w:color="000000"/>
              </w:rPr>
              <w:t>142,884,619.30</w:t>
            </w:r>
            <w:r>
              <w:rPr>
                <w:rFonts w:ascii="Times New Roman"/>
                <w:b/>
                <w:spacing w:val="-1"/>
                <w:sz w:val="18"/>
              </w:rPr>
            </w:r>
            <w:r>
              <w:rPr>
                <w:rFonts w:ascii="Times New Roman"/>
                <w:spacing w:val="-1"/>
                <w:sz w:val="18"/>
              </w:rPr>
            </w:r>
          </w:p>
        </w:tc>
      </w:tr>
      <w:tr>
        <w:trPr>
          <w:trHeight w:val="397" w:hRule="exact"/>
        </w:trPr>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18"/>
                <w:szCs w:val="18"/>
              </w:rPr>
            </w:pPr>
            <w:r>
              <w:rPr>
                <w:rFonts w:ascii="Times New Roman"/>
                <w:spacing w:val="-1"/>
                <w:sz w:val="18"/>
              </w:rPr>
              <w:t>20,941,772.99</w:t>
            </w:r>
          </w:p>
        </w:tc>
        <w:tc>
          <w:tcPr>
            <w:tcW w:w="1688" w:type="dxa"/>
            <w:tcBorders>
              <w:top w:val="single" w:sz="44" w:space="0" w:color="000000"/>
              <w:left w:val="single" w:sz="6" w:space="0" w:color="000000"/>
              <w:bottom w:val="single" w:sz="12" w:space="0" w:color="000000"/>
              <w:right w:val="single" w:sz="6" w:space="0" w:color="000000"/>
            </w:tcBorders>
          </w:tcPr>
          <w:p>
            <w:pPr>
              <w:pStyle w:val="TableParagraph"/>
              <w:spacing w:line="268" w:lineRule="exact"/>
              <w:ind w:right="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
                <w:sz w:val="18"/>
                <w:szCs w:val="18"/>
              </w:rPr>
              <w:t>（</w:t>
            </w:r>
            <w:r>
              <w:rPr>
                <w:rFonts w:ascii="Times New Roman" w:hAnsi="Times New Roman" w:cs="Times New Roman" w:eastAsia="Times New Roman" w:hint="default"/>
                <w:b/>
                <w:bCs/>
                <w:spacing w:val="-1"/>
                <w:sz w:val="18"/>
                <w:szCs w:val="18"/>
              </w:rPr>
              <w:t>738,461.24</w:t>
            </w:r>
            <w:r>
              <w:rPr>
                <w:rFonts w:ascii="Microsoft JhengHei" w:hAnsi="Microsoft JhengHei" w:cs="Microsoft JhengHei" w:eastAsia="Microsoft JhengHei" w:hint="default"/>
                <w:b/>
                <w:bCs/>
                <w:spacing w:val="-1"/>
                <w:sz w:val="18"/>
                <w:szCs w:val="18"/>
              </w:rPr>
              <w:t>）</w:t>
            </w:r>
            <w:r>
              <w:rPr>
                <w:rFonts w:ascii="Microsoft JhengHei" w:hAnsi="Microsoft JhengHei" w:cs="Microsoft JhengHei" w:eastAsia="Microsoft JhengHei" w:hint="default"/>
                <w:spacing w:val="-1"/>
                <w:sz w:val="18"/>
                <w:szCs w:val="18"/>
              </w:rPr>
            </w:r>
          </w:p>
        </w:tc>
        <w:tc>
          <w:tcPr>
            <w:tcW w:w="9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9"/>
              <w:ind w:right="22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72" w:type="dxa"/>
            <w:tcBorders>
              <w:top w:val="single" w:sz="44" w:space="0" w:color="000000"/>
              <w:left w:val="nil" w:sz="6" w:space="0" w:color="auto"/>
              <w:bottom w:val="single" w:sz="12" w:space="0" w:color="000000"/>
              <w:right w:val="single" w:sz="6" w:space="0" w:color="000000"/>
            </w:tcBorders>
          </w:tcPr>
          <w:p>
            <w:pPr>
              <w:pStyle w:val="TableParagraph"/>
              <w:spacing w:line="268" w:lineRule="exact"/>
              <w:ind w:right="-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
                <w:sz w:val="18"/>
                <w:szCs w:val="18"/>
              </w:rPr>
              <w:t>（</w:t>
            </w:r>
            <w:r>
              <w:rPr>
                <w:rFonts w:ascii="Times New Roman" w:hAnsi="Times New Roman" w:cs="Times New Roman" w:eastAsia="Times New Roman" w:hint="default"/>
                <w:b/>
                <w:bCs/>
                <w:spacing w:val="-1"/>
                <w:sz w:val="18"/>
                <w:szCs w:val="18"/>
              </w:rPr>
              <w:t>738,461.24</w:t>
            </w:r>
            <w:r>
              <w:rPr>
                <w:rFonts w:ascii="Microsoft JhengHei" w:hAnsi="Microsoft JhengHei" w:cs="Microsoft JhengHei" w:eastAsia="Microsoft JhengHei" w:hint="default"/>
                <w:b/>
                <w:bCs/>
                <w:spacing w:val="-1"/>
                <w:sz w:val="18"/>
                <w:szCs w:val="18"/>
              </w:rPr>
              <w:t>）</w:t>
            </w:r>
            <w:r>
              <w:rPr>
                <w:rFonts w:ascii="Microsoft JhengHei" w:hAnsi="Microsoft JhengHei" w:cs="Microsoft JhengHei" w:eastAsia="Microsoft JhengHei" w:hint="default"/>
                <w:spacing w:val="-1"/>
                <w:sz w:val="18"/>
                <w:szCs w:val="18"/>
              </w:rPr>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9"/>
              <w:ind w:right="7"/>
              <w:jc w:val="right"/>
              <w:rPr>
                <w:rFonts w:ascii="Times New Roman" w:hAnsi="Times New Roman" w:cs="Times New Roman" w:eastAsia="Times New Roman" w:hint="default"/>
                <w:sz w:val="18"/>
                <w:szCs w:val="18"/>
              </w:rPr>
            </w:pPr>
            <w:r>
              <w:rPr>
                <w:rFonts w:ascii="Times New Roman"/>
                <w:b/>
                <w:sz w:val="18"/>
              </w:rPr>
            </w:r>
            <w:r>
              <w:rPr>
                <w:rFonts w:ascii="Times New Roman"/>
                <w:b/>
                <w:spacing w:val="-1"/>
                <w:sz w:val="18"/>
                <w:u w:val="single" w:color="000000"/>
              </w:rPr>
              <w:t>20,203,311.75</w:t>
            </w:r>
            <w:r>
              <w:rPr>
                <w:rFonts w:ascii="Times New Roman"/>
                <w:b/>
                <w:spacing w:val="-1"/>
                <w:sz w:val="18"/>
              </w:rPr>
            </w:r>
            <w:r>
              <w:rPr>
                <w:rFonts w:ascii="Times New Roman"/>
                <w:spacing w:val="-1"/>
                <w:sz w:val="18"/>
              </w:rPr>
            </w:r>
          </w:p>
        </w:tc>
      </w:tr>
      <w:tr>
        <w:trPr>
          <w:trHeight w:val="662" w:hRule="exact"/>
        </w:trPr>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17"/>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688" w:type="dxa"/>
            <w:tcBorders>
              <w:top w:val="single" w:sz="12" w:space="0" w:color="000000"/>
              <w:left w:val="single" w:sz="6" w:space="0" w:color="000000"/>
              <w:bottom w:val="single" w:sz="12" w:space="0" w:color="000000"/>
              <w:right w:val="single" w:sz="6" w:space="0" w:color="000000"/>
            </w:tcBorders>
          </w:tcPr>
          <w:p>
            <w:pPr>
              <w:pStyle w:val="TableParagraph"/>
              <w:spacing w:line="264" w:lineRule="exact"/>
              <w:ind w:right="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
                <w:sz w:val="18"/>
                <w:szCs w:val="18"/>
              </w:rPr>
              <w:t>（</w:t>
            </w:r>
            <w:r>
              <w:rPr>
                <w:rFonts w:ascii="Times New Roman" w:hAnsi="Times New Roman" w:cs="Times New Roman" w:eastAsia="Times New Roman" w:hint="default"/>
                <w:b/>
                <w:bCs/>
                <w:spacing w:val="-1"/>
                <w:sz w:val="18"/>
                <w:szCs w:val="18"/>
              </w:rPr>
              <w:t>50,000,000.00</w:t>
            </w:r>
            <w:r>
              <w:rPr>
                <w:rFonts w:ascii="Microsoft JhengHei" w:hAnsi="Microsoft JhengHei" w:cs="Microsoft JhengHei" w:eastAsia="Microsoft JhengHei" w:hint="default"/>
                <w:b/>
                <w:bCs/>
                <w:spacing w:val="-1"/>
                <w:sz w:val="18"/>
                <w:szCs w:val="18"/>
              </w:rPr>
              <w:t>）</w:t>
            </w:r>
            <w:r>
              <w:rPr>
                <w:rFonts w:ascii="Microsoft JhengHei" w:hAnsi="Microsoft JhengHei" w:cs="Microsoft JhengHei" w:eastAsia="Microsoft JhengHei" w:hint="default"/>
                <w:spacing w:val="-1"/>
                <w:sz w:val="18"/>
                <w:szCs w:val="18"/>
              </w:rPr>
            </w:r>
          </w:p>
        </w:tc>
        <w:tc>
          <w:tcPr>
            <w:tcW w:w="9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22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72" w:type="dxa"/>
            <w:tcBorders>
              <w:top w:val="single" w:sz="12" w:space="0" w:color="000000"/>
              <w:left w:val="nil" w:sz="6" w:space="0" w:color="auto"/>
              <w:bottom w:val="single" w:sz="12" w:space="0" w:color="000000"/>
              <w:right w:val="single" w:sz="6" w:space="0" w:color="000000"/>
            </w:tcBorders>
          </w:tcPr>
          <w:p>
            <w:pPr>
              <w:pStyle w:val="TableParagraph"/>
              <w:spacing w:line="264" w:lineRule="exact"/>
              <w:ind w:right="-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
                <w:sz w:val="18"/>
                <w:szCs w:val="18"/>
              </w:rPr>
              <w:t>（</w:t>
            </w:r>
            <w:r>
              <w:rPr>
                <w:rFonts w:ascii="Times New Roman" w:hAnsi="Times New Roman" w:cs="Times New Roman" w:eastAsia="Times New Roman" w:hint="default"/>
                <w:b/>
                <w:bCs/>
                <w:spacing w:val="-1"/>
                <w:sz w:val="18"/>
                <w:szCs w:val="18"/>
              </w:rPr>
              <w:t>50,000,000.00</w:t>
            </w:r>
            <w:r>
              <w:rPr>
                <w:rFonts w:ascii="Microsoft JhengHei" w:hAnsi="Microsoft JhengHei" w:cs="Microsoft JhengHei" w:eastAsia="Microsoft JhengHei" w:hint="default"/>
                <w:b/>
                <w:bCs/>
                <w:spacing w:val="-1"/>
                <w:sz w:val="18"/>
                <w:szCs w:val="18"/>
              </w:rPr>
              <w:t>）</w:t>
            </w:r>
            <w:r>
              <w:rPr>
                <w:rFonts w:ascii="Microsoft JhengHei" w:hAnsi="Microsoft JhengHei" w:cs="Microsoft JhengHei" w:eastAsia="Microsoft JhengHei" w:hint="default"/>
                <w:spacing w:val="-1"/>
                <w:sz w:val="18"/>
                <w:szCs w:val="18"/>
              </w:rPr>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b/>
                <w:w w:val="99"/>
                <w:sz w:val="18"/>
              </w:rPr>
            </w:r>
            <w:r>
              <w:rPr>
                <w:rFonts w:ascii="Times New Roman"/>
                <w:b/>
                <w:w w:val="95"/>
                <w:sz w:val="18"/>
                <w:u w:val="single" w:color="000000"/>
              </w:rPr>
              <w:t>---</w:t>
            </w:r>
            <w:r>
              <w:rPr>
                <w:rFonts w:ascii="Times New Roman"/>
                <w:b/>
                <w:w w:val="95"/>
                <w:sz w:val="18"/>
              </w:rPr>
            </w:r>
            <w:r>
              <w:rPr>
                <w:rFonts w:ascii="Times New Roman"/>
                <w:sz w:val="18"/>
              </w:rPr>
            </w:r>
          </w:p>
        </w:tc>
      </w:tr>
      <w:tr>
        <w:trPr>
          <w:trHeight w:val="665" w:hRule="exact"/>
        </w:trPr>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17"/>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b/>
                <w:spacing w:val="-1"/>
                <w:sz w:val="18"/>
              </w:rPr>
              <w:t>50,000,000.00</w:t>
            </w:r>
            <w:r>
              <w:rPr>
                <w:rFonts w:ascii="Times New Roman"/>
                <w:spacing w:val="-1"/>
                <w:sz w:val="18"/>
              </w:rPr>
            </w:r>
          </w:p>
        </w:tc>
        <w:tc>
          <w:tcPr>
            <w:tcW w:w="9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22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72"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b/>
                <w:spacing w:val="-1"/>
                <w:sz w:val="18"/>
              </w:rPr>
              <w:t>50,000,000.00</w:t>
            </w:r>
            <w:r>
              <w:rPr>
                <w:rFonts w:ascii="Times New Roman"/>
                <w:spacing w:val="-1"/>
                <w:sz w:val="18"/>
              </w:rPr>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b/>
                <w:sz w:val="18"/>
              </w:rPr>
            </w:r>
            <w:r>
              <w:rPr>
                <w:rFonts w:ascii="Times New Roman"/>
                <w:b/>
                <w:spacing w:val="-1"/>
                <w:sz w:val="18"/>
                <w:u w:val="single" w:color="000000"/>
              </w:rPr>
              <w:t>50,000,000.00</w:t>
            </w:r>
            <w:r>
              <w:rPr>
                <w:rFonts w:ascii="Times New Roman"/>
                <w:b/>
                <w:spacing w:val="-1"/>
                <w:sz w:val="18"/>
              </w:rPr>
            </w:r>
            <w:r>
              <w:rPr>
                <w:rFonts w:ascii="Times New Roman"/>
                <w:spacing w:val="-1"/>
                <w:sz w:val="18"/>
              </w:rPr>
            </w:r>
          </w:p>
        </w:tc>
      </w:tr>
    </w:tbl>
    <w:p>
      <w:pPr>
        <w:spacing w:line="240" w:lineRule="auto" w:before="2"/>
        <w:rPr>
          <w:rFonts w:ascii="宋体" w:hAnsi="宋体" w:cs="宋体" w:eastAsia="宋体" w:hint="default"/>
          <w:sz w:val="20"/>
          <w:szCs w:val="20"/>
        </w:rPr>
      </w:pPr>
    </w:p>
    <w:p>
      <w:pPr>
        <w:pStyle w:val="Heading6"/>
        <w:spacing w:line="240" w:lineRule="auto" w:before="36"/>
        <w:ind w:left="573" w:right="1033"/>
        <w:jc w:val="left"/>
      </w:pPr>
      <w:r>
        <w:rPr/>
        <w:pict>
          <v:group style="position:absolute;margin-left:315.25pt;margin-top:-199.226334pt;width:10.15pt;height:184.95pt;mso-position-horizontal-relative:page;mso-position-vertical-relative:paragraph;z-index:-1258024" coordorigin="6305,-3985" coordsize="203,3699">
            <v:group style="position:absolute;left:6501;top:-3977;width:2;height:948" coordorigin="6501,-3977" coordsize="2,948">
              <v:shape style="position:absolute;left:6501;top:-3977;width:2;height:948" coordorigin="6501,-3977" coordsize="0,948" path="m6501,-3977l6501,-3029e" filled="false" stroked="true" strokeweight=".72pt" strokecolor="#000000">
                <v:path arrowok="t"/>
              </v:shape>
            </v:group>
            <v:group style="position:absolute;left:6313;top:-2749;width:180;height:2" coordorigin="6313,-2749" coordsize="180,2">
              <v:shape style="position:absolute;left:6313;top:-2749;width:180;height:2" coordorigin="6313,-2749" coordsize="180,0" path="m6313,-2749l6493,-2749e" filled="false" stroked="true" strokeweight=".84pt" strokecolor="#000000">
                <v:path arrowok="t"/>
              </v:shape>
            </v:group>
            <v:group style="position:absolute;left:6501;top:-3001;width:2;height:325" coordorigin="6501,-3001" coordsize="2,325">
              <v:shape style="position:absolute;left:6501;top:-3001;width:2;height:325" coordorigin="6501,-3001" coordsize="0,325" path="m6501,-3001l6501,-2676e" filled="false" stroked="true" strokeweight=".72pt" strokecolor="#000000">
                <v:path arrowok="t"/>
              </v:shape>
            </v:group>
            <v:group style="position:absolute;left:6501;top:-2647;width:2;height:322" coordorigin="6501,-2647" coordsize="2,322">
              <v:shape style="position:absolute;left:6501;top:-2647;width:2;height:322" coordorigin="6501,-2647" coordsize="0,322" path="m6501,-2647l6501,-2326e" filled="false" stroked="true" strokeweight=".72pt" strokecolor="#000000">
                <v:path arrowok="t"/>
              </v:shape>
            </v:group>
            <v:group style="position:absolute;left:6501;top:-2297;width:2;height:324" coordorigin="6501,-2297" coordsize="2,324">
              <v:shape style="position:absolute;left:6501;top:-2297;width:2;height:324" coordorigin="6501,-2297" coordsize="0,324" path="m6501,-2297l6501,-1973e" filled="false" stroked="true" strokeweight=".72pt" strokecolor="#000000">
                <v:path arrowok="t"/>
              </v:shape>
            </v:group>
            <v:group style="position:absolute;left:6313;top:-1693;width:180;height:2" coordorigin="6313,-1693" coordsize="180,2">
              <v:shape style="position:absolute;left:6313;top:-1693;width:180;height:2" coordorigin="6313,-1693" coordsize="180,0" path="m6313,-1693l6493,-1693e" filled="false" stroked="true" strokeweight=".84pt" strokecolor="#000000">
                <v:path arrowok="t"/>
              </v:shape>
            </v:group>
            <v:group style="position:absolute;left:6501;top:-1944;width:2;height:324" coordorigin="6501,-1944" coordsize="2,324">
              <v:shape style="position:absolute;left:6501;top:-1944;width:2;height:324" coordorigin="6501,-1944" coordsize="0,324" path="m6501,-1944l6501,-1620e" filled="false" stroked="true" strokeweight=".72pt" strokecolor="#000000">
                <v:path arrowok="t"/>
              </v:shape>
            </v:group>
            <v:group style="position:absolute;left:6313;top:-1341;width:180;height:2" coordorigin="6313,-1341" coordsize="180,2">
              <v:shape style="position:absolute;left:6313;top:-1341;width:180;height:2" coordorigin="6313,-1341" coordsize="180,0" path="m6313,-1341l6493,-1341e" filled="false" stroked="true" strokeweight=".84pt" strokecolor="#000000">
                <v:path arrowok="t"/>
              </v:shape>
            </v:group>
            <v:group style="position:absolute;left:6501;top:-1591;width:2;height:634" coordorigin="6501,-1591" coordsize="2,634">
              <v:shape style="position:absolute;left:6501;top:-1591;width:2;height:634" coordorigin="6501,-1591" coordsize="0,634" path="m6501,-1591l6501,-958e" filled="false" stroked="true" strokeweight=".72pt" strokecolor="#000000">
                <v:path arrowok="t"/>
              </v:shape>
            </v:group>
            <v:group style="position:absolute;left:6313;top:-676;width:180;height:2" coordorigin="6313,-676" coordsize="180,2">
              <v:shape style="position:absolute;left:6313;top:-676;width:180;height:2" coordorigin="6313,-676" coordsize="180,0" path="m6313,-676l6493,-676e" filled="false" stroked="true" strokeweight=".84pt" strokecolor="#000000">
                <v:path arrowok="t"/>
              </v:shape>
            </v:group>
            <v:group style="position:absolute;left:6501;top:-929;width:2;height:636" coordorigin="6501,-929" coordsize="2,636">
              <v:shape style="position:absolute;left:6501;top:-929;width:2;height:636" coordorigin="6501,-929" coordsize="0,636" path="m6501,-929l6501,-293e" filled="false" stroked="true" strokeweight=".72pt" strokecolor="#000000">
                <v:path arrowok="t"/>
              </v:shape>
            </v:group>
            <w10:wrap type="none"/>
          </v:group>
        </w:pict>
      </w:r>
      <w:r>
        <w:rPr/>
        <w:pict>
          <v:group style="position:absolute;margin-left:226.850006pt;margin-top:-84.846336pt;width:58.6pt;height:.1pt;mso-position-horizontal-relative:page;mso-position-vertical-relative:paragraph;z-index:-1258000" coordorigin="4537,-1697" coordsize="1172,2">
            <v:shape style="position:absolute;left:4537;top:-1697;width:1172;height:2" coordorigin="4537,-1697" coordsize="1172,0" path="m4537,-1697l5709,-1697e" filled="false" stroked="true" strokeweight=".72pt" strokecolor="#000000">
              <v:path arrowok="t"/>
            </v:shape>
            <w10:wrap type="none"/>
          </v:group>
        </w:pict>
      </w:r>
      <w:r>
        <w:rPr/>
        <w:pict>
          <v:group style="position:absolute;margin-left:350.470001pt;margin-top:-84.846336pt;width:58.6pt;height:.1pt;mso-position-horizontal-relative:page;mso-position-vertical-relative:paragraph;z-index:-1257976" coordorigin="7009,-1697" coordsize="1172,2">
            <v:shape style="position:absolute;left:7009;top:-1697;width:1172;height:2" coordorigin="7009,-1697" coordsize="1172,0" path="m7009,-1697l8181,-1697e" filled="false" stroked="true" strokeweight=".72pt" strokecolor="#000000">
              <v:path arrowok="t"/>
            </v:shape>
            <w10:wrap type="none"/>
          </v:group>
        </w:pict>
      </w:r>
      <w:r>
        <w:rPr/>
        <w:pict>
          <v:group style="position:absolute;margin-left:215.570007pt;margin-top:-67.206337pt;width:69.9pt;height:.1pt;mso-position-horizontal-relative:page;mso-position-vertical-relative:paragraph;z-index:-1257952" coordorigin="4311,-1344" coordsize="1398,2">
            <v:shape style="position:absolute;left:4311;top:-1344;width:1398;height:2" coordorigin="4311,-1344" coordsize="1398,0" path="m4311,-1344l5709,-1344e" filled="false" stroked="true" strokeweight=".72pt" strokecolor="#000000">
              <v:path arrowok="t"/>
            </v:shape>
            <w10:wrap type="none"/>
          </v:group>
        </w:pict>
      </w:r>
      <w:r>
        <w:rPr/>
        <w:pict>
          <v:group style="position:absolute;margin-left:339.190002pt;margin-top:-67.206337pt;width:69.9pt;height:.1pt;mso-position-horizontal-relative:page;mso-position-vertical-relative:paragraph;z-index:-1257928" coordorigin="6784,-1344" coordsize="1398,2">
            <v:shape style="position:absolute;left:6784;top:-1344;width:1398;height:2" coordorigin="6784,-1344" coordsize="1398,0" path="m6784,-1344l8181,-1344e" filled="false" stroked="true" strokeweight=".72pt" strokecolor="#000000">
              <v:path arrowok="t"/>
            </v:shape>
            <w10:wrap type="none"/>
          </v:group>
        </w:pict>
      </w:r>
      <w:r>
        <w:rPr/>
        <w:pict>
          <v:group style="position:absolute;margin-left:233.690002pt;margin-top:-33.786335pt;width:51.75pt;height:.1pt;mso-position-horizontal-relative:page;mso-position-vertical-relative:paragraph;z-index:-1257904" coordorigin="4674,-676" coordsize="1035,2">
            <v:shape style="position:absolute;left:4674;top:-676;width:1035;height:2" coordorigin="4674,-676" coordsize="1035,0" path="m4674,-676l5709,-676e" filled="false" stroked="true" strokeweight=".84pt" strokecolor="#000000">
              <v:path arrowok="t"/>
            </v:shape>
            <w10:wrap type="none"/>
          </v:group>
        </w:pict>
      </w:r>
      <w:r>
        <w:rPr/>
        <w:pict>
          <v:group style="position:absolute;margin-left:357.309998pt;margin-top:-33.786335pt;width:51.75pt;height:.1pt;mso-position-horizontal-relative:page;mso-position-vertical-relative:paragraph;z-index:-1257880" coordorigin="7146,-676" coordsize="1035,2">
            <v:shape style="position:absolute;left:7146;top:-676;width:1035;height:2" coordorigin="7146,-676" coordsize="1035,0" path="m7146,-676l8181,-676e" filled="false" stroked="true" strokeweight=".84pt" strokecolor="#000000">
              <v:path arrowok="t"/>
            </v:shape>
            <w10:wrap type="none"/>
          </v:group>
        </w:pict>
      </w:r>
      <w:r>
        <w:rPr/>
        <w:t>注：上表仅呈列受影响的财务报表项目，不受影响的财务报表项目不包括在内。</w:t>
      </w:r>
    </w:p>
    <w:p>
      <w:pPr>
        <w:pStyle w:val="Heading5"/>
        <w:spacing w:line="240" w:lineRule="auto" w:before="90"/>
        <w:ind w:left="508" w:right="1033"/>
        <w:jc w:val="left"/>
        <w:rPr>
          <w:b w:val="0"/>
          <w:bCs w:val="0"/>
        </w:rPr>
      </w:pPr>
      <w:r>
        <w:rPr>
          <w:rFonts w:ascii="Times New Roman" w:hAnsi="Times New Roman" w:cs="Times New Roman" w:eastAsia="Times New Roman" w:hint="default"/>
        </w:rPr>
        <w:t>2</w:t>
      </w:r>
      <w:r>
        <w:rPr/>
        <w:t>）执行新债务重组及非货币性资产交换准则对本公司的影响</w:t>
      </w:r>
      <w:r>
        <w:rPr>
          <w:b w:val="0"/>
          <w:bCs w:val="0"/>
        </w:rPr>
      </w:r>
    </w:p>
    <w:p>
      <w:pPr>
        <w:pStyle w:val="Heading6"/>
        <w:spacing w:line="256" w:lineRule="auto" w:before="13"/>
        <w:ind w:right="1126" w:firstLine="420"/>
        <w:jc w:val="both"/>
      </w:pPr>
      <w:r>
        <w:rPr/>
        <w:t>本公司自</w:t>
      </w:r>
      <w:r>
        <w:rPr>
          <w:rFonts w:ascii="Times New Roman" w:hAnsi="Times New Roman" w:cs="Times New Roman" w:eastAsia="Times New Roman" w:hint="default"/>
        </w:rPr>
        <w:t>2019 </w:t>
      </w:r>
      <w:r>
        <w:rPr>
          <w:spacing w:val="3"/>
        </w:rPr>
        <w:t>年</w:t>
      </w:r>
      <w:r>
        <w:rPr>
          <w:rFonts w:ascii="Times New Roman" w:hAnsi="Times New Roman" w:cs="Times New Roman" w:eastAsia="Times New Roman" w:hint="default"/>
          <w:spacing w:val="3"/>
        </w:rPr>
        <w:t>6 </w:t>
      </w:r>
      <w:r>
        <w:rPr/>
        <w:t>月</w:t>
      </w:r>
      <w:r>
        <w:rPr>
          <w:rFonts w:ascii="Times New Roman" w:hAnsi="Times New Roman" w:cs="Times New Roman" w:eastAsia="Times New Roman" w:hint="default"/>
        </w:rPr>
        <w:t>10 </w:t>
      </w:r>
      <w:r>
        <w:rPr>
          <w:spacing w:val="3"/>
        </w:rPr>
        <w:t>日起执行财政部</w:t>
      </w:r>
      <w:r>
        <w:rPr>
          <w:rFonts w:ascii="Times New Roman" w:hAnsi="Times New Roman" w:cs="Times New Roman" w:eastAsia="Times New Roman" w:hint="default"/>
          <w:spacing w:val="3"/>
        </w:rPr>
        <w:t>2019</w:t>
      </w:r>
      <w:r>
        <w:rPr>
          <w:spacing w:val="3"/>
        </w:rPr>
        <w:t>年修订的《企业会计准则第</w:t>
      </w:r>
      <w:r>
        <w:rPr>
          <w:rFonts w:ascii="Times New Roman" w:hAnsi="Times New Roman" w:cs="Times New Roman" w:eastAsia="Times New Roman" w:hint="default"/>
          <w:spacing w:val="3"/>
        </w:rPr>
        <w:t>7</w:t>
      </w:r>
      <w:r>
        <w:rPr>
          <w:rFonts w:ascii="Times New Roman" w:hAnsi="Times New Roman" w:cs="Times New Roman" w:eastAsia="Times New Roman" w:hint="default"/>
          <w:spacing w:val="32"/>
        </w:rPr>
        <w:t> </w:t>
      </w:r>
      <w:r>
        <w:rPr>
          <w:spacing w:val="3"/>
        </w:rPr>
        <w:t>号</w:t>
      </w:r>
      <w:r>
        <w:rPr>
          <w:rFonts w:ascii="Times New Roman" w:hAnsi="Times New Roman" w:cs="Times New Roman" w:eastAsia="Times New Roman" w:hint="default"/>
          <w:spacing w:val="3"/>
        </w:rPr>
        <w:t>——</w:t>
      </w:r>
      <w:r>
        <w:rPr>
          <w:spacing w:val="3"/>
        </w:rPr>
        <w:t>非货币性资产交</w:t>
      </w:r>
      <w:r>
        <w:rPr>
          <w:w w:val="100"/>
        </w:rPr>
        <w:t> </w:t>
      </w:r>
      <w:r>
        <w:rPr>
          <w:spacing w:val="-3"/>
        </w:rPr>
        <w:t>换》，自</w:t>
      </w:r>
      <w:r>
        <w:rPr>
          <w:rFonts w:ascii="Times New Roman" w:hAnsi="Times New Roman" w:cs="Times New Roman" w:eastAsia="Times New Roman" w:hint="default"/>
          <w:spacing w:val="-3"/>
        </w:rPr>
        <w:t>2019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17 </w:t>
      </w:r>
      <w:r>
        <w:rPr/>
        <w:t>日起执行财政部</w:t>
      </w:r>
      <w:r>
        <w:rPr>
          <w:rFonts w:ascii="Times New Roman" w:hAnsi="Times New Roman" w:cs="Times New Roman" w:eastAsia="Times New Roman" w:hint="default"/>
        </w:rPr>
        <w:t>2019</w:t>
      </w:r>
      <w:r>
        <w:rPr/>
        <w:t>年修订的《企业会计准则第</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spacing w:val="-3"/>
        </w:rPr>
        <w:t>号</w:t>
      </w:r>
      <w:r>
        <w:rPr>
          <w:rFonts w:ascii="Times New Roman" w:hAnsi="Times New Roman" w:cs="Times New Roman" w:eastAsia="Times New Roman" w:hint="default"/>
          <w:spacing w:val="-3"/>
        </w:rPr>
        <w:t>——</w:t>
      </w:r>
      <w:r>
        <w:rPr>
          <w:spacing w:val="-3"/>
        </w:rPr>
        <w:t>债务重组》。该项会计</w:t>
      </w:r>
      <w:r>
        <w:rPr>
          <w:w w:val="100"/>
        </w:rPr>
        <w:t> </w:t>
      </w:r>
      <w:r>
        <w:rPr>
          <w:spacing w:val="-2"/>
        </w:rPr>
        <w:t>政策变更采用未来适用法处理，并根据准则的规定对于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日至准则实施日之间发生的非货币性资</w:t>
      </w:r>
      <w:r>
        <w:rPr>
          <w:spacing w:val="-38"/>
        </w:rPr>
        <w:t> </w:t>
      </w:r>
      <w:r>
        <w:rPr>
          <w:spacing w:val="-38"/>
        </w:rPr>
      </w:r>
      <w:r>
        <w:rPr/>
        <w:t>产交换和债务重组进行调整。</w:t>
      </w:r>
    </w:p>
    <w:p>
      <w:pPr>
        <w:pStyle w:val="Heading6"/>
        <w:spacing w:line="240" w:lineRule="auto" w:before="22"/>
        <w:ind w:left="573" w:right="1033"/>
        <w:jc w:val="left"/>
      </w:pPr>
      <w:r>
        <w:rPr/>
        <w:t>本公司首次执行上述准则对财务报表无影响。</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年起执行新金融工具准则、新收入准则或新租赁准则调整执行当年年初财务报表相关项目情况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1,329,870,820.76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1,330,609,282.00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738,461.24</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320,000,100.00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320,000,100.00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70,983,965.08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70,983,965.08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332,465,986.93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332,465,986.93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25,219,758.12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25,219,758.12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20,941,772.99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20,203,311.75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-738,461.24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738,461.24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-738,461.24</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268,418,278.53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268,418,278.53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7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462,884,719.30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142,884,619.30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-320,000,100.00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2,510,785,301.71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2,510,785,301.71</w:t>
            </w:r>
            <w:r>
              <w:rPr>
                <w:rFonts w:ascii="Times New Roman"/>
                <w:sz w:val="18"/>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8,429,417.89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8,429,417.89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405,312,497.19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405,312,497.19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42,281,739.98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42,281,739.98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1,094,841,722.26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1,094,841,722.26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27,856,006.85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27,856,006.85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20,881,806.86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20,881,806.86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12,087.63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12,087.63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1,649,615,278.66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1,649,615,278.66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4,160,400,580.37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4,160,400,580.37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86,222,852.24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86,222,852.24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227,687,142.13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227,687,142.13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19,606,130.50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19,606,130.50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56,437,170.72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56,437,170.72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26,761,901.80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26,761,901.80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177,593,143.15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177,593,143.15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17,938,729.86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17,938,729.86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6,732,119.40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6,732,119.40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509,576,724.13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509,576,724.13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1,912,885,064.67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1,912,885,064.67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23,980,654.70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23,980,654.70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2,731,614.96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2,731,614.96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126,712,269.66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126,712,269.66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2,039,597,334.33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2,039,597,334.33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477,897,755.00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477,897,755.00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94"/>
        <w:gridCol w:w="2464"/>
        <w:gridCol w:w="2456"/>
        <w:gridCol w:w="2453"/>
      </w:tblGrid>
      <w:tr>
        <w:trPr>
          <w:trHeight w:val="401"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907,618,858.64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907,618,858.64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8,108,708.97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8,108,708.97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-742,793.98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-742,793.98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54,522,847.29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54,522,847.29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667,961,389.07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667,961,389.07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2,099,149,347.05</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21,653,898.99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21,653,898.99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2,120,803,246.04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2,120,803,246.04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4,160,400,580.37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4,160,400,580.37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pStyle w:val="BodyText"/>
        <w:spacing w:line="348" w:lineRule="auto" w:before="49"/>
        <w:ind w:right="-19"/>
        <w:jc w:val="left"/>
      </w:pPr>
      <w:r>
        <w:rPr/>
        <w:t>调整情况说明 见（</w:t>
      </w:r>
      <w:r>
        <w:rPr>
          <w:rFonts w:ascii="Times New Roman" w:hAnsi="Times New Roman" w:cs="Times New Roman" w:eastAsia="Times New Roman" w:hint="default"/>
        </w:rPr>
        <w:t>1</w:t>
      </w:r>
      <w:r>
        <w:rPr/>
        <w:t>）重要会计政策变更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225" w:space="6695"/>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397,475,695.04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397,475,695.04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27,773,815.42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27,773,815.42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3,872,414.97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3,872,414.97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4,693,931.34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4,693,931.34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192,468,416.81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192,468,416.81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626,284,273.58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626,284,273.58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11,145,918.82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11,145,918.82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2,520,930,580.88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2,520,930,580.88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23,184,374.19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23,184,374.19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3,337,597.82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3,337,597.82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5,173,823.45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5,173,823.45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2,613,772,295.16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2,613,772,295.16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3,240,056,568.74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3,240,056,568.74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8,144,728.85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8,144,728.85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2,894,386.55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2,894,386.55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4,014,062.80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4,014,062.80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757,566.03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757,566.03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430,769,070.55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430,769,070.55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7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509,576,724.13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509,576,724.13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1,414,156,538.91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1,414,156,538.91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10,264,428.87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10,264,428.87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110,264,428.87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110,264,428.87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1,524,420,967.78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1,524,420,967.78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477,897,755.00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477,897,755.00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918,458,422.02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918,458,422.02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8,108,708.97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8,108,708.97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94"/>
        <w:gridCol w:w="2464"/>
        <w:gridCol w:w="2456"/>
        <w:gridCol w:w="2453"/>
      </w:tblGrid>
      <w:tr>
        <w:trPr>
          <w:trHeight w:val="401"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54,522,847.29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54,522,847.29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272,865,285.62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272,865,285.62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1,715,635,600.96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1,715,635,600.96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3,240,056,568.74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1,715,635,600.96</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683"/>
        <w:jc w:val="left"/>
      </w:pPr>
      <w:r>
        <w:rPr/>
        <w:t>调整情况说明 见（</w:t>
      </w:r>
      <w:r>
        <w:rPr>
          <w:rFonts w:ascii="Times New Roman" w:hAnsi="Times New Roman" w:cs="Times New Roman" w:eastAsia="Times New Roman" w:hint="default"/>
        </w:rPr>
        <w:t>1</w:t>
      </w:r>
      <w:r>
        <w:rPr/>
        <w:t>）重要会计政策变更</w:t>
      </w:r>
    </w:p>
    <w:p>
      <w:pPr>
        <w:spacing w:line="240" w:lineRule="auto" w:before="8"/>
        <w:rPr>
          <w:rFonts w:ascii="宋体" w:hAnsi="宋体" w:cs="宋体" w:eastAsia="宋体" w:hint="default"/>
          <w:sz w:val="13"/>
          <w:szCs w:val="13"/>
        </w:rPr>
      </w:pPr>
    </w:p>
    <w:p>
      <w:pPr>
        <w:pStyle w:val="Heading5"/>
        <w:spacing w:line="240" w:lineRule="auto"/>
        <w:ind w:right="1033"/>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年起执行新金融工具准则或新租赁准则追溯调整前期比较数据说明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3" w:right="9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45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18"/>
          <w:szCs w:val="18"/>
        </w:rPr>
        <w:t>不适用。</w:t>
      </w:r>
    </w:p>
    <w:p>
      <w:pPr>
        <w:pStyle w:val="Heading4"/>
        <w:spacing w:line="240" w:lineRule="auto" w:before="72"/>
        <w:ind w:right="1033"/>
        <w:jc w:val="left"/>
        <w:rPr>
          <w:b w:val="0"/>
          <w:bCs w:val="0"/>
        </w:rPr>
      </w:pPr>
      <w:r>
        <w:rPr/>
        <w:t>六、税项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3"/>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销售货物、应税销售服务收入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25.17%</w:t>
            </w:r>
          </w:p>
        </w:tc>
      </w:tr>
      <w:tr>
        <w:trPr>
          <w:trHeight w:val="394"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2D2D2"/>
              <w:right w:val="single" w:sz="4" w:space="0" w:color="000000"/>
            </w:tcBorders>
          </w:tcPr>
          <w:p>
            <w:pPr/>
          </w:p>
        </w:tc>
        <w:tc>
          <w:tcPr>
            <w:tcW w:w="3191"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1025"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房产原值或租金收入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为纳税基准，税率为 </w:t>
            </w:r>
            <w:r>
              <w:rPr>
                <w:rFonts w:ascii="Times New Roman" w:hAnsi="Times New Roman" w:cs="Times New Roman" w:eastAsia="Times New Roman" w:hint="default"/>
                <w:sz w:val="18"/>
                <w:szCs w:val="18"/>
              </w:rPr>
              <w:t>1.2%</w:t>
            </w:r>
            <w:r>
              <w:rPr>
                <w:rFonts w:ascii="宋体" w:hAnsi="宋体" w:cs="宋体" w:eastAsia="宋体" w:hint="default"/>
                <w:sz w:val="18"/>
                <w:szCs w:val="18"/>
              </w:rPr>
              <w:t>，或以租金收入为纳税基准，税率 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p>
        </w:tc>
      </w:tr>
    </w:tbl>
    <w:p>
      <w:pPr>
        <w:pStyle w:val="BodyText"/>
        <w:spacing w:line="240" w:lineRule="auto" w:before="49"/>
        <w:ind w:right="1033"/>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浙江中正智能科技有限公司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深圳市新国都支付技术有限公司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Nexgo,Inc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详见附注六</w:t>
            </w:r>
            <w:r>
              <w:rPr>
                <w:rFonts w:ascii="宋体" w:hAnsi="宋体" w:cs="宋体" w:eastAsia="宋体" w:hint="default"/>
                <w:spacing w:val="-92"/>
                <w:sz w:val="18"/>
                <w:szCs w:val="18"/>
              </w:rPr>
              <w:t>、</w:t>
            </w:r>
            <w:r>
              <w:rPr>
                <w:rFonts w:ascii="宋体" w:hAnsi="宋体" w:cs="宋体" w:eastAsia="宋体" w:hint="default"/>
                <w:sz w:val="18"/>
                <w:szCs w:val="18"/>
              </w:rPr>
              <w:t>（一</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长沙公信诚丰信息技术服务有限公司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深圳市新国都末微技术服务有限公司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长沙法度互联网科技有限公司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NEXGO DO BRASIL </w:t>
            </w:r>
            <w:r>
              <w:rPr>
                <w:rFonts w:ascii="Times New Roman"/>
                <w:spacing w:val="-4"/>
                <w:sz w:val="18"/>
              </w:rPr>
              <w:t>PARTICIPACOES</w:t>
            </w:r>
            <w:r>
              <w:rPr>
                <w:rFonts w:ascii="Times New Roman"/>
                <w:sz w:val="18"/>
              </w:rPr>
              <w:t> </w:t>
            </w:r>
            <w:r>
              <w:rPr>
                <w:rFonts w:ascii="Times New Roman"/>
                <w:spacing w:val="-5"/>
                <w:sz w:val="18"/>
              </w:rPr>
              <w:t>LTDA</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Nexgo Technology</w:t>
            </w:r>
            <w:r>
              <w:rPr>
                <w:rFonts w:ascii="Times New Roman"/>
                <w:spacing w:val="-25"/>
                <w:sz w:val="18"/>
              </w:rPr>
              <w:t> </w:t>
            </w:r>
            <w:r>
              <w:rPr>
                <w:rFonts w:ascii="Times New Roman"/>
                <w:sz w:val="18"/>
              </w:rPr>
              <w:t>DWC-LLC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深圳市新国都软件有限公司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Nexgo Global</w:t>
            </w:r>
            <w:r>
              <w:rPr>
                <w:rFonts w:ascii="Times New Roman"/>
                <w:spacing w:val="-11"/>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深圳市新国都商服有限公司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深圳市鼎嘉信息科技有限公司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嘉联支付有限公司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深圳市嘉联云科技有限公司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深圳市都之家科技有限公司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Nexgo India Private</w:t>
            </w:r>
            <w:r>
              <w:rPr>
                <w:rFonts w:ascii="Times New Roman"/>
                <w:spacing w:val="-8"/>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25.17%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XGD Europe S.A.</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深圳市新国都通信技术有限公司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XGD MACAU</w:t>
            </w:r>
            <w:r>
              <w:rPr>
                <w:rFonts w:ascii="Times New Roman"/>
                <w:spacing w:val="-7"/>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深圳市新国都腾云软件有限公司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6"/>
        <w:spacing w:line="256" w:lineRule="auto" w:before="0"/>
        <w:ind w:left="573" w:right="1033"/>
        <w:jc w:val="left"/>
      </w:pPr>
      <w:r>
        <w:rPr/>
        <w:t>（</w:t>
      </w:r>
      <w:r>
        <w:rPr>
          <w:rFonts w:ascii="Times New Roman" w:hAnsi="Times New Roman" w:cs="Times New Roman" w:eastAsia="Times New Roman" w:hint="default"/>
        </w:rPr>
        <w:t>1</w:t>
      </w:r>
      <w:r>
        <w:rPr/>
        <w:t>）增值税</w:t>
      </w:r>
      <w:r>
        <w:rPr>
          <w:w w:val="100"/>
        </w:rPr>
        <w:t> </w:t>
      </w:r>
      <w:r>
        <w:rPr>
          <w:spacing w:val="-5"/>
          <w:w w:val="100"/>
        </w:rPr>
        <w:t>根据</w:t>
      </w:r>
      <w:r>
        <w:rPr>
          <w:rFonts w:ascii="Times New Roman" w:hAnsi="Times New Roman" w:cs="Times New Roman" w:eastAsia="Times New Roman" w:hint="default"/>
          <w:spacing w:val="-5"/>
          <w:w w:val="100"/>
        </w:rPr>
        <w:t>2011</w:t>
      </w:r>
      <w:r>
        <w:rPr>
          <w:spacing w:val="-5"/>
          <w:w w:val="100"/>
        </w:rPr>
        <w:t>年</w:t>
      </w:r>
      <w:r>
        <w:rPr>
          <w:rFonts w:ascii="Times New Roman" w:hAnsi="Times New Roman" w:cs="Times New Roman" w:eastAsia="Times New Roman" w:hint="default"/>
          <w:spacing w:val="-5"/>
          <w:w w:val="100"/>
        </w:rPr>
        <w:t>1</w:t>
      </w:r>
      <w:r>
        <w:rPr>
          <w:spacing w:val="-5"/>
          <w:w w:val="100"/>
        </w:rPr>
        <w:t>月</w:t>
      </w:r>
      <w:r>
        <w:rPr>
          <w:rFonts w:ascii="Times New Roman" w:hAnsi="Times New Roman" w:cs="Times New Roman" w:eastAsia="Times New Roman" w:hint="default"/>
          <w:spacing w:val="-5"/>
          <w:w w:val="100"/>
        </w:rPr>
        <w:t>1</w:t>
      </w:r>
      <w:r>
        <w:rPr>
          <w:spacing w:val="-5"/>
          <w:w w:val="100"/>
        </w:rPr>
        <w:t>日起执行的财税</w:t>
      </w:r>
      <w:r>
        <w:rPr>
          <w:rFonts w:ascii="Times New Roman" w:hAnsi="Times New Roman" w:cs="Times New Roman" w:eastAsia="Times New Roman" w:hint="default"/>
          <w:spacing w:val="-5"/>
          <w:w w:val="100"/>
        </w:rPr>
        <w:t>[2011]100</w:t>
      </w:r>
      <w:r>
        <w:rPr>
          <w:spacing w:val="-5"/>
          <w:w w:val="100"/>
        </w:rPr>
        <w:t>号《财政部、国家税务总局关于软件产品增值税政策的通知》</w:t>
      </w:r>
    </w:p>
    <w:p>
      <w:pPr>
        <w:pStyle w:val="Heading6"/>
        <w:spacing w:line="256" w:lineRule="auto" w:before="5"/>
        <w:ind w:right="1033"/>
        <w:jc w:val="left"/>
      </w:pPr>
      <w:r>
        <w:rPr>
          <w:spacing w:val="-2"/>
        </w:rPr>
        <w:t>的有关规定，增值税一般纳税人销售其自行开发生产的软件产品，按</w:t>
      </w:r>
      <w:r>
        <w:rPr>
          <w:rFonts w:ascii="Times New Roman" w:hAnsi="Times New Roman" w:cs="Times New Roman" w:eastAsia="Times New Roman" w:hint="default"/>
          <w:spacing w:val="-2"/>
        </w:rPr>
        <w:t>17%</w:t>
      </w:r>
      <w:r>
        <w:rPr>
          <w:spacing w:val="-2"/>
        </w:rPr>
        <w:t>税率征收增值税后，对其增值税</w:t>
      </w:r>
      <w:r>
        <w:rPr>
          <w:spacing w:val="-18"/>
        </w:rPr>
        <w:t> </w:t>
      </w:r>
      <w:r>
        <w:rPr>
          <w:spacing w:val="-18"/>
        </w:rPr>
      </w:r>
      <w:r>
        <w:rPr/>
        <w:t>实际税负超过</w:t>
      </w:r>
      <w:r>
        <w:rPr>
          <w:rFonts w:ascii="Times New Roman" w:hAnsi="Times New Roman" w:cs="Times New Roman" w:eastAsia="Times New Roman" w:hint="default"/>
        </w:rPr>
        <w:t>3%</w:t>
      </w:r>
      <w:r>
        <w:rPr/>
        <w:t>的部分实行即征即退政策。</w:t>
      </w:r>
    </w:p>
    <w:p>
      <w:pPr>
        <w:pStyle w:val="Heading6"/>
        <w:spacing w:line="273" w:lineRule="auto" w:before="5"/>
        <w:ind w:right="1033" w:firstLine="420"/>
        <w:jc w:val="left"/>
      </w:pPr>
      <w:r>
        <w:rPr>
          <w:spacing w:val="-2"/>
        </w:rPr>
        <w:t>深圳新国都支付技术有限公司、浙江中正智能科技有限公司、深圳市新国都软件有限公司、长沙公信</w:t>
      </w:r>
      <w:r>
        <w:rPr>
          <w:w w:val="100"/>
        </w:rPr>
        <w:t> </w:t>
      </w:r>
      <w:r>
        <w:rPr/>
        <w:t>诚丰信息技术服务有限公司、深圳市嘉联云科技有限公司均享受该税收优惠。</w:t>
      </w:r>
    </w:p>
    <w:p>
      <w:pPr>
        <w:pStyle w:val="Heading6"/>
        <w:spacing w:line="256" w:lineRule="auto"/>
        <w:ind w:right="1033" w:firstLine="420"/>
        <w:jc w:val="left"/>
      </w:pPr>
      <w:r>
        <w:rPr>
          <w:spacing w:val="-2"/>
        </w:rPr>
        <w:t>根据财政部税务总局海关总署公告</w:t>
      </w:r>
      <w:r>
        <w:rPr>
          <w:rFonts w:ascii="Times New Roman" w:hAnsi="Times New Roman" w:cs="Times New Roman" w:eastAsia="Times New Roman" w:hint="default"/>
          <w:spacing w:val="-2"/>
        </w:rPr>
        <w:t>2019</w:t>
      </w:r>
      <w:r>
        <w:rPr>
          <w:spacing w:val="-2"/>
        </w:rPr>
        <w:t>年第</w:t>
      </w:r>
      <w:r>
        <w:rPr>
          <w:rFonts w:ascii="Times New Roman" w:hAnsi="Times New Roman" w:cs="Times New Roman" w:eastAsia="Times New Roman" w:hint="default"/>
          <w:spacing w:val="-2"/>
        </w:rPr>
        <w:t>39</w:t>
      </w:r>
      <w:r>
        <w:rPr>
          <w:spacing w:val="-2"/>
        </w:rPr>
        <w:t>号自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日，允许生产、生活</w:t>
      </w:r>
      <w:r>
        <w:rPr>
          <w:w w:val="100"/>
        </w:rPr>
        <w:t> </w:t>
      </w:r>
      <w:r>
        <w:rPr/>
        <w:t>性服务业纳税人按照当期可抵扣进项税额加计</w:t>
      </w:r>
      <w:r>
        <w:rPr>
          <w:rFonts w:ascii="Times New Roman" w:hAnsi="Times New Roman" w:cs="Times New Roman" w:eastAsia="Times New Roman" w:hint="default"/>
        </w:rPr>
        <w:t>10%</w:t>
      </w:r>
      <w:r>
        <w:rPr/>
        <w:t>，抵减应纳税额（以下称加计抵减政策）。</w:t>
      </w:r>
    </w:p>
    <w:p>
      <w:pPr>
        <w:pStyle w:val="Heading6"/>
        <w:spacing w:line="273" w:lineRule="auto" w:before="5"/>
        <w:ind w:right="1033" w:firstLine="420"/>
        <w:jc w:val="left"/>
      </w:pPr>
      <w:r>
        <w:rPr>
          <w:spacing w:val="-2"/>
        </w:rPr>
        <w:t>长沙公信诚丰信息技术服务有限公司、长沙法度互联网科技有限公司、深圳市新国都商服有限公司、</w:t>
      </w:r>
      <w:r>
        <w:rPr>
          <w:w w:val="100"/>
        </w:rPr>
        <w:t> </w:t>
      </w:r>
      <w:r>
        <w:rPr/>
        <w:t>嘉联支付有限公司均享受该税收优惠。</w:t>
      </w:r>
    </w:p>
    <w:p>
      <w:pPr>
        <w:pStyle w:val="Heading6"/>
        <w:spacing w:line="256" w:lineRule="auto"/>
        <w:ind w:left="573" w:right="1033"/>
        <w:jc w:val="left"/>
      </w:pPr>
      <w:r>
        <w:rPr/>
        <w:t>（</w:t>
      </w:r>
      <w:r>
        <w:rPr>
          <w:rFonts w:ascii="Times New Roman" w:hAnsi="Times New Roman" w:cs="Times New Roman" w:eastAsia="Times New Roman" w:hint="default"/>
        </w:rPr>
        <w:t>2</w:t>
      </w:r>
      <w:r>
        <w:rPr/>
        <w:t>）企业所得税</w:t>
      </w:r>
      <w:r>
        <w:rPr>
          <w:w w:val="100"/>
        </w:rPr>
        <w:t> </w:t>
      </w:r>
      <w:r>
        <w:rPr>
          <w:spacing w:val="-3"/>
        </w:rPr>
        <w:t>本公司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31</w:t>
      </w:r>
      <w:r>
        <w:rPr>
          <w:spacing w:val="-3"/>
        </w:rPr>
        <w:t>日经复审后重新取得国家高新技术企业证书，证书编号：</w:t>
      </w:r>
      <w:r>
        <w:rPr>
          <w:rFonts w:ascii="Times New Roman" w:hAnsi="Times New Roman" w:cs="Times New Roman" w:eastAsia="Times New Roman" w:hint="default"/>
          <w:spacing w:val="-3"/>
        </w:rPr>
        <w:t>GR201744203891</w:t>
      </w:r>
      <w:r>
        <w:rPr>
          <w:spacing w:val="-3"/>
        </w:rPr>
        <w:t>，有效</w:t>
      </w:r>
    </w:p>
    <w:p>
      <w:pPr>
        <w:pStyle w:val="Heading6"/>
        <w:spacing w:line="240" w:lineRule="auto" w:before="5"/>
        <w:ind w:right="1033"/>
        <w:jc w:val="left"/>
      </w:pPr>
      <w:r>
        <w:rPr/>
        <w:t>期三年。根据国家对高新技术企业的相关优惠政策，认定合格的高新技术企业自认定当年起三年内，减按</w:t>
      </w:r>
    </w:p>
    <w:p>
      <w:pPr>
        <w:pStyle w:val="Heading6"/>
        <w:spacing w:line="240" w:lineRule="auto" w:before="37"/>
        <w:ind w:right="1033"/>
        <w:jc w:val="left"/>
      </w:pPr>
      <w:r>
        <w:rPr>
          <w:rFonts w:ascii="Times New Roman" w:hAnsi="Times New Roman" w:cs="Times New Roman" w:eastAsia="Times New Roman" w:hint="default"/>
        </w:rPr>
        <w:t>15%</w:t>
      </w:r>
      <w:r>
        <w:rPr/>
        <w:t>的所得税税率缴纳企业所得税。</w:t>
      </w:r>
      <w:r>
        <w:rPr>
          <w:rFonts w:ascii="Times New Roman" w:hAnsi="Times New Roman" w:cs="Times New Roman" w:eastAsia="Times New Roman" w:hint="default"/>
        </w:rPr>
        <w:t>2019</w:t>
      </w:r>
      <w:r>
        <w:rPr/>
        <w:t>年度本公司企业所得税税率减按</w:t>
      </w:r>
      <w:r>
        <w:rPr>
          <w:rFonts w:ascii="Times New Roman" w:hAnsi="Times New Roman" w:cs="Times New Roman" w:eastAsia="Times New Roman" w:hint="default"/>
        </w:rPr>
        <w:t>15%</w:t>
      </w:r>
      <w:r>
        <w:rPr/>
        <w:t>执行。</w:t>
      </w:r>
    </w:p>
    <w:p>
      <w:pPr>
        <w:pStyle w:val="Heading6"/>
        <w:spacing w:line="256" w:lineRule="auto" w:before="21"/>
        <w:ind w:right="1033"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日，浙江中正智能科技有限公司取得国家高新技术企业证书，证书编号：</w:t>
      </w:r>
      <w:r>
        <w:rPr>
          <w:w w:val="100"/>
        </w:rPr>
        <w:t> </w:t>
      </w:r>
      <w:r>
        <w:rPr>
          <w:rFonts w:ascii="Times New Roman" w:hAnsi="Times New Roman" w:cs="Times New Roman" w:eastAsia="Times New Roman" w:hint="default"/>
          <w:spacing w:val="-4"/>
        </w:rPr>
        <w:t>GR201733003299</w:t>
      </w:r>
      <w:r>
        <w:rPr>
          <w:spacing w:val="-4"/>
        </w:rPr>
        <w:t>，有效期三年。根据国家对高新技术企业的相关优惠政策，认定合格的高新技术企业自认</w:t>
      </w:r>
      <w:r>
        <w:rPr>
          <w:spacing w:val="-9"/>
        </w:rPr>
        <w:t> </w:t>
      </w:r>
      <w:r>
        <w:rPr>
          <w:spacing w:val="-9"/>
        </w:rPr>
      </w:r>
      <w:r>
        <w:rPr>
          <w:spacing w:val="-2"/>
        </w:rPr>
        <w:t>定当年起三年内，减按</w:t>
      </w:r>
      <w:r>
        <w:rPr>
          <w:rFonts w:ascii="Times New Roman" w:hAnsi="Times New Roman" w:cs="Times New Roman" w:eastAsia="Times New Roman" w:hint="default"/>
          <w:spacing w:val="-2"/>
        </w:rPr>
        <w:t>15%</w:t>
      </w:r>
      <w:r>
        <w:rPr>
          <w:spacing w:val="-2"/>
        </w:rPr>
        <w:t>的所得税税率缴纳企业所得税。</w:t>
      </w:r>
      <w:r>
        <w:rPr>
          <w:rFonts w:ascii="Times New Roman" w:hAnsi="Times New Roman" w:cs="Times New Roman" w:eastAsia="Times New Roman" w:hint="default"/>
          <w:spacing w:val="-2"/>
        </w:rPr>
        <w:t>2019</w:t>
      </w:r>
      <w:r>
        <w:rPr>
          <w:spacing w:val="-2"/>
        </w:rPr>
        <w:t>年度浙江中正智能科技有限公司企业所得</w:t>
      </w:r>
      <w:r>
        <w:rPr>
          <w:spacing w:val="-16"/>
        </w:rPr>
        <w:t> </w:t>
      </w:r>
      <w:r>
        <w:rPr>
          <w:spacing w:val="-16"/>
        </w:rPr>
      </w:r>
      <w:r>
        <w:rPr/>
        <w:t>税税率减按</w:t>
      </w:r>
      <w:r>
        <w:rPr>
          <w:rFonts w:ascii="Times New Roman" w:hAnsi="Times New Roman" w:cs="Times New Roman" w:eastAsia="Times New Roman" w:hint="default"/>
        </w:rPr>
        <w:t>15%</w:t>
      </w:r>
      <w:r>
        <w:rPr/>
        <w:t>执行。</w:t>
      </w:r>
    </w:p>
    <w:p>
      <w:pPr>
        <w:pStyle w:val="Heading6"/>
        <w:spacing w:line="256" w:lineRule="auto" w:before="5"/>
        <w:ind w:right="1138" w:firstLine="420"/>
        <w:jc w:val="both"/>
      </w:pPr>
      <w:r>
        <w:rPr/>
        <w:t>长沙公信诚丰信息技术服务有限公司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日被湖南省科学技术厅、湖南省财政厅、国家税务</w:t>
      </w:r>
      <w:r>
        <w:rPr>
          <w:w w:val="100"/>
        </w:rPr>
        <w:t> </w:t>
      </w:r>
      <w:r>
        <w:rPr>
          <w:spacing w:val="-2"/>
        </w:rPr>
        <w:t>总局湖南省税务局批准为高新技术企业，有效期三年</w:t>
      </w:r>
      <w:r>
        <w:rPr>
          <w:rFonts w:ascii="Times New Roman" w:hAnsi="Times New Roman" w:cs="Times New Roman" w:eastAsia="Times New Roman" w:hint="default"/>
          <w:spacing w:val="-2"/>
        </w:rPr>
        <w:t>,</w:t>
      </w:r>
      <w:r>
        <w:rPr>
          <w:spacing w:val="-2"/>
        </w:rPr>
        <w:t>高新技术企业证书编号：</w:t>
      </w:r>
      <w:r>
        <w:rPr>
          <w:rFonts w:ascii="Times New Roman" w:hAnsi="Times New Roman" w:cs="Times New Roman" w:eastAsia="Times New Roman" w:hint="default"/>
          <w:spacing w:val="-2"/>
        </w:rPr>
        <w:t>GR201843001254</w:t>
      </w:r>
      <w:r>
        <w:rPr>
          <w:spacing w:val="-2"/>
        </w:rPr>
        <w:t>。根据国</w:t>
      </w:r>
      <w:r>
        <w:rPr>
          <w:spacing w:val="-10"/>
        </w:rPr>
        <w:t> </w:t>
      </w:r>
      <w:r>
        <w:rPr>
          <w:spacing w:val="-10"/>
        </w:rPr>
      </w:r>
      <w:r>
        <w:rPr>
          <w:spacing w:val="-2"/>
        </w:rPr>
        <w:t>家对高新技术企业的相关优惠政策，认定合格的高新技术企业自认定当年起三年内，减按</w:t>
      </w:r>
      <w:r>
        <w:rPr>
          <w:rFonts w:ascii="Times New Roman" w:hAnsi="Times New Roman" w:cs="Times New Roman" w:eastAsia="Times New Roman" w:hint="default"/>
          <w:spacing w:val="-2"/>
        </w:rPr>
        <w:t>15%</w:t>
      </w:r>
      <w:r>
        <w:rPr>
          <w:spacing w:val="-2"/>
        </w:rPr>
        <w:t>的所得税税</w:t>
      </w:r>
      <w:r>
        <w:rPr>
          <w:spacing w:val="-17"/>
        </w:rPr>
        <w:t> </w:t>
      </w:r>
      <w:r>
        <w:rPr>
          <w:spacing w:val="-17"/>
        </w:rPr>
      </w:r>
      <w:r>
        <w:rPr/>
        <w:t>率缴纳企业所得税。</w:t>
      </w:r>
      <w:r>
        <w:rPr>
          <w:rFonts w:ascii="Times New Roman" w:hAnsi="Times New Roman" w:cs="Times New Roman" w:eastAsia="Times New Roman" w:hint="default"/>
        </w:rPr>
        <w:t>2019</w:t>
      </w:r>
      <w:r>
        <w:rPr/>
        <w:t>年度长沙公信诚丰信息技术有限公司企业所得税税率减按</w:t>
      </w:r>
      <w:r>
        <w:rPr>
          <w:rFonts w:ascii="Times New Roman" w:hAnsi="Times New Roman" w:cs="Times New Roman" w:eastAsia="Times New Roman" w:hint="default"/>
        </w:rPr>
        <w:t>15%</w:t>
      </w:r>
      <w:r>
        <w:rPr/>
        <w:t>执行。</w:t>
      </w:r>
    </w:p>
    <w:p>
      <w:pPr>
        <w:pStyle w:val="Heading6"/>
        <w:spacing w:line="240" w:lineRule="auto" w:before="5"/>
        <w:ind w:left="573" w:right="1033"/>
        <w:jc w:val="left"/>
      </w:pPr>
      <w:r>
        <w:rPr>
          <w:rFonts w:ascii="Times New Roman" w:hAnsi="Times New Roman" w:cs="Times New Roman" w:eastAsia="Times New Roman" w:hint="default"/>
          <w:w w:val="100"/>
        </w:rPr>
        <w:t>2017</w:t>
      </w:r>
      <w:r>
        <w:rPr>
          <w:spacing w:val="-3"/>
          <w:w w:val="100"/>
        </w:rPr>
        <w:t>年</w:t>
      </w:r>
      <w:r>
        <w:rPr>
          <w:rFonts w:ascii="Times New Roman" w:hAnsi="Times New Roman" w:cs="Times New Roman" w:eastAsia="Times New Roman" w:hint="default"/>
          <w:w w:val="100"/>
        </w:rPr>
        <w:t>10</w:t>
      </w:r>
      <w:r>
        <w:rPr>
          <w:spacing w:val="-3"/>
          <w:w w:val="100"/>
        </w:rPr>
        <w:t>月</w:t>
      </w:r>
      <w:r>
        <w:rPr>
          <w:rFonts w:ascii="Times New Roman" w:hAnsi="Times New Roman" w:cs="Times New Roman" w:eastAsia="Times New Roman" w:hint="default"/>
          <w:w w:val="100"/>
        </w:rPr>
        <w:t>31</w:t>
      </w:r>
      <w:r>
        <w:rPr>
          <w:spacing w:val="-3"/>
          <w:w w:val="100"/>
        </w:rPr>
        <w:t>日</w:t>
      </w:r>
      <w:r>
        <w:rPr>
          <w:spacing w:val="-106"/>
          <w:w w:val="100"/>
        </w:rPr>
        <w:t>，</w:t>
      </w:r>
      <w:r>
        <w:rPr>
          <w:w w:val="100"/>
        </w:rPr>
        <w:t>深</w:t>
      </w:r>
      <w:r>
        <w:rPr>
          <w:spacing w:val="-3"/>
          <w:w w:val="100"/>
        </w:rPr>
        <w:t>圳</w:t>
      </w:r>
      <w:r>
        <w:rPr>
          <w:w w:val="100"/>
        </w:rPr>
        <w:t>市</w:t>
      </w:r>
      <w:r>
        <w:rPr>
          <w:spacing w:val="-3"/>
          <w:w w:val="100"/>
        </w:rPr>
        <w:t>新</w:t>
      </w:r>
      <w:r>
        <w:rPr>
          <w:w w:val="100"/>
        </w:rPr>
        <w:t>国都</w:t>
      </w:r>
      <w:r>
        <w:rPr>
          <w:spacing w:val="-3"/>
          <w:w w:val="100"/>
        </w:rPr>
        <w:t>支</w:t>
      </w:r>
      <w:r>
        <w:rPr>
          <w:w w:val="100"/>
        </w:rPr>
        <w:t>付</w:t>
      </w:r>
      <w:r>
        <w:rPr>
          <w:spacing w:val="-3"/>
          <w:w w:val="100"/>
        </w:rPr>
        <w:t>技</w:t>
      </w:r>
      <w:r>
        <w:rPr>
          <w:w w:val="100"/>
        </w:rPr>
        <w:t>术</w:t>
      </w:r>
      <w:r>
        <w:rPr>
          <w:spacing w:val="-3"/>
          <w:w w:val="100"/>
        </w:rPr>
        <w:t>有</w:t>
      </w:r>
      <w:r>
        <w:rPr>
          <w:w w:val="100"/>
        </w:rPr>
        <w:t>限</w:t>
      </w:r>
      <w:r>
        <w:rPr>
          <w:spacing w:val="-3"/>
          <w:w w:val="100"/>
        </w:rPr>
        <w:t>公</w:t>
      </w:r>
      <w:r>
        <w:rPr>
          <w:w w:val="100"/>
        </w:rPr>
        <w:t>司</w:t>
      </w:r>
      <w:r>
        <w:rPr>
          <w:spacing w:val="-3"/>
          <w:w w:val="100"/>
        </w:rPr>
        <w:t>取</w:t>
      </w:r>
      <w:r>
        <w:rPr>
          <w:w w:val="100"/>
        </w:rPr>
        <w:t>得证</w:t>
      </w:r>
      <w:r>
        <w:rPr>
          <w:spacing w:val="-3"/>
          <w:w w:val="100"/>
        </w:rPr>
        <w:t>书</w:t>
      </w:r>
      <w:r>
        <w:rPr>
          <w:w w:val="100"/>
        </w:rPr>
        <w:t>编</w:t>
      </w:r>
      <w:r>
        <w:rPr>
          <w:spacing w:val="-3"/>
          <w:w w:val="100"/>
        </w:rPr>
        <w:t>号为</w:t>
      </w:r>
      <w:r>
        <w:rPr>
          <w:rFonts w:ascii="Times New Roman" w:hAnsi="Times New Roman" w:cs="Times New Roman" w:eastAsia="Times New Roman" w:hint="default"/>
          <w:w w:val="100"/>
        </w:rPr>
        <w:t>G</w:t>
      </w:r>
      <w:r>
        <w:rPr>
          <w:rFonts w:ascii="Times New Roman" w:hAnsi="Times New Roman" w:cs="Times New Roman" w:eastAsia="Times New Roman" w:hint="default"/>
          <w:spacing w:val="-2"/>
          <w:w w:val="100"/>
        </w:rPr>
        <w:t>R</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442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2118</w:t>
      </w:r>
      <w:r>
        <w:rPr>
          <w:spacing w:val="-3"/>
          <w:w w:val="100"/>
        </w:rPr>
        <w:t>的</w:t>
      </w:r>
      <w:r>
        <w:rPr>
          <w:w w:val="100"/>
        </w:rPr>
        <w:t>国</w:t>
      </w:r>
      <w:r>
        <w:rPr>
          <w:spacing w:val="-3"/>
          <w:w w:val="100"/>
        </w:rPr>
        <w:t>家</w:t>
      </w:r>
      <w:r>
        <w:rPr>
          <w:w w:val="100"/>
        </w:rPr>
        <w:t>高</w:t>
      </w:r>
      <w:r>
        <w:rPr>
          <w:spacing w:val="-3"/>
          <w:w w:val="100"/>
        </w:rPr>
        <w:t>新</w:t>
      </w:r>
      <w:r>
        <w:rPr>
          <w:w w:val="100"/>
        </w:rPr>
        <w:t>技</w:t>
      </w:r>
      <w:r>
        <w:rPr>
          <w:spacing w:val="-3"/>
          <w:w w:val="100"/>
        </w:rPr>
        <w:t>术</w:t>
      </w:r>
      <w:r>
        <w:rPr>
          <w:w w:val="100"/>
        </w:rPr>
        <w:t>企</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56" w:lineRule="auto" w:before="36"/>
        <w:ind w:left="573" w:right="1033" w:hanging="420"/>
        <w:jc w:val="left"/>
      </w:pPr>
      <w:r>
        <w:rPr/>
        <w:t>业证书，</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的税率缴纳企业所得税。</w:t>
      </w:r>
      <w:r>
        <w:rPr>
          <w:w w:val="100"/>
        </w:rPr>
        <w:t> </w:t>
      </w:r>
      <w:r>
        <w:rPr>
          <w:spacing w:val="-2"/>
        </w:rPr>
        <w:t>嘉联支付有限公司，根据财税（</w:t>
      </w:r>
      <w:r>
        <w:rPr>
          <w:rFonts w:ascii="Times New Roman" w:hAnsi="Times New Roman" w:cs="Times New Roman" w:eastAsia="Times New Roman" w:hint="default"/>
          <w:spacing w:val="-2"/>
        </w:rPr>
        <w:t>2008</w:t>
      </w:r>
      <w:r>
        <w:rPr>
          <w:spacing w:val="-2"/>
        </w:rPr>
        <w:t>）第</w:t>
      </w:r>
      <w:r>
        <w:rPr>
          <w:rFonts w:ascii="Times New Roman" w:hAnsi="Times New Roman" w:cs="Times New Roman" w:eastAsia="Times New Roman" w:hint="default"/>
          <w:spacing w:val="-2"/>
        </w:rPr>
        <w:t>001</w:t>
      </w:r>
      <w:r>
        <w:rPr>
          <w:spacing w:val="-2"/>
        </w:rPr>
        <w:t>号，财税（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spacing w:val="-2"/>
        </w:rPr>
        <w:t>号以及国家税务总局</w:t>
      </w:r>
      <w:r>
        <w:rPr>
          <w:rFonts w:ascii="Times New Roman" w:hAnsi="Times New Roman" w:cs="Times New Roman" w:eastAsia="Times New Roman" w:hint="default"/>
          <w:spacing w:val="-2"/>
        </w:rPr>
        <w:t>2013</w:t>
      </w:r>
      <w:r>
        <w:rPr>
          <w:spacing w:val="-2"/>
        </w:rPr>
        <w:t>年第</w:t>
      </w:r>
      <w:r>
        <w:rPr>
          <w:rFonts w:ascii="Times New Roman" w:hAnsi="Times New Roman" w:cs="Times New Roman" w:eastAsia="Times New Roman" w:hint="default"/>
          <w:spacing w:val="-2"/>
        </w:rPr>
        <w:t>43</w:t>
      </w:r>
      <w:r>
        <w:rPr>
          <w:spacing w:val="-2"/>
        </w:rPr>
        <w:t>号</w:t>
      </w:r>
    </w:p>
    <w:p>
      <w:pPr>
        <w:pStyle w:val="Heading6"/>
        <w:spacing w:line="256" w:lineRule="auto" w:before="5"/>
        <w:ind w:left="573" w:right="1033" w:hanging="420"/>
        <w:jc w:val="left"/>
        <w:rPr>
          <w:rFonts w:ascii="Times New Roman" w:hAnsi="Times New Roman" w:cs="Times New Roman" w:eastAsia="Times New Roman" w:hint="default"/>
        </w:rPr>
      </w:pPr>
      <w:r>
        <w:rPr>
          <w:spacing w:val="-2"/>
        </w:rPr>
        <w:t>公告文件，符合软件企业的认定条件，可以享受两免三减半的所得税优惠，</w:t>
      </w:r>
      <w:r>
        <w:rPr>
          <w:rFonts w:ascii="Times New Roman" w:hAnsi="Times New Roman" w:cs="Times New Roman" w:eastAsia="Times New Roman" w:hint="default"/>
          <w:spacing w:val="-2"/>
        </w:rPr>
        <w:t>2019</w:t>
      </w:r>
      <w:r>
        <w:rPr>
          <w:spacing w:val="-2"/>
        </w:rPr>
        <w:t>年减半缴纳企业所得税。</w:t>
      </w:r>
      <w:r>
        <w:rPr>
          <w:spacing w:val="-20"/>
        </w:rPr>
        <w:t> </w:t>
      </w:r>
      <w:r>
        <w:rPr>
          <w:spacing w:val="-20"/>
        </w:rPr>
      </w:r>
      <w:r>
        <w:rPr/>
        <w:t>深圳市新国都软件有限公司，根据财税（</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001</w:t>
      </w:r>
      <w:r>
        <w:rPr/>
        <w:t>号，财税（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号以及国家税务总局</w:t>
      </w:r>
      <w:r>
        <w:rPr>
          <w:rFonts w:ascii="Times New Roman" w:hAnsi="Times New Roman" w:cs="Times New Roman" w:eastAsia="Times New Roman" w:hint="default"/>
        </w:rPr>
        <w:t>2013</w:t>
      </w:r>
    </w:p>
    <w:p>
      <w:pPr>
        <w:pStyle w:val="Heading6"/>
        <w:spacing w:line="256" w:lineRule="auto" w:before="5"/>
        <w:ind w:right="1033"/>
        <w:jc w:val="left"/>
      </w:pPr>
      <w:r>
        <w:rPr>
          <w:spacing w:val="-2"/>
        </w:rPr>
        <w:t>年第</w:t>
      </w:r>
      <w:r>
        <w:rPr>
          <w:rFonts w:ascii="Times New Roman" w:hAnsi="Times New Roman" w:cs="Times New Roman" w:eastAsia="Times New Roman" w:hint="default"/>
          <w:spacing w:val="-2"/>
        </w:rPr>
        <w:t>43</w:t>
      </w:r>
      <w:r>
        <w:rPr>
          <w:spacing w:val="-2"/>
        </w:rPr>
        <w:t>号公告文件，符合软件企业的认定条件，可以享受两免三减半的所得税优惠，</w:t>
      </w:r>
      <w:r>
        <w:rPr>
          <w:rFonts w:ascii="Times New Roman" w:hAnsi="Times New Roman" w:cs="Times New Roman" w:eastAsia="Times New Roman" w:hint="default"/>
          <w:spacing w:val="-2"/>
        </w:rPr>
        <w:t>2019</w:t>
      </w:r>
      <w:r>
        <w:rPr>
          <w:spacing w:val="-2"/>
        </w:rPr>
        <w:t>年度免交企业所</w:t>
      </w:r>
      <w:r>
        <w:rPr>
          <w:spacing w:val="-37"/>
        </w:rPr>
        <w:t> </w:t>
      </w:r>
      <w:r>
        <w:rPr>
          <w:spacing w:val="-37"/>
        </w:rPr>
      </w:r>
      <w:r>
        <w:rPr/>
        <w:t>得税。</w:t>
      </w:r>
    </w:p>
    <w:p>
      <w:pPr>
        <w:pStyle w:val="Heading6"/>
        <w:spacing w:line="256" w:lineRule="auto" w:before="22"/>
        <w:ind w:right="1033" w:firstLine="420"/>
        <w:jc w:val="left"/>
      </w:pPr>
      <w:r>
        <w:rPr>
          <w:spacing w:val="-2"/>
        </w:rPr>
        <w:t>深圳市新国都末微技术服务有限公司，根据财税【</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13</w:t>
      </w:r>
      <w:r>
        <w:rPr>
          <w:spacing w:val="-2"/>
        </w:rPr>
        <w:t>号文件，符合小型微利企业的认定条件，</w:t>
      </w:r>
      <w:r>
        <w:rPr>
          <w:w w:val="100"/>
        </w:rPr>
        <w:t> </w:t>
      </w:r>
      <w:r>
        <w:rPr>
          <w:spacing w:val="-2"/>
        </w:rPr>
        <w:t>对于年应纳税所得额不超过</w:t>
      </w:r>
      <w:r>
        <w:rPr>
          <w:rFonts w:ascii="Times New Roman" w:hAnsi="Times New Roman" w:cs="Times New Roman" w:eastAsia="Times New Roman" w:hint="default"/>
          <w:spacing w:val="-2"/>
        </w:rPr>
        <w:t>100</w:t>
      </w:r>
      <w:r>
        <w:rPr>
          <w:spacing w:val="-2"/>
        </w:rPr>
        <w:t>万元的部分，减按</w:t>
      </w:r>
      <w:r>
        <w:rPr>
          <w:rFonts w:ascii="Times New Roman" w:hAnsi="Times New Roman" w:cs="Times New Roman" w:eastAsia="Times New Roman" w:hint="default"/>
          <w:spacing w:val="-2"/>
        </w:rPr>
        <w:t>25%</w:t>
      </w:r>
      <w:r>
        <w:rPr>
          <w:spacing w:val="-2"/>
        </w:rPr>
        <w:t>计入应纳税所得额，按</w:t>
      </w:r>
      <w:r>
        <w:rPr>
          <w:rFonts w:ascii="Times New Roman" w:hAnsi="Times New Roman" w:cs="Times New Roman" w:eastAsia="Times New Roman" w:hint="default"/>
          <w:spacing w:val="-2"/>
        </w:rPr>
        <w:t>20%</w:t>
      </w:r>
      <w:r>
        <w:rPr>
          <w:spacing w:val="-2"/>
        </w:rPr>
        <w:t>的税率缴纳企业所得税；</w:t>
      </w:r>
      <w:r>
        <w:rPr>
          <w:spacing w:val="-15"/>
        </w:rPr>
        <w:t> </w:t>
      </w:r>
      <w:r>
        <w:rPr>
          <w:spacing w:val="-15"/>
        </w:rPr>
      </w:r>
      <w:r>
        <w:rPr/>
        <w:t>对年应纳税所得额超过</w:t>
      </w:r>
      <w:r>
        <w:rPr>
          <w:rFonts w:ascii="Times New Roman" w:hAnsi="Times New Roman" w:cs="Times New Roman" w:eastAsia="Times New Roman" w:hint="default"/>
        </w:rPr>
        <w:t>100</w:t>
      </w:r>
      <w:r>
        <w:rPr/>
        <w:t>万元但不超过</w:t>
      </w:r>
      <w:r>
        <w:rPr>
          <w:rFonts w:ascii="Times New Roman" w:hAnsi="Times New Roman" w:cs="Times New Roman" w:eastAsia="Times New Roman" w:hint="default"/>
        </w:rPr>
        <w:t>300</w:t>
      </w:r>
      <w:r>
        <w:rPr/>
        <w:t>万元的部分，减按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w:t>
      </w:r>
      <w:r>
        <w:rPr>
          <w:w w:val="100"/>
        </w:rPr>
        <w:t> </w:t>
      </w:r>
      <w:r>
        <w:rPr/>
        <w:t>企业所得税。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5"/>
        <w:spacing w:line="240" w:lineRule="auto"/>
        <w:ind w:right="10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033"/>
        <w:jc w:val="left"/>
      </w:pPr>
      <w:r>
        <w:rPr>
          <w:rFonts w:ascii="Times New Roman" w:hAnsi="Times New Roman" w:cs="Times New Roman" w:eastAsia="Times New Roman" w:hint="default"/>
          <w:spacing w:val="-3"/>
          <w:w w:val="99"/>
        </w:rPr>
        <w:t>Nexgo,Inc.</w:t>
      </w:r>
      <w:r>
        <w:rPr>
          <w:spacing w:val="-3"/>
          <w:w w:val="99"/>
        </w:rPr>
        <w:t>企业所得税为联邦所得税和加利福尼亚州所得税，其中联邦所得税税率为</w:t>
      </w:r>
      <w:r>
        <w:rPr>
          <w:rFonts w:ascii="Times New Roman" w:hAnsi="Times New Roman" w:cs="Times New Roman" w:eastAsia="Times New Roman" w:hint="default"/>
          <w:spacing w:val="-3"/>
          <w:w w:val="99"/>
        </w:rPr>
        <w:t>21%</w:t>
      </w:r>
      <w:r>
        <w:rPr>
          <w:spacing w:val="-3"/>
          <w:w w:val="99"/>
        </w:rPr>
        <w:t>，加利福尼亚州所得税税率为</w:t>
      </w:r>
      <w:r>
        <w:rPr>
          <w:rFonts w:ascii="Times New Roman" w:hAnsi="Times New Roman" w:cs="Times New Roman" w:eastAsia="Times New Roman" w:hint="default"/>
          <w:spacing w:val="-3"/>
          <w:w w:val="99"/>
        </w:rPr>
        <w:t>8.84%</w:t>
      </w:r>
      <w:r>
        <w:rPr>
          <w:spacing w:val="-3"/>
          <w:w w:val="99"/>
        </w:rPr>
        <w:t>。</w:t>
      </w:r>
      <w:r>
        <w:rPr>
          <w:spacing w:val="-49"/>
          <w:w w:val="99"/>
        </w:rPr>
        <w:t> </w:t>
      </w:r>
      <w:r>
        <w:rPr>
          <w:rFonts w:ascii="Times New Roman" w:hAnsi="Times New Roman" w:cs="Times New Roman" w:eastAsia="Times New Roman" w:hint="default"/>
        </w:rPr>
        <w:t>NEXGO DO BRASIL PARTICIPACOES</w:t>
      </w:r>
      <w:r>
        <w:rPr>
          <w:rFonts w:ascii="Times New Roman" w:hAnsi="Times New Roman" w:cs="Times New Roman" w:eastAsia="Times New Roman" w:hint="default"/>
          <w:spacing w:val="-7"/>
        </w:rPr>
        <w:t> </w:t>
      </w:r>
      <w:r>
        <w:rPr>
          <w:rFonts w:ascii="Times New Roman" w:hAnsi="Times New Roman" w:cs="Times New Roman" w:eastAsia="Times New Roman" w:hint="default"/>
        </w:rPr>
        <w:t>LTDA</w:t>
      </w:r>
      <w:r>
        <w:rPr/>
        <w:t>企业所得税税率为</w:t>
      </w:r>
      <w:r>
        <w:rPr>
          <w:rFonts w:ascii="Times New Roman" w:hAnsi="Times New Roman" w:cs="Times New Roman" w:eastAsia="Times New Roman" w:hint="default"/>
        </w:rPr>
        <w:t>15%</w:t>
      </w:r>
      <w:r>
        <w:rPr/>
        <w:t>。</w:t>
      </w:r>
    </w:p>
    <w:p>
      <w:pPr>
        <w:pStyle w:val="BodyText"/>
        <w:spacing w:line="240" w:lineRule="auto" w:before="13"/>
        <w:ind w:right="1033"/>
        <w:jc w:val="left"/>
      </w:pPr>
      <w:r>
        <w:rPr>
          <w:rFonts w:ascii="Times New Roman" w:hAnsi="Times New Roman" w:cs="Times New Roman" w:eastAsia="Times New Roman" w:hint="default"/>
        </w:rPr>
        <w:t>Nexgo India Private</w:t>
      </w:r>
      <w:r>
        <w:rPr>
          <w:rFonts w:ascii="Times New Roman" w:hAnsi="Times New Roman" w:cs="Times New Roman" w:eastAsia="Times New Roman" w:hint="default"/>
          <w:spacing w:val="-14"/>
        </w:rPr>
        <w:t> </w:t>
      </w:r>
      <w:r>
        <w:rPr>
          <w:rFonts w:ascii="Times New Roman" w:hAnsi="Times New Roman" w:cs="Times New Roman" w:eastAsia="Times New Roman" w:hint="default"/>
        </w:rPr>
        <w:t>Ltd.</w:t>
      </w:r>
      <w:r>
        <w:rPr/>
        <w:t>企业所得税税率为</w:t>
      </w:r>
      <w:r>
        <w:rPr>
          <w:rFonts w:ascii="Times New Roman" w:hAnsi="Times New Roman" w:cs="Times New Roman" w:eastAsia="Times New Roman" w:hint="default"/>
        </w:rPr>
        <w:t>25.17%</w:t>
      </w:r>
      <w:r>
        <w:rPr/>
        <w:t>，按费用发生额的</w:t>
      </w:r>
      <w:r>
        <w:rPr>
          <w:rFonts w:ascii="Times New Roman" w:hAnsi="Times New Roman" w:cs="Times New Roman" w:eastAsia="Times New Roman" w:hint="default"/>
        </w:rPr>
        <w:t>18%</w:t>
      </w:r>
      <w:r>
        <w:rPr/>
        <w:t>和</w:t>
      </w:r>
      <w:r>
        <w:rPr>
          <w:rFonts w:ascii="Times New Roman" w:hAnsi="Times New Roman" w:cs="Times New Roman" w:eastAsia="Times New Roman" w:hint="default"/>
        </w:rPr>
        <w:t>10%</w:t>
      </w:r>
      <w:r>
        <w:rPr/>
        <w:t>分别缴纳</w:t>
      </w:r>
      <w:r>
        <w:rPr>
          <w:rFonts w:ascii="Times New Roman" w:hAnsi="Times New Roman" w:cs="Times New Roman" w:eastAsia="Times New Roman" w:hint="default"/>
        </w:rPr>
        <w:t>GST</w:t>
      </w:r>
      <w:r>
        <w:rPr/>
        <w:t>和</w:t>
      </w:r>
      <w:r>
        <w:rPr>
          <w:rFonts w:ascii="Times New Roman" w:hAnsi="Times New Roman" w:cs="Times New Roman" w:eastAsia="Times New Roman" w:hint="default"/>
        </w:rPr>
        <w:t>TDS</w:t>
      </w:r>
      <w:r>
        <w:rPr/>
        <w:t>税。</w:t>
      </w:r>
    </w:p>
    <w:p>
      <w:pPr>
        <w:spacing w:line="240" w:lineRule="auto" w:before="5"/>
        <w:rPr>
          <w:rFonts w:ascii="宋体" w:hAnsi="宋体" w:cs="宋体" w:eastAsia="宋体" w:hint="default"/>
          <w:sz w:val="18"/>
          <w:szCs w:val="18"/>
        </w:rPr>
      </w:pPr>
    </w:p>
    <w:p>
      <w:pPr>
        <w:pStyle w:val="Heading4"/>
        <w:spacing w:line="240" w:lineRule="auto"/>
        <w:ind w:right="1033"/>
        <w:jc w:val="left"/>
        <w:rPr>
          <w:b w:val="0"/>
          <w:bCs w:val="0"/>
        </w:rPr>
      </w:pPr>
      <w:r>
        <w:rPr/>
        <w:t>七、合并财务报表项目注释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20,523.49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646,929.87</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985,717,573.85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1,216,285,900.88</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195,645,997.93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113,676,451.25</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1,181,384,095.27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1,330,609,282.00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9,290,652.47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12,890,698.14</w:t>
            </w:r>
          </w:p>
        </w:tc>
      </w:tr>
      <w:tr>
        <w:trPr>
          <w:trHeight w:val="715"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3"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033"/>
        <w:jc w:val="left"/>
      </w:pPr>
      <w:r>
        <w:rPr/>
        <w:t>其他说明</w:t>
      </w:r>
    </w:p>
    <w:p>
      <w:pPr>
        <w:spacing w:line="240" w:lineRule="auto" w:before="6"/>
        <w:rPr>
          <w:rFonts w:ascii="宋体" w:hAnsi="宋体" w:cs="宋体" w:eastAsia="宋体" w:hint="default"/>
          <w:sz w:val="13"/>
          <w:szCs w:val="13"/>
        </w:rPr>
      </w:pPr>
    </w:p>
    <w:p>
      <w:pPr>
        <w:pStyle w:val="Heading6"/>
        <w:spacing w:line="240" w:lineRule="auto" w:before="0"/>
        <w:ind w:right="1033"/>
        <w:jc w:val="left"/>
      </w:pPr>
      <w:r>
        <w:rPr>
          <w:spacing w:val="3"/>
        </w:rPr>
        <w:t>截止</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日，其他货币资金期末余额中包含①证券账户资金</w:t>
      </w:r>
      <w:r>
        <w:rPr>
          <w:rFonts w:ascii="Times New Roman" w:hAnsi="Times New Roman" w:cs="Times New Roman" w:eastAsia="Times New Roman" w:hint="default"/>
          <w:spacing w:val="3"/>
        </w:rPr>
        <w:t>6,040.99</w:t>
      </w:r>
      <w:r>
        <w:rPr>
          <w:spacing w:val="3"/>
        </w:rPr>
        <w:t>元；②受限制的货币资金</w:t>
      </w:r>
    </w:p>
    <w:p>
      <w:pPr>
        <w:pStyle w:val="Heading6"/>
        <w:spacing w:line="256" w:lineRule="auto" w:before="21"/>
        <w:ind w:left="573" w:right="5817" w:hanging="420"/>
        <w:jc w:val="left"/>
      </w:pPr>
      <w:r>
        <w:rPr>
          <w:rFonts w:ascii="Times New Roman" w:hAnsi="Times New Roman" w:cs="Times New Roman" w:eastAsia="Times New Roman" w:hint="default"/>
        </w:rPr>
        <w:t>195,302,834.40</w:t>
      </w:r>
      <w:r>
        <w:rPr/>
        <w:t>元。③支付宝账户资金 </w:t>
      </w:r>
      <w:r>
        <w:rPr>
          <w:rFonts w:ascii="Times New Roman" w:hAnsi="Times New Roman" w:cs="Times New Roman" w:eastAsia="Times New Roman" w:hint="default"/>
        </w:rPr>
        <w:t>337,122.54</w:t>
      </w:r>
      <w:r>
        <w:rPr>
          <w:rFonts w:ascii="Times New Roman" w:hAnsi="Times New Roman" w:cs="Times New Roman" w:eastAsia="Times New Roman" w:hint="default"/>
          <w:spacing w:val="7"/>
        </w:rPr>
        <w:t> </w:t>
      </w:r>
      <w:r>
        <w:rPr>
          <w:spacing w:val="-3"/>
        </w:rPr>
        <w:t>元。</w:t>
      </w:r>
      <w:r>
        <w:rPr>
          <w:spacing w:val="-3"/>
          <w:w w:val="100"/>
        </w:rPr>
        <w:t> </w:t>
      </w:r>
      <w:r>
        <w:rPr/>
        <w:t>其中受限制的货币资金明细如下：</w:t>
      </w:r>
    </w:p>
    <w:p>
      <w:pPr>
        <w:spacing w:line="240" w:lineRule="auto" w:before="9"/>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524"/>
        <w:gridCol w:w="2292"/>
        <w:gridCol w:w="2492"/>
      </w:tblGrid>
      <w:tr>
        <w:trPr>
          <w:trHeight w:val="353" w:hRule="exact"/>
        </w:trPr>
        <w:tc>
          <w:tcPr>
            <w:tcW w:w="35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5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2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3,842,321.75</w:t>
            </w:r>
          </w:p>
        </w:tc>
        <w:tc>
          <w:tcPr>
            <w:tcW w:w="24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47,662,415.35</w:t>
            </w:r>
          </w:p>
        </w:tc>
      </w:tr>
      <w:tr>
        <w:trPr>
          <w:trHeight w:val="350" w:hRule="exact"/>
        </w:trPr>
        <w:tc>
          <w:tcPr>
            <w:tcW w:w="35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2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978,486.55</w:t>
            </w:r>
          </w:p>
        </w:tc>
        <w:tc>
          <w:tcPr>
            <w:tcW w:w="24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10"/>
              <w:jc w:val="right"/>
              <w:rPr>
                <w:rFonts w:ascii="Times New Roman" w:hAnsi="Times New Roman" w:cs="Times New Roman" w:eastAsia="Times New Roman" w:hint="default"/>
                <w:sz w:val="18"/>
                <w:szCs w:val="18"/>
              </w:rPr>
            </w:pPr>
            <w:r>
              <w:rPr>
                <w:rFonts w:ascii="Times New Roman"/>
                <w:spacing w:val="-1"/>
                <w:sz w:val="18"/>
              </w:rPr>
              <w:t>3,360,198.79</w:t>
            </w:r>
          </w:p>
        </w:tc>
      </w:tr>
      <w:tr>
        <w:trPr>
          <w:trHeight w:val="353" w:hRule="exact"/>
        </w:trPr>
        <w:tc>
          <w:tcPr>
            <w:tcW w:w="35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备付金</w:t>
            </w:r>
          </w:p>
        </w:tc>
        <w:tc>
          <w:tcPr>
            <w:tcW w:w="22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187,210,919.62</w:t>
            </w:r>
          </w:p>
        </w:tc>
        <w:tc>
          <w:tcPr>
            <w:tcW w:w="24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29,799,729.48</w:t>
            </w:r>
          </w:p>
        </w:tc>
      </w:tr>
      <w:tr>
        <w:trPr>
          <w:trHeight w:val="353" w:hRule="exact"/>
        </w:trPr>
        <w:tc>
          <w:tcPr>
            <w:tcW w:w="35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风险准备金</w:t>
            </w:r>
          </w:p>
        </w:tc>
        <w:tc>
          <w:tcPr>
            <w:tcW w:w="22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3,271,106.48</w:t>
            </w:r>
          </w:p>
        </w:tc>
        <w:tc>
          <w:tcPr>
            <w:tcW w:w="24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952,273.08</w:t>
            </w:r>
          </w:p>
        </w:tc>
      </w:tr>
      <w:tr>
        <w:trPr>
          <w:trHeight w:val="353" w:hRule="exact"/>
        </w:trPr>
        <w:tc>
          <w:tcPr>
            <w:tcW w:w="35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4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16,251.58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524"/>
        <w:gridCol w:w="2292"/>
        <w:gridCol w:w="2492"/>
      </w:tblGrid>
      <w:tr>
        <w:trPr>
          <w:trHeight w:val="356" w:hRule="exact"/>
        </w:trPr>
        <w:tc>
          <w:tcPr>
            <w:tcW w:w="35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1147" w:right="0"/>
              <w:jc w:val="left"/>
              <w:rPr>
                <w:rFonts w:ascii="Times New Roman" w:hAnsi="Times New Roman" w:cs="Times New Roman" w:eastAsia="Times New Roman" w:hint="default"/>
                <w:sz w:val="18"/>
                <w:szCs w:val="18"/>
              </w:rPr>
            </w:pPr>
            <w:r>
              <w:rPr>
                <w:rFonts w:ascii="Times New Roman"/>
                <w:sz w:val="18"/>
              </w:rPr>
              <w:t>195,302,834.40</w:t>
            </w:r>
          </w:p>
        </w:tc>
        <w:tc>
          <w:tcPr>
            <w:tcW w:w="24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left="1440" w:right="0"/>
              <w:jc w:val="left"/>
              <w:rPr>
                <w:rFonts w:ascii="Times New Roman" w:hAnsi="Times New Roman" w:cs="Times New Roman" w:eastAsia="Times New Roman" w:hint="default"/>
                <w:sz w:val="18"/>
                <w:szCs w:val="18"/>
              </w:rPr>
            </w:pPr>
            <w:r>
              <w:rPr>
                <w:rFonts w:ascii="Times New Roman"/>
                <w:sz w:val="18"/>
              </w:rPr>
              <w:t>81,790,868.28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335" w:lineRule="exact"/>
        <w:ind w:right="103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79"/>
        <w:gridCol w:w="3201"/>
        <w:gridCol w:w="3191"/>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320,000,100.00</w:t>
            </w:r>
          </w:p>
        </w:tc>
      </w:tr>
      <w:tr>
        <w:trPr>
          <w:trHeight w:val="40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结构性存款及理财产品</w:t>
            </w:r>
          </w:p>
        </w:tc>
        <w:tc>
          <w:tcPr>
            <w:tcW w:w="320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320,000,100.00</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320,000,100.00</w:t>
            </w:r>
          </w:p>
        </w:tc>
      </w:tr>
    </w:tbl>
    <w:p>
      <w:pPr>
        <w:pStyle w:val="BodyText"/>
        <w:spacing w:line="240" w:lineRule="auto" w:before="49"/>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94,338,229.47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70,884,205.25</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99,759.83</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94,338,229.47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70,983,965.08</w:t>
            </w:r>
          </w:p>
        </w:tc>
      </w:tr>
    </w:tbl>
    <w:p>
      <w:pPr>
        <w:pStyle w:val="BodyText"/>
        <w:spacing w:line="240" w:lineRule="auto" w:before="49"/>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3"/>
        <w:gridCol w:w="761"/>
        <w:gridCol w:w="764"/>
        <w:gridCol w:w="790"/>
        <w:gridCol w:w="775"/>
        <w:gridCol w:w="797"/>
        <w:gridCol w:w="931"/>
        <w:gridCol w:w="797"/>
        <w:gridCol w:w="792"/>
      </w:tblGrid>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1033"/>
        <w:jc w:val="left"/>
      </w:pPr>
      <w:r>
        <w:rPr/>
        <w:t>按单项计提坏账准备：</w:t>
      </w:r>
    </w:p>
    <w:p>
      <w:pPr>
        <w:spacing w:after="0" w:line="240" w:lineRule="auto"/>
        <w:jc w:val="left"/>
        <w:sectPr>
          <w:footerReference w:type="default" r:id="rId30"/>
          <w:pgSz w:w="11910" w:h="16840"/>
          <w:pgMar w:footer="1467" w:header="745" w:top="1060" w:bottom="1660" w:left="980" w:right="0"/>
          <w:pgNumType w:start="189"/>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033"/>
        <w:jc w:val="left"/>
      </w:pPr>
      <w:r>
        <w:rPr/>
        <w:t>按组合计提坏账准备：</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3"/>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5"/>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t>本期计提坏账准备情况：</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033"/>
        <w:jc w:val="left"/>
      </w:pPr>
      <w:r>
        <w:rPr/>
        <w:t>其中本期坏账准备收回或转回金额重要的：</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5"/>
        <w:spacing w:line="240" w:lineRule="auto"/>
        <w:ind w:right="1033"/>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4"/>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720,621.56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720,621.56</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after="0" w:line="240" w:lineRule="auto"/>
        <w:jc w:val="left"/>
        <w:sectPr>
          <w:pgSz w:w="11910" w:h="16840"/>
          <w:pgMar w:header="745" w:footer="1467" w:top="1060" w:bottom="1660" w:left="980" w:right="0"/>
        </w:sectPr>
      </w:pPr>
    </w:p>
    <w:p>
      <w:pPr>
        <w:spacing w:line="240" w:lineRule="auto" w:before="2"/>
        <w:rPr>
          <w:rFonts w:ascii="Microsoft JhengHei" w:hAnsi="Microsoft JhengHei" w:cs="Microsoft JhengHei" w:eastAsia="Microsoft JhengHei"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left="113" w:right="0"/>
        <w:jc w:val="left"/>
      </w:pPr>
      <w:r>
        <w:rPr/>
        <w:t>其中重要的应收票据核销情况：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left="113" w:right="0"/>
        <w:jc w:val="left"/>
      </w:pPr>
      <w:r>
        <w:rPr/>
        <w:t>应收票据核销说明：</w:t>
      </w:r>
    </w:p>
    <w:p>
      <w:pPr>
        <w:spacing w:line="240" w:lineRule="auto" w:before="1"/>
        <w:rPr>
          <w:rFonts w:ascii="宋体" w:hAnsi="宋体" w:cs="宋体" w:eastAsia="宋体" w:hint="default"/>
          <w:sz w:val="22"/>
          <w:szCs w:val="22"/>
        </w:rPr>
      </w:pPr>
    </w:p>
    <w:p>
      <w:pPr>
        <w:pStyle w:val="Heading5"/>
        <w:spacing w:line="240" w:lineRule="auto"/>
        <w:ind w:left="113"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left="113"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612"/>
        <w:gridCol w:w="775"/>
        <w:gridCol w:w="763"/>
        <w:gridCol w:w="761"/>
        <w:gridCol w:w="764"/>
        <w:gridCol w:w="790"/>
        <w:gridCol w:w="775"/>
        <w:gridCol w:w="797"/>
        <w:gridCol w:w="799"/>
        <w:gridCol w:w="790"/>
        <w:gridCol w:w="932"/>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3"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22,784,7</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65.54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13,135,0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54.04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9,649,711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8,424,676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6,852,038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1,572,638.4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515,287,</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151.30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53,513,7</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11.99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461,773,4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39.31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374,040,7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74.24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43,147,42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330,893,34</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8.52</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0" w:space="0" w:color="D2D2D2"/>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538,071,</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916.84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66,648,7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66.03</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12.39%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471,423,1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50.81</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382,465,4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51.06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49,999,46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13.07%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332,465,98</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6.93</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2D2D2"/>
              <w:right w:val="single" w:sz="4" w:space="0" w:color="000000"/>
            </w:tcBorders>
          </w:tcPr>
          <w:p>
            <w:pPr/>
          </w:p>
        </w:tc>
        <w:tc>
          <w:tcPr>
            <w:tcW w:w="763"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10" w:space="0" w:color="D2D2D2"/>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left="113" w:right="0"/>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13,135,054.04</w:t>
      </w:r>
    </w:p>
    <w:p>
      <w:pPr>
        <w:pStyle w:val="BodyText"/>
        <w:spacing w:line="240" w:lineRule="auto" w:before="103"/>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杭州至正科技有限公司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7,207,526.54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7,207,526.54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北京时代天鉴科技发展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6,271,779.00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3,135,889.50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江苏禾嘉电子科技有限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4,005,460.00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1,201,638.00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北京中天一维科技有限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江苏邦融微电子有限公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22,784,765.54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13,135,054.04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13" w:right="0"/>
        <w:jc w:val="left"/>
      </w:pPr>
      <w:r>
        <w:rPr/>
        <w:t>按单项计提坏账准备：</w:t>
      </w:r>
    </w:p>
    <w:p>
      <w:pPr>
        <w:spacing w:after="0" w:line="240" w:lineRule="auto"/>
        <w:jc w:val="left"/>
        <w:sectPr>
          <w:footerReference w:type="default" r:id="rId31"/>
          <w:pgSz w:w="11910" w:h="16840"/>
          <w:pgMar w:footer="979" w:header="745" w:top="1060" w:bottom="1160" w:left="1020" w:right="0"/>
          <w:pgNumType w:start="191"/>
        </w:sectPr>
      </w:pPr>
    </w:p>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0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53,513,711.99</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443,312,083.33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22,183,044.79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36,086,222.34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7,215,731.68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23,547,820.24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11,773,910.13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12,341,025.39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12,341,025.39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515,287,151.30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53,513,711.99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360"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4" w:space="669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3"/>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445,425,118.33</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49,859,892.34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24,482,765.24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18,304,140.93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18,304,140.93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538,071,916.84</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t>本期计提坏账准备情况：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单项计提预期信 用损失的应收账 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6,852,038.41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6,283,015.63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13,135,054.04</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按组合计提预期 信用损失的应收 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43,147,425.72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13,920,820.05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1,817,701.79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1,736,831.99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53,513,711.99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49,999,464.13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20,203,835.68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1,817,701.79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1,736,831.99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66,648,766.03</w:t>
            </w:r>
          </w:p>
        </w:tc>
      </w:tr>
    </w:tbl>
    <w:p>
      <w:pPr>
        <w:pStyle w:val="BodyText"/>
        <w:spacing w:line="240" w:lineRule="auto" w:before="49"/>
        <w:ind w:right="1033"/>
        <w:jc w:val="left"/>
      </w:pPr>
      <w:r>
        <w:rPr/>
        <w:t>其中本期坏账准备收回或转回金额重要的：</w:t>
      </w:r>
    </w:p>
    <w:p>
      <w:pPr>
        <w:pStyle w:val="BodyText"/>
        <w:spacing w:line="240" w:lineRule="auto" w:before="115"/>
        <w:ind w:left="0" w:right="113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1,817,701.79</w:t>
            </w:r>
          </w:p>
        </w:tc>
      </w:tr>
    </w:tbl>
    <w:p>
      <w:pPr>
        <w:pStyle w:val="BodyText"/>
        <w:spacing w:line="240" w:lineRule="auto" w:before="49"/>
        <w:ind w:right="1033"/>
        <w:jc w:val="left"/>
      </w:pPr>
      <w:r>
        <w:rPr/>
        <w:t>其中重要的应收账款核销情况：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033"/>
        <w:jc w:val="left"/>
      </w:pPr>
      <w:r>
        <w:rPr/>
        <w:t>应收账款核销说明：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1"/>
        <w:gridCol w:w="2530"/>
        <w:gridCol w:w="2528"/>
      </w:tblGrid>
      <w:tr>
        <w:trPr>
          <w:trHeight w:val="716"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79"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33,025,100.00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1,651,255.00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19,051,133.00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952,556.65</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16,779,160.00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838,958.00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14,081,648.00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704,082.40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12,620,788.00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631,039.40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95,557,829.00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17.77%</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033"/>
        <w:jc w:val="left"/>
      </w:pPr>
      <w:r>
        <w:rPr/>
        <w:t>应收款项融资本期增减变动及公允价值变动情况</w:t>
      </w:r>
    </w:p>
    <w:p>
      <w:pPr>
        <w:pStyle w:val="BodyText"/>
        <w:spacing w:line="340" w:lineRule="auto" w:before="115"/>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38" w:lineRule="auto" w:before="41"/>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6"/>
        <w:rPr>
          <w:rFonts w:ascii="宋体" w:hAnsi="宋体" w:cs="宋体" w:eastAsia="宋体" w:hint="default"/>
          <w:sz w:val="16"/>
          <w:szCs w:val="16"/>
        </w:rPr>
      </w:pPr>
    </w:p>
    <w:p>
      <w:pPr>
        <w:pStyle w:val="Heading5"/>
        <w:spacing w:line="240" w:lineRule="auto"/>
        <w:ind w:right="1033"/>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17,698,891.39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24,718,565.51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98.02%</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81,176.87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485,432.56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1.92%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55,658.16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15,760.05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15,760.05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17,851,486.47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25,219,758.12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033"/>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1"/>
        <w:rPr>
          <w:rFonts w:ascii="宋体" w:hAnsi="宋体" w:cs="宋体" w:eastAsia="宋体" w:hint="default"/>
          <w:sz w:val="20"/>
          <w:szCs w:val="20"/>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6" w:type="dxa"/>
        <w:tblLayout w:type="fixed"/>
        <w:tblCellMar>
          <w:top w:w="0" w:type="dxa"/>
          <w:left w:w="0" w:type="dxa"/>
          <w:bottom w:w="0" w:type="dxa"/>
          <w:right w:w="0" w:type="dxa"/>
        </w:tblCellMar>
        <w:tblLook w:val="01E0"/>
      </w:tblPr>
      <w:tblGrid>
        <w:gridCol w:w="2221"/>
        <w:gridCol w:w="1697"/>
        <w:gridCol w:w="1028"/>
        <w:gridCol w:w="982"/>
        <w:gridCol w:w="2602"/>
      </w:tblGrid>
      <w:tr>
        <w:trPr>
          <w:trHeight w:val="977" w:hRule="exact"/>
        </w:trPr>
        <w:tc>
          <w:tcPr>
            <w:tcW w:w="22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28" w:type="dxa"/>
            <w:tcBorders>
              <w:top w:val="single" w:sz="6" w:space="0" w:color="000000"/>
              <w:left w:val="single" w:sz="6" w:space="0" w:color="000000"/>
              <w:bottom w:val="single" w:sz="12" w:space="0" w:color="000000"/>
              <w:right w:val="single" w:sz="6" w:space="0" w:color="000000"/>
            </w:tcBorders>
          </w:tcPr>
          <w:p>
            <w:pPr>
              <w:pStyle w:val="TableParagraph"/>
              <w:spacing w:line="338" w:lineRule="auto" w:before="18"/>
              <w:ind w:left="55" w:right="57"/>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占预付款项 总额的比例 </w:t>
            </w:r>
            <w:r>
              <w:rPr>
                <w:rFonts w:ascii="Times New Roman" w:hAnsi="Times New Roman" w:cs="Times New Roman" w:eastAsia="Times New Roman" w:hint="default"/>
                <w:sz w:val="18"/>
                <w:szCs w:val="18"/>
              </w:rPr>
              <w:t>(%)</w:t>
            </w:r>
          </w:p>
        </w:tc>
        <w:tc>
          <w:tcPr>
            <w:tcW w:w="9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30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left="662" w:right="0"/>
              <w:jc w:val="left"/>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53" w:hRule="exact"/>
        </w:trPr>
        <w:tc>
          <w:tcPr>
            <w:tcW w:w="22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深圳市投资控股有限公司</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3,214,992.01</w:t>
            </w:r>
          </w:p>
        </w:tc>
        <w:tc>
          <w:tcPr>
            <w:tcW w:w="1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18.01</w:t>
            </w:r>
          </w:p>
        </w:tc>
        <w:tc>
          <w:tcPr>
            <w:tcW w:w="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665" w:hRule="exact"/>
        </w:trPr>
        <w:tc>
          <w:tcPr>
            <w:tcW w:w="222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39"/>
              <w:jc w:val="left"/>
              <w:rPr>
                <w:rFonts w:ascii="宋体" w:hAnsi="宋体" w:cs="宋体" w:eastAsia="宋体" w:hint="default"/>
                <w:sz w:val="18"/>
                <w:szCs w:val="18"/>
              </w:rPr>
            </w:pPr>
            <w:r>
              <w:rPr>
                <w:rFonts w:ascii="宋体" w:hAnsi="宋体" w:cs="宋体" w:eastAsia="宋体" w:hint="default"/>
                <w:sz w:val="18"/>
                <w:szCs w:val="18"/>
              </w:rPr>
              <w:t>吉乾永泰（北京）企业服务 有限公司</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1,216,880.00</w:t>
            </w:r>
          </w:p>
        </w:tc>
        <w:tc>
          <w:tcPr>
            <w:tcW w:w="1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6.82</w:t>
            </w:r>
          </w:p>
        </w:tc>
        <w:tc>
          <w:tcPr>
            <w:tcW w:w="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50" w:hRule="exact"/>
        </w:trPr>
        <w:tc>
          <w:tcPr>
            <w:tcW w:w="22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昆山联滔电子有限公司</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750,000.00</w:t>
            </w:r>
          </w:p>
        </w:tc>
        <w:tc>
          <w:tcPr>
            <w:tcW w:w="1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4.20</w:t>
            </w:r>
          </w:p>
        </w:tc>
        <w:tc>
          <w:tcPr>
            <w:tcW w:w="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53" w:hRule="exact"/>
        </w:trPr>
        <w:tc>
          <w:tcPr>
            <w:tcW w:w="22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公安部户政管理研究中心</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677,314.67</w:t>
            </w:r>
          </w:p>
        </w:tc>
        <w:tc>
          <w:tcPr>
            <w:tcW w:w="1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3.79</w:t>
            </w:r>
          </w:p>
        </w:tc>
        <w:tc>
          <w:tcPr>
            <w:tcW w:w="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665" w:hRule="exact"/>
        </w:trPr>
        <w:tc>
          <w:tcPr>
            <w:tcW w:w="222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44" w:right="20" w:hanging="720"/>
              <w:jc w:val="left"/>
              <w:rPr>
                <w:rFonts w:ascii="宋体" w:hAnsi="宋体" w:cs="宋体" w:eastAsia="宋体" w:hint="default"/>
                <w:sz w:val="18"/>
                <w:szCs w:val="18"/>
              </w:rPr>
            </w:pPr>
            <w:r>
              <w:rPr>
                <w:rFonts w:ascii="宋体" w:hAnsi="宋体" w:cs="宋体" w:eastAsia="宋体" w:hint="default"/>
                <w:sz w:val="18"/>
                <w:szCs w:val="18"/>
              </w:rPr>
              <w:t>卓宇互联（北京）信息技术 有限公司</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657" w:right="0"/>
              <w:jc w:val="left"/>
              <w:rPr>
                <w:rFonts w:ascii="Times New Roman" w:hAnsi="Times New Roman" w:cs="Times New Roman" w:eastAsia="Times New Roman" w:hint="default"/>
                <w:sz w:val="18"/>
                <w:szCs w:val="18"/>
              </w:rPr>
            </w:pPr>
            <w:r>
              <w:rPr>
                <w:rFonts w:ascii="Times New Roman"/>
                <w:sz w:val="18"/>
              </w:rPr>
              <w:t>481,611.00</w:t>
            </w:r>
          </w:p>
        </w:tc>
        <w:tc>
          <w:tcPr>
            <w:tcW w:w="1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85" w:right="0"/>
              <w:jc w:val="left"/>
              <w:rPr>
                <w:rFonts w:ascii="Times New Roman" w:hAnsi="Times New Roman" w:cs="Times New Roman" w:eastAsia="Times New Roman" w:hint="default"/>
                <w:sz w:val="18"/>
                <w:szCs w:val="18"/>
              </w:rPr>
            </w:pPr>
            <w:r>
              <w:rPr>
                <w:rFonts w:ascii="Times New Roman"/>
                <w:sz w:val="18"/>
              </w:rPr>
              <w:t>2.70</w:t>
            </w:r>
          </w:p>
        </w:tc>
        <w:tc>
          <w:tcPr>
            <w:tcW w:w="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6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754" w:right="0"/>
              <w:jc w:val="lef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53" w:hRule="exact"/>
        </w:trPr>
        <w:tc>
          <w:tcPr>
            <w:tcW w:w="22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23" w:right="0"/>
              <w:jc w:val="left"/>
              <w:rPr>
                <w:rFonts w:ascii="Times New Roman" w:hAnsi="Times New Roman" w:cs="Times New Roman" w:eastAsia="Times New Roman" w:hint="default"/>
                <w:sz w:val="18"/>
                <w:szCs w:val="18"/>
              </w:rPr>
            </w:pPr>
            <w:r>
              <w:rPr>
                <w:rFonts w:ascii="Times New Roman"/>
                <w:sz w:val="18"/>
              </w:rPr>
              <w:t>6,340,797.68</w:t>
            </w:r>
          </w:p>
        </w:tc>
        <w:tc>
          <w:tcPr>
            <w:tcW w:w="1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93" w:right="0"/>
              <w:jc w:val="left"/>
              <w:rPr>
                <w:rFonts w:ascii="Times New Roman" w:hAnsi="Times New Roman" w:cs="Times New Roman" w:eastAsia="Times New Roman" w:hint="default"/>
                <w:sz w:val="18"/>
                <w:szCs w:val="18"/>
              </w:rPr>
            </w:pPr>
            <w:r>
              <w:rPr>
                <w:rFonts w:ascii="Times New Roman"/>
                <w:sz w:val="18"/>
              </w:rPr>
              <w:t>35.52</w:t>
            </w:r>
          </w:p>
        </w:tc>
        <w:tc>
          <w:tcPr>
            <w:tcW w:w="982" w:type="dxa"/>
            <w:tcBorders>
              <w:top w:val="single" w:sz="12" w:space="0" w:color="000000"/>
              <w:left w:val="single" w:sz="6" w:space="0" w:color="000000"/>
              <w:bottom w:val="single" w:sz="12" w:space="0" w:color="000000"/>
              <w:right w:val="single" w:sz="6" w:space="0" w:color="000000"/>
            </w:tcBorders>
          </w:tcPr>
          <w:p>
            <w:pPr/>
          </w:p>
        </w:tc>
        <w:tc>
          <w:tcPr>
            <w:tcW w:w="260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before="44"/>
        <w:ind w:right="10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264,675,252.90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20,203,311.75</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264,675,252.90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20,203,311.75</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1"/>
        <w:gridCol w:w="3191"/>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年的应收股利</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6"/>
        <w:rPr>
          <w:rFonts w:ascii="宋体" w:hAnsi="宋体" w:cs="宋体" w:eastAsia="宋体" w:hint="default"/>
          <w:sz w:val="16"/>
          <w:szCs w:val="16"/>
        </w:rPr>
      </w:pPr>
    </w:p>
    <w:p>
      <w:pPr>
        <w:pStyle w:val="Heading5"/>
        <w:spacing w:line="240" w:lineRule="auto"/>
        <w:ind w:right="10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261,213,568.00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职员借款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2,810,948.64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3,701,364.84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14,243,287.12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21,888,188.25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代垫社保款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1,012,864.02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1,328,412.08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5,544,674.90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915,009.19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284,825,342.68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27,832,974.36</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63"/>
        <w:gridCol w:w="2098"/>
        <w:gridCol w:w="2101"/>
        <w:gridCol w:w="1805"/>
      </w:tblGrid>
      <w:tr>
        <w:trPr>
          <w:trHeight w:val="40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2"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6,394,475.24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1,235,187.37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7,629,662.61</w:t>
            </w:r>
          </w:p>
        </w:tc>
      </w:tr>
      <w:tr>
        <w:trPr>
          <w:trHeight w:val="161" w:hRule="exact"/>
        </w:trPr>
        <w:tc>
          <w:tcPr>
            <w:tcW w:w="189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2"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2"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13,876,189.55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13,876,189.55</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441,402.57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441,402.57</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447,943.65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466,416.16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914,359.81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19,381,318.57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768,771.21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20,150,089.78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4" w:space="4895"/>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13,609,229.60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1,284,819.09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1,050,251.18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4,205,789.91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3,437,018.70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768,771.21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20,150,089.78</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t>本期计提坏账准备情况：</w:t>
      </w:r>
    </w:p>
    <w:p>
      <w:pPr>
        <w:pStyle w:val="BodyText"/>
        <w:spacing w:line="240" w:lineRule="auto" w:before="118"/>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39"/>
        <w:gridCol w:w="1332"/>
        <w:gridCol w:w="1332"/>
        <w:gridCol w:w="1325"/>
        <w:gridCol w:w="1726"/>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7,629,662.61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13,876,189.55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441,402.57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914,359.81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20,150,089.78</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7,629,662.61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13,876,189.55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441,402.57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914,359.81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20,150,089.78</w:t>
            </w:r>
          </w:p>
        </w:tc>
      </w:tr>
    </w:tbl>
    <w:p>
      <w:pPr>
        <w:pStyle w:val="BodyText"/>
        <w:spacing w:line="240" w:lineRule="auto" w:before="49"/>
        <w:ind w:right="1033"/>
        <w:jc w:val="left"/>
      </w:pPr>
      <w:r>
        <w:rPr/>
        <w:t>其中本期坏账准备转回或收回金额重要的：</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441,402.57</w:t>
            </w:r>
          </w:p>
        </w:tc>
      </w:tr>
    </w:tbl>
    <w:p>
      <w:pPr>
        <w:pStyle w:val="BodyText"/>
        <w:spacing w:line="240" w:lineRule="auto" w:before="49"/>
        <w:ind w:right="1033"/>
        <w:jc w:val="left"/>
      </w:pPr>
      <w:r>
        <w:rPr/>
        <w:t>其中重要的其他应收款核销情况：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033"/>
        <w:jc w:val="left"/>
      </w:pPr>
      <w:r>
        <w:rPr/>
        <w:t>其他应收款核销说明：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昆山银桥控股集团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247,773,568.00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86.99%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12,388,678.40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深圳市信链投资咨 </w:t>
            </w:r>
            <w:r>
              <w:rPr>
                <w:rFonts w:ascii="宋体" w:hAnsi="宋体" w:cs="宋体" w:eastAsia="宋体" w:hint="default"/>
                <w:spacing w:val="-10"/>
                <w:sz w:val="18"/>
                <w:szCs w:val="18"/>
              </w:rPr>
              <w:t>询合伙企业（有限合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672,000.00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深圳市投资控股有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2,280,324.70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631,234.13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深圳中星微高科技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2,039,872.00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401,993.60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麦启光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1,632,480.00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1,632,480.00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267,166,244.70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15,726,386.13</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t>是否已执行新收入准则</w:t>
      </w:r>
    </w:p>
    <w:p>
      <w:pPr>
        <w:pStyle w:val="BodyText"/>
        <w:spacing w:line="240" w:lineRule="auto" w:before="117"/>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43,906,651.08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7,944,942.73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35,961,708.35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57,522,448.01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4,639,559.44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52,882,888.57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2,135,023.45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2,135,023.45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6,492,852.81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6,492,852.81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4,121,063.25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4,121,063.25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2,786,019.17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2,786,019.17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54,706,392.36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5,694,336.30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49,012,056.06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71,664,187.68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6,158,365.04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65,505,822.64</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45,203,630.80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10,056,800.51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35,146,830.29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45,428,637.96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4,083,649.93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41,344,988.03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34,840,623.96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907,751.43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33,932,872.53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99,405,707.31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99,405,707.31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184,913,384.90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24,603,830.97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160,309,553.93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283,299,852.94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14,881,574.41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268,418,278.53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4,639,559.44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6,039,373.68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2,733,990.39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7,944,942.73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6,158,365.04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1,605,046.03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2,069,074.77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5,694,336.30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4,083,649.93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6,743,082.24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769,931.66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10,056,800.51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907,751.43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907,751.43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14,881,574.41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15,295,253.38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5,572,996.82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24,603,830.97</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8"/>
        <w:gridCol w:w="1195"/>
        <w:gridCol w:w="1198"/>
        <w:gridCol w:w="1195"/>
        <w:gridCol w:w="1328"/>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033"/>
        <w:jc w:val="left"/>
      </w:pPr>
      <w:r>
        <w:rPr/>
        <w:t>合同资产的账面价值在本期内发生的重大变动金额和原因：</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49"/>
        <w:ind w:right="1033"/>
        <w:jc w:val="left"/>
      </w:pPr>
      <w:r>
        <w:rPr/>
        <w:t>如是按照预期信用损失一般模型计提合同资产坏账准备，请参照其他应收款的披露方式披露坏账准备的相关信息：</w:t>
      </w:r>
    </w:p>
    <w:p>
      <w:pPr>
        <w:pStyle w:val="BodyText"/>
        <w:spacing w:line="338" w:lineRule="auto" w:before="117"/>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本期合同资产计提减值准备情况</w:t>
      </w:r>
    </w:p>
    <w:p>
      <w:pPr>
        <w:pStyle w:val="BodyText"/>
        <w:spacing w:line="240" w:lineRule="auto" w:before="43"/>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before="49"/>
        <w:ind w:right="1033"/>
        <w:jc w:val="left"/>
      </w:pPr>
      <w:r>
        <w:rPr/>
        <w:t>其他说明：</w:t>
      </w:r>
    </w:p>
    <w:p>
      <w:pPr>
        <w:spacing w:line="240" w:lineRule="auto" w:before="2"/>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6"/>
        <w:gridCol w:w="1368"/>
        <w:gridCol w:w="1367"/>
        <w:gridCol w:w="1367"/>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033"/>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3"/>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footerReference w:type="default" r:id="rId32"/>
          <w:pgSz w:w="11910" w:h="16840"/>
          <w:pgMar w:footer="979" w:header="745"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12,909,729.87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1,206,047.64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53,134,839.56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45,528,596.06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147,464.61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1,660,056.39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收单业务垫付款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94,489,615.71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18,023.52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66,210,057.56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142,884,619.30</w:t>
            </w:r>
          </w:p>
        </w:tc>
      </w:tr>
    </w:tbl>
    <w:p>
      <w:pPr>
        <w:pStyle w:val="BodyText"/>
        <w:spacing w:line="240" w:lineRule="auto" w:before="49"/>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033"/>
        <w:jc w:val="left"/>
      </w:pPr>
      <w:r>
        <w:rPr/>
        <w:t>重要的债权投资</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404"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033"/>
        <w:jc w:val="left"/>
      </w:pPr>
      <w:r>
        <w:rPr/>
        <w:t>减值准备计提情况</w:t>
      </w:r>
    </w:p>
    <w:p>
      <w:pPr>
        <w:pStyle w:val="BodyText"/>
        <w:spacing w:line="240" w:lineRule="auto" w:before="117"/>
        <w:ind w:left="0" w:right="1130"/>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50"/>
        <w:ind w:right="1033"/>
        <w:jc w:val="left"/>
      </w:pPr>
      <w:r>
        <w:rPr/>
        <w:t>损失准备本期变动金额重大的账面余额变动情况</w:t>
      </w:r>
    </w:p>
    <w:p>
      <w:pPr>
        <w:pStyle w:val="BodyText"/>
        <w:spacing w:line="340" w:lineRule="auto" w:before="11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2"/>
        <w:rPr>
          <w:rFonts w:ascii="宋体" w:hAnsi="宋体" w:cs="宋体" w:eastAsia="宋体" w:hint="default"/>
          <w:sz w:val="16"/>
          <w:szCs w:val="16"/>
        </w:rPr>
      </w:pPr>
    </w:p>
    <w:p>
      <w:pPr>
        <w:pStyle w:val="Heading5"/>
        <w:spacing w:line="240" w:lineRule="auto"/>
        <w:ind w:right="1033"/>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5"/>
        <w:gridCol w:w="1034"/>
        <w:gridCol w:w="1035"/>
        <w:gridCol w:w="1034"/>
        <w:gridCol w:w="1034"/>
        <w:gridCol w:w="1033"/>
        <w:gridCol w:w="1034"/>
        <w:gridCol w:w="1037"/>
      </w:tblGrid>
      <w:tr>
        <w:trPr>
          <w:trHeight w:val="1338"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3" w:right="58" w:hanging="181"/>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9"/>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0"/>
        <w:ind w:right="1033"/>
        <w:jc w:val="left"/>
      </w:pPr>
      <w:r>
        <w:rPr/>
        <w:t>重要的其他债权投资</w:t>
      </w:r>
    </w:p>
    <w:p>
      <w:pPr>
        <w:pStyle w:val="BodyText"/>
        <w:spacing w:line="240" w:lineRule="auto" w:before="115"/>
        <w:ind w:left="0" w:right="113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033"/>
        <w:jc w:val="left"/>
      </w:pPr>
      <w:r>
        <w:rPr/>
        <w:t>减值准备计提情况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033"/>
        <w:jc w:val="left"/>
      </w:pPr>
      <w:r>
        <w:rPr/>
        <w:t>损失准备本期变动金额重大的账面余额变动情况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6"/>
        <w:rPr>
          <w:rFonts w:ascii="宋体" w:hAnsi="宋体" w:cs="宋体" w:eastAsia="宋体" w:hint="default"/>
          <w:sz w:val="16"/>
          <w:szCs w:val="16"/>
        </w:rPr>
      </w:pPr>
    </w:p>
    <w:p>
      <w:pPr>
        <w:pStyle w:val="Heading5"/>
        <w:spacing w:line="240" w:lineRule="auto"/>
        <w:ind w:right="1033"/>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6"/>
        <w:gridCol w:w="1167"/>
        <w:gridCol w:w="1169"/>
        <w:gridCol w:w="1167"/>
        <w:gridCol w:w="1166"/>
        <w:gridCol w:w="1164"/>
      </w:tblGrid>
      <w:tr>
        <w:trPr>
          <w:trHeight w:val="403"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33"/>
          <w:pgSz w:w="11910" w:h="16840"/>
          <w:pgMar w:footer="979" w:header="745"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6"/>
        <w:gridCol w:w="1167"/>
        <w:gridCol w:w="1169"/>
        <w:gridCol w:w="1167"/>
        <w:gridCol w:w="1166"/>
        <w:gridCol w:w="1164"/>
      </w:tblGrid>
      <w:tr>
        <w:trPr>
          <w:trHeight w:val="713"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20,855,493.66</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20,855,493.66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8,913,540.00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484,122.11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8,429,417.89</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20,855,493.66</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20,855,493.66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8,913,540.00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484,122.11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8,429,417.89</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033"/>
        <w:jc w:val="left"/>
      </w:pPr>
      <w:r>
        <w:rPr/>
        <w:t>坏账准备减值情况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033"/>
        <w:jc w:val="left"/>
      </w:pPr>
      <w:r>
        <w:rPr/>
        <w:t>损失准备本期变动金额重大的账面余额变动情况</w:t>
      </w:r>
    </w:p>
    <w:p>
      <w:pPr>
        <w:pStyle w:val="BodyText"/>
        <w:spacing w:line="240" w:lineRule="auto" w:before="115"/>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3"/>
        <w:jc w:val="left"/>
      </w:pPr>
      <w:r>
        <w:rPr/>
        <w:t>其他说明</w:t>
      </w:r>
    </w:p>
    <w:p>
      <w:pPr>
        <w:spacing w:line="240" w:lineRule="auto" w:before="2"/>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深圳市新 国都金服 技术有限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21,336,44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-2,537,67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18,798,76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8.71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21,336,44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-2,537,67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18,798,76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21,336,44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-2,537,67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18,798,76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8.71</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0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信美人寿相互保险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bl>
    <w:p>
      <w:pPr>
        <w:pStyle w:val="BodyText"/>
        <w:spacing w:line="240" w:lineRule="auto" w:before="49"/>
        <w:ind w:right="1033"/>
        <w:jc w:val="left"/>
      </w:pPr>
      <w:r>
        <w:rPr/>
        <w:t>分项披露本期非交易性权益工具投资</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50"/>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50"/>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51,895,161.64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405,312,497.19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51,895,161.64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405,312,497.19</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9"/>
        <w:gridCol w:w="1368"/>
        <w:gridCol w:w="1366"/>
      </w:tblGrid>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387,894,185.80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2,379,821.18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7,044,410.16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34,491,593.09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42,793,716.33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474,603,726.56</w:t>
            </w:r>
          </w:p>
        </w:tc>
      </w:tr>
      <w:tr>
        <w:trPr>
          <w:trHeight w:val="71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903,481.77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1,445,115.42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83,832,296.09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4,543,863.13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90,724,756.41</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903,481.77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1,445,115.42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83,832,296.09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4,543,863.13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90,724,756.41</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7"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369,710,930.95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577,248.65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92,784,988.91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5,885,122.03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468,958,290.54</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7"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577,248.65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3,587,936.48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4,165,185.13</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92,784,988.91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92,784,988.91</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369,710,930.95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2,297,185.55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372,008,116.50</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18,183,254.85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3,283,302.95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7,912,276.93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25,538,900.27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41,452,457.43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96,370,192.43</w:t>
            </w: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23,433,318.94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1,829,461.99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6,449,033.26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10,694,581.98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23,944,079.38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66,350,475.55</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9,194,967.07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249,003.43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223,805.52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11,823,428.63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5,906,476.16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27,397,680.81</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9,194,967.07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249,003.43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223,805.52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11,823,428.63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5,906,476.16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27,397,680.81</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30,806,552.51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548,386.22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15,740,088.02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3,755,495.54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50,850,522.29</w:t>
            </w:r>
          </w:p>
        </w:tc>
      </w:tr>
      <w:tr>
        <w:trPr>
          <w:trHeight w:val="71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7"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548,386.22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3,252,337.75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3,800,723.97</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15,740,088.02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15,740,088.02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30,806,552.51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503,157.79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31,309,710.30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1,821,733.50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2,078,465.42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6,124,452.56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6,777,922.59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26,095,060.00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42,897,634.07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2,726,054.91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214,698.91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2,940,753.82</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1,339,007.21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24,349.89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1,363,357.10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24,349.89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24,349.89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1,339,007.21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1,339,007.21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1,387,047.70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190,349.02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1,577,396.72</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16,361,521.35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1,204,837.53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1,787,824.37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17,373,929.98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15,167,048.41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51,895,161.64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364,460,866.86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550,359.19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595,376.90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21,070,956.20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18,634,938.04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405,312,497.19</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89"/>
              <w:jc w:val="righ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16,361,521.35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36"/>
              <w:jc w:val="right"/>
              <w:rPr>
                <w:rFonts w:ascii="宋体" w:hAnsi="宋体" w:cs="宋体" w:eastAsia="宋体" w:hint="default"/>
                <w:sz w:val="18"/>
                <w:szCs w:val="18"/>
              </w:rPr>
            </w:pPr>
            <w:r>
              <w:rPr>
                <w:rFonts w:ascii="宋体" w:hAnsi="宋体" w:cs="宋体" w:eastAsia="宋体" w:hint="default"/>
                <w:sz w:val="18"/>
                <w:szCs w:val="18"/>
              </w:rPr>
              <w:t>人才安居房，无法办理产权证书</w:t>
            </w:r>
          </w:p>
        </w:tc>
      </w:tr>
    </w:tbl>
    <w:p>
      <w:pPr>
        <w:pStyle w:val="BodyText"/>
        <w:spacing w:line="240" w:lineRule="auto" w:before="49"/>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5"/>
        <w:gridCol w:w="737"/>
        <w:gridCol w:w="737"/>
        <w:gridCol w:w="735"/>
        <w:gridCol w:w="737"/>
        <w:gridCol w:w="737"/>
        <w:gridCol w:w="735"/>
        <w:gridCol w:w="737"/>
        <w:gridCol w:w="737"/>
        <w:gridCol w:w="735"/>
        <w:gridCol w:w="737"/>
      </w:tblGrid>
      <w:tr>
        <w:trPr>
          <w:trHeight w:val="1340"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0"/>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8"/>
        <w:gridCol w:w="1198"/>
        <w:gridCol w:w="1196"/>
        <w:gridCol w:w="1195"/>
        <w:gridCol w:w="1196"/>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9"/>
        <w:gridCol w:w="1368"/>
        <w:gridCol w:w="1366"/>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20,564,938.80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44,943,157.89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34,530,930.17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30,557.36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100,069,584.22</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935,389.99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935,389.99</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935,389.99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935,389.99</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5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20,564,938.80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1,670,745.09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22,235,683.89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5,942.99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5,942.99</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）处置子公司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20,564,938.80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1,664,802.10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22,229,740.90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44,943,157.89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33,795,575.07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30,557.36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78,769,290.32</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2,878,231.08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34,955,789.47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19,930,056.84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23,766.85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57,787,844.24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411,318.72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9,987,368.42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6,356,100.32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6,790.51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16,761,577.97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411,318.72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9,987,368.42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6,356,100.32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6,790.51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16,761,577.97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3,289,549.80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796,595.51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4,086,145.31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594.33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594.33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）处置子公司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3,289,549.80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796,001.18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4,085,550.98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44,943,157.89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25,489,561.65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30,557.36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70,463,276.90</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8,306,013.42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8,306,013.42</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17,686,707.72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9,987,368.42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14,600,873.33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6,790.51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42,281,739.98</w:t>
            </w:r>
          </w:p>
        </w:tc>
      </w:tr>
    </w:tbl>
    <w:p>
      <w:pPr>
        <w:pStyle w:val="BodyText"/>
        <w:spacing w:line="240" w:lineRule="auto" w:before="49"/>
        <w:ind w:right="1033"/>
        <w:jc w:val="left"/>
      </w:pPr>
      <w:r>
        <w:rPr/>
        <w:t>本期末通过公司内部研发形成的无形资产占无形资产余额的比例。</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0"/>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4"/>
        <w:gridCol w:w="1063"/>
        <w:gridCol w:w="1064"/>
        <w:gridCol w:w="1063"/>
        <w:gridCol w:w="1061"/>
        <w:gridCol w:w="1063"/>
        <w:gridCol w:w="1064"/>
      </w:tblGrid>
      <w:tr>
        <w:trPr>
          <w:trHeight w:val="401" w:hRule="exact"/>
        </w:trPr>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7" w:right="74"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7" w:right="74" w:hanging="361"/>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63"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9"/>
        <w:gridCol w:w="1368"/>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浙江中正智能科 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139,753,563.89</w:t>
            </w:r>
          </w:p>
        </w:tc>
        <w:tc>
          <w:tcPr>
            <w:tcW w:w="1368" w:type="dxa"/>
            <w:tcBorders>
              <w:top w:val="single" w:sz="49" w:space="0" w:color="D2D2D2"/>
              <w:left w:val="single" w:sz="4" w:space="0" w:color="000000"/>
              <w:bottom w:val="single" w:sz="4" w:space="0" w:color="000000"/>
              <w:right w:val="single" w:sz="4" w:space="0" w:color="000000"/>
            </w:tcBorders>
          </w:tcPr>
          <w:p>
            <w:pPr/>
          </w:p>
        </w:tc>
        <w:tc>
          <w:tcPr>
            <w:tcW w:w="1366" w:type="dxa"/>
            <w:tcBorders>
              <w:top w:val="single" w:sz="49" w:space="0" w:color="D2D2D2"/>
              <w:left w:val="single" w:sz="4" w:space="0" w:color="000000"/>
              <w:bottom w:val="single" w:sz="4" w:space="0" w:color="000000"/>
              <w:right w:val="single" w:sz="4" w:space="0" w:color="000000"/>
            </w:tcBorders>
          </w:tcPr>
          <w:p>
            <w:pPr/>
          </w:p>
        </w:tc>
        <w:tc>
          <w:tcPr>
            <w:tcW w:w="1369" w:type="dxa"/>
            <w:tcBorders>
              <w:top w:val="single" w:sz="49" w:space="0" w:color="D2D2D2"/>
              <w:left w:val="single" w:sz="4" w:space="0" w:color="000000"/>
              <w:bottom w:val="single" w:sz="4" w:space="0" w:color="000000"/>
              <w:right w:val="single" w:sz="4" w:space="0" w:color="000000"/>
            </w:tcBorders>
          </w:tcPr>
          <w:p>
            <w:pPr/>
          </w:p>
        </w:tc>
        <w:tc>
          <w:tcPr>
            <w:tcW w:w="1368" w:type="dxa"/>
            <w:tcBorders>
              <w:top w:val="single" w:sz="49"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139,753,563.89</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Nexgo,Inc</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36,293,613.94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7" w:right="0"/>
              <w:jc w:val="center"/>
              <w:rPr>
                <w:rFonts w:ascii="Times New Roman" w:hAnsi="Times New Roman" w:cs="Times New Roman" w:eastAsia="Times New Roman" w:hint="default"/>
                <w:sz w:val="18"/>
                <w:szCs w:val="18"/>
              </w:rPr>
            </w:pPr>
            <w:r>
              <w:rPr>
                <w:rFonts w:ascii="Times New Roman"/>
                <w:sz w:val="18"/>
              </w:rPr>
              <w:t>36,293,613.94</w:t>
            </w:r>
          </w:p>
        </w:tc>
      </w:tr>
      <w:tr>
        <w:trPr>
          <w:trHeight w:val="102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both"/>
              <w:rPr>
                <w:rFonts w:ascii="宋体" w:hAnsi="宋体" w:cs="宋体" w:eastAsia="宋体" w:hint="default"/>
                <w:sz w:val="18"/>
                <w:szCs w:val="18"/>
              </w:rPr>
            </w:pPr>
            <w:r>
              <w:rPr>
                <w:rFonts w:ascii="宋体" w:hAnsi="宋体" w:cs="宋体" w:eastAsia="宋体" w:hint="default"/>
                <w:sz w:val="18"/>
                <w:szCs w:val="18"/>
              </w:rPr>
              <w:t>长沙公信诚丰信 息技术服务有限 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433,158,998.49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433,158,998.49</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嘉联支付有限公 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498,999,154.30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498,999,154.30</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惠州市惠信资信 评级有限公司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1,600,063.91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1,600,063.91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1,109,805,394.53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1,600,063.91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1,108,205,330.62</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浙江中正智能科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11,356,561.90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45,831,673.24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57,188,235.14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Nexgo,Inc</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3,607,110.37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3,607,110.37</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长沙公信诚丰信 息技术服务有限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147,940,149.81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147,940,149.81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嘉联支付有限公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惠州市惠信资信 评级有限公司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14,963,672.27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193,771,823.05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208,735,495.32</w:t>
            </w:r>
          </w:p>
        </w:tc>
      </w:tr>
    </w:tbl>
    <w:p>
      <w:pPr>
        <w:pStyle w:val="BodyText"/>
        <w:spacing w:line="240" w:lineRule="auto" w:before="49"/>
        <w:ind w:right="1033"/>
        <w:jc w:val="left"/>
      </w:pPr>
      <w:r>
        <w:rPr/>
        <w:t>商誉所在资产组或资产组组合的相关信息</w:t>
      </w:r>
    </w:p>
    <w:p>
      <w:pPr>
        <w:pStyle w:val="Heading6"/>
        <w:spacing w:line="256" w:lineRule="auto" w:before="94"/>
        <w:ind w:right="1190" w:firstLine="420"/>
        <w:jc w:val="both"/>
      </w:pPr>
      <w:r>
        <w:rPr>
          <w:spacing w:val="-2"/>
        </w:rPr>
        <w:t>本公司以人民币</w:t>
      </w:r>
      <w:r>
        <w:rPr>
          <w:rFonts w:ascii="Times New Roman" w:hAnsi="Times New Roman" w:cs="Times New Roman" w:eastAsia="Times New Roman" w:hint="default"/>
          <w:spacing w:val="-2"/>
        </w:rPr>
        <w:t>25,200.00</w:t>
      </w:r>
      <w:r>
        <w:rPr>
          <w:spacing w:val="-2"/>
        </w:rPr>
        <w:t>万元的价格受让浙江中正智能科技有限公司</w:t>
      </w:r>
      <w:r>
        <w:rPr>
          <w:rFonts w:ascii="Times New Roman" w:hAnsi="Times New Roman" w:cs="Times New Roman" w:eastAsia="Times New Roman" w:hint="default"/>
          <w:spacing w:val="-2"/>
        </w:rPr>
        <w:t>100.00%</w:t>
      </w:r>
      <w:r>
        <w:rPr>
          <w:spacing w:val="-2"/>
        </w:rPr>
        <w:t>的股权，合并日取得的</w:t>
      </w:r>
      <w:r>
        <w:rPr>
          <w:w w:val="100"/>
        </w:rPr>
        <w:t> </w:t>
      </w:r>
      <w:r>
        <w:rPr/>
        <w:t>被投资单位可辨认净资产公允价值份额为</w:t>
      </w:r>
      <w:r>
        <w:rPr>
          <w:rFonts w:ascii="Times New Roman" w:hAnsi="Times New Roman" w:cs="Times New Roman" w:eastAsia="Times New Roman" w:hint="default"/>
        </w:rPr>
        <w:t>112,246,436.11</w:t>
      </w:r>
      <w:r>
        <w:rPr/>
        <w:t>元，从而形成商誉</w:t>
      </w:r>
      <w:r>
        <w:rPr>
          <w:rFonts w:ascii="Times New Roman" w:hAnsi="Times New Roman" w:cs="Times New Roman" w:eastAsia="Times New Roman" w:hint="default"/>
        </w:rPr>
        <w:t>139,753,563.89</w:t>
      </w:r>
      <w:r>
        <w:rPr/>
        <w:t>元。</w:t>
      </w:r>
    </w:p>
    <w:p>
      <w:pPr>
        <w:pStyle w:val="Heading6"/>
        <w:spacing w:line="256" w:lineRule="auto" w:before="5"/>
        <w:ind w:right="1154" w:firstLine="420"/>
        <w:jc w:val="both"/>
      </w:pPr>
      <w:r>
        <w:rPr>
          <w:spacing w:val="-2"/>
        </w:rPr>
        <w:t>本公司以人民币</w:t>
      </w:r>
      <w:r>
        <w:rPr>
          <w:rFonts w:ascii="Times New Roman" w:hAnsi="Times New Roman" w:cs="Times New Roman" w:eastAsia="Times New Roman" w:hint="default"/>
          <w:spacing w:val="-2"/>
        </w:rPr>
        <w:t>3,351.19</w:t>
      </w:r>
      <w:r>
        <w:rPr>
          <w:spacing w:val="-2"/>
        </w:rPr>
        <w:t>万元（折合美元</w:t>
      </w:r>
      <w:r>
        <w:rPr>
          <w:rFonts w:ascii="Times New Roman" w:hAnsi="Times New Roman" w:cs="Times New Roman" w:eastAsia="Times New Roman" w:hint="default"/>
          <w:spacing w:val="-2"/>
        </w:rPr>
        <w:t>470</w:t>
      </w:r>
      <w:r>
        <w:rPr>
          <w:spacing w:val="-2"/>
        </w:rPr>
        <w:t>万）的价格受让</w:t>
      </w:r>
      <w:r>
        <w:rPr>
          <w:rFonts w:ascii="Times New Roman" w:hAnsi="Times New Roman" w:cs="Times New Roman" w:eastAsia="Times New Roman" w:hint="default"/>
          <w:spacing w:val="-2"/>
        </w:rPr>
        <w:t>Nexgo,Inc100.00%</w:t>
      </w:r>
      <w:r>
        <w:rPr>
          <w:spacing w:val="-2"/>
        </w:rPr>
        <w:t>的股权，合并日取得的</w:t>
      </w:r>
      <w:r>
        <w:rPr>
          <w:w w:val="100"/>
        </w:rPr>
        <w:t> </w:t>
      </w:r>
      <w:r>
        <w:rPr/>
        <w:t>被投资单位可辨认净资产公允价值份额为（</w:t>
      </w:r>
      <w:r>
        <w:rPr>
          <w:rFonts w:ascii="Times New Roman" w:hAnsi="Times New Roman" w:cs="Times New Roman" w:eastAsia="Times New Roman" w:hint="default"/>
        </w:rPr>
        <w:t>2,781,748.69</w:t>
      </w:r>
      <w:r>
        <w:rPr/>
        <w:t>）元，从而形成商誉</w:t>
      </w:r>
      <w:r>
        <w:rPr>
          <w:rFonts w:ascii="Times New Roman" w:hAnsi="Times New Roman" w:cs="Times New Roman" w:eastAsia="Times New Roman" w:hint="default"/>
        </w:rPr>
        <w:t>36,293,613.94</w:t>
      </w:r>
      <w:r>
        <w:rPr/>
        <w:t>元。</w:t>
      </w:r>
    </w:p>
    <w:p>
      <w:pPr>
        <w:pStyle w:val="Heading6"/>
        <w:spacing w:line="256" w:lineRule="auto" w:before="5"/>
        <w:ind w:right="1190" w:firstLine="420"/>
        <w:jc w:val="both"/>
      </w:pPr>
      <w:r>
        <w:rPr>
          <w:spacing w:val="-2"/>
        </w:rPr>
        <w:t>本公司以人民币</w:t>
      </w:r>
      <w:r>
        <w:rPr>
          <w:rFonts w:ascii="Times New Roman" w:hAnsi="Times New Roman" w:cs="Times New Roman" w:eastAsia="Times New Roman" w:hint="default"/>
          <w:spacing w:val="-2"/>
        </w:rPr>
        <w:t>50,000.00</w:t>
      </w:r>
      <w:r>
        <w:rPr>
          <w:spacing w:val="-2"/>
        </w:rPr>
        <w:t>万元的价格受让长沙公信诚丰信息技术服务有限公司</w:t>
      </w:r>
      <w:r>
        <w:rPr>
          <w:rFonts w:ascii="Times New Roman" w:hAnsi="Times New Roman" w:cs="Times New Roman" w:eastAsia="Times New Roman" w:hint="default"/>
          <w:spacing w:val="-2"/>
        </w:rPr>
        <w:t>100.00%</w:t>
      </w:r>
      <w:r>
        <w:rPr>
          <w:spacing w:val="-2"/>
        </w:rPr>
        <w:t>的股权，合并</w:t>
      </w:r>
      <w:r>
        <w:rPr>
          <w:w w:val="100"/>
        </w:rPr>
        <w:t> </w:t>
      </w:r>
      <w:r>
        <w:rPr/>
        <w:t>日取得的被投资单位可辨认净资产公允价值份额为</w:t>
      </w:r>
      <w:r>
        <w:rPr>
          <w:rFonts w:ascii="Times New Roman" w:hAnsi="Times New Roman" w:cs="Times New Roman" w:eastAsia="Times New Roman" w:hint="default"/>
        </w:rPr>
        <w:t>66,841,001.51</w:t>
      </w:r>
      <w:r>
        <w:rPr/>
        <w:t>元，从而形成商誉</w:t>
      </w:r>
      <w:r>
        <w:rPr>
          <w:rFonts w:ascii="Times New Roman" w:hAnsi="Times New Roman" w:cs="Times New Roman" w:eastAsia="Times New Roman" w:hint="default"/>
        </w:rPr>
        <w:t>433,158,998.49</w:t>
      </w:r>
      <w:r>
        <w:rPr/>
        <w:t>元。</w:t>
      </w:r>
    </w:p>
    <w:p>
      <w:pPr>
        <w:pStyle w:val="Heading6"/>
        <w:spacing w:line="256" w:lineRule="auto" w:before="5"/>
        <w:ind w:right="1190" w:firstLine="420"/>
        <w:jc w:val="both"/>
      </w:pPr>
      <w:r>
        <w:rPr>
          <w:spacing w:val="-2"/>
        </w:rPr>
        <w:t>本公司以人民币</w:t>
      </w:r>
      <w:r>
        <w:rPr>
          <w:rFonts w:ascii="Times New Roman" w:hAnsi="Times New Roman" w:cs="Times New Roman" w:eastAsia="Times New Roman" w:hint="default"/>
          <w:spacing w:val="-2"/>
        </w:rPr>
        <w:t>71,000.00</w:t>
      </w:r>
      <w:r>
        <w:rPr>
          <w:spacing w:val="-2"/>
        </w:rPr>
        <w:t>万元的价格受让嘉联支付有限公司</w:t>
      </w:r>
      <w:r>
        <w:rPr>
          <w:rFonts w:ascii="Times New Roman" w:hAnsi="Times New Roman" w:cs="Times New Roman" w:eastAsia="Times New Roman" w:hint="default"/>
          <w:spacing w:val="-2"/>
        </w:rPr>
        <w:t>100.00%</w:t>
      </w:r>
      <w:r>
        <w:rPr>
          <w:spacing w:val="-2"/>
        </w:rPr>
        <w:t>的股权，合并日取得的被投资单</w:t>
      </w:r>
      <w:r>
        <w:rPr>
          <w:w w:val="100"/>
        </w:rPr>
        <w:t> </w:t>
      </w:r>
      <w:r>
        <w:rPr/>
        <w:t>位可辨认净资产公允价值份额为</w:t>
      </w:r>
      <w:r>
        <w:rPr>
          <w:rFonts w:ascii="Times New Roman" w:hAnsi="Times New Roman" w:cs="Times New Roman" w:eastAsia="Times New Roman" w:hint="default"/>
        </w:rPr>
        <w:t>211,000,845.70</w:t>
      </w:r>
      <w:r>
        <w:rPr/>
        <w:t>元，从而形成商誉</w:t>
      </w:r>
      <w:r>
        <w:rPr>
          <w:rFonts w:ascii="Times New Roman" w:hAnsi="Times New Roman" w:cs="Times New Roman" w:eastAsia="Times New Roman" w:hint="default"/>
        </w:rPr>
        <w:t>498,999,154.30</w:t>
      </w:r>
      <w:r>
        <w:rPr/>
        <w:t>元。</w:t>
      </w:r>
    </w:p>
    <w:p>
      <w:pPr>
        <w:pStyle w:val="Heading6"/>
        <w:spacing w:line="256" w:lineRule="auto" w:before="5"/>
        <w:ind w:right="1140" w:firstLine="420"/>
        <w:jc w:val="both"/>
      </w:pPr>
      <w:r>
        <w:rPr>
          <w:spacing w:val="-2"/>
        </w:rPr>
        <w:t>本公司之子公司深圳市新国都金服技术有限公司以人民币</w:t>
      </w:r>
      <w:r>
        <w:rPr>
          <w:rFonts w:ascii="Times New Roman" w:hAnsi="Times New Roman" w:cs="Times New Roman" w:eastAsia="Times New Roman" w:hint="default"/>
          <w:spacing w:val="-2"/>
        </w:rPr>
        <w:t>160.01</w:t>
      </w:r>
      <w:r>
        <w:rPr>
          <w:spacing w:val="-2"/>
        </w:rPr>
        <w:t>万元的价格受让惠州市惠信资信评级</w:t>
      </w:r>
      <w:r>
        <w:rPr>
          <w:w w:val="100"/>
        </w:rPr>
        <w:t> </w:t>
      </w:r>
      <w:r>
        <w:rPr>
          <w:spacing w:val="-2"/>
        </w:rPr>
        <w:t>有限公司</w:t>
      </w:r>
      <w:r>
        <w:rPr>
          <w:rFonts w:ascii="Times New Roman" w:hAnsi="Times New Roman" w:cs="Times New Roman" w:eastAsia="Times New Roman" w:hint="default"/>
          <w:spacing w:val="-2"/>
        </w:rPr>
        <w:t>100.00%</w:t>
      </w:r>
      <w:r>
        <w:rPr>
          <w:spacing w:val="-2"/>
        </w:rPr>
        <w:t>的股权，合并日取得的被投资单位可辨认净资产公允价值份额为</w:t>
      </w:r>
      <w:r>
        <w:rPr>
          <w:rFonts w:ascii="Times New Roman" w:hAnsi="Times New Roman" w:cs="Times New Roman" w:eastAsia="Times New Roman" w:hint="default"/>
          <w:spacing w:val="-2"/>
        </w:rPr>
        <w:t>36.09</w:t>
      </w:r>
      <w:r>
        <w:rPr>
          <w:spacing w:val="-2"/>
        </w:rPr>
        <w:t>元，从而形成商誉</w:t>
      </w:r>
      <w:r>
        <w:rPr>
          <w:spacing w:val="-10"/>
        </w:rPr>
        <w:t> </w:t>
      </w:r>
      <w:r>
        <w:rPr>
          <w:spacing w:val="-10"/>
        </w:rPr>
      </w:r>
      <w:r>
        <w:rPr>
          <w:rFonts w:ascii="Times New Roman" w:hAnsi="Times New Roman" w:cs="Times New Roman" w:eastAsia="Times New Roman" w:hint="default"/>
        </w:rPr>
        <w:t>1,600,063.91</w:t>
      </w:r>
      <w:r>
        <w:rPr/>
        <w:t>元。</w:t>
      </w:r>
    </w:p>
    <w:p>
      <w:pPr>
        <w:spacing w:line="240" w:lineRule="auto" w:before="12"/>
        <w:rPr>
          <w:rFonts w:ascii="宋体" w:hAnsi="宋体" w:cs="宋体" w:eastAsia="宋体" w:hint="default"/>
          <w:sz w:val="28"/>
          <w:szCs w:val="28"/>
        </w:rPr>
      </w:pPr>
    </w:p>
    <w:p>
      <w:pPr>
        <w:pStyle w:val="BodyText"/>
        <w:spacing w:line="316" w:lineRule="auto"/>
        <w:ind w:right="1033"/>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Heading6"/>
        <w:spacing w:line="266" w:lineRule="auto" w:before="39"/>
        <w:ind w:right="1126" w:firstLine="420"/>
        <w:jc w:val="both"/>
      </w:pPr>
      <w:r>
        <w:rPr>
          <w:spacing w:val="-2"/>
        </w:rPr>
        <w:t>本公司对企业合并取得的子公司的商誉进行了减值测试，各子公司的可回收金额按照预计未来现金流</w:t>
      </w:r>
      <w:r>
        <w:rPr>
          <w:w w:val="100"/>
        </w:rPr>
        <w:t> </w:t>
      </w:r>
      <w:r>
        <w:rPr>
          <w:spacing w:val="-2"/>
        </w:rPr>
        <w:t>量的现值确定，其预计未来现金流量根据管理层批准的</w:t>
      </w:r>
      <w:r>
        <w:rPr>
          <w:rFonts w:ascii="Times New Roman" w:hAnsi="Times New Roman" w:cs="Times New Roman" w:eastAsia="Times New Roman" w:hint="default"/>
          <w:spacing w:val="-2"/>
        </w:rPr>
        <w:t>5</w:t>
      </w:r>
      <w:r>
        <w:rPr>
          <w:spacing w:val="-2"/>
        </w:rPr>
        <w:t>年期财务预算为基础的现金流量来确定，</w:t>
      </w:r>
      <w:r>
        <w:rPr>
          <w:rFonts w:ascii="Times New Roman" w:hAnsi="Times New Roman" w:cs="Times New Roman" w:eastAsia="Times New Roman" w:hint="default"/>
          <w:spacing w:val="-2"/>
        </w:rPr>
        <w:t>5</w:t>
      </w:r>
      <w:r>
        <w:rPr>
          <w:spacing w:val="-2"/>
        </w:rPr>
        <w:t>年期后</w:t>
      </w:r>
      <w:r>
        <w:rPr>
          <w:spacing w:val="-43"/>
        </w:rPr>
        <w:t> </w:t>
      </w:r>
      <w:r>
        <w:rPr>
          <w:spacing w:val="-43"/>
        </w:rPr>
      </w:r>
      <w:r>
        <w:rPr/>
        <w:t>的现金流量以增长率为零推算。本公司采用未来现金流量折现方法的主要假设：</w:t>
      </w:r>
    </w:p>
    <w:p>
      <w:pPr>
        <w:spacing w:line="240" w:lineRule="auto" w:before="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937"/>
        <w:gridCol w:w="1985"/>
        <w:gridCol w:w="1561"/>
        <w:gridCol w:w="1274"/>
      </w:tblGrid>
      <w:tr>
        <w:trPr>
          <w:trHeight w:val="353" w:hRule="exact"/>
        </w:trPr>
        <w:tc>
          <w:tcPr>
            <w:tcW w:w="3937" w:type="dxa"/>
            <w:vMerge w:val="restart"/>
            <w:tcBorders>
              <w:top w:val="single" w:sz="6" w:space="0" w:color="000000"/>
              <w:left w:val="single" w:sz="6" w:space="0" w:color="000000"/>
              <w:right w:val="single" w:sz="6" w:space="0" w:color="000000"/>
            </w:tcBorders>
          </w:tcPr>
          <w:p>
            <w:pPr>
              <w:pStyle w:val="TableParagraph"/>
              <w:spacing w:line="240" w:lineRule="auto" w:before="17"/>
              <w:ind w:left="611"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4820"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53" w:hRule="exact"/>
        </w:trPr>
        <w:tc>
          <w:tcPr>
            <w:tcW w:w="3937" w:type="dxa"/>
            <w:vMerge/>
            <w:tcBorders>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收入增长率</w:t>
            </w:r>
            <w:r>
              <w:rPr>
                <w:rFonts w:ascii="Times New Roman" w:hAnsi="Times New Roman" w:cs="Times New Roman" w:eastAsia="Times New Roman" w:hint="default"/>
                <w:sz w:val="18"/>
                <w:szCs w:val="18"/>
              </w:rPr>
              <w:t>(%)</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2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折现率</w:t>
            </w:r>
            <w:r>
              <w:rPr>
                <w:rFonts w:ascii="Times New Roman" w:hAnsi="Times New Roman" w:cs="Times New Roman" w:eastAsia="Times New Roman" w:hint="default"/>
                <w:sz w:val="18"/>
                <w:szCs w:val="18"/>
              </w:rPr>
              <w:t>(%)</w:t>
            </w:r>
          </w:p>
        </w:tc>
      </w:tr>
      <w:tr>
        <w:trPr>
          <w:trHeight w:val="353" w:hRule="exact"/>
        </w:trPr>
        <w:tc>
          <w:tcPr>
            <w:tcW w:w="39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浙江中正智能科技有限公司（</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年度</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tabs>
                <w:tab w:pos="1188" w:val="left" w:leader="none"/>
              </w:tabs>
              <w:spacing w:line="240" w:lineRule="auto" w:before="10"/>
              <w:ind w:left="-101"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33.86-3.37</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34.7-34.44</w:t>
            </w:r>
          </w:p>
        </w:tc>
        <w:tc>
          <w:tcPr>
            <w:tcW w:w="12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z w:val="18"/>
              </w:rPr>
              <w:t>14.80</w:t>
            </w:r>
          </w:p>
        </w:tc>
      </w:tr>
      <w:tr>
        <w:trPr>
          <w:trHeight w:val="662" w:hRule="exact"/>
        </w:trPr>
        <w:tc>
          <w:tcPr>
            <w:tcW w:w="39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Nexgo,Inc</w:t>
            </w:r>
            <w:r>
              <w:rPr>
                <w:rFonts w:ascii="宋体" w:hAnsi="宋体" w:cs="宋体" w:eastAsia="宋体" w:hint="default"/>
                <w:sz w:val="18"/>
                <w:szCs w:val="18"/>
              </w:rPr>
              <w:t>（</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年度）</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5.72</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-2.27</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75.39-76.52</w:t>
            </w:r>
          </w:p>
        </w:tc>
        <w:tc>
          <w:tcPr>
            <w:tcW w:w="12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11.33</w:t>
            </w:r>
          </w:p>
        </w:tc>
      </w:tr>
      <w:tr>
        <w:trPr>
          <w:trHeight w:val="665" w:hRule="exact"/>
        </w:trPr>
        <w:tc>
          <w:tcPr>
            <w:tcW w:w="39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10"/>
              <w:jc w:val="left"/>
              <w:rPr>
                <w:rFonts w:ascii="宋体" w:hAnsi="宋体" w:cs="宋体" w:eastAsia="宋体" w:hint="default"/>
                <w:sz w:val="18"/>
                <w:szCs w:val="18"/>
              </w:rPr>
            </w:pPr>
            <w:r>
              <w:rPr>
                <w:rFonts w:ascii="宋体" w:hAnsi="宋体" w:cs="宋体" w:eastAsia="宋体" w:hint="default"/>
                <w:spacing w:val="6"/>
                <w:sz w:val="18"/>
                <w:szCs w:val="18"/>
              </w:rPr>
              <w:t>长沙公信诚丰信息技术服务有限公司（</w:t>
            </w:r>
            <w:r>
              <w:rPr>
                <w:rFonts w:ascii="Times New Roman" w:hAnsi="Times New Roman" w:cs="Times New Roman" w:eastAsia="Times New Roman" w:hint="default"/>
                <w:spacing w:val="6"/>
                <w:sz w:val="18"/>
                <w:szCs w:val="18"/>
              </w:rPr>
              <w:t>2020</w:t>
            </w:r>
            <w:r>
              <w:rPr>
                <w:rFonts w:ascii="宋体" w:hAnsi="宋体" w:cs="宋体" w:eastAsia="宋体" w:hint="default"/>
                <w:spacing w:val="6"/>
                <w:sz w:val="18"/>
                <w:szCs w:val="18"/>
              </w:rPr>
              <w:t>年度</w:t>
            </w:r>
            <w:r>
              <w:rPr>
                <w:rFonts w:ascii="宋体" w:hAnsi="宋体" w:cs="宋体" w:eastAsia="宋体"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年度）</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(19.57)-2.21</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80" w:right="0"/>
              <w:jc w:val="left"/>
              <w:rPr>
                <w:rFonts w:ascii="Times New Roman" w:hAnsi="Times New Roman" w:cs="Times New Roman" w:eastAsia="Times New Roman" w:hint="default"/>
                <w:sz w:val="18"/>
                <w:szCs w:val="18"/>
              </w:rPr>
            </w:pPr>
            <w:r>
              <w:rPr>
                <w:rFonts w:ascii="Times New Roman"/>
                <w:sz w:val="18"/>
              </w:rPr>
              <w:t>72.73-68.97</w:t>
            </w:r>
          </w:p>
        </w:tc>
        <w:tc>
          <w:tcPr>
            <w:tcW w:w="12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z w:val="18"/>
              </w:rPr>
              <w:t>13.58</w:t>
            </w:r>
          </w:p>
        </w:tc>
      </w:tr>
      <w:tr>
        <w:trPr>
          <w:trHeight w:val="353" w:hRule="exact"/>
        </w:trPr>
        <w:tc>
          <w:tcPr>
            <w:tcW w:w="39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嘉联支付有限公司（</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-2024</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88"/>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0.89</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-3.99</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24.45-23.97</w:t>
            </w:r>
          </w:p>
        </w:tc>
        <w:tc>
          <w:tcPr>
            <w:tcW w:w="12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16.77</w:t>
            </w:r>
            <w:r>
              <w:rPr>
                <w:rFonts w:ascii="宋体" w:hAnsi="宋体" w:cs="宋体" w:eastAsia="宋体" w:hint="default"/>
                <w:sz w:val="18"/>
                <w:szCs w:val="18"/>
              </w:rPr>
              <w:t>、</w:t>
            </w:r>
            <w:r>
              <w:rPr>
                <w:rFonts w:ascii="Times New Roman" w:hAnsi="Times New Roman" w:cs="Times New Roman" w:eastAsia="Times New Roman" w:hint="default"/>
                <w:sz w:val="18"/>
                <w:szCs w:val="18"/>
              </w:rPr>
              <w:t>17.24</w:t>
            </w:r>
          </w:p>
        </w:tc>
      </w:tr>
    </w:tbl>
    <w:p>
      <w:pPr>
        <w:spacing w:line="240" w:lineRule="auto" w:before="5"/>
        <w:rPr>
          <w:rFonts w:ascii="宋体" w:hAnsi="宋体" w:cs="宋体" w:eastAsia="宋体" w:hint="default"/>
          <w:sz w:val="6"/>
          <w:szCs w:val="6"/>
        </w:rPr>
      </w:pPr>
    </w:p>
    <w:p>
      <w:pPr>
        <w:pStyle w:val="BodyText"/>
        <w:spacing w:line="240" w:lineRule="auto" w:before="44"/>
        <w:ind w:left="582" w:right="1033"/>
        <w:jc w:val="left"/>
      </w:pPr>
      <w:r>
        <w:rPr>
          <w:rFonts w:ascii="Times New Roman" w:hAnsi="Times New Roman" w:cs="Times New Roman" w:eastAsia="Times New Roman" w:hint="default"/>
        </w:rPr>
        <w:t>*</w:t>
      </w:r>
      <w:r>
        <w:rPr/>
        <w:t>嘉联支付有限公司折现率不一致系预测期内企业所得税适用税率不同所致。</w:t>
      </w:r>
    </w:p>
    <w:p>
      <w:pPr>
        <w:spacing w:line="240" w:lineRule="auto" w:before="5"/>
        <w:rPr>
          <w:rFonts w:ascii="宋体" w:hAnsi="宋体" w:cs="宋体" w:eastAsia="宋体" w:hint="default"/>
          <w:sz w:val="12"/>
          <w:szCs w:val="12"/>
        </w:rPr>
      </w:pPr>
    </w:p>
    <w:p>
      <w:pPr>
        <w:pStyle w:val="Heading6"/>
        <w:spacing w:line="273" w:lineRule="auto" w:before="0"/>
        <w:ind w:right="1033" w:firstLine="429"/>
        <w:jc w:val="left"/>
      </w:pPr>
      <w:r>
        <w:rPr>
          <w:spacing w:val="-3"/>
        </w:rPr>
        <w:t>管理层根据历史经验对市场发展的预测确定预测期的收入增长率及毛利率，并采用能够反映相关资产</w:t>
      </w:r>
      <w:r>
        <w:rPr>
          <w:w w:val="100"/>
        </w:rPr>
        <w:t> </w:t>
      </w:r>
      <w:r>
        <w:rPr/>
        <w:t>组和资产组组合的特定风险的税前利率为折现率。上述假设用以分析资产组组合的可收回金额。</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033"/>
        <w:jc w:val="left"/>
      </w:pPr>
      <w:r>
        <w:rPr/>
        <w:t>商誉减值测试的影响</w:t>
      </w:r>
    </w:p>
    <w:p>
      <w:pPr>
        <w:pStyle w:val="Heading6"/>
        <w:spacing w:line="264" w:lineRule="auto" w:before="96"/>
        <w:ind w:right="1033" w:firstLine="432"/>
        <w:jc w:val="left"/>
      </w:pPr>
      <w:r>
        <w:rPr>
          <w:spacing w:val="-2"/>
        </w:rPr>
        <w:t>管理层经过上述商誉减值测试，合并</w:t>
      </w:r>
      <w:r>
        <w:rPr>
          <w:rFonts w:ascii="Times New Roman" w:hAnsi="Times New Roman" w:cs="Times New Roman" w:eastAsia="Times New Roman" w:hint="default"/>
          <w:spacing w:val="-2"/>
        </w:rPr>
        <w:t>Nexgo,Inc</w:t>
      </w:r>
      <w:r>
        <w:rPr>
          <w:spacing w:val="-2"/>
        </w:rPr>
        <w:t>及嘉联支付有限公司形成的商誉本年度无需计提减值。</w:t>
      </w:r>
      <w:r>
        <w:rPr>
          <w:w w:val="100"/>
        </w:rPr>
        <w:t> </w:t>
      </w:r>
      <w:r>
        <w:rPr/>
        <w:t>合并浙江中正智能科技有限公司、长沙公信诚丰信息技术服务有限公司本年度形成的商誉减值金额</w:t>
      </w:r>
      <w:r>
        <w:rPr>
          <w:w w:val="100"/>
        </w:rPr>
        <w:t> </w:t>
      </w:r>
      <w:r>
        <w:rPr>
          <w:rFonts w:ascii="Times New Roman" w:hAnsi="Times New Roman" w:cs="Times New Roman" w:eastAsia="Times New Roman" w:hint="default"/>
        </w:rPr>
        <w:t>193,771,823.05</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25,781,826.05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3,813,604.97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6,177,534.41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3,846,413.15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19,571,483.46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地图平台服务费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442,500.00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模具费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1,441,488.57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253,100.19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766,867.50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927,721.26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95,192.05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57,783.02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114,001.03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38,974.04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27,856,006.85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4,124,488.18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7,153,403.12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3,846,413.15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20,980,678.76</w:t>
            </w:r>
          </w:p>
        </w:tc>
      </w:tr>
    </w:tbl>
    <w:p>
      <w:pPr>
        <w:pStyle w:val="BodyText"/>
        <w:spacing w:line="240" w:lineRule="auto" w:before="49"/>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7"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86,867,561.71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13,944,572.34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63,342,983.52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9,186,918.68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55,493,934.13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8,909,418.02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46,209,465.48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8,022,584.05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69,292,224.41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11,594,231.31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16,820,478.25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2,523,071.74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2,549,599.33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382,439.90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8,469,778.59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1,149,232.39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44,114,650.04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10,622,788.67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258,317,969.62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45,453,450.24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134,842,705.84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20,881,806.86</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4,055,783.07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608,367.46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18,210,766.42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2,731,614.96</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固定资产折旧政策的差 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1,184,660.60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177,699.09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5,240,443.67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786,066.55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18,210,766.42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2,731,614.96</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3"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45,453,450.24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20,881,806.86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786,066.55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2,731,614.96</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26,112,521.79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12,592,593.56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9,153,534.82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15,510,876.11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35,266,056.61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28,103,469.67</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4"/>
        <w:gridCol w:w="2392"/>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预付的设备采购款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12,087.63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预付的软件采购款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747,250.00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747,250.00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12,087.63</w:t>
            </w:r>
          </w:p>
        </w:tc>
      </w:tr>
    </w:tbl>
    <w:p>
      <w:pPr>
        <w:pStyle w:val="BodyText"/>
        <w:spacing w:line="240" w:lineRule="auto" w:before="49"/>
        <w:ind w:right="1033"/>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809,000,000.00</w:t>
            </w:r>
          </w:p>
        </w:tc>
      </w:tr>
    </w:tbl>
    <w:p>
      <w:pPr>
        <w:pStyle w:val="BodyText"/>
        <w:spacing w:line="240" w:lineRule="auto" w:before="49"/>
        <w:ind w:right="1033"/>
        <w:jc w:val="left"/>
      </w:pPr>
      <w:r>
        <w:rPr/>
        <w:t>短期借款分类的说明：</w:t>
      </w:r>
    </w:p>
    <w:p>
      <w:pPr>
        <w:spacing w:line="240" w:lineRule="auto" w:before="9"/>
        <w:rPr>
          <w:rFonts w:ascii="宋体" w:hAnsi="宋体" w:cs="宋体" w:eastAsia="宋体" w:hint="default"/>
          <w:sz w:val="13"/>
          <w:szCs w:val="13"/>
        </w:rPr>
      </w:pPr>
    </w:p>
    <w:p>
      <w:pPr>
        <w:pStyle w:val="Heading6"/>
        <w:spacing w:line="256" w:lineRule="auto" w:before="0"/>
        <w:ind w:right="1126" w:firstLine="42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日，深圳市新国都支付技术有限公司与上海浦东发展银行股份有限公司深圳分行签署（合</w:t>
      </w:r>
      <w:r>
        <w:rPr>
          <w:w w:val="100"/>
        </w:rPr>
        <w:t> </w:t>
      </w:r>
      <w:r>
        <w:rPr>
          <w:spacing w:val="-3"/>
        </w:rPr>
        <w:t>同编号：</w:t>
      </w:r>
      <w:r>
        <w:rPr>
          <w:rFonts w:ascii="Times New Roman" w:hAnsi="Times New Roman" w:cs="Times New Roman" w:eastAsia="Times New Roman" w:hint="default"/>
          <w:spacing w:val="-3"/>
        </w:rPr>
        <w:t>BC2019022800001365</w:t>
      </w:r>
      <w:r>
        <w:rPr>
          <w:spacing w:val="-3"/>
        </w:rPr>
        <w:t>）《融资额度协议》。根据该合同，该行向深圳市新国都支付技术有限公司</w:t>
      </w:r>
      <w:r>
        <w:rPr>
          <w:spacing w:val="-44"/>
        </w:rPr>
        <w:t> </w:t>
      </w:r>
      <w:r>
        <w:rPr>
          <w:spacing w:val="-44"/>
        </w:rPr>
      </w:r>
      <w:r>
        <w:rPr>
          <w:spacing w:val="-3"/>
        </w:rPr>
        <w:t>提供人民币</w:t>
      </w:r>
      <w:r>
        <w:rPr>
          <w:rFonts w:ascii="Times New Roman" w:hAnsi="Times New Roman" w:cs="Times New Roman" w:eastAsia="Times New Roman" w:hint="default"/>
          <w:spacing w:val="-3"/>
        </w:rPr>
        <w:t>20,000</w:t>
      </w:r>
      <w:r>
        <w:rPr>
          <w:spacing w:val="-3"/>
        </w:rPr>
        <w:t>万元整的授信额度，授信期限自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5</w:t>
      </w:r>
      <w:r>
        <w:rPr>
          <w:spacing w:val="-3"/>
        </w:rPr>
        <w:t>日起至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28</w:t>
      </w:r>
      <w:r>
        <w:rPr>
          <w:spacing w:val="-3"/>
        </w:rPr>
        <w:t>日止。本公司、本公司实</w:t>
      </w:r>
      <w:r>
        <w:rPr>
          <w:spacing w:val="-24"/>
        </w:rPr>
        <w:t> </w:t>
      </w:r>
      <w:r>
        <w:rPr>
          <w:spacing w:val="-24"/>
        </w:rPr>
      </w:r>
      <w:r>
        <w:rPr>
          <w:spacing w:val="-3"/>
        </w:rPr>
        <w:t>际控制人刘祥与上海浦东发展银行股份有限公司深圳分行签署分别签署编号为：</w:t>
      </w:r>
      <w:r>
        <w:rPr>
          <w:rFonts w:ascii="Times New Roman" w:hAnsi="Times New Roman" w:cs="Times New Roman" w:eastAsia="Times New Roman" w:hint="default"/>
          <w:spacing w:val="-3"/>
        </w:rPr>
        <w:t>ZB7919201900000009</w:t>
      </w:r>
      <w:r>
        <w:rPr>
          <w:spacing w:val="-3"/>
        </w:rPr>
        <w:t>《最</w:t>
      </w:r>
      <w:r>
        <w:rPr>
          <w:spacing w:val="-28"/>
        </w:rPr>
        <w:t> </w:t>
      </w:r>
      <w:r>
        <w:rPr/>
        <w:t>高额保证合同》、</w:t>
      </w:r>
      <w:r>
        <w:rPr>
          <w:rFonts w:ascii="Times New Roman" w:hAnsi="Times New Roman" w:cs="Times New Roman" w:eastAsia="Times New Roman" w:hint="default"/>
        </w:rPr>
        <w:t>ZB7919201900000010</w:t>
      </w:r>
      <w:r>
        <w:rPr/>
        <w:t>《最高额保证合同》，对前述授信合同提供担保。</w:t>
      </w:r>
    </w:p>
    <w:p>
      <w:pPr>
        <w:pStyle w:val="Heading6"/>
        <w:spacing w:line="256" w:lineRule="auto" w:before="5"/>
        <w:ind w:right="1129" w:firstLine="336"/>
        <w:jc w:val="both"/>
      </w:pP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11</w:t>
      </w:r>
      <w:r>
        <w:rPr>
          <w:spacing w:val="-5"/>
        </w:rPr>
        <w:t>日，深圳市新国都支付技术有限公司与上海浦东发展银行股份有限公司深圳分行签署《流</w:t>
      </w:r>
      <w:r>
        <w:rPr>
          <w:w w:val="100"/>
        </w:rPr>
        <w:t> </w:t>
      </w:r>
      <w:r>
        <w:rPr>
          <w:spacing w:val="-5"/>
        </w:rPr>
        <w:t>动资金借款合同》（合同编号：</w:t>
      </w:r>
      <w:r>
        <w:rPr>
          <w:rFonts w:ascii="Times New Roman" w:hAnsi="Times New Roman" w:cs="Times New Roman" w:eastAsia="Times New Roman" w:hint="default"/>
          <w:spacing w:val="-5"/>
        </w:rPr>
        <w:t>79192019280278</w:t>
      </w:r>
      <w:r>
        <w:rPr>
          <w:spacing w:val="-5"/>
        </w:rPr>
        <w:t>），取得人民币</w:t>
      </w:r>
      <w:r>
        <w:rPr>
          <w:rFonts w:ascii="Times New Roman" w:hAnsi="Times New Roman" w:cs="Times New Roman" w:eastAsia="Times New Roman" w:hint="default"/>
          <w:spacing w:val="-5"/>
        </w:rPr>
        <w:t>4,000 </w:t>
      </w:r>
      <w:r>
        <w:rPr>
          <w:spacing w:val="-5"/>
        </w:rPr>
        <w:t>万元的借款，截止</w:t>
      </w:r>
      <w:r>
        <w:rPr>
          <w:spacing w:val="-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t>年</w:t>
      </w:r>
      <w:r>
        <w:rPr>
          <w:spacing w:val="-11"/>
        </w:rPr>
        <w:t> </w:t>
      </w:r>
      <w:r>
        <w:rPr>
          <w:rFonts w:ascii="Times New Roman" w:hAnsi="Times New Roman" w:cs="Times New Roman" w:eastAsia="Times New Roman" w:hint="default"/>
        </w:rPr>
        <w:t>12</w:t>
      </w:r>
      <w:r>
        <w:rPr>
          <w:rFonts w:ascii="Times New Roman" w:hAnsi="Times New Roman" w:cs="Times New Roman" w:eastAsia="Times New Roman" w:hint="default"/>
          <w:spacing w:val="43"/>
        </w:rPr>
        <w:t> </w:t>
      </w:r>
      <w:r>
        <w:rPr/>
        <w:t>月</w:t>
      </w:r>
      <w:r>
        <w:rPr>
          <w:spacing w:val="-9"/>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49"/>
        </w:rPr>
        <w:t> </w:t>
      </w:r>
      <w:r>
        <w:rPr/>
        <w:t>日尚未归还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4"/>
        <w:ind w:right="103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t>本期末已逾期未偿还的短期借款总额为元，其中重要的已逾期未偿还的短期借款情况如下：</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0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13,620,711.53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34,266,252.71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14,877,542.96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51,956,599.53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28,498,254.49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86,222,852.24</w:t>
            </w:r>
          </w:p>
        </w:tc>
      </w:tr>
    </w:tbl>
    <w:p>
      <w:pPr>
        <w:pStyle w:val="BodyText"/>
        <w:spacing w:line="240" w:lineRule="auto" w:before="49"/>
        <w:ind w:right="1033"/>
        <w:jc w:val="left"/>
      </w:pPr>
      <w:r>
        <w:rPr/>
        <w:t>本期末已到期未支付的应付票据总额为元。</w:t>
      </w:r>
    </w:p>
    <w:p>
      <w:pPr>
        <w:spacing w:line="240" w:lineRule="auto" w:before="2"/>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应付供应商货款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80,971,410.47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164,931,440.45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应付分润款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88,290,711.31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50,809,325.79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应付通道款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7,279,869.78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应付未付费用及其他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2,192,311.20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4,666,506.11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171,454,432.98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227,687,142.13</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t>是否已执行新收入准则</w:t>
      </w:r>
    </w:p>
    <w:p>
      <w:pPr>
        <w:pStyle w:val="BodyText"/>
        <w:spacing w:line="240" w:lineRule="auto" w:before="117"/>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24,708,200.95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18,565,943.44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预收信息查询费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987,183.60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预收其他款项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53,003.46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6"/>
        <w:gridCol w:w="3203"/>
        <w:gridCol w:w="3191"/>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24,708,200.95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19,606,130.50</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4"/>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033"/>
        <w:jc w:val="left"/>
      </w:pPr>
      <w:r>
        <w:rPr/>
        <w:t>报告期内账面价值发生重大变动的金额和原因</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4"/>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55,950,781.77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365,450,947.67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358,377,615.86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63,024,113.58</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398,638.95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15,820,864.61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15,795,702.30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423,801.26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5,024,837.26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4,301,896.41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810,690.85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56,437,170.72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386,296,649.54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378,475,214.57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64,258,605.69</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55,368,739.02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339,201,628.54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332,038,211.23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62,532,156.33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9,106,537.17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9,106,537.17</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318,971.55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8,489,857.53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8,465,996.75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342,832.33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278,253.69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7,636,613.01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7,612,199.18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302,667.52</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9,062.81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229,678.55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232,804.57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5,936.79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31,655.05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623,565.97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620,993.00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34,228.02</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6,998,825.32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7,006,897.32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104,328.00</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150,671.20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1,654,099.11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1,759,973.39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44,796.92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55,950,781.77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365,450,947.67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358,377,615.86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63,024,113.58</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384,701.77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15,326,833.85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15,302,566.33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408,969.29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13,937.18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494,030.76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493,135.97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14,831.97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398,638.95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15,820,864.61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15,795,702.30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423,801.26</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2,494,531.77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15,879,856.15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2,898,852.00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6,900,863.85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1,391,483.06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1,892,737.14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172,954.28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512,348.58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123,319.78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375,530.48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434,190.16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1,200,565.60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7,515,331.05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26,761,901.80</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270,968.14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17,938,729.86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6,732,119.40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6"/>
        <w:gridCol w:w="3203"/>
        <w:gridCol w:w="3191"/>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225,717,638.19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152,922,293.89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225,988,606.33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177,593,143.15</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220,218.14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16,177,777.89</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1,760,951.97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270,968.14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17,938,729.86</w:t>
            </w:r>
          </w:p>
        </w:tc>
      </w:tr>
    </w:tbl>
    <w:p>
      <w:pPr>
        <w:pStyle w:val="BodyText"/>
        <w:spacing w:line="240" w:lineRule="auto" w:before="49"/>
        <w:ind w:right="1033"/>
        <w:jc w:val="left"/>
      </w:pPr>
      <w:r>
        <w:rPr/>
        <w:t>重要的已逾期未支付的利息情况：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6,732,119.40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6,732,119.40</w:t>
            </w:r>
          </w:p>
        </w:tc>
      </w:tr>
    </w:tbl>
    <w:p>
      <w:pPr>
        <w:pStyle w:val="BodyText"/>
        <w:spacing w:line="240" w:lineRule="auto" w:before="49"/>
        <w:ind w:right="10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1"/>
        <w:rPr>
          <w:rFonts w:ascii="宋体" w:hAnsi="宋体" w:cs="宋体" w:eastAsia="宋体" w:hint="default"/>
          <w:sz w:val="20"/>
          <w:szCs w:val="20"/>
        </w:rPr>
      </w:pPr>
    </w:p>
    <w:p>
      <w:pPr>
        <w:pStyle w:val="Heading5"/>
        <w:spacing w:line="240" w:lineRule="auto"/>
        <w:ind w:right="10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3,166,799.64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2,334,375.50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预提未支付款及其他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5,219,406.27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5,347,783.12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92,044,076.83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61,031,464.73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风险准备金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947,697.73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946,309.78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备付金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124,339,657.72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83,262,360.76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225,717,638.19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152,922,293.89</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0"/>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033"/>
        <w:jc w:val="left"/>
      </w:pPr>
      <w:r>
        <w:rPr/>
        <w:t>其他说明：</w:t>
      </w:r>
    </w:p>
    <w:p>
      <w:pPr>
        <w:spacing w:line="240" w:lineRule="auto" w:before="2"/>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399,576,724.13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509,576,724.13</w:t>
            </w:r>
          </w:p>
        </w:tc>
      </w:tr>
    </w:tbl>
    <w:p>
      <w:pPr>
        <w:pStyle w:val="BodyText"/>
        <w:spacing w:line="240" w:lineRule="auto" w:before="49"/>
        <w:ind w:right="1033"/>
        <w:jc w:val="left"/>
      </w:pPr>
      <w:r>
        <w:rPr/>
        <w:t>其他说明：</w:t>
      </w:r>
    </w:p>
    <w:p>
      <w:pPr>
        <w:spacing w:line="240" w:lineRule="auto" w:before="2"/>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033"/>
        <w:jc w:val="left"/>
      </w:pPr>
      <w:r>
        <w:rPr/>
        <w:t>短期应付债券的增减变动：</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800"/>
        <w:gridCol w:w="797"/>
        <w:gridCol w:w="799"/>
        <w:gridCol w:w="797"/>
        <w:gridCol w:w="799"/>
        <w:gridCol w:w="798"/>
        <w:gridCol w:w="799"/>
        <w:gridCol w:w="797"/>
        <w:gridCol w:w="799"/>
        <w:gridCol w:w="797"/>
      </w:tblGrid>
      <w:tr>
        <w:trPr>
          <w:trHeight w:val="71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34"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bl>
    <w:p>
      <w:pPr>
        <w:pStyle w:val="BodyText"/>
        <w:spacing w:line="240" w:lineRule="auto" w:before="49"/>
        <w:ind w:right="1033"/>
        <w:jc w:val="left"/>
      </w:pPr>
      <w:r>
        <w:rPr/>
        <w:t>长期借款分类的说明：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033"/>
        <w:jc w:val="left"/>
      </w:pPr>
      <w:r>
        <w:rPr/>
        <w:t>其他说明，包括利率区间：</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年非公开发行创新创业公司债券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296,603,773.58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296,603,773.58</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87"/>
        <w:gridCol w:w="797"/>
        <w:gridCol w:w="800"/>
        <w:gridCol w:w="797"/>
        <w:gridCol w:w="799"/>
        <w:gridCol w:w="797"/>
        <w:gridCol w:w="799"/>
        <w:gridCol w:w="797"/>
        <w:gridCol w:w="800"/>
        <w:gridCol w:w="797"/>
        <w:gridCol w:w="799"/>
        <w:gridCol w:w="797"/>
      </w:tblGrid>
      <w:tr>
        <w:trPr>
          <w:trHeight w:val="161" w:hRule="exact"/>
        </w:trPr>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05" w:right="34"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新国 都（代码 </w:t>
            </w:r>
            <w:r>
              <w:rPr>
                <w:rFonts w:ascii="Times New Roman" w:hAnsi="Times New Roman" w:cs="Times New Roman" w:eastAsia="Times New Roman" w:hint="default"/>
                <w:sz w:val="18"/>
                <w:szCs w:val="18"/>
              </w:rPr>
              <w:t>114645</w:t>
            </w:r>
            <w:r>
              <w:rPr>
                <w:rFonts w:ascii="宋体" w:hAnsi="宋体" w:cs="宋体" w:eastAsia="宋体" w:hint="default"/>
                <w:sz w:val="18"/>
                <w:szCs w:val="18"/>
              </w:rPr>
              <w:t>）</w:t>
            </w:r>
          </w:p>
        </w:tc>
        <w:tc>
          <w:tcPr>
            <w:tcW w:w="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296,400,0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3,396,226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296,603,7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73.58</w:t>
            </w:r>
          </w:p>
        </w:tc>
      </w:tr>
      <w:tr>
        <w:trPr>
          <w:trHeight w:val="161" w:hRule="exact"/>
        </w:trPr>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296,400,0</w:t>
            </w:r>
          </w:p>
          <w:p>
            <w:pPr>
              <w:pStyle w:val="TableParagraph"/>
              <w:spacing w:line="240" w:lineRule="auto" w:before="102"/>
              <w:ind w:left="353" w:right="0"/>
              <w:jc w:val="left"/>
              <w:rPr>
                <w:rFonts w:ascii="Times New Roman" w:hAnsi="Times New Roman" w:cs="Times New Roman" w:eastAsia="Times New Roman" w:hint="default"/>
                <w:sz w:val="18"/>
                <w:szCs w:val="18"/>
              </w:rPr>
            </w:pPr>
            <w:r>
              <w:rPr>
                <w:rFonts w:ascii="Times New Roman"/>
                <w:sz w:val="18"/>
              </w:rPr>
              <w:t>00.00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3,396,226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.42</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296,603,7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73.58</w:t>
            </w:r>
          </w:p>
        </w:tc>
      </w:tr>
      <w:tr>
        <w:trPr>
          <w:trHeight w:val="391" w:hRule="exact"/>
        </w:trPr>
        <w:tc>
          <w:tcPr>
            <w:tcW w:w="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360"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654" w:space="4175"/>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4"/>
        <w:gridCol w:w="1063"/>
        <w:gridCol w:w="1064"/>
        <w:gridCol w:w="1063"/>
        <w:gridCol w:w="1063"/>
        <w:gridCol w:w="1062"/>
        <w:gridCol w:w="1061"/>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0"/>
        <w:ind w:right="7513"/>
        <w:jc w:val="left"/>
      </w:pPr>
      <w:r>
        <w:rPr/>
        <w:t>其他金融工具划分为金融负债的依据说明 其他说明</w:t>
      </w:r>
    </w:p>
    <w:p>
      <w:pPr>
        <w:spacing w:line="240" w:lineRule="auto" w:before="5"/>
        <w:rPr>
          <w:rFonts w:ascii="宋体" w:hAnsi="宋体" w:cs="宋体" w:eastAsia="宋体" w:hint="default"/>
          <w:sz w:val="15"/>
          <w:szCs w:val="15"/>
        </w:rPr>
      </w:pPr>
    </w:p>
    <w:p>
      <w:pPr>
        <w:pStyle w:val="Heading5"/>
        <w:spacing w:line="240" w:lineRule="auto"/>
        <w:ind w:right="1033"/>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033"/>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t>设定受益计划义务现值：</w:t>
      </w:r>
    </w:p>
    <w:p>
      <w:pPr>
        <w:pStyle w:val="BodyText"/>
        <w:spacing w:line="240" w:lineRule="auto" w:before="117"/>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033"/>
        <w:jc w:val="left"/>
      </w:pPr>
      <w:r>
        <w:rPr/>
        <w:t>计划资产：</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033"/>
        <w:jc w:val="left"/>
      </w:pPr>
      <w:r>
        <w:rPr/>
        <w:t>设定受益计划净负债（净资产）</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49"/>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5"/>
        <w:ind w:right="10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预计机具激活奖励款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44,114,650.04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未满足合同条款</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44,114,650.04</w:t>
            </w:r>
          </w:p>
        </w:tc>
        <w:tc>
          <w:tcPr>
            <w:tcW w:w="2393" w:type="dxa"/>
            <w:tcBorders>
              <w:top w:val="single" w:sz="4" w:space="0" w:color="000000"/>
              <w:left w:val="single" w:sz="4" w:space="0" w:color="000000"/>
              <w:bottom w:val="single" w:sz="4" w:space="0" w:color="000000"/>
              <w:right w:val="single" w:sz="13" w:space="0" w:color="D2D2D2"/>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033"/>
        <w:jc w:val="left"/>
      </w:pPr>
      <w:r>
        <w:rPr/>
        <w:t>其他说明，包括重要预计负债的相关重要假设、估计说明：</w:t>
      </w:r>
    </w:p>
    <w:p>
      <w:pPr>
        <w:spacing w:line="240" w:lineRule="auto" w:before="2"/>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与资产相关政府补 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16,287,439.14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9,886,709.92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8,650,729.22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与收益相关政府补 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4,222,285.66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27,898,615.56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26,907,046.29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5,213,854.93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安居房长期租赁费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263,501.10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2,187,972.00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694,746.75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1,756,726.35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人才安居房长期租 金</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3,207,428.80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3,207,428.80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机具租赁收入</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23,980,654.70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32,336,587.56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40,695,931.76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13,864,584.15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033"/>
        <w:jc w:val="left"/>
      </w:pPr>
      <w:r>
        <w:rPr/>
        <w:t>涉及政府补助的项目：</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9"/>
        <w:gridCol w:w="1010"/>
        <w:gridCol w:w="1010"/>
        <w:gridCol w:w="1011"/>
        <w:gridCol w:w="1008"/>
        <w:gridCol w:w="1011"/>
        <w:gridCol w:w="1248"/>
        <w:gridCol w:w="1011"/>
      </w:tblGrid>
      <w:tr>
        <w:trPr>
          <w:trHeight w:val="1028"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指纹与人脸 识别安全支 付技术专项 补贴（</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4,155,262.52</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2,228,680.00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1,926,582.52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国密算法安 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机具 研产一体化 项目专项补 贴（</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2,171,275.73</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1,165,516.08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1,005,759.65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9"/>
        <w:gridCol w:w="1010"/>
        <w:gridCol w:w="1010"/>
        <w:gridCol w:w="1011"/>
        <w:gridCol w:w="1008"/>
        <w:gridCol w:w="1011"/>
        <w:gridCol w:w="1248"/>
        <w:gridCol w:w="1011"/>
      </w:tblGrid>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PCP4.0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电子</w:t>
            </w:r>
          </w:p>
          <w:p>
            <w:pPr>
              <w:pStyle w:val="TableParagraph"/>
              <w:spacing w:line="316" w:lineRule="auto" w:before="63"/>
              <w:ind w:left="24" w:right="77"/>
              <w:jc w:val="both"/>
              <w:rPr>
                <w:rFonts w:ascii="宋体" w:hAnsi="宋体" w:cs="宋体" w:eastAsia="宋体" w:hint="default"/>
                <w:sz w:val="18"/>
                <w:szCs w:val="18"/>
              </w:rPr>
            </w:pPr>
            <w:r>
              <w:rPr>
                <w:rFonts w:ascii="宋体" w:hAnsi="宋体" w:cs="宋体" w:eastAsia="宋体" w:hint="default"/>
                <w:sz w:val="18"/>
                <w:szCs w:val="18"/>
              </w:rPr>
              <w:t>支付信息安 全关键技术 专项补贴</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基于移动互 联网的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 列支付终端 产业化项目 专项补贴</w:t>
            </w:r>
          </w:p>
          <w:p>
            <w:pPr>
              <w:pStyle w:val="TableParagraph"/>
              <w:spacing w:line="240" w:lineRule="auto" w:before="23"/>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861,788.23</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432,737.26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429,050.97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贴息补贴款</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363,500.00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363,500.00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工业设计和 成果转化资 助款</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159,299.25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91,432.10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67,867.15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绿色建筑政 府补贴款</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719,616.15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19,189.80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700,426.35</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房屋配套补 贴（</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4,129,759.80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110,126.88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4,019,632.92</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中小企业集 成化资助款</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214,802.03</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107,401.00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107,401.03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新型智能</w:t>
            </w:r>
          </w:p>
          <w:p>
            <w:pPr>
              <w:pStyle w:val="TableParagraph"/>
              <w:spacing w:line="240" w:lineRule="auto" w:before="74"/>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终端</w:t>
            </w:r>
            <w:r>
              <w:rPr>
                <w:rFonts w:ascii="宋体" w:hAnsi="宋体" w:cs="宋体" w:eastAsia="宋体" w:hint="default"/>
                <w:spacing w:val="-67"/>
                <w:sz w:val="18"/>
                <w:szCs w:val="18"/>
              </w:rPr>
              <w:t> </w:t>
            </w:r>
            <w:r>
              <w:rPr>
                <w:rFonts w:ascii="Times New Roman" w:hAnsi="Times New Roman" w:cs="Times New Roman" w:eastAsia="Times New Roman" w:hint="default"/>
                <w:spacing w:val="-3"/>
                <w:sz w:val="18"/>
                <w:szCs w:val="18"/>
              </w:rPr>
              <w:t>N5</w:t>
            </w:r>
            <w:r>
              <w:rPr>
                <w:rFonts w:ascii="Times New Roman" w:hAnsi="Times New Roman" w:cs="Times New Roman" w:eastAsia="Times New Roman" w:hint="default"/>
                <w:sz w:val="18"/>
                <w:szCs w:val="18"/>
              </w:rPr>
            </w:r>
          </w:p>
          <w:p>
            <w:pPr>
              <w:pStyle w:val="TableParagraph"/>
              <w:spacing w:line="319" w:lineRule="auto" w:before="63"/>
              <w:ind w:left="24" w:right="-13"/>
              <w:jc w:val="both"/>
              <w:rPr>
                <w:rFonts w:ascii="宋体" w:hAnsi="宋体" w:cs="宋体" w:eastAsia="宋体" w:hint="default"/>
                <w:sz w:val="18"/>
                <w:szCs w:val="18"/>
              </w:rPr>
            </w:pPr>
            <w:r>
              <w:rPr>
                <w:rFonts w:ascii="宋体" w:hAnsi="宋体" w:cs="宋体" w:eastAsia="宋体" w:hint="default"/>
                <w:sz w:val="18"/>
                <w:szCs w:val="18"/>
              </w:rPr>
              <w:t>在第三方支 付系统中的 应用示范项 目补助（</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2,375,420.00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450,400.67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1,925,019.33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新型智能</w:t>
            </w:r>
          </w:p>
          <w:p>
            <w:pPr>
              <w:pStyle w:val="TableParagraph"/>
              <w:spacing w:line="240" w:lineRule="auto" w:before="76"/>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终端</w:t>
            </w:r>
            <w:r>
              <w:rPr>
                <w:rFonts w:ascii="宋体" w:hAnsi="宋体" w:cs="宋体" w:eastAsia="宋体" w:hint="default"/>
                <w:spacing w:val="-67"/>
                <w:sz w:val="18"/>
                <w:szCs w:val="18"/>
              </w:rPr>
              <w:t> </w:t>
            </w:r>
            <w:r>
              <w:rPr>
                <w:rFonts w:ascii="Times New Roman" w:hAnsi="Times New Roman" w:cs="Times New Roman" w:eastAsia="Times New Roman" w:hint="default"/>
                <w:spacing w:val="-3"/>
                <w:sz w:val="18"/>
                <w:szCs w:val="18"/>
              </w:rPr>
              <w:t>N5</w:t>
            </w:r>
            <w:r>
              <w:rPr>
                <w:rFonts w:ascii="Times New Roman" w:hAnsi="Times New Roman" w:cs="Times New Roman" w:eastAsia="Times New Roman" w:hint="default"/>
                <w:sz w:val="18"/>
                <w:szCs w:val="18"/>
              </w:rPr>
            </w:r>
          </w:p>
          <w:p>
            <w:pPr>
              <w:pStyle w:val="TableParagraph"/>
              <w:spacing w:line="316" w:lineRule="auto" w:before="63"/>
              <w:ind w:left="24" w:right="-13"/>
              <w:jc w:val="both"/>
              <w:rPr>
                <w:rFonts w:ascii="宋体" w:hAnsi="宋体" w:cs="宋体" w:eastAsia="宋体" w:hint="default"/>
                <w:sz w:val="18"/>
                <w:szCs w:val="18"/>
              </w:rPr>
            </w:pPr>
            <w:r>
              <w:rPr>
                <w:rFonts w:ascii="宋体" w:hAnsi="宋体" w:cs="宋体" w:eastAsia="宋体" w:hint="default"/>
                <w:sz w:val="18"/>
                <w:szCs w:val="18"/>
              </w:rPr>
              <w:t>在第三方支 付系统中的 应用示范项 目补助（</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624,580.00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624,580.00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政府投融资 产业用房租 金减免款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2,825,792.17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1" w:right="0"/>
              <w:jc w:val="left"/>
              <w:rPr>
                <w:rFonts w:ascii="Times New Roman" w:hAnsi="Times New Roman" w:cs="Times New Roman" w:eastAsia="Times New Roman" w:hint="default"/>
                <w:sz w:val="18"/>
                <w:szCs w:val="18"/>
              </w:rPr>
            </w:pPr>
            <w:r>
              <w:rPr>
                <w:rFonts w:ascii="Times New Roman"/>
                <w:sz w:val="18"/>
              </w:rPr>
              <w:t>5,471,600.00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5,082,967.17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1,052,975.00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2,161,450.00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01.540001pt;margin-top:383.085968pt;width:68.1pt;height:39.050pt;mso-position-horizontal-relative:page;mso-position-vertical-relative:page;z-index:-1257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r>
        <w:rPr/>
        <w:pict>
          <v:group style="position:absolute;margin-left:107.540001pt;margin-top:718.799988pt;width:60.9pt;height:20.8pt;mso-position-horizontal-relative:page;mso-position-vertical-relative:page;z-index:-1257784" coordorigin="2151,14376" coordsize="1218,416">
            <v:group style="position:absolute;left:2163;top:14388;width:2;height:392" coordorigin="2163,14388" coordsize="2,392">
              <v:shape style="position:absolute;left:2163;top:14388;width:2;height:392" coordorigin="2163,14388" coordsize="0,392" path="m2163,14388l2163,14779e" filled="false" stroked="true" strokeweight="1.2pt" strokecolor="#ffffff">
                <v:path arrowok="t"/>
              </v:shape>
            </v:group>
            <v:group style="position:absolute;left:2175;top:14388;width:1194;height:392" coordorigin="2175,14388" coordsize="1194,392">
              <v:shape style="position:absolute;left:2175;top:14388;width:1194;height:392" coordorigin="2175,14388" coordsize="1194,392" path="m2175,14779l3368,14779,3368,14388,2175,14388,2175,1477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9"/>
        <w:gridCol w:w="1010"/>
        <w:gridCol w:w="1010"/>
        <w:gridCol w:w="1011"/>
        <w:gridCol w:w="1008"/>
        <w:gridCol w:w="1011"/>
        <w:gridCol w:w="1248"/>
        <w:gridCol w:w="1011"/>
      </w:tblGrid>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重点金融企 业办公用房 扶持项目</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2,739,400.00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507,296.30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2,232,103.70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安全管理应 用软件和系 统开发项目</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374,316.71</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159,999.96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214,316.75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嘉联</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M-PAY</w:t>
            </w:r>
          </w:p>
          <w:p>
            <w:pPr>
              <w:pStyle w:val="TableParagraph"/>
              <w:spacing w:line="319" w:lineRule="auto" w:before="63"/>
              <w:ind w:left="24" w:right="77"/>
              <w:jc w:val="left"/>
              <w:rPr>
                <w:rFonts w:ascii="宋体" w:hAnsi="宋体" w:cs="宋体" w:eastAsia="宋体" w:hint="default"/>
                <w:sz w:val="18"/>
                <w:szCs w:val="18"/>
              </w:rPr>
            </w:pPr>
            <w:r>
              <w:rPr>
                <w:rFonts w:ascii="宋体" w:hAnsi="宋体" w:cs="宋体" w:eastAsia="宋体" w:hint="default"/>
                <w:sz w:val="18"/>
                <w:szCs w:val="18"/>
              </w:rPr>
              <w:t>综合支付平 台系统项目</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34,312.21</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13,859.16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20,453.05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南山区自主 创新产业发 展专项资金</w:t>
            </w:r>
          </w:p>
          <w:p>
            <w:pPr>
              <w:pStyle w:val="TableParagraph"/>
              <w:spacing w:line="300" w:lineRule="auto" w:before="19"/>
              <w:ind w:left="24" w:right="165"/>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金融发展</w:t>
            </w:r>
            <w:r>
              <w:rPr>
                <w:rFonts w:ascii="宋体" w:hAnsi="宋体" w:cs="宋体" w:eastAsia="宋体" w:hint="default"/>
                <w:w w:val="99"/>
                <w:sz w:val="18"/>
                <w:szCs w:val="18"/>
              </w:rPr>
              <w:t> </w:t>
            </w:r>
            <w:r>
              <w:rPr>
                <w:rFonts w:ascii="宋体" w:hAnsi="宋体" w:cs="宋体" w:eastAsia="宋体" w:hint="default"/>
                <w:sz w:val="18"/>
                <w:szCs w:val="18"/>
              </w:rPr>
              <w:t>分项（</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565,500.00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131,950.00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433,550.00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基于国密算 法的物联网 终端安全认 证平台关键 技术研发项 </w:t>
            </w:r>
            <w:r>
              <w:rPr>
                <w:rFonts w:ascii="宋体" w:hAnsi="宋体" w:cs="宋体" w:eastAsia="宋体" w:hint="default"/>
                <w:spacing w:val="-7"/>
                <w:sz w:val="18"/>
                <w:szCs w:val="18"/>
              </w:rPr>
              <w:t>目资助（</w:t>
            </w:r>
            <w:r>
              <w:rPr>
                <w:rFonts w:ascii="Times New Roman" w:hAnsi="Times New Roman" w:cs="Times New Roman" w:eastAsia="Times New Roman" w:hint="default"/>
                <w:spacing w:val="-7"/>
                <w:sz w:val="18"/>
                <w:szCs w:val="18"/>
              </w:rPr>
              <w:t>11</w:t>
            </w:r>
            <w:r>
              <w:rPr>
                <w:rFonts w:ascii="Times New Roman" w:hAnsi="Times New Roman" w:cs="Times New Roman" w:eastAsia="Times New Roman" w:hint="default"/>
                <w:sz w:val="18"/>
                <w:szCs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780"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62.1pt;height:39.050pt;mso-position-horizontal-relative:char;mso-position-vertical-relative:line" coordorigin="0,0" coordsize="1242,781">
                  <v:group style="position:absolute;left:0;top:0;width:1242;height:781" coordorigin="0,0" coordsize="1242,781">
                    <v:shape style="position:absolute;left:0;top:0;width:1242;height:781" coordorigin="0,0" coordsize="1242,781" path="m0,780l1241,780,1241,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企业研发资 助</w:t>
            </w:r>
            <w:r>
              <w:rPr>
                <w:rFonts w:ascii="Times New Roman" w:hAnsi="Times New Roman" w:cs="Times New Roman" w:eastAsia="Times New Roman" w:hint="default"/>
                <w:sz w:val="18"/>
                <w:szCs w:val="18"/>
              </w:rPr>
              <w:t>(12)</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9,206,000.00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9,206,000.00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国家高新企 业认定补贴</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研究开发费 用补助</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35,360.00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35,360.00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深圳市战略 性新兴产业 新一代信息 技术专项资 助（</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青年技术培 训补贴</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上市企业年 费支持</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失业金（</w:t>
            </w:r>
            <w:r>
              <w:rPr>
                <w:rFonts w:ascii="Times New Roman" w:hAnsi="Times New Roman" w:cs="Times New Roman" w:eastAsia="Times New Roman" w:hint="default"/>
                <w:spacing w:val="-6"/>
                <w:sz w:val="18"/>
                <w:szCs w:val="18"/>
              </w:rPr>
              <w:t>15</w:t>
            </w:r>
            <w:r>
              <w:rPr>
                <w:rFonts w:ascii="Times New Roman" w:hAnsi="Times New Roman" w:cs="Times New Roman" w:eastAsia="Times New Roman" w:hint="default"/>
                <w:sz w:val="18"/>
                <w:szCs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1,137,314.45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1,137,314.45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07.540001pt;margin-top:79.699982pt;width:62.1pt;height:28pt;mso-position-horizontal-relative:page;mso-position-vertical-relative:page;z-index:-1257760" coordorigin="2151,1594" coordsize="1242,560">
            <v:group style="position:absolute;left:2163;top:1606;width:2;height:392" coordorigin="2163,1606" coordsize="2,392">
              <v:shape style="position:absolute;left:2163;top:1606;width:2;height:392" coordorigin="2163,1606" coordsize="0,392" path="m2163,1606l2163,1997e" filled="false" stroked="true" strokeweight="1.2pt" strokecolor="#ffffff">
                <v:path arrowok="t"/>
              </v:shape>
            </v:group>
            <v:group style="position:absolute;left:2151;top:1997;width:1242;height:156" coordorigin="2151,1997" coordsize="1242,156">
              <v:shape style="position:absolute;left:2151;top:1997;width:1242;height:156" coordorigin="2151,1997" coordsize="1242,156" path="m2151,2153l3392,2153,3392,1997,2151,1997,2151,2153xe" filled="true" fillcolor="#ffffff" stroked="false">
                <v:path arrowok="t"/>
                <v:fill type="solid"/>
              </v:shape>
            </v:group>
            <v:group style="position:absolute;left:2175;top:1606;width:1194;height:392" coordorigin="2175,1606" coordsize="1194,392">
              <v:shape style="position:absolute;left:2175;top:1606;width:1194;height:392" coordorigin="2175,1606" coordsize="1194,392" path="m2175,1997l3368,1997,3368,1606,2175,1606,2175,1997xe" filled="true" fillcolor="#ffffff" stroked="false">
                <v:path arrowok="t"/>
                <v:fill type="solid"/>
              </v:shape>
            </v:group>
            <w10:wrap type="none"/>
          </v:group>
        </w:pict>
      </w:r>
      <w:r>
        <w:rPr/>
        <w:pict>
          <v:group style="position:absolute;margin-left:107.540001pt;margin-top:532.515991pt;width:62.1pt;height:28pt;mso-position-horizontal-relative:page;mso-position-vertical-relative:page;z-index:-1257736" coordorigin="2151,10650" coordsize="1242,560">
            <v:group style="position:absolute;left:2163;top:10662;width:2;height:392" coordorigin="2163,10662" coordsize="2,392">
              <v:shape style="position:absolute;left:2163;top:10662;width:2;height:392" coordorigin="2163,10662" coordsize="0,392" path="m2163,10662l2163,11054e" filled="false" stroked="true" strokeweight="1.2pt" strokecolor="#ffffff">
                <v:path arrowok="t"/>
              </v:shape>
            </v:group>
            <v:group style="position:absolute;left:2151;top:11054;width:1242;height:156" coordorigin="2151,11054" coordsize="1242,156">
              <v:shape style="position:absolute;left:2151;top:11054;width:1242;height:156" coordorigin="2151,11054" coordsize="1242,156" path="m2151,11210l3392,11210,3392,11054,2151,11054,2151,11210xe" filled="true" fillcolor="#ffffff" stroked="false">
                <v:path arrowok="t"/>
                <v:fill type="solid"/>
              </v:shape>
            </v:group>
            <v:group style="position:absolute;left:2175;top:10662;width:1194;height:392" coordorigin="2175,10662" coordsize="1194,392">
              <v:shape style="position:absolute;left:2175;top:10662;width:1194;height:392" coordorigin="2175,10662" coordsize="1194,392" path="m2175,11054l3368,11054,3368,10662,2175,10662,2175,1105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9"/>
        <w:gridCol w:w="1010"/>
        <w:gridCol w:w="1010"/>
        <w:gridCol w:w="1011"/>
        <w:gridCol w:w="1008"/>
        <w:gridCol w:w="1011"/>
        <w:gridCol w:w="1248"/>
        <w:gridCol w:w="1011"/>
      </w:tblGrid>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软件名城项 </w:t>
            </w:r>
            <w:r>
              <w:rPr>
                <w:rFonts w:ascii="宋体" w:hAnsi="宋体" w:cs="宋体" w:eastAsia="宋体" w:hint="default"/>
                <w:spacing w:val="-6"/>
                <w:sz w:val="18"/>
                <w:szCs w:val="18"/>
              </w:rPr>
              <w:t>目资金（</w:t>
            </w:r>
            <w:r>
              <w:rPr>
                <w:rFonts w:ascii="Times New Roman" w:hAnsi="Times New Roman" w:cs="Times New Roman" w:eastAsia="Times New Roman" w:hint="default"/>
                <w:spacing w:val="-6"/>
                <w:sz w:val="18"/>
                <w:szCs w:val="18"/>
              </w:rPr>
              <w:t>16</w:t>
            </w:r>
            <w:r>
              <w:rPr>
                <w:rFonts w:ascii="Times New Roman" w:hAnsi="Times New Roman" w:cs="Times New Roman" w:eastAsia="Times New Roman" w:hint="default"/>
                <w:sz w:val="18"/>
                <w:szCs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1,429,100.00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1,429,100.00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国家知识产</w:t>
            </w: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77"/>
              <w:jc w:val="left"/>
              <w:rPr>
                <w:rFonts w:ascii="宋体" w:hAnsi="宋体" w:cs="宋体" w:eastAsia="宋体" w:hint="default"/>
                <w:sz w:val="18"/>
                <w:szCs w:val="18"/>
              </w:rPr>
            </w:pPr>
            <w:r>
              <w:rPr>
                <w:rFonts w:ascii="宋体" w:hAnsi="宋体" w:cs="宋体" w:eastAsia="宋体" w:hint="default"/>
                <w:sz w:val="18"/>
                <w:szCs w:val="18"/>
              </w:rPr>
              <w:t>权示范企业 和优势企业</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党委江北两 新工委经费</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34,145.25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34,145.25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宁波市鄞州</w:t>
            </w: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区人民政府</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金融工作办</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97,000.00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97,000.00</w:t>
            </w: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公室普惠金</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融奖励</w:t>
            </w: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w:t>
            </w: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区住房和建</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设局</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 人才安居住</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680,000.00</w:t>
            </w: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房补助款</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信息安全产</w:t>
            </w: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业专项资金</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960,000.00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960,000.00</w:t>
            </w: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4"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南山区自主</w:t>
            </w: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创新产业发</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展专项资金</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260,600.00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260,600.00</w:t>
            </w: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科技创新</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分项</w:t>
            </w: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科技局企业 </w:t>
            </w:r>
            <w:r>
              <w:rPr>
                <w:rFonts w:ascii="宋体" w:hAnsi="宋体" w:cs="宋体" w:eastAsia="宋体" w:hint="default"/>
                <w:spacing w:val="-6"/>
                <w:sz w:val="18"/>
                <w:szCs w:val="18"/>
              </w:rPr>
              <w:t>研发奖（</w:t>
            </w:r>
            <w:r>
              <w:rPr>
                <w:rFonts w:ascii="Times New Roman" w:hAnsi="Times New Roman" w:cs="Times New Roman" w:eastAsia="Times New Roman" w:hint="default"/>
                <w:spacing w:val="-6"/>
                <w:sz w:val="18"/>
                <w:szCs w:val="18"/>
              </w:rPr>
              <w:t>19</w:t>
            </w:r>
            <w:r>
              <w:rPr>
                <w:rFonts w:ascii="Times New Roman" w:hAnsi="Times New Roman" w:cs="Times New Roman" w:eastAsia="Times New Roman" w:hint="default"/>
                <w:sz w:val="18"/>
                <w:szCs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407,280.00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407,280.00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劳动力社保 补贴</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54,745.60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54,745.60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入驻企业效</w:t>
            </w: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益贡献奖励</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702,000.00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702,000.00</w:t>
            </w: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4"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款（</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科技局技术 服务奖励</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岳麓区科技</w:t>
            </w: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77"/>
              <w:jc w:val="left"/>
              <w:rPr>
                <w:rFonts w:ascii="宋体" w:hAnsi="宋体" w:cs="宋体" w:eastAsia="宋体" w:hint="default"/>
                <w:sz w:val="18"/>
                <w:szCs w:val="18"/>
              </w:rPr>
            </w:pPr>
            <w:r>
              <w:rPr>
                <w:rFonts w:ascii="宋体" w:hAnsi="宋体" w:cs="宋体" w:eastAsia="宋体" w:hint="default"/>
                <w:sz w:val="18"/>
                <w:szCs w:val="18"/>
              </w:rPr>
              <w:t>局高新技术 企业研发奖</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w:t>
            </w: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07.540001pt;margin-top:79.699982pt;width:62.1pt;height:28pt;mso-position-horizontal-relative:page;mso-position-vertical-relative:page;z-index:-1257712" coordorigin="2151,1594" coordsize="1242,560">
            <v:group style="position:absolute;left:2163;top:1606;width:2;height:392" coordorigin="2163,1606" coordsize="2,392">
              <v:shape style="position:absolute;left:2163;top:1606;width:2;height:392" coordorigin="2163,1606" coordsize="0,392" path="m2163,1606l2163,1997e" filled="false" stroked="true" strokeweight="1.2pt" strokecolor="#ffffff">
                <v:path arrowok="t"/>
              </v:shape>
            </v:group>
            <v:group style="position:absolute;left:2151;top:1997;width:1242;height:156" coordorigin="2151,1997" coordsize="1242,156">
              <v:shape style="position:absolute;left:2151;top:1997;width:1242;height:156" coordorigin="2151,1997" coordsize="1242,156" path="m2151,2153l3392,2153,3392,1997,2151,1997,2151,2153xe" filled="true" fillcolor="#ffffff" stroked="false">
                <v:path arrowok="t"/>
                <v:fill type="solid"/>
              </v:shape>
            </v:group>
            <v:group style="position:absolute;left:2175;top:1606;width:1194;height:392" coordorigin="2175,1606" coordsize="1194,392">
              <v:shape style="position:absolute;left:2175;top:1606;width:1194;height:392" coordorigin="2175,1606" coordsize="1194,392" path="m2175,1997l3368,1997,3368,1606,2175,1606,2175,199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9"/>
        <w:gridCol w:w="1010"/>
        <w:gridCol w:w="1010"/>
        <w:gridCol w:w="1011"/>
        <w:gridCol w:w="1008"/>
        <w:gridCol w:w="1011"/>
        <w:gridCol w:w="1248"/>
        <w:gridCol w:w="1011"/>
      </w:tblGrid>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人工智能专 </w:t>
            </w:r>
            <w:r>
              <w:rPr>
                <w:rFonts w:ascii="宋体" w:hAnsi="宋体" w:cs="宋体" w:eastAsia="宋体" w:hint="default"/>
                <w:spacing w:val="-6"/>
                <w:sz w:val="18"/>
                <w:szCs w:val="18"/>
              </w:rPr>
              <w:t>项资金（</w:t>
            </w:r>
            <w:r>
              <w:rPr>
                <w:rFonts w:ascii="Times New Roman" w:hAnsi="Times New Roman" w:cs="Times New Roman" w:eastAsia="Times New Roman" w:hint="default"/>
                <w:spacing w:val="-6"/>
                <w:sz w:val="18"/>
                <w:szCs w:val="18"/>
              </w:rPr>
              <w:t>21</w:t>
            </w:r>
            <w:r>
              <w:rPr>
                <w:rFonts w:ascii="Times New Roman" w:hAnsi="Times New Roman" w:cs="Times New Roman" w:eastAsia="Times New Roman" w:hint="default"/>
                <w:sz w:val="18"/>
                <w:szCs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207,145.26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207,145.26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高管补贴</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145,045.00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145,045.00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长沙高新区</w:t>
            </w: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产业发展专</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29,280.00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29,280.00</w:t>
            </w: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项（扶持）</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资金支持</w:t>
            </w: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20,509,724.80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30,148,615.5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30,223,671.9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363,500.00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6,206,584.27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13,864,584.15</w:t>
            </w:r>
          </w:p>
        </w:tc>
        <w:tc>
          <w:tcPr>
            <w:tcW w:w="101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033"/>
        <w:jc w:val="left"/>
      </w:pPr>
      <w:r>
        <w:rPr/>
        <w:t>其他说明：</w:t>
      </w:r>
    </w:p>
    <w:p>
      <w:pPr>
        <w:pStyle w:val="Heading6"/>
        <w:spacing w:line="240" w:lineRule="auto" w:before="94"/>
        <w:ind w:left="573" w:right="1033"/>
        <w:jc w:val="left"/>
      </w:pPr>
      <w:r>
        <w:rPr/>
        <w:t>注</w:t>
      </w:r>
      <w:r>
        <w:rPr>
          <w:rFonts w:ascii="Times New Roman" w:hAnsi="Times New Roman" w:cs="Times New Roman" w:eastAsia="Times New Roman" w:hint="default"/>
        </w:rPr>
        <w:t>1</w:t>
      </w:r>
      <w:r>
        <w:rPr/>
        <w:t>：本期计入当期损益金额中，计入其他收益</w:t>
      </w:r>
      <w:r>
        <w:rPr>
          <w:rFonts w:ascii="Times New Roman" w:hAnsi="Times New Roman" w:cs="Times New Roman" w:eastAsia="Times New Roman" w:hint="default"/>
        </w:rPr>
        <w:t>30,223,671.94</w:t>
      </w:r>
      <w:r>
        <w:rPr/>
        <w:t>元，冲减财务费用</w:t>
      </w:r>
      <w:r>
        <w:rPr>
          <w:rFonts w:ascii="Times New Roman" w:hAnsi="Times New Roman" w:cs="Times New Roman" w:eastAsia="Times New Roman" w:hint="default"/>
        </w:rPr>
        <w:t>363,500.00</w:t>
      </w:r>
      <w:r>
        <w:rPr/>
        <w:t>元。</w:t>
      </w:r>
    </w:p>
    <w:p>
      <w:pPr>
        <w:pStyle w:val="Heading6"/>
        <w:spacing w:line="256" w:lineRule="auto" w:before="21"/>
        <w:ind w:right="1126" w:firstLine="420"/>
        <w:jc w:val="both"/>
      </w:pPr>
      <w:r>
        <w:rPr>
          <w:spacing w:val="-3"/>
        </w:rPr>
        <w:t>（</w:t>
      </w:r>
      <w:r>
        <w:rPr>
          <w:rFonts w:ascii="Times New Roman" w:hAnsi="Times New Roman" w:cs="Times New Roman" w:eastAsia="Times New Roman" w:hint="default"/>
          <w:spacing w:val="-3"/>
        </w:rPr>
        <w:t>1</w:t>
      </w:r>
      <w:r>
        <w:rPr>
          <w:spacing w:val="-3"/>
        </w:rPr>
        <w:t>）本公司收到指纹与人脸识别安全支付技术专项补贴</w:t>
      </w:r>
      <w:r>
        <w:rPr>
          <w:rFonts w:ascii="Times New Roman" w:hAnsi="Times New Roman" w:cs="Times New Roman" w:eastAsia="Times New Roman" w:hint="default"/>
          <w:spacing w:val="-3"/>
        </w:rPr>
        <w:t>500.00</w:t>
      </w:r>
      <w:r>
        <w:rPr>
          <w:spacing w:val="-3"/>
        </w:rPr>
        <w:t>万元，截止</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日该项目剩余</w:t>
      </w:r>
      <w:r>
        <w:rPr>
          <w:w w:val="100"/>
        </w:rPr>
        <w:t> </w:t>
      </w:r>
      <w:r>
        <w:rPr/>
        <w:t>摊销金额</w:t>
      </w:r>
      <w:r>
        <w:rPr>
          <w:rFonts w:ascii="Times New Roman" w:hAnsi="Times New Roman" w:cs="Times New Roman" w:eastAsia="Times New Roman" w:hint="default"/>
        </w:rPr>
        <w:t>1,926,582.52</w:t>
      </w:r>
      <w:r>
        <w:rPr/>
        <w:t>元。</w:t>
      </w:r>
    </w:p>
    <w:p>
      <w:pPr>
        <w:pStyle w:val="Heading6"/>
        <w:spacing w:line="256" w:lineRule="auto" w:before="5"/>
        <w:ind w:right="1128" w:firstLine="420"/>
        <w:jc w:val="both"/>
      </w:pPr>
      <w:r>
        <w:rPr>
          <w:spacing w:val="-2"/>
        </w:rPr>
        <w:t>（</w:t>
      </w:r>
      <w:r>
        <w:rPr>
          <w:rFonts w:ascii="Times New Roman" w:hAnsi="Times New Roman" w:cs="Times New Roman" w:eastAsia="Times New Roman" w:hint="default"/>
          <w:spacing w:val="-2"/>
        </w:rPr>
        <w:t>2</w:t>
      </w:r>
      <w:r>
        <w:rPr>
          <w:spacing w:val="-2"/>
        </w:rPr>
        <w:t>）本公司收到</w:t>
      </w:r>
      <w:r>
        <w:rPr>
          <w:rFonts w:ascii="Times New Roman" w:hAnsi="Times New Roman" w:cs="Times New Roman" w:eastAsia="Times New Roman" w:hint="default"/>
          <w:spacing w:val="-2"/>
        </w:rPr>
        <w:t>“</w:t>
      </w:r>
      <w:r>
        <w:rPr>
          <w:spacing w:val="-2"/>
        </w:rPr>
        <w:t>国密算法安全</w:t>
      </w:r>
      <w:r>
        <w:rPr>
          <w:rFonts w:ascii="Times New Roman" w:hAnsi="Times New Roman" w:cs="Times New Roman" w:eastAsia="Times New Roman" w:hint="default"/>
          <w:spacing w:val="-2"/>
        </w:rPr>
        <w:t>POS</w:t>
      </w:r>
      <w:r>
        <w:rPr>
          <w:spacing w:val="-2"/>
        </w:rPr>
        <w:t>机具研产一体化项目</w:t>
      </w:r>
      <w:r>
        <w:rPr>
          <w:rFonts w:ascii="Times New Roman" w:hAnsi="Times New Roman" w:cs="Times New Roman" w:eastAsia="Times New Roman" w:hint="default"/>
          <w:spacing w:val="-2"/>
        </w:rPr>
        <w:t>”</w:t>
      </w:r>
      <w:r>
        <w:rPr>
          <w:spacing w:val="-2"/>
        </w:rPr>
        <w:t>专项资助款</w:t>
      </w:r>
      <w:r>
        <w:rPr>
          <w:rFonts w:ascii="Times New Roman" w:hAnsi="Times New Roman" w:cs="Times New Roman" w:eastAsia="Times New Roman" w:hint="default"/>
          <w:spacing w:val="-2"/>
        </w:rPr>
        <w:t>675.00</w:t>
      </w:r>
      <w:r>
        <w:rPr>
          <w:spacing w:val="-2"/>
        </w:rPr>
        <w:t>万元，截止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w w:val="100"/>
        </w:rPr>
        <w:t> </w:t>
      </w:r>
      <w:r>
        <w:rPr/>
        <w:t>日该项目剩余摊销金额</w:t>
      </w:r>
      <w:r>
        <w:rPr>
          <w:rFonts w:ascii="Times New Roman" w:hAnsi="Times New Roman" w:cs="Times New Roman" w:eastAsia="Times New Roman" w:hint="default"/>
        </w:rPr>
        <w:t>1,005,759.65</w:t>
      </w:r>
      <w:r>
        <w:rPr/>
        <w:t>元。</w:t>
      </w:r>
    </w:p>
    <w:p>
      <w:pPr>
        <w:pStyle w:val="Heading6"/>
        <w:spacing w:line="256" w:lineRule="auto" w:before="5"/>
        <w:ind w:right="1125" w:firstLine="420"/>
        <w:jc w:val="both"/>
      </w:pPr>
      <w:r>
        <w:rPr>
          <w:spacing w:val="-2"/>
        </w:rPr>
        <w:t>（</w:t>
      </w:r>
      <w:r>
        <w:rPr>
          <w:rFonts w:ascii="Times New Roman" w:hAnsi="Times New Roman" w:cs="Times New Roman" w:eastAsia="Times New Roman" w:hint="default"/>
          <w:spacing w:val="-2"/>
        </w:rPr>
        <w:t>3</w:t>
      </w:r>
      <w:r>
        <w:rPr>
          <w:spacing w:val="-2"/>
        </w:rPr>
        <w:t>）本公司收到</w:t>
      </w:r>
      <w:r>
        <w:rPr>
          <w:rFonts w:ascii="Times New Roman" w:hAnsi="Times New Roman" w:cs="Times New Roman" w:eastAsia="Times New Roman" w:hint="default"/>
          <w:spacing w:val="-2"/>
        </w:rPr>
        <w:t>PCP4.0</w:t>
      </w:r>
      <w:r>
        <w:rPr>
          <w:spacing w:val="-2"/>
        </w:rPr>
        <w:t>电子支付信息安全关键技术补贴款</w:t>
      </w:r>
      <w:r>
        <w:rPr>
          <w:rFonts w:ascii="Times New Roman" w:hAnsi="Times New Roman" w:cs="Times New Roman" w:eastAsia="Times New Roman" w:hint="default"/>
          <w:spacing w:val="-2"/>
        </w:rPr>
        <w:t>400.00</w:t>
      </w:r>
      <w:r>
        <w:rPr>
          <w:spacing w:val="-2"/>
        </w:rPr>
        <w:t>万元，其中购买设备</w:t>
      </w:r>
      <w:r>
        <w:rPr>
          <w:rFonts w:ascii="Times New Roman" w:hAnsi="Times New Roman" w:cs="Times New Roman" w:eastAsia="Times New Roman" w:hint="default"/>
          <w:spacing w:val="-2"/>
        </w:rPr>
        <w:t>300.00</w:t>
      </w:r>
      <w:r>
        <w:rPr>
          <w:spacing w:val="-2"/>
        </w:rPr>
        <w:t>万元，支</w:t>
      </w:r>
      <w:r>
        <w:rPr>
          <w:w w:val="100"/>
        </w:rPr>
        <w:t> </w:t>
      </w:r>
      <w:r>
        <w:rPr/>
        <w:t>付研发费用</w:t>
      </w:r>
      <w:r>
        <w:rPr>
          <w:rFonts w:ascii="Times New Roman" w:hAnsi="Times New Roman" w:cs="Times New Roman" w:eastAsia="Times New Roman" w:hint="default"/>
        </w:rPr>
        <w:t>100.00</w:t>
      </w:r>
      <w:r>
        <w:rPr/>
        <w:t>万元，截止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日该项目剩余摊销金额</w:t>
      </w:r>
      <w:r>
        <w:rPr>
          <w:rFonts w:ascii="Times New Roman" w:hAnsi="Times New Roman" w:cs="Times New Roman" w:eastAsia="Times New Roman" w:hint="default"/>
        </w:rPr>
        <w:t>900,000.00</w:t>
      </w:r>
      <w:r>
        <w:rPr/>
        <w:t>元。</w:t>
      </w:r>
    </w:p>
    <w:p>
      <w:pPr>
        <w:pStyle w:val="Heading6"/>
        <w:spacing w:line="256" w:lineRule="auto" w:before="5"/>
        <w:ind w:right="1130" w:firstLine="420"/>
        <w:jc w:val="both"/>
      </w:pPr>
      <w:r>
        <w:rPr>
          <w:spacing w:val="-2"/>
        </w:rPr>
        <w:t>（</w:t>
      </w:r>
      <w:r>
        <w:rPr>
          <w:rFonts w:ascii="Times New Roman" w:hAnsi="Times New Roman" w:cs="Times New Roman" w:eastAsia="Times New Roman" w:hint="default"/>
          <w:spacing w:val="-2"/>
        </w:rPr>
        <w:t>4</w:t>
      </w:r>
      <w:r>
        <w:rPr>
          <w:spacing w:val="-2"/>
        </w:rPr>
        <w:t>）本公司收到基于移动互联网的</w:t>
      </w:r>
      <w:r>
        <w:rPr>
          <w:rFonts w:ascii="Times New Roman" w:hAnsi="Times New Roman" w:cs="Times New Roman" w:eastAsia="Times New Roman" w:hint="default"/>
          <w:spacing w:val="-2"/>
        </w:rPr>
        <w:t>G</w:t>
      </w:r>
      <w:r>
        <w:rPr>
          <w:spacing w:val="-2"/>
        </w:rPr>
        <w:t>系列支付终端产业化补贴款</w:t>
      </w:r>
      <w:r>
        <w:rPr>
          <w:rFonts w:ascii="Times New Roman" w:hAnsi="Times New Roman" w:cs="Times New Roman" w:eastAsia="Times New Roman" w:hint="default"/>
          <w:spacing w:val="-2"/>
        </w:rPr>
        <w:t>270.00</w:t>
      </w:r>
      <w:r>
        <w:rPr>
          <w:spacing w:val="-2"/>
        </w:rPr>
        <w:t>万元，截止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w:t>
      </w:r>
      <w:r>
        <w:rPr>
          <w:spacing w:val="-3"/>
          <w:w w:val="100"/>
        </w:rPr>
        <w:t> </w:t>
      </w:r>
      <w:r>
        <w:rPr/>
        <w:t>项目剩余摊销金额</w:t>
      </w:r>
      <w:r>
        <w:rPr>
          <w:rFonts w:ascii="Times New Roman" w:hAnsi="Times New Roman" w:cs="Times New Roman" w:eastAsia="Times New Roman" w:hint="default"/>
        </w:rPr>
        <w:t>429,050.97</w:t>
      </w:r>
      <w:r>
        <w:rPr/>
        <w:t>元。</w:t>
      </w:r>
    </w:p>
    <w:p>
      <w:pPr>
        <w:pStyle w:val="Heading6"/>
        <w:spacing w:line="240" w:lineRule="auto" w:before="5"/>
        <w:ind w:left="573" w:right="1033"/>
        <w:jc w:val="left"/>
      </w:pPr>
      <w:r>
        <w:rPr>
          <w:spacing w:val="-3"/>
        </w:rPr>
        <w:t>（</w:t>
      </w:r>
      <w:r>
        <w:rPr>
          <w:rFonts w:ascii="Times New Roman" w:hAnsi="Times New Roman" w:cs="Times New Roman" w:eastAsia="Times New Roman" w:hint="default"/>
          <w:spacing w:val="-3"/>
        </w:rPr>
        <w:t>5</w:t>
      </w:r>
      <w:r>
        <w:rPr>
          <w:spacing w:val="-3"/>
        </w:rPr>
        <w:t>）本公司收到借款贴息补贴款</w:t>
      </w:r>
      <w:r>
        <w:rPr>
          <w:rFonts w:ascii="Times New Roman" w:hAnsi="Times New Roman" w:cs="Times New Roman" w:eastAsia="Times New Roman" w:hint="default"/>
          <w:spacing w:val="-3"/>
        </w:rPr>
        <w:t>727.00</w:t>
      </w:r>
      <w:r>
        <w:rPr>
          <w:spacing w:val="-3"/>
        </w:rPr>
        <w:t>万元，用于</w:t>
      </w:r>
      <w:r>
        <w:rPr>
          <w:rFonts w:ascii="Times New Roman" w:hAnsi="Times New Roman" w:cs="Times New Roman" w:eastAsia="Times New Roman" w:hint="default"/>
          <w:spacing w:val="-3"/>
        </w:rPr>
        <w:t>3</w:t>
      </w:r>
      <w:r>
        <w:rPr>
          <w:spacing w:val="-3"/>
        </w:rPr>
        <w:t>年利息的补贴，截止</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日已摊销完毕。</w:t>
      </w:r>
    </w:p>
    <w:p>
      <w:pPr>
        <w:pStyle w:val="Heading6"/>
        <w:spacing w:line="264" w:lineRule="auto" w:before="21"/>
        <w:ind w:right="1126" w:firstLine="42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日，本公司、苏州君宝投资有限公司与昆山银桥控股集团有限公司签订关于苏州</w:t>
      </w:r>
      <w:r>
        <w:rPr>
          <w:w w:val="100"/>
        </w:rPr>
        <w:t> </w:t>
      </w:r>
      <w:r>
        <w:rPr>
          <w:spacing w:val="-2"/>
        </w:rPr>
        <w:t>新国都电子技术有限公司股权转让合同，由于绿色建筑政府补贴款、房屋配套补贴为苏州新国都电子技术</w:t>
      </w:r>
      <w:r>
        <w:rPr>
          <w:spacing w:val="-43"/>
        </w:rPr>
        <w:t> </w:t>
      </w:r>
      <w:r>
        <w:rPr>
          <w:spacing w:val="-43"/>
        </w:rPr>
      </w:r>
      <w:r>
        <w:rPr/>
        <w:t>有限公司补贴，故在本期减少。</w:t>
      </w:r>
    </w:p>
    <w:p>
      <w:pPr>
        <w:pStyle w:val="Heading6"/>
        <w:spacing w:line="256" w:lineRule="auto" w:before="16"/>
        <w:ind w:right="1129" w:firstLine="420"/>
        <w:jc w:val="both"/>
      </w:pPr>
      <w:r>
        <w:rPr/>
        <w:t>（</w:t>
      </w:r>
      <w:r>
        <w:rPr>
          <w:rFonts w:ascii="Times New Roman" w:hAnsi="Times New Roman" w:cs="Times New Roman" w:eastAsia="Times New Roman" w:hint="default"/>
        </w:rPr>
        <w:t>7</w:t>
      </w:r>
      <w:r>
        <w:rPr/>
        <w:t>）本公司之子公司深圳市新国都支付技术有限公司收到新型智能</w:t>
      </w:r>
      <w:r>
        <w:rPr>
          <w:rFonts w:ascii="Times New Roman" w:hAnsi="Times New Roman" w:cs="Times New Roman" w:eastAsia="Times New Roman" w:hint="default"/>
        </w:rPr>
        <w:t>POS</w:t>
      </w:r>
      <w:r>
        <w:rPr/>
        <w:t>终端</w:t>
      </w:r>
      <w:r>
        <w:rPr>
          <w:rFonts w:ascii="Times New Roman" w:hAnsi="Times New Roman" w:cs="Times New Roman" w:eastAsia="Times New Roman" w:hint="default"/>
        </w:rPr>
        <w:t>N5</w:t>
      </w:r>
      <w:r>
        <w:rPr/>
        <w:t>在第三方支付系统中</w:t>
      </w:r>
      <w:r>
        <w:rPr>
          <w:w w:val="100"/>
        </w:rPr>
        <w:t> </w:t>
      </w:r>
      <w:r>
        <w:rPr/>
        <w:t>的应用示范项目补助款</w:t>
      </w:r>
      <w:r>
        <w:rPr>
          <w:rFonts w:ascii="Times New Roman" w:hAnsi="Times New Roman" w:cs="Times New Roman" w:eastAsia="Times New Roman" w:hint="default"/>
        </w:rPr>
        <w:t>300.00</w:t>
      </w:r>
      <w:r>
        <w:rPr/>
        <w:t>万元，其中</w:t>
      </w:r>
      <w:r>
        <w:rPr>
          <w:rFonts w:ascii="Times New Roman" w:hAnsi="Times New Roman" w:cs="Times New Roman" w:eastAsia="Times New Roman" w:hint="default"/>
        </w:rPr>
        <w:t>237.54</w:t>
      </w:r>
      <w:r>
        <w:rPr/>
        <w:t>万元设备补助款，用于研发、生产设备的购置，截止</w:t>
      </w:r>
      <w:r>
        <w:rPr>
          <w:rFonts w:ascii="Times New Roman" w:hAnsi="Times New Roman" w:cs="Times New Roman" w:eastAsia="Times New Roman" w:hint="default"/>
        </w:rPr>
        <w:t>2019</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日该项目剩余摊销金额</w:t>
      </w:r>
      <w:r>
        <w:rPr>
          <w:rFonts w:ascii="Times New Roman" w:hAnsi="Times New Roman" w:cs="Times New Roman" w:eastAsia="Times New Roman" w:hint="default"/>
        </w:rPr>
        <w:t>2,549,599.33</w:t>
      </w:r>
      <w:r>
        <w:rPr/>
        <w:t>元</w:t>
      </w:r>
    </w:p>
    <w:p>
      <w:pPr>
        <w:pStyle w:val="Heading6"/>
        <w:spacing w:line="259" w:lineRule="auto" w:before="5"/>
        <w:ind w:right="1126" w:firstLine="420"/>
        <w:jc w:val="both"/>
      </w:pPr>
      <w:r>
        <w:rPr>
          <w:rFonts w:ascii="Times New Roman" w:hAnsi="Times New Roman" w:cs="Times New Roman" w:eastAsia="Times New Roman" w:hint="default"/>
          <w:spacing w:val="-3"/>
        </w:rPr>
        <w:t>(8)</w:t>
      </w:r>
      <w:r>
        <w:rPr>
          <w:spacing w:val="-3"/>
        </w:rPr>
        <w:t>本公司收到深圳市科技创新委员会批复的《关于下达政府投融资产业用房租金减免项目的通知》租</w:t>
      </w:r>
      <w:r>
        <w:rPr>
          <w:w w:val="100"/>
        </w:rPr>
        <w:t> </w:t>
      </w:r>
      <w:r>
        <w:rPr>
          <w:spacing w:val="-5"/>
          <w:w w:val="100"/>
        </w:rPr>
        <w:t>金减免</w:t>
      </w:r>
      <w:r>
        <w:rPr>
          <w:rFonts w:ascii="Times New Roman" w:hAnsi="Times New Roman" w:cs="Times New Roman" w:eastAsia="Times New Roman" w:hint="default"/>
          <w:spacing w:val="-5"/>
          <w:w w:val="100"/>
        </w:rPr>
        <w:t>114.96</w:t>
      </w:r>
      <w:r>
        <w:rPr>
          <w:spacing w:val="-5"/>
          <w:w w:val="100"/>
        </w:rPr>
        <w:t>万元，本公司之子公司深圳市新国都支付技术有限公司收到深圳市科技创新委员会批复的《关</w:t>
      </w:r>
      <w:r>
        <w:rPr>
          <w:spacing w:val="-104"/>
          <w:w w:val="100"/>
        </w:rPr>
        <w:t> </w:t>
      </w:r>
      <w:r>
        <w:rPr>
          <w:spacing w:val="-104"/>
          <w:w w:val="100"/>
        </w:rPr>
      </w:r>
      <w:r>
        <w:rPr>
          <w:spacing w:val="-1"/>
        </w:rPr>
        <w:t>于下达政府投融资产业用房租金减免项目的通知》租金减免</w:t>
      </w:r>
      <w:r>
        <w:rPr>
          <w:rFonts w:ascii="Times New Roman" w:hAnsi="Times New Roman" w:cs="Times New Roman" w:eastAsia="Times New Roman" w:hint="default"/>
          <w:spacing w:val="-1"/>
        </w:rPr>
        <w:t>114.96</w:t>
      </w:r>
      <w:r>
        <w:rPr>
          <w:spacing w:val="-1"/>
        </w:rPr>
        <w:t>万元，本公司之孙公司深圳市信联征信</w:t>
      </w:r>
      <w:r>
        <w:rPr>
          <w:spacing w:val="-30"/>
        </w:rPr>
        <w:t> </w:t>
      </w:r>
      <w:r>
        <w:rPr>
          <w:spacing w:val="-30"/>
        </w:rPr>
      </w:r>
      <w:r>
        <w:rPr>
          <w:spacing w:val="-2"/>
        </w:rPr>
        <w:t>有限公司收到深圳市科技创新委员会批复的《关于下达政府投融资产业用房租金减免项目的通知》租金减</w:t>
      </w:r>
      <w:r>
        <w:rPr>
          <w:spacing w:val="-44"/>
        </w:rPr>
        <w:t> </w:t>
      </w:r>
      <w:r>
        <w:rPr>
          <w:spacing w:val="-44"/>
        </w:rPr>
      </w:r>
      <w:r>
        <w:rPr>
          <w:spacing w:val="-1"/>
        </w:rPr>
        <w:t>免</w:t>
      </w:r>
      <w:r>
        <w:rPr>
          <w:rFonts w:ascii="Times New Roman" w:hAnsi="Times New Roman" w:cs="Times New Roman" w:eastAsia="Times New Roman" w:hint="default"/>
          <w:spacing w:val="-1"/>
        </w:rPr>
        <w:t>114.87</w:t>
      </w:r>
      <w:r>
        <w:rPr>
          <w:spacing w:val="-1"/>
        </w:rPr>
        <w:t>万元，本公司之子公司嘉联支付有限公司收到深圳市科技创新委员会批复的《关于下达政府投融</w:t>
      </w:r>
      <w:r>
        <w:rPr>
          <w:spacing w:val="-29"/>
        </w:rPr>
        <w:t> </w:t>
      </w:r>
      <w:r>
        <w:rPr>
          <w:spacing w:val="-29"/>
        </w:rPr>
      </w:r>
      <w:r>
        <w:rPr>
          <w:spacing w:val="13"/>
        </w:rPr>
        <w:t>资产业用房租金减免项目的通知》租金减免</w:t>
      </w:r>
      <w:r>
        <w:rPr>
          <w:spacing w:val="-45"/>
        </w:rPr>
        <w:t> </w:t>
      </w:r>
      <w:r>
        <w:rPr>
          <w:rFonts w:ascii="Times New Roman" w:hAnsi="Times New Roman" w:cs="Times New Roman" w:eastAsia="Times New Roman" w:hint="default"/>
          <w:spacing w:val="9"/>
        </w:rPr>
        <w:t>202.37</w:t>
      </w:r>
      <w:r>
        <w:rPr>
          <w:spacing w:val="9"/>
        </w:rPr>
        <w:t>万元，截止</w:t>
      </w:r>
      <w:r>
        <w:rPr>
          <w:rFonts w:ascii="Times New Roman" w:hAnsi="Times New Roman" w:cs="Times New Roman" w:eastAsia="Times New Roman" w:hint="default"/>
          <w:spacing w:val="9"/>
        </w:rPr>
        <w:t>2019</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日该项目剩余减免金额</w:t>
      </w:r>
      <w:r>
        <w:rPr>
          <w:spacing w:val="-47"/>
        </w:rPr>
        <w:t> </w:t>
      </w:r>
      <w:r>
        <w:rPr>
          <w:spacing w:val="-47"/>
        </w:rPr>
      </w:r>
      <w:r>
        <w:rPr>
          <w:rFonts w:ascii="Times New Roman" w:hAnsi="Times New Roman" w:cs="Times New Roman" w:eastAsia="Times New Roman" w:hint="default"/>
        </w:rPr>
        <w:t>2,161,450.00</w:t>
      </w:r>
      <w:r>
        <w:rPr/>
        <w:t>元。</w:t>
      </w:r>
    </w:p>
    <w:p>
      <w:pPr>
        <w:pStyle w:val="Heading6"/>
        <w:spacing w:line="264" w:lineRule="auto" w:before="2"/>
        <w:ind w:right="1104" w:firstLine="420"/>
        <w:jc w:val="both"/>
      </w:pPr>
      <w:r>
        <w:rPr>
          <w:rFonts w:ascii="Times New Roman" w:hAnsi="Times New Roman" w:cs="Times New Roman" w:eastAsia="Times New Roman" w:hint="default"/>
        </w:rPr>
        <w:t>(9)2019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30 </w:t>
      </w:r>
      <w:r>
        <w:rPr/>
        <w:t>日，</w:t>
      </w:r>
      <w:r>
        <w:rPr>
          <w:spacing w:val="-75"/>
        </w:rPr>
        <w:t> </w:t>
      </w:r>
      <w:r>
        <w:rPr>
          <w:spacing w:val="-3"/>
        </w:rPr>
        <w:t>本公司与江汉先生、宁波梅山保税港区雄腾煜富投资中心（有限合伙）及深</w:t>
      </w:r>
      <w:r>
        <w:rPr>
          <w:w w:val="100"/>
        </w:rPr>
        <w:t> </w:t>
      </w:r>
      <w:r>
        <w:rPr>
          <w:spacing w:val="-2"/>
        </w:rPr>
        <w:t>圳市信链投资咨询合伙企业（有限合伙）签署《关于深圳市新国都金服技术有限公司之股权转让协议》，</w:t>
      </w:r>
      <w:r>
        <w:rPr>
          <w:spacing w:val="-21"/>
        </w:rPr>
        <w:t> </w:t>
      </w:r>
      <w:r>
        <w:rPr>
          <w:spacing w:val="-21"/>
        </w:rPr>
      </w:r>
      <w:r>
        <w:rPr>
          <w:spacing w:val="-3"/>
        </w:rPr>
        <w:t>公司拟分别向江汉先生、雄腾煜富及信链投资转让深圳市新国都金服技术有限公司</w:t>
      </w:r>
      <w:r>
        <w:rPr>
          <w:rFonts w:ascii="Times New Roman" w:hAnsi="Times New Roman" w:cs="Times New Roman" w:eastAsia="Times New Roman" w:hint="default"/>
          <w:spacing w:val="-3"/>
        </w:rPr>
        <w:t>31%</w:t>
      </w:r>
      <w:r>
        <w:rPr>
          <w:spacing w:val="-3"/>
        </w:rPr>
        <w:t>、</w:t>
      </w:r>
      <w:r>
        <w:rPr>
          <w:spacing w:val="-48"/>
        </w:rPr>
        <w:t> </w:t>
      </w:r>
      <w:r>
        <w:rPr>
          <w:rFonts w:ascii="Times New Roman" w:hAnsi="Times New Roman" w:cs="Times New Roman" w:eastAsia="Times New Roman" w:hint="default"/>
        </w:rPr>
        <w:t>20%</w:t>
      </w:r>
      <w:r>
        <w:rPr/>
        <w:t>及</w:t>
      </w:r>
      <w:r>
        <w:rPr>
          <w:spacing w:val="16"/>
        </w:rPr>
        <w:t> </w:t>
      </w:r>
      <w:r>
        <w:rPr>
          <w:rFonts w:ascii="Times New Roman" w:hAnsi="Times New Roman" w:cs="Times New Roman" w:eastAsia="Times New Roman" w:hint="default"/>
        </w:rPr>
        <w:t>21%</w:t>
      </w:r>
      <w:r>
        <w:rPr/>
        <w:t>的股</w:t>
      </w:r>
      <w:r>
        <w:rPr>
          <w:spacing w:val="-87"/>
        </w:rPr>
        <w:t> </w:t>
      </w:r>
      <w:r>
        <w:rPr>
          <w:spacing w:val="-2"/>
        </w:rPr>
        <w:t>权，本公司之孙公司深圳市信联征信有限公司为深圳市新国都金服技术有限公司子公司，由于政府投融资</w:t>
      </w:r>
      <w:r>
        <w:rPr>
          <w:spacing w:val="-45"/>
        </w:rPr>
        <w:t> </w:t>
      </w:r>
      <w:r>
        <w:rPr>
          <w:spacing w:val="-45"/>
        </w:rPr>
      </w:r>
      <w:r>
        <w:rPr>
          <w:spacing w:val="-4"/>
        </w:rPr>
        <w:t>产业用房租、南山区自主创新产业发展专项资金</w:t>
      </w:r>
      <w:r>
        <w:rPr>
          <w:rFonts w:ascii="Times New Roman" w:hAnsi="Times New Roman" w:cs="Times New Roman" w:eastAsia="Times New Roman" w:hint="default"/>
          <w:spacing w:val="-4"/>
        </w:rPr>
        <w:t>-</w:t>
      </w:r>
      <w:r>
        <w:rPr>
          <w:spacing w:val="-4"/>
        </w:rPr>
        <w:t>金融发展分项属于深圳市信联征信有限公司、深圳市新国</w:t>
      </w:r>
      <w:r>
        <w:rPr>
          <w:spacing w:val="-19"/>
        </w:rPr>
        <w:t> </w:t>
      </w:r>
      <w:r>
        <w:rPr>
          <w:spacing w:val="-19"/>
        </w:rPr>
      </w:r>
      <w:r>
        <w:rPr/>
        <w:t>都金服技术有限公司补贴，故在本期减少。</w:t>
      </w:r>
    </w:p>
    <w:p>
      <w:pPr>
        <w:pStyle w:val="Heading6"/>
        <w:spacing w:line="256" w:lineRule="auto" w:before="16"/>
        <w:ind w:right="1126" w:firstLine="420"/>
        <w:jc w:val="both"/>
      </w:pPr>
      <w:r>
        <w:rPr>
          <w:spacing w:val="-2"/>
        </w:rPr>
        <w:t>（</w:t>
      </w:r>
      <w:r>
        <w:rPr>
          <w:rFonts w:ascii="Times New Roman" w:hAnsi="Times New Roman" w:cs="Times New Roman" w:eastAsia="Times New Roman" w:hint="default"/>
          <w:spacing w:val="-2"/>
        </w:rPr>
        <w:t>10</w:t>
      </w:r>
      <w:r>
        <w:rPr>
          <w:spacing w:val="-2"/>
        </w:rPr>
        <w:t>）本公司之子公司嘉联支付有限公司收到深圳市南山区财政局拨付的重点金融企业办公用房扶持</w:t>
      </w:r>
      <w:r>
        <w:rPr>
          <w:w w:val="100"/>
        </w:rPr>
        <w:t> </w:t>
      </w:r>
      <w:r>
        <w:rPr/>
        <w:t>项目补助款</w:t>
      </w:r>
      <w:r>
        <w:rPr>
          <w:rFonts w:ascii="Times New Roman" w:hAnsi="Times New Roman" w:cs="Times New Roman" w:eastAsia="Times New Roman" w:hint="default"/>
        </w:rPr>
        <w:t>273.94</w:t>
      </w:r>
      <w:r>
        <w:rPr/>
        <w:t>万元，截止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日该项目剩余减免金额</w:t>
      </w:r>
      <w:r>
        <w:rPr>
          <w:rFonts w:ascii="Times New Roman" w:hAnsi="Times New Roman" w:cs="Times New Roman" w:eastAsia="Times New Roman" w:hint="default"/>
        </w:rPr>
        <w:t>2,232,103.70</w:t>
      </w:r>
      <w:r>
        <w:rPr/>
        <w:t>元。</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56" w:lineRule="auto" w:before="36"/>
        <w:ind w:right="1132" w:firstLine="420"/>
        <w:jc w:val="both"/>
      </w:pPr>
      <w:r>
        <w:rPr/>
        <w:t>（</w:t>
      </w:r>
      <w:r>
        <w:rPr>
          <w:rFonts w:ascii="Times New Roman" w:hAnsi="Times New Roman" w:cs="Times New Roman" w:eastAsia="Times New Roman" w:hint="default"/>
        </w:rPr>
        <w:t>11</w:t>
      </w:r>
      <w:r>
        <w:rPr/>
        <w:t>）本公司收到深圳市科技创新委员会</w:t>
      </w:r>
      <w:r>
        <w:rPr>
          <w:rFonts w:ascii="Times New Roman" w:hAnsi="Times New Roman" w:cs="Times New Roman" w:eastAsia="Times New Roman" w:hint="default"/>
        </w:rPr>
        <w:t>“</w:t>
      </w:r>
      <w:r>
        <w:rPr/>
        <w:t>基于国密算法的物联网终端安全认证平台关键技术研发项</w:t>
      </w:r>
      <w:r>
        <w:rPr>
          <w:w w:val="100"/>
        </w:rPr>
        <w:t> </w:t>
      </w:r>
      <w:r>
        <w:rPr/>
        <w:t>目</w:t>
      </w:r>
      <w:r>
        <w:rPr>
          <w:rFonts w:ascii="Times New Roman" w:hAnsi="Times New Roman" w:cs="Times New Roman" w:eastAsia="Times New Roman" w:hint="default"/>
        </w:rPr>
        <w:t>”</w:t>
      </w:r>
      <w:r>
        <w:rPr/>
        <w:t>专项资助款</w:t>
      </w:r>
      <w:r>
        <w:rPr>
          <w:rFonts w:ascii="Times New Roman" w:hAnsi="Times New Roman" w:cs="Times New Roman" w:eastAsia="Times New Roman" w:hint="default"/>
        </w:rPr>
        <w:t>225.00</w:t>
      </w:r>
      <w:r>
        <w:rPr/>
        <w:t>万元，截止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日该项目剩余减免金额</w:t>
      </w:r>
      <w:r>
        <w:rPr>
          <w:rFonts w:ascii="Times New Roman" w:hAnsi="Times New Roman" w:cs="Times New Roman" w:eastAsia="Times New Roman" w:hint="default"/>
        </w:rPr>
        <w:t>2,250,000.00</w:t>
      </w:r>
      <w:r>
        <w:rPr/>
        <w:t>元。</w:t>
      </w:r>
    </w:p>
    <w:p>
      <w:pPr>
        <w:pStyle w:val="Heading6"/>
        <w:spacing w:line="256" w:lineRule="auto" w:before="5"/>
        <w:ind w:right="1128" w:firstLine="420"/>
        <w:jc w:val="both"/>
      </w:pPr>
      <w:r>
        <w:rPr>
          <w:rFonts w:ascii="Times New Roman" w:hAnsi="Times New Roman" w:cs="Times New Roman" w:eastAsia="Times New Roman" w:hint="default"/>
        </w:rPr>
        <w:t>(12)</w:t>
      </w:r>
      <w:r>
        <w:rPr/>
        <w:t>本公司收到深圳市科技创新委员会拨付的企业研发资助款</w:t>
      </w:r>
      <w:r>
        <w:rPr>
          <w:rFonts w:ascii="Times New Roman" w:hAnsi="Times New Roman" w:cs="Times New Roman" w:eastAsia="Times New Roman" w:hint="default"/>
        </w:rPr>
        <w:t>117.10</w:t>
      </w:r>
      <w:r>
        <w:rPr/>
        <w:t>万元，本公司之子公司嘉联支付</w:t>
      </w:r>
      <w:r>
        <w:rPr>
          <w:w w:val="100"/>
        </w:rPr>
        <w:t> </w:t>
      </w:r>
      <w:r>
        <w:rPr>
          <w:spacing w:val="-1"/>
        </w:rPr>
        <w:t>有限公司收到深圳市科技创新委员会拨付的企业研发资助款</w:t>
      </w:r>
      <w:r>
        <w:rPr>
          <w:rFonts w:ascii="Times New Roman" w:hAnsi="Times New Roman" w:cs="Times New Roman" w:eastAsia="Times New Roman" w:hint="default"/>
          <w:spacing w:val="-1"/>
        </w:rPr>
        <w:t>354.00</w:t>
      </w:r>
      <w:r>
        <w:rPr>
          <w:spacing w:val="-1"/>
        </w:rPr>
        <w:t>万元，本公司之子公司深圳市新国都支</w:t>
      </w:r>
      <w:r>
        <w:rPr>
          <w:spacing w:val="-30"/>
        </w:rPr>
        <w:t> </w:t>
      </w:r>
      <w:r>
        <w:rPr>
          <w:spacing w:val="-30"/>
        </w:rPr>
      </w:r>
      <w:r>
        <w:rPr>
          <w:spacing w:val="-1"/>
        </w:rPr>
        <w:t>付技术有限公司收到深圳市科技创新委员会拨付的企业研发资助款</w:t>
      </w:r>
      <w:r>
        <w:rPr>
          <w:rFonts w:ascii="Times New Roman" w:hAnsi="Times New Roman" w:cs="Times New Roman" w:eastAsia="Times New Roman" w:hint="default"/>
          <w:spacing w:val="-1"/>
        </w:rPr>
        <w:t>242.70</w:t>
      </w:r>
      <w:r>
        <w:rPr>
          <w:spacing w:val="-1"/>
        </w:rPr>
        <w:t>万元，本公司之子公司深圳市新</w:t>
      </w:r>
      <w:r>
        <w:rPr>
          <w:spacing w:val="-27"/>
        </w:rPr>
        <w:t> </w:t>
      </w:r>
      <w:r>
        <w:rPr>
          <w:spacing w:val="-27"/>
        </w:rPr>
      </w:r>
      <w:r>
        <w:rPr>
          <w:spacing w:val="-3"/>
        </w:rPr>
        <w:t>国都金服技术有限公司收到深圳市科技创新委员会拨付的企业研发资助款</w:t>
      </w:r>
      <w:r>
        <w:rPr>
          <w:rFonts w:ascii="Times New Roman" w:hAnsi="Times New Roman" w:cs="Times New Roman" w:eastAsia="Times New Roman" w:hint="default"/>
          <w:spacing w:val="-3"/>
        </w:rPr>
        <w:t>78.00</w:t>
      </w:r>
      <w:r>
        <w:rPr>
          <w:spacing w:val="-3"/>
        </w:rPr>
        <w:t>万元，本公司之孙公司深圳</w:t>
      </w:r>
      <w:r>
        <w:rPr>
          <w:spacing w:val="-44"/>
        </w:rPr>
        <w:t> </w:t>
      </w:r>
      <w:r>
        <w:rPr>
          <w:spacing w:val="-44"/>
        </w:rPr>
      </w:r>
      <w:r>
        <w:rPr/>
        <w:t>市信联征信有限公司收到深圳市科技创新委员会拨付的企业研发资助款</w:t>
      </w:r>
      <w:r>
        <w:rPr>
          <w:rFonts w:ascii="Times New Roman" w:hAnsi="Times New Roman" w:cs="Times New Roman" w:eastAsia="Times New Roman" w:hint="default"/>
        </w:rPr>
        <w:t>128.80</w:t>
      </w:r>
      <w:r>
        <w:rPr/>
        <w:t>万元。</w:t>
      </w:r>
    </w:p>
    <w:p>
      <w:pPr>
        <w:pStyle w:val="Heading6"/>
        <w:spacing w:line="261" w:lineRule="auto" w:before="5"/>
        <w:ind w:right="1126" w:firstLine="420"/>
        <w:jc w:val="both"/>
      </w:pPr>
      <w:r>
        <w:rPr/>
        <w:t>（</w:t>
      </w:r>
      <w:r>
        <w:rPr>
          <w:rFonts w:ascii="Times New Roman" w:hAnsi="Times New Roman" w:cs="Times New Roman" w:eastAsia="Times New Roman" w:hint="default"/>
        </w:rPr>
        <w:t>13</w:t>
      </w:r>
      <w:r>
        <w:rPr/>
        <w:t>）本公司收到深圳市福田区企业发展服务中心拨付的国家高新技术企业认定支持补助款</w:t>
      </w:r>
      <w:r>
        <w:rPr>
          <w:rFonts w:ascii="Times New Roman" w:hAnsi="Times New Roman" w:cs="Times New Roman" w:eastAsia="Times New Roman" w:hint="default"/>
        </w:rPr>
        <w:t>20.00</w:t>
      </w:r>
      <w:r>
        <w:rPr/>
        <w:t>万</w:t>
      </w:r>
      <w:r>
        <w:rPr>
          <w:w w:val="100"/>
        </w:rPr>
        <w:t> </w:t>
      </w:r>
      <w:r>
        <w:rPr>
          <w:spacing w:val="-2"/>
        </w:rPr>
        <w:t>元，本公司之子公司深圳市新国都支付技术有限公司收到深圳市福田区企业发展服务中心拨付的国家高新</w:t>
      </w:r>
      <w:r>
        <w:rPr>
          <w:spacing w:val="-43"/>
        </w:rPr>
        <w:t> </w:t>
      </w:r>
      <w:r>
        <w:rPr>
          <w:spacing w:val="-43"/>
        </w:rPr>
      </w:r>
      <w:r>
        <w:rPr/>
        <w:t>技术企业认定补助款</w:t>
      </w:r>
      <w:r>
        <w:rPr>
          <w:rFonts w:ascii="Times New Roman" w:hAnsi="Times New Roman" w:cs="Times New Roman" w:eastAsia="Times New Roman" w:hint="default"/>
        </w:rPr>
        <w:t>20.00</w:t>
      </w:r>
      <w:r>
        <w:rPr/>
        <w:t>万元，本公司之子公司嘉联支付有限公司收到深圳市南山区科技创新局拨付的</w:t>
      </w:r>
      <w:r>
        <w:rPr>
          <w:spacing w:val="19"/>
        </w:rPr>
        <w:t> </w:t>
      </w:r>
      <w:r>
        <w:rPr>
          <w:spacing w:val="19"/>
        </w:rPr>
      </w:r>
      <w:r>
        <w:rPr>
          <w:rFonts w:ascii="Times New Roman" w:hAnsi="Times New Roman" w:cs="Times New Roman" w:eastAsia="Times New Roman" w:hint="default"/>
        </w:rPr>
        <w:t>2018</w:t>
      </w:r>
      <w:r>
        <w:rPr/>
        <w:t>年国家高新技术企业奖补助款</w:t>
      </w:r>
      <w:r>
        <w:rPr>
          <w:rFonts w:ascii="Times New Roman" w:hAnsi="Times New Roman" w:cs="Times New Roman" w:eastAsia="Times New Roman" w:hint="default"/>
        </w:rPr>
        <w:t>3.00</w:t>
      </w:r>
      <w:r>
        <w:rPr/>
        <w:t>万元、国家高新技术企业倍增支持计划</w:t>
      </w:r>
      <w:r>
        <w:rPr>
          <w:rFonts w:ascii="Times New Roman" w:hAnsi="Times New Roman" w:cs="Times New Roman" w:eastAsia="Times New Roman" w:hint="default"/>
        </w:rPr>
        <w:t>10.00</w:t>
      </w:r>
      <w:r>
        <w:rPr/>
        <w:t>万元。</w:t>
      </w:r>
    </w:p>
    <w:p>
      <w:pPr>
        <w:pStyle w:val="Heading6"/>
        <w:spacing w:line="256" w:lineRule="auto" w:before="0"/>
        <w:ind w:right="1125" w:firstLine="420"/>
        <w:jc w:val="both"/>
      </w:pPr>
      <w:r>
        <w:rPr>
          <w:spacing w:val="-2"/>
        </w:rPr>
        <w:t>（</w:t>
      </w:r>
      <w:r>
        <w:rPr>
          <w:rFonts w:ascii="Times New Roman" w:hAnsi="Times New Roman" w:cs="Times New Roman" w:eastAsia="Times New Roman" w:hint="default"/>
          <w:spacing w:val="-2"/>
        </w:rPr>
        <w:t>14</w:t>
      </w:r>
      <w:r>
        <w:rPr>
          <w:spacing w:val="-2"/>
        </w:rPr>
        <w:t>）本公司之子公司深圳市新国都支付技术有限公司收到深圳市工业和信息化局拨付的深圳市战略</w:t>
      </w:r>
      <w:r>
        <w:rPr>
          <w:w w:val="100"/>
        </w:rPr>
        <w:t> </w:t>
      </w:r>
      <w:r>
        <w:rPr/>
        <w:t>性新兴产业新一代信息技术专项资助款</w:t>
      </w:r>
      <w:r>
        <w:rPr>
          <w:rFonts w:ascii="Times New Roman" w:hAnsi="Times New Roman" w:cs="Times New Roman" w:eastAsia="Times New Roman" w:hint="default"/>
        </w:rPr>
        <w:t>50.00</w:t>
      </w:r>
      <w:r>
        <w:rPr/>
        <w:t>万元。</w:t>
      </w:r>
    </w:p>
    <w:p>
      <w:pPr>
        <w:pStyle w:val="Heading6"/>
        <w:spacing w:line="240" w:lineRule="auto" w:before="5"/>
        <w:ind w:left="573" w:right="1033"/>
        <w:jc w:val="left"/>
      </w:pPr>
      <w:r>
        <w:rPr/>
        <w:t>（</w:t>
      </w:r>
      <w:r>
        <w:rPr>
          <w:rFonts w:ascii="Times New Roman" w:hAnsi="Times New Roman" w:cs="Times New Roman" w:eastAsia="Times New Roman" w:hint="default"/>
        </w:rPr>
        <w:t>15</w:t>
      </w:r>
      <w:r>
        <w:rPr/>
        <w:t>）本公司之子公司浙江中正智能有限公司收到杭州市就业管理局拨付的失业金</w:t>
      </w:r>
      <w:r>
        <w:rPr>
          <w:rFonts w:ascii="Times New Roman" w:hAnsi="Times New Roman" w:cs="Times New Roman" w:eastAsia="Times New Roman" w:hint="default"/>
        </w:rPr>
        <w:t>113.73</w:t>
      </w:r>
      <w:r>
        <w:rPr/>
        <w:t>万元。</w:t>
      </w:r>
    </w:p>
    <w:p>
      <w:pPr>
        <w:pStyle w:val="Heading6"/>
        <w:spacing w:line="256" w:lineRule="auto" w:before="21"/>
        <w:ind w:right="1126" w:firstLine="420"/>
        <w:jc w:val="both"/>
      </w:pPr>
      <w:r>
        <w:rPr>
          <w:spacing w:val="-2"/>
        </w:rPr>
        <w:t>（</w:t>
      </w:r>
      <w:r>
        <w:rPr>
          <w:rFonts w:ascii="Times New Roman" w:hAnsi="Times New Roman" w:cs="Times New Roman" w:eastAsia="Times New Roman" w:hint="default"/>
          <w:spacing w:val="-2"/>
        </w:rPr>
        <w:t>16</w:t>
      </w:r>
      <w:r>
        <w:rPr>
          <w:spacing w:val="-2"/>
        </w:rPr>
        <w:t>）本公司之子公司浙江中正智能有限公司收到杭州市滨江区财政局拨付的</w:t>
      </w:r>
      <w:r>
        <w:rPr>
          <w:rFonts w:ascii="Times New Roman" w:hAnsi="Times New Roman" w:cs="Times New Roman" w:eastAsia="Times New Roman" w:hint="default"/>
          <w:spacing w:val="-2"/>
        </w:rPr>
        <w:t>2018</w:t>
      </w:r>
      <w:r>
        <w:rPr>
          <w:spacing w:val="-2"/>
        </w:rPr>
        <w:t>年软件名城项目资</w:t>
      </w:r>
      <w:r>
        <w:rPr>
          <w:w w:val="100"/>
        </w:rPr>
        <w:t> </w:t>
      </w:r>
      <w:r>
        <w:rPr/>
        <w:t>金</w:t>
      </w:r>
      <w:r>
        <w:rPr>
          <w:rFonts w:ascii="Times New Roman" w:hAnsi="Times New Roman" w:cs="Times New Roman" w:eastAsia="Times New Roman" w:hint="default"/>
        </w:rPr>
        <w:t>142.91</w:t>
      </w:r>
      <w:r>
        <w:rPr/>
        <w:t>万元。</w:t>
      </w:r>
    </w:p>
    <w:p>
      <w:pPr>
        <w:pStyle w:val="Heading6"/>
        <w:spacing w:line="256" w:lineRule="auto" w:before="5"/>
        <w:ind w:right="1126" w:firstLine="420"/>
        <w:jc w:val="both"/>
      </w:pPr>
      <w:r>
        <w:rPr>
          <w:spacing w:val="-2"/>
        </w:rPr>
        <w:t>（</w:t>
      </w:r>
      <w:r>
        <w:rPr>
          <w:rFonts w:ascii="Times New Roman" w:hAnsi="Times New Roman" w:cs="Times New Roman" w:eastAsia="Times New Roman" w:hint="default"/>
          <w:spacing w:val="-2"/>
        </w:rPr>
        <w:t>17</w:t>
      </w:r>
      <w:r>
        <w:rPr>
          <w:spacing w:val="-2"/>
        </w:rPr>
        <w:t>）本公司之子公司嘉联支付有限公司收到深圳市经济贸易和信息化委员会拨付的深圳市南山区住</w:t>
      </w:r>
      <w:r>
        <w:rPr>
          <w:w w:val="100"/>
        </w:rPr>
        <w:t> </w:t>
      </w:r>
      <w:r>
        <w:rPr/>
        <w:t>房和建设局</w:t>
      </w:r>
      <w:r>
        <w:rPr>
          <w:rFonts w:ascii="Times New Roman" w:hAnsi="Times New Roman" w:cs="Times New Roman" w:eastAsia="Times New Roman" w:hint="default"/>
        </w:rPr>
        <w:t>2019</w:t>
      </w:r>
      <w:r>
        <w:rPr/>
        <w:t>年人才安居住房补助款</w:t>
      </w:r>
      <w:r>
        <w:rPr>
          <w:rFonts w:ascii="Times New Roman" w:hAnsi="Times New Roman" w:cs="Times New Roman" w:eastAsia="Times New Roman" w:hint="default"/>
        </w:rPr>
        <w:t>68.00</w:t>
      </w:r>
      <w:r>
        <w:rPr/>
        <w:t>万元。</w:t>
      </w:r>
    </w:p>
    <w:p>
      <w:pPr>
        <w:pStyle w:val="Heading6"/>
        <w:spacing w:line="256" w:lineRule="auto" w:before="5"/>
        <w:ind w:right="1126" w:firstLine="420"/>
        <w:jc w:val="both"/>
      </w:pPr>
      <w:r>
        <w:rPr>
          <w:spacing w:val="-2"/>
        </w:rPr>
        <w:t>（</w:t>
      </w:r>
      <w:r>
        <w:rPr>
          <w:rFonts w:ascii="Times New Roman" w:hAnsi="Times New Roman" w:cs="Times New Roman" w:eastAsia="Times New Roman" w:hint="default"/>
          <w:spacing w:val="-2"/>
        </w:rPr>
        <w:t>18</w:t>
      </w:r>
      <w:r>
        <w:rPr>
          <w:spacing w:val="-2"/>
        </w:rPr>
        <w:t>）本公司之子公司嘉联支付有限公司收到深圳市经济贸易和信息化委员会拨付的信息安全产业专</w:t>
      </w:r>
      <w:r>
        <w:rPr>
          <w:w w:val="100"/>
        </w:rPr>
        <w:t> </w:t>
      </w:r>
      <w:r>
        <w:rPr/>
        <w:t>项资金补助款</w:t>
      </w:r>
      <w:r>
        <w:rPr>
          <w:rFonts w:ascii="Times New Roman" w:hAnsi="Times New Roman" w:cs="Times New Roman" w:eastAsia="Times New Roman" w:hint="default"/>
        </w:rPr>
        <w:t>96.00</w:t>
      </w:r>
      <w:r>
        <w:rPr/>
        <w:t>万元。</w:t>
      </w:r>
    </w:p>
    <w:p>
      <w:pPr>
        <w:pStyle w:val="Heading6"/>
        <w:spacing w:line="256" w:lineRule="auto" w:before="5"/>
        <w:ind w:right="1126" w:firstLine="420"/>
        <w:jc w:val="both"/>
      </w:pPr>
      <w:r>
        <w:rPr>
          <w:spacing w:val="-2"/>
        </w:rPr>
        <w:t>（</w:t>
      </w:r>
      <w:r>
        <w:rPr>
          <w:rFonts w:ascii="Times New Roman" w:hAnsi="Times New Roman" w:cs="Times New Roman" w:eastAsia="Times New Roman" w:hint="default"/>
          <w:spacing w:val="-2"/>
        </w:rPr>
        <w:t>19</w:t>
      </w:r>
      <w:r>
        <w:rPr>
          <w:spacing w:val="-2"/>
        </w:rPr>
        <w:t>）本公司之子公司长沙公信诚丰信息技术服务有限公司收到长沙市岳麓区国库集中支付中心拨付</w:t>
      </w:r>
      <w:r>
        <w:rPr>
          <w:w w:val="100"/>
        </w:rPr>
        <w:t> </w:t>
      </w:r>
      <w:r>
        <w:rPr/>
        <w:t>的科技局企业研发奖</w:t>
      </w:r>
      <w:r>
        <w:rPr>
          <w:rFonts w:ascii="Times New Roman" w:hAnsi="Times New Roman" w:cs="Times New Roman" w:eastAsia="Times New Roman" w:hint="default"/>
        </w:rPr>
        <w:t>40.72</w:t>
      </w:r>
      <w:r>
        <w:rPr/>
        <w:t>万元。</w:t>
      </w:r>
    </w:p>
    <w:p>
      <w:pPr>
        <w:pStyle w:val="Heading6"/>
        <w:spacing w:line="256" w:lineRule="auto" w:before="5"/>
        <w:ind w:right="1126" w:firstLine="420"/>
        <w:jc w:val="both"/>
      </w:pPr>
      <w:r>
        <w:rPr>
          <w:spacing w:val="-2"/>
        </w:rPr>
        <w:t>（</w:t>
      </w:r>
      <w:r>
        <w:rPr>
          <w:rFonts w:ascii="Times New Roman" w:hAnsi="Times New Roman" w:cs="Times New Roman" w:eastAsia="Times New Roman" w:hint="default"/>
          <w:spacing w:val="-2"/>
        </w:rPr>
        <w:t>20</w:t>
      </w:r>
      <w:r>
        <w:rPr>
          <w:spacing w:val="-2"/>
        </w:rPr>
        <w:t>）本公司之子公司长沙公信诚丰信息技术服务有限公司收到长沙市岳麓区国库集中支付核算局拨</w:t>
      </w:r>
      <w:r>
        <w:rPr>
          <w:w w:val="100"/>
        </w:rPr>
        <w:t> </w:t>
      </w:r>
      <w:r>
        <w:rPr/>
        <w:t>付的入驻企业效益贡献奖励款</w:t>
      </w:r>
      <w:r>
        <w:rPr>
          <w:rFonts w:ascii="Times New Roman" w:hAnsi="Times New Roman" w:cs="Times New Roman" w:eastAsia="Times New Roman" w:hint="default"/>
        </w:rPr>
        <w:t>70.20</w:t>
      </w:r>
      <w:r>
        <w:rPr/>
        <w:t>万元。</w:t>
      </w:r>
    </w:p>
    <w:p>
      <w:pPr>
        <w:pStyle w:val="Heading6"/>
        <w:spacing w:line="256" w:lineRule="auto" w:before="5"/>
        <w:ind w:right="1033"/>
        <w:jc w:val="left"/>
      </w:pPr>
      <w:r>
        <w:rPr>
          <w:spacing w:val="-2"/>
        </w:rPr>
        <w:t>（</w:t>
      </w:r>
      <w:r>
        <w:rPr>
          <w:rFonts w:ascii="Times New Roman" w:hAnsi="Times New Roman" w:cs="Times New Roman" w:eastAsia="Times New Roman" w:hint="default"/>
          <w:spacing w:val="-2"/>
        </w:rPr>
        <w:t>21</w:t>
      </w:r>
      <w:r>
        <w:rPr>
          <w:spacing w:val="-2"/>
        </w:rPr>
        <w:t>）本公司之子公司收到长沙市工业和信息化局拨付的</w:t>
      </w:r>
      <w:r>
        <w:rPr>
          <w:rFonts w:ascii="Times New Roman" w:hAnsi="Times New Roman" w:cs="Times New Roman" w:eastAsia="Times New Roman" w:hint="default"/>
          <w:spacing w:val="-2"/>
        </w:rPr>
        <w:t>2019</w:t>
      </w:r>
      <w:r>
        <w:rPr>
          <w:spacing w:val="-2"/>
        </w:rPr>
        <w:t>年长沙市人工智能产业发展专项资金</w:t>
      </w:r>
      <w:r>
        <w:rPr>
          <w:rFonts w:ascii="Times New Roman" w:hAnsi="Times New Roman" w:cs="Times New Roman" w:eastAsia="Times New Roman" w:hint="default"/>
          <w:spacing w:val="-2"/>
        </w:rPr>
        <w:t>200.00</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万元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5"/>
        <w:spacing w:line="240" w:lineRule="auto"/>
        <w:ind w:right="1033"/>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198"/>
        <w:gridCol w:w="1195"/>
        <w:gridCol w:w="1196"/>
        <w:gridCol w:w="1198"/>
        <w:gridCol w:w="1196"/>
        <w:gridCol w:w="1184"/>
        <w:gridCol w:w="1209"/>
      </w:tblGrid>
      <w:tr>
        <w:trPr>
          <w:trHeight w:val="206"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3"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3"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477,897,755.00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10,664,723.00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10,664,723.00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488,562,478.00</w:t>
            </w:r>
          </w:p>
        </w:tc>
      </w:tr>
    </w:tbl>
    <w:p>
      <w:pPr>
        <w:pStyle w:val="BodyText"/>
        <w:spacing w:line="240" w:lineRule="auto" w:before="49"/>
        <w:ind w:right="1033"/>
        <w:jc w:val="left"/>
      </w:pPr>
      <w:r>
        <w:rPr/>
        <w:t>其他说明：</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4"/>
          <w:szCs w:val="24"/>
        </w:rPr>
      </w:pPr>
    </w:p>
    <w:p>
      <w:pPr>
        <w:pStyle w:val="Heading6"/>
        <w:spacing w:line="240" w:lineRule="auto" w:before="36"/>
        <w:ind w:left="573" w:right="1033"/>
        <w:jc w:val="left"/>
      </w:pPr>
      <w:r>
        <w:rPr>
          <w:rFonts w:ascii="Times New Roman" w:hAnsi="Times New Roman" w:cs="Times New Roman" w:eastAsia="Times New Roman" w:hint="default"/>
        </w:rPr>
        <w:t>1</w:t>
      </w:r>
      <w:r>
        <w:rPr/>
        <w:t>、本期股本增加系股权激励行权所致。</w:t>
      </w:r>
    </w:p>
    <w:p>
      <w:pPr>
        <w:pStyle w:val="Heading6"/>
        <w:spacing w:line="256" w:lineRule="auto" w:before="19"/>
        <w:ind w:right="1126" w:firstLine="420"/>
        <w:jc w:val="left"/>
      </w:pP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t>日中国证券登记结算有限责任公司登记的股本总额为</w:t>
      </w:r>
      <w:r>
        <w:rPr>
          <w:rFonts w:ascii="Times New Roman" w:hAnsi="Times New Roman" w:cs="Times New Roman" w:eastAsia="Times New Roman" w:hint="default"/>
        </w:rPr>
        <w:t>488,698,770.00</w:t>
      </w:r>
      <w:r>
        <w:rPr/>
        <w:t>股，其中</w:t>
      </w:r>
      <w:r>
        <w:rPr>
          <w:w w:val="100"/>
        </w:rPr>
        <w:t> </w:t>
      </w:r>
      <w:r>
        <w:rPr/>
        <w:t>已在中国证券登记结算有限责任公司登记但公司未收到款项股本</w:t>
      </w:r>
      <w:r>
        <w:rPr>
          <w:rFonts w:ascii="Times New Roman" w:hAnsi="Times New Roman" w:cs="Times New Roman" w:eastAsia="Times New Roman" w:hint="default"/>
        </w:rPr>
        <w:t>136,292.00</w:t>
      </w:r>
      <w:r>
        <w:rPr/>
        <w:t>股。</w:t>
      </w:r>
    </w:p>
    <w:p>
      <w:pPr>
        <w:spacing w:line="240" w:lineRule="auto" w:before="3"/>
        <w:rPr>
          <w:rFonts w:ascii="宋体" w:hAnsi="宋体" w:cs="宋体" w:eastAsia="宋体" w:hint="default"/>
          <w:sz w:val="18"/>
          <w:szCs w:val="18"/>
        </w:rPr>
      </w:pPr>
    </w:p>
    <w:p>
      <w:pPr>
        <w:pStyle w:val="Heading5"/>
        <w:spacing w:line="240" w:lineRule="auto"/>
        <w:ind w:right="1033"/>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4"/>
        <w:gridCol w:w="1063"/>
        <w:gridCol w:w="1064"/>
        <w:gridCol w:w="1063"/>
        <w:gridCol w:w="1063"/>
        <w:gridCol w:w="1062"/>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4633"/>
        <w:jc w:val="left"/>
      </w:pPr>
      <w:r>
        <w:rPr/>
        <w:t>其他权益工具本期增减变动情况、变动原因说明，以及相关会计处理的依据： 其他说明：</w:t>
      </w:r>
    </w:p>
    <w:p>
      <w:pPr>
        <w:spacing w:line="240" w:lineRule="auto" w:before="0"/>
        <w:rPr>
          <w:rFonts w:ascii="宋体" w:hAnsi="宋体" w:cs="宋体" w:eastAsia="宋体" w:hint="default"/>
          <w:sz w:val="15"/>
          <w:szCs w:val="15"/>
        </w:rPr>
      </w:pPr>
    </w:p>
    <w:p>
      <w:pPr>
        <w:pStyle w:val="Heading5"/>
        <w:spacing w:line="240" w:lineRule="auto"/>
        <w:ind w:right="1033"/>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896,836,011.81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146,248,049.20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1,043,084,017.70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10,782,846.83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6,904,108.34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7,928,014.92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9,758,940.25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907,618,858.64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153,152,157.54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7,928,058.23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1,052,842,957.95</w:t>
            </w:r>
          </w:p>
        </w:tc>
      </w:tr>
    </w:tbl>
    <w:p>
      <w:pPr>
        <w:pStyle w:val="BodyText"/>
        <w:spacing w:line="240" w:lineRule="auto" w:before="49"/>
        <w:ind w:right="1033"/>
        <w:jc w:val="left"/>
      </w:pPr>
      <w:r>
        <w:rPr/>
        <w:t>其他说明，包括本期增减变动情况、变动原因说明：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实行股权激励回购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8,108,708.97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45,778,887.76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53,887,596.73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8,108,708.97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45,778,887.76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53,887,596.73</w:t>
            </w:r>
          </w:p>
        </w:tc>
      </w:tr>
    </w:tbl>
    <w:p>
      <w:pPr>
        <w:pStyle w:val="BodyText"/>
        <w:spacing w:line="240" w:lineRule="auto" w:before="49"/>
        <w:ind w:right="1033"/>
        <w:jc w:val="left"/>
      </w:pPr>
      <w:r>
        <w:rPr/>
        <w:t>其他说明，包括本期增减变动情况、变动原因说明：</w:t>
      </w:r>
    </w:p>
    <w:p>
      <w:pPr>
        <w:spacing w:line="240" w:lineRule="auto" w:before="6"/>
        <w:rPr>
          <w:rFonts w:ascii="宋体" w:hAnsi="宋体" w:cs="宋体" w:eastAsia="宋体" w:hint="default"/>
          <w:sz w:val="13"/>
          <w:szCs w:val="13"/>
        </w:rPr>
      </w:pPr>
    </w:p>
    <w:p>
      <w:pPr>
        <w:pStyle w:val="Heading6"/>
        <w:spacing w:line="256" w:lineRule="auto" w:before="0"/>
        <w:ind w:right="1033" w:firstLine="420"/>
        <w:jc w:val="left"/>
      </w:pPr>
      <w:r>
        <w:rPr/>
        <w:t>根据本公司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日召开的</w:t>
      </w:r>
      <w:r>
        <w:rPr>
          <w:rFonts w:ascii="Times New Roman" w:hAnsi="Times New Roman" w:cs="Times New Roman" w:eastAsia="Times New Roman" w:hint="default"/>
        </w:rPr>
        <w:t>2018</w:t>
      </w:r>
      <w:r>
        <w:rPr/>
        <w:t>年第六次临时股东大会决议，以集中竞价方式实施回购股份，</w:t>
      </w:r>
      <w:r>
        <w:rPr>
          <w:w w:val="100"/>
        </w:rPr>
        <w:t> </w:t>
      </w: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w:t>
      </w:r>
      <w:r>
        <w:rPr>
          <w:spacing w:val="-2"/>
        </w:rPr>
        <w:t>日，本公司本次回购股份实施期限届满，本次回购方案实施完毕，本公司累计回购股份数</w:t>
      </w:r>
      <w:r>
        <w:rPr>
          <w:spacing w:val="-39"/>
        </w:rPr>
        <w:t> </w:t>
      </w:r>
      <w:r>
        <w:rPr>
          <w:spacing w:val="-39"/>
        </w:rPr>
      </w:r>
      <w:r>
        <w:rPr/>
        <w:t>量 </w:t>
      </w:r>
      <w:r>
        <w:rPr>
          <w:rFonts w:ascii="Times New Roman" w:hAnsi="Times New Roman" w:cs="Times New Roman" w:eastAsia="Times New Roman" w:hint="default"/>
        </w:rPr>
        <w:t>3,526,268.00</w:t>
      </w:r>
      <w:r>
        <w:rPr>
          <w:rFonts w:ascii="Times New Roman" w:hAnsi="Times New Roman" w:cs="Times New Roman" w:eastAsia="Times New Roman" w:hint="default"/>
          <w:spacing w:val="13"/>
        </w:rPr>
        <w:t> </w:t>
      </w:r>
      <w:r>
        <w:rPr>
          <w:spacing w:val="-3"/>
        </w:rPr>
        <w:t>股。</w:t>
      </w:r>
      <w:r>
        <w:rPr/>
      </w:r>
    </w:p>
    <w:p>
      <w:pPr>
        <w:spacing w:line="240" w:lineRule="auto" w:before="3"/>
        <w:rPr>
          <w:rFonts w:ascii="宋体" w:hAnsi="宋体" w:cs="宋体" w:eastAsia="宋体" w:hint="default"/>
          <w:sz w:val="18"/>
          <w:szCs w:val="18"/>
        </w:rPr>
      </w:pPr>
    </w:p>
    <w:p>
      <w:pPr>
        <w:pStyle w:val="Heading5"/>
        <w:spacing w:line="240" w:lineRule="auto"/>
        <w:ind w:right="1033"/>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8"/>
        <w:gridCol w:w="972"/>
        <w:gridCol w:w="5313"/>
        <w:gridCol w:w="727"/>
      </w:tblGrid>
      <w:tr>
        <w:trPr>
          <w:trHeight w:val="401" w:hRule="exact"/>
        </w:trPr>
        <w:tc>
          <w:tcPr>
            <w:tcW w:w="2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88" w:right="0"/>
              <w:jc w:val="left"/>
              <w:rPr>
                <w:rFonts w:ascii="宋体" w:hAnsi="宋体" w:cs="宋体" w:eastAsia="宋体" w:hint="default"/>
                <w:sz w:val="18"/>
                <w:szCs w:val="18"/>
              </w:rPr>
            </w:pPr>
            <w:r>
              <w:rPr>
                <w:rFonts w:ascii="宋体" w:hAnsi="宋体" w:cs="宋体" w:eastAsia="宋体" w:hint="default"/>
                <w:sz w:val="18"/>
                <w:szCs w:val="18"/>
              </w:rPr>
              <w:t>期末余</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5"/>
        <w:gridCol w:w="974"/>
        <w:gridCol w:w="852"/>
        <w:gridCol w:w="1051"/>
        <w:gridCol w:w="852"/>
        <w:gridCol w:w="853"/>
        <w:gridCol w:w="852"/>
        <w:gridCol w:w="852"/>
        <w:gridCol w:w="727"/>
      </w:tblGrid>
      <w:tr>
        <w:trPr>
          <w:trHeight w:val="161" w:hRule="exact"/>
        </w:trPr>
        <w:tc>
          <w:tcPr>
            <w:tcW w:w="2555" w:type="dxa"/>
            <w:vMerge w:val="restart"/>
            <w:tcBorders>
              <w:top w:val="single" w:sz="4" w:space="0" w:color="000000"/>
              <w:left w:val="single" w:sz="4" w:space="0" w:color="000000"/>
              <w:right w:val="single" w:sz="4" w:space="0" w:color="000000"/>
            </w:tcBorders>
            <w:shd w:val="clear" w:color="auto" w:fill="D2D2D2"/>
          </w:tcPr>
          <w:p>
            <w:pPr/>
          </w:p>
        </w:tc>
        <w:tc>
          <w:tcPr>
            <w:tcW w:w="974"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val="restart"/>
            <w:tcBorders>
              <w:top w:val="single" w:sz="4" w:space="0" w:color="000000"/>
              <w:left w:val="single" w:sz="10" w:space="0" w:color="D2D2D2"/>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156" w:hRule="exact"/>
        </w:trPr>
        <w:tc>
          <w:tcPr>
            <w:tcW w:w="2555"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23"/>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10" w:space="0" w:color="D2D2D2"/>
              <w:right w:val="single" w:sz="4" w:space="0" w:color="000000"/>
            </w:tcBorders>
          </w:tcPr>
          <w:p>
            <w:pPr/>
          </w:p>
        </w:tc>
      </w:tr>
      <w:tr>
        <w:trPr>
          <w:trHeight w:val="156" w:hRule="exact"/>
        </w:trPr>
        <w:tc>
          <w:tcPr>
            <w:tcW w:w="2555"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10" w:space="0" w:color="D2D2D2"/>
              <w:right w:val="single" w:sz="4" w:space="0" w:color="000000"/>
            </w:tcBorders>
          </w:tcPr>
          <w:p>
            <w:pPr/>
          </w:p>
        </w:tc>
      </w:tr>
      <w:tr>
        <w:trPr>
          <w:trHeight w:val="703" w:hRule="exact"/>
        </w:trPr>
        <w:tc>
          <w:tcPr>
            <w:tcW w:w="2555"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51" w:right="58"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62" w:right="5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10" w:space="0" w:color="D2D2D2"/>
              <w:right w:val="single" w:sz="4" w:space="0" w:color="000000"/>
            </w:tcBorders>
          </w:tcPr>
          <w:p>
            <w:pPr/>
          </w:p>
        </w:tc>
      </w:tr>
      <w:tr>
        <w:trPr>
          <w:trHeight w:val="156" w:hRule="exact"/>
        </w:trPr>
        <w:tc>
          <w:tcPr>
            <w:tcW w:w="2555"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10" w:space="0" w:color="D2D2D2"/>
              <w:right w:val="single" w:sz="4" w:space="0" w:color="000000"/>
            </w:tcBorders>
          </w:tcPr>
          <w:p>
            <w:pPr/>
          </w:p>
        </w:tc>
      </w:tr>
      <w:tr>
        <w:trPr>
          <w:trHeight w:val="156" w:hRule="exact"/>
        </w:trPr>
        <w:tc>
          <w:tcPr>
            <w:tcW w:w="2555"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10" w:space="0" w:color="D2D2D2"/>
              <w:right w:val="single" w:sz="4" w:space="0" w:color="000000"/>
            </w:tcBorders>
          </w:tcPr>
          <w:p>
            <w:pPr/>
          </w:p>
        </w:tc>
      </w:tr>
      <w:tr>
        <w:trPr>
          <w:trHeight w:val="161" w:hRule="exact"/>
        </w:trPr>
        <w:tc>
          <w:tcPr>
            <w:tcW w:w="2555"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10" w:space="0" w:color="D2D2D2"/>
              <w:bottom w:val="single" w:sz="4" w:space="0" w:color="000000"/>
              <w:right w:val="single" w:sz="4" w:space="0" w:color="000000"/>
            </w:tcBorders>
          </w:tcPr>
          <w:p>
            <w:pPr/>
          </w:p>
        </w:tc>
      </w:tr>
      <w:tr>
        <w:trPr>
          <w:trHeight w:val="715"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-742,793.98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306,734.1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306,734.1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-436,059</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.85</w:t>
            </w:r>
          </w:p>
        </w:tc>
      </w:tr>
      <w:tr>
        <w:trPr>
          <w:trHeight w:val="161" w:hRule="exact"/>
        </w:trPr>
        <w:tc>
          <w:tcPr>
            <w:tcW w:w="25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74"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-742,793.98</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306,734.1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5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306,734.1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-436,059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.85</w:t>
            </w:r>
          </w:p>
        </w:tc>
      </w:tr>
      <w:tr>
        <w:trPr>
          <w:trHeight w:val="391" w:hRule="exact"/>
        </w:trPr>
        <w:tc>
          <w:tcPr>
            <w:tcW w:w="25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4"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74"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4" w:hRule="exact"/>
        </w:trPr>
        <w:tc>
          <w:tcPr>
            <w:tcW w:w="25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74" w:type="dxa"/>
            <w:vMerge w:val="restart"/>
            <w:tcBorders>
              <w:top w:val="single" w:sz="4" w:space="0" w:color="000000"/>
              <w:left w:val="single" w:sz="10" w:space="0" w:color="D2D2D2"/>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-742,793.98</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306,734.1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w:t>
            </w:r>
          </w:p>
        </w:tc>
        <w:tc>
          <w:tcPr>
            <w:tcW w:w="105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306,734.1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4"/>
              <w:ind w:left="47" w:right="0"/>
              <w:jc w:val="left"/>
              <w:rPr>
                <w:rFonts w:ascii="Times New Roman" w:hAnsi="Times New Roman" w:cs="Times New Roman" w:eastAsia="Times New Roman" w:hint="default"/>
                <w:sz w:val="18"/>
                <w:szCs w:val="18"/>
              </w:rPr>
            </w:pPr>
            <w:r>
              <w:rPr>
                <w:rFonts w:ascii="Times New Roman"/>
                <w:sz w:val="18"/>
              </w:rPr>
              <w:t>-436,059</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.85</w:t>
            </w:r>
          </w:p>
        </w:tc>
      </w:tr>
      <w:tr>
        <w:trPr>
          <w:trHeight w:val="391" w:hRule="exact"/>
        </w:trPr>
        <w:tc>
          <w:tcPr>
            <w:tcW w:w="25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74"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033"/>
        <w:jc w:val="left"/>
      </w:pPr>
      <w:r>
        <w:rPr/>
        <w:t>其他说明，包括对现金流量套期损益的有效部分转为被套期项目初始确认金额调整：</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033"/>
        <w:jc w:val="left"/>
      </w:pPr>
      <w:r>
        <w:rPr/>
        <w:t>其他说明，包括本期增减变动情况、变动原因说明：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54,522,847.29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27,994,069.86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82,516,917.15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54,522,847.29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27,994,069.86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82,516,917.15</w:t>
            </w:r>
          </w:p>
        </w:tc>
      </w:tr>
    </w:tbl>
    <w:p>
      <w:pPr>
        <w:pStyle w:val="BodyText"/>
        <w:spacing w:line="240" w:lineRule="auto" w:before="49"/>
        <w:ind w:right="1033"/>
        <w:jc w:val="left"/>
      </w:pPr>
      <w:r>
        <w:rPr/>
        <w:t>盈余公积说明，包括本期增减变动情况、变动原因说明：</w:t>
      </w:r>
    </w:p>
    <w:p>
      <w:pPr>
        <w:spacing w:line="240" w:lineRule="auto" w:before="2"/>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5"/>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667,961,389.07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561,294,229.19</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667,961,389.07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561,294,229.19</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242,492,982.66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247,879,868.58</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27,994,069.86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5,827,065.30</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5"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135,385,643.40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882,460,301.87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667,961,389.07</w:t>
            </w:r>
          </w:p>
        </w:tc>
      </w:tr>
    </w:tbl>
    <w:p>
      <w:pPr>
        <w:pStyle w:val="BodyText"/>
        <w:spacing w:line="240" w:lineRule="auto" w:before="49"/>
        <w:ind w:right="1033"/>
        <w:jc w:val="left"/>
      </w:pPr>
      <w:r>
        <w:rPr/>
        <w:t>调整期初未分配利润明细：</w:t>
      </w:r>
    </w:p>
    <w:p>
      <w:pPr>
        <w:pStyle w:val="BodyText"/>
        <w:spacing w:line="240" w:lineRule="auto" w:before="115"/>
        <w:ind w:right="1033"/>
        <w:jc w:val="left"/>
      </w:pPr>
      <w:r>
        <w:rPr>
          <w:rFonts w:ascii="Times New Roman" w:hAnsi="Times New Roman" w:cs="Times New Roman" w:eastAsia="Times New Roman" w:hint="default"/>
        </w:rPr>
        <w:t>1)</w:t>
      </w:r>
      <w:r>
        <w:rPr/>
        <w:t>、由于《企业会计准则》及其相关新规定进行追溯调整，影响期初未分配利润元。</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033"/>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1033"/>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1"/>
        <w:ind w:right="1033"/>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1033"/>
        <w:jc w:val="left"/>
      </w:pPr>
      <w:r>
        <w:rPr>
          <w:rFonts w:ascii="Times New Roman" w:hAnsi="Times New Roman" w:cs="Times New Roman" w:eastAsia="Times New Roman" w:hint="default"/>
        </w:rPr>
        <w:t>5)</w:t>
      </w:r>
      <w:r>
        <w:rPr/>
        <w:t>、其他调整合计影响期初未分配利润元。</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3,024,115,310.45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2,173,755,993.87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2,316,815,553.25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1,575,342,416.12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3,772,164.27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2,478,956.37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2,511,765.32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2,112,886.81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3,027,887,474.72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2,176,234,950.24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2,319,327,318.57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1,577,455,302.93</w:t>
            </w:r>
          </w:p>
        </w:tc>
      </w:tr>
    </w:tbl>
    <w:p>
      <w:pPr>
        <w:pStyle w:val="BodyText"/>
        <w:spacing w:line="240" w:lineRule="auto" w:before="49"/>
        <w:ind w:right="1033"/>
        <w:jc w:val="left"/>
      </w:pPr>
      <w:r>
        <w:rPr/>
        <w:t>是否已执行新收入准则</w:t>
      </w:r>
    </w:p>
    <w:p>
      <w:pPr>
        <w:pStyle w:val="BodyText"/>
        <w:spacing w:line="340" w:lineRule="auto" w:before="115"/>
        <w:ind w:right="94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 其他说明</w:t>
      </w:r>
    </w:p>
    <w:p>
      <w:pPr>
        <w:spacing w:line="240" w:lineRule="auto" w:before="4"/>
        <w:rPr>
          <w:rFonts w:ascii="宋体" w:hAnsi="宋体" w:cs="宋体" w:eastAsia="宋体" w:hint="default"/>
          <w:sz w:val="16"/>
          <w:szCs w:val="16"/>
        </w:rPr>
      </w:pPr>
    </w:p>
    <w:p>
      <w:pPr>
        <w:pStyle w:val="Heading5"/>
        <w:spacing w:line="240" w:lineRule="auto"/>
        <w:ind w:right="1033"/>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6,445,731.07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5,235,789.43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4,616,165.14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3,806,772.62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3,271,331.82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3,307,779.02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269,633.11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299,627.91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1,305,442.07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1,146,022.86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15,908,303.21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13,795,991.84</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70,572,780.82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51,423,355.58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4,837,525.10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1,799,513.91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6,955,629.00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8,209,208.39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10,048,965.89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11,262,351.19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28,681,485.37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30,160,810.45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32,619,230.15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22,988,850.00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7,551,338.31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6,744,090.80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4,436,274.94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3,539,700.19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299,136.62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886,013.09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166,002,366.20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137,013,893.60</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98,169,188.05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72,019,851.73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16,232,344.39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11,372,986.62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5,147,243.46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4,671,175.54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22,591,557.04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19,095,656.02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14,361,956.15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16,646,239.82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10,913,406.90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7,125,224.60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22,307,549.06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18,932,196.29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4,110,785.19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4,772,852.24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193,834,030.24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154,636,182.86</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158,723,737.96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145,472,696.02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测试设计费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17,632,203.47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21,637,050.80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12,947,910.61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5,965,709.41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13,422,977.21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13,968,403.16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20,922,599.26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14,811,520.62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223,649,428.51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201,855,380.01</w:t>
            </w:r>
          </w:p>
        </w:tc>
      </w:tr>
    </w:tbl>
    <w:p>
      <w:pPr>
        <w:pStyle w:val="BodyText"/>
        <w:spacing w:line="240" w:lineRule="auto" w:before="49"/>
        <w:ind w:right="1033"/>
        <w:jc w:val="left"/>
      </w:pPr>
      <w:r>
        <w:rPr/>
        <w:t>其他说明：</w:t>
      </w:r>
    </w:p>
    <w:p>
      <w:pPr>
        <w:spacing w:line="240" w:lineRule="auto" w:before="2"/>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33,901,863.11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68,212,860.48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13,207,308.89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10,689,481.80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-3,440,173.10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322,682.72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现金折扣及贴息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-7,792,488.91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-5,575,252.80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520,399.42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630,529.70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9,982,291.63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52,901,338.30</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30,223,671.94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21,850,876.93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41,955,794.11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39,433,293.10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税收减免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27,757,720.41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445,052.16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1,374,264.54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100,382,238.62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62,658,434.57</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-2,537,671.84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134,163,179.88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1,330,413.04</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5,739,265.81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17,954,288.03</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15,969,033.82</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137,364,773.85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35,253,734.89</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0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-33,686,206.03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-33,686,206.03</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-1,784,629.09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-13,246,256.32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-6,690,370.62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-193,771,823.05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-9,515,907.00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-207,018,079.37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-17,990,906.71</w:t>
            </w:r>
          </w:p>
        </w:tc>
      </w:tr>
    </w:tbl>
    <w:p>
      <w:pPr>
        <w:pStyle w:val="BodyText"/>
        <w:spacing w:line="240" w:lineRule="auto" w:before="49"/>
        <w:ind w:right="1033"/>
        <w:jc w:val="left"/>
      </w:pPr>
      <w:r>
        <w:rPr/>
        <w:t>其他说明：</w:t>
      </w:r>
    </w:p>
    <w:p>
      <w:pPr>
        <w:spacing w:line="240" w:lineRule="auto" w:before="2"/>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65,447.13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-12,864.68</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17,001.08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97,840.84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17,001.08</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17,001.08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97,840.84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17,001.08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033"/>
        <w:jc w:val="left"/>
      </w:pPr>
      <w:r>
        <w:rPr/>
        <w:t>计入当期损益的政府补助：</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4"/>
        <w:gridCol w:w="1063"/>
        <w:gridCol w:w="1061"/>
        <w:gridCol w:w="1063"/>
        <w:gridCol w:w="1065"/>
        <w:gridCol w:w="1062"/>
        <w:gridCol w:w="1064"/>
      </w:tblGrid>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6"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185,728.17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122,713.62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185,728.17</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185,728.17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122,713.62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185,728.17</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459,748.82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300,844.59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459,748.82</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928,897.61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38,249.61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928,897.61</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1,574,374.60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461,807.82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1,574,374.60</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22,495,539.20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11,089,196.71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-27,702,690.71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2,118,013.80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-5,207,151.51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13,207,210.51</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237,826,905.37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35,674,035.81</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-46,292,673.47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1,762.74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32,911,774.60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-14,503,687.19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6,659,175.03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-19,657,539.03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-5,207,151.51</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t>详见附注。</w:t>
      </w:r>
    </w:p>
    <w:p>
      <w:pPr>
        <w:spacing w:line="240" w:lineRule="auto" w:before="2"/>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88,130,088.23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75,547,563.52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13,945,770.13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10,750,902.62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25,140,655.49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20,376,444.94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127,216,513.85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106,674,911.08</w:t>
            </w:r>
          </w:p>
        </w:tc>
      </w:tr>
    </w:tbl>
    <w:p>
      <w:pPr>
        <w:pStyle w:val="BodyText"/>
        <w:spacing w:line="240" w:lineRule="auto" w:before="49"/>
        <w:ind w:right="1033"/>
        <w:jc w:val="left"/>
      </w:pPr>
      <w:r>
        <w:rPr/>
        <w:t>收到的其他与经营活动有关的现金说明：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78,641,523.95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12,379,758.69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220,889,834.59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173,597,676.91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299,531,358.54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185,977,435.60</w:t>
            </w:r>
          </w:p>
        </w:tc>
      </w:tr>
    </w:tbl>
    <w:p>
      <w:pPr>
        <w:pStyle w:val="BodyText"/>
        <w:spacing w:line="240" w:lineRule="auto" w:before="49"/>
        <w:ind w:right="1033"/>
        <w:jc w:val="left"/>
      </w:pPr>
      <w:r>
        <w:rPr/>
        <w:t>支付的其他与经营活动有关的现金说明：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910,000,100.00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15,969,033.82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910,000,100.00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1,985,969,033.82</w:t>
            </w:r>
          </w:p>
        </w:tc>
      </w:tr>
    </w:tbl>
    <w:p>
      <w:pPr>
        <w:pStyle w:val="BodyText"/>
        <w:spacing w:line="240" w:lineRule="auto" w:before="49"/>
        <w:ind w:right="1033"/>
        <w:jc w:val="left"/>
      </w:pPr>
      <w:r>
        <w:rPr/>
        <w:t>收到的其他与投资活动有关的现金说明：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2,270,000,100.00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处置子公司现金净额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15,948,967.56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2,285,949,067.56</w:t>
            </w:r>
          </w:p>
        </w:tc>
      </w:tr>
    </w:tbl>
    <w:p>
      <w:pPr>
        <w:pStyle w:val="BodyText"/>
        <w:spacing w:line="240" w:lineRule="auto" w:before="49"/>
        <w:ind w:right="1033"/>
        <w:jc w:val="left"/>
      </w:pPr>
      <w:r>
        <w:rPr/>
        <w:t>支付的其他与投资活动有关的现金说明：</w:t>
      </w:r>
    </w:p>
    <w:p>
      <w:pPr>
        <w:spacing w:line="240" w:lineRule="auto" w:before="2"/>
        <w:rPr>
          <w:rFonts w:ascii="宋体" w:hAnsi="宋体" w:cs="宋体" w:eastAsia="宋体" w:hint="default"/>
          <w:sz w:val="22"/>
          <w:szCs w:val="22"/>
        </w:rPr>
      </w:pPr>
    </w:p>
    <w:p>
      <w:pPr>
        <w:pStyle w:val="Heading5"/>
        <w:spacing w:line="240" w:lineRule="auto"/>
        <w:ind w:right="10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46,426,805.84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86,036,889.75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募集资金存款利息及其他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216,524.57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46,426,805.84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86,253,414.32</w:t>
            </w:r>
          </w:p>
        </w:tc>
      </w:tr>
    </w:tbl>
    <w:p>
      <w:pPr>
        <w:pStyle w:val="BodyText"/>
        <w:spacing w:line="240" w:lineRule="auto" w:before="49"/>
        <w:ind w:right="1033"/>
        <w:jc w:val="left"/>
      </w:pPr>
      <w:r>
        <w:rPr/>
        <w:t>收到的其他与筹资活动有关的现金说明：</w:t>
      </w:r>
    </w:p>
    <w:p>
      <w:pPr>
        <w:spacing w:line="240" w:lineRule="auto" w:before="2"/>
        <w:rPr>
          <w:rFonts w:ascii="宋体" w:hAnsi="宋体" w:cs="宋体" w:eastAsia="宋体" w:hint="default"/>
          <w:sz w:val="22"/>
          <w:szCs w:val="22"/>
        </w:rPr>
      </w:pPr>
    </w:p>
    <w:p>
      <w:pPr>
        <w:pStyle w:val="Heading5"/>
        <w:spacing w:line="240" w:lineRule="auto"/>
        <w:ind w:right="10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10,598,476.94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债券融资支出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回购库存股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45,778,887.76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8,110,359.28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发行费用及其他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2,659,157.56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48,663,045.32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23,758,836.22</w:t>
            </w:r>
          </w:p>
        </w:tc>
      </w:tr>
    </w:tbl>
    <w:p>
      <w:pPr>
        <w:pStyle w:val="BodyText"/>
        <w:spacing w:line="240" w:lineRule="auto" w:before="49"/>
        <w:ind w:right="1033"/>
        <w:jc w:val="left"/>
      </w:pPr>
      <w:r>
        <w:rPr/>
        <w:t>支付的其他与筹资活动有关的现金说明：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243,034,056.88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248,006,449.61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240,704,285.40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17,990,906.71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330.949982pt;width:151.25pt;height:20.65pt;mso-position-horizontal-relative:page;mso-position-vertical-relative:page;z-index:-1257688" coordorigin="4467,6619" coordsize="3025,413">
            <v:group style="position:absolute;left:4478;top:6630;width:2;height:392" coordorigin="4478,6630" coordsize="2,392">
              <v:shape style="position:absolute;left:4478;top:6630;width:2;height:392" coordorigin="4478,6630" coordsize="0,392" path="m4478,6630l4478,7021e" filled="false" stroked="true" strokeweight="1.08pt" strokecolor="#ffffff">
                <v:path arrowok="t"/>
              </v:shape>
            </v:group>
            <v:group style="position:absolute;left:4489;top:6630;width:3003;height:392" coordorigin="4489,6630" coordsize="3003,392">
              <v:shape style="position:absolute;left:4489;top:6630;width:3003;height:392" coordorigin="4489,6630" coordsize="3003,392" path="m4489,7021l7492,7021,7492,6630,4489,6630,4489,7021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4"/>
        <w:gridCol w:w="1039"/>
        <w:gridCol w:w="2029"/>
        <w:gridCol w:w="3186"/>
      </w:tblGrid>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27,397,680.81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18,965,806.88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16,761,577.97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16,605,185.00</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7,153,403.12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5,450,974.02</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-65,447.13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12,864.68</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0" w:firstLine="72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185,728.17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122,713.62</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1"/>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1998" w:right="0"/>
              <w:jc w:val="left"/>
              <w:rPr>
                <w:rFonts w:ascii="Times New Roman" w:hAnsi="Times New Roman" w:cs="Times New Roman" w:eastAsia="Times New Roman" w:hint="default"/>
                <w:sz w:val="18"/>
                <w:szCs w:val="18"/>
              </w:rPr>
            </w:pPr>
            <w:r>
              <w:rPr>
                <w:rFonts w:ascii="Times New Roman"/>
                <w:sz w:val="18"/>
              </w:rPr>
              <w:t>33,901,863.11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71,701,511.95</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1"/>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-137,364,773.85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-35,253,734.89</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-25,757,142.30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4,241,216.15</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-1,945,548.41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-2,123,202.35</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3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66" w:right="0"/>
              <w:jc w:val="left"/>
              <w:rPr>
                <w:rFonts w:ascii="Times New Roman" w:hAnsi="Times New Roman" w:cs="Times New Roman" w:eastAsia="Times New Roman" w:hint="default"/>
                <w:sz w:val="18"/>
                <w:szCs w:val="18"/>
              </w:rPr>
            </w:pPr>
            <w:r>
              <w:rPr>
                <w:rFonts w:ascii="Times New Roman"/>
                <w:sz w:val="18"/>
              </w:rPr>
              <w:t>98,386,468.04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5,952,578.35</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-308,919,217.20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89,030,710.91</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13,489,572.08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-142,022,744.57</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6,904,108.34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-13,380,591.70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213,866,615.03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285,300,644.37</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4"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4"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986,081,260.87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1,248,079,952.48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768" w:right="0"/>
              <w:jc w:val="left"/>
              <w:rPr>
                <w:rFonts w:ascii="Times New Roman" w:hAnsi="Times New Roman" w:cs="Times New Roman" w:eastAsia="Times New Roman" w:hint="default"/>
                <w:sz w:val="18"/>
                <w:szCs w:val="18"/>
              </w:rPr>
            </w:pPr>
            <w:r>
              <w:rPr>
                <w:rFonts w:ascii="Times New Roman"/>
                <w:sz w:val="18"/>
              </w:rPr>
              <w:t>1,248,079,952.48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1,069,614,862.84</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-261,998,691.61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178,465,089.64</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0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291,933,568.00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247,773,568.00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深圳市新国都金服技术有限公司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44,160,000.00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82,089,048.19</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70,208,488.73</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深圳市新国都金服技术有限公司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11,880,559.46</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209,844,519.81</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986,081,260.87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1,248,079,952.48</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20,523.49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646,929.87</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985,717,573.85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1,216,285,900.88</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343,163.53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31,147,121.73</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986,081,260.87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1,248,079,952.48</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spacing w:line="482" w:lineRule="auto" w:before="0"/>
        <w:ind w:left="153" w:right="53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80</w:t>
      </w:r>
      <w:r>
        <w:rPr>
          <w:rFonts w:ascii="Microsoft JhengHei" w:hAnsi="Microsoft JhengHei" w:cs="Microsoft JhengHei" w:eastAsia="Microsoft JhengHei" w:hint="default"/>
          <w:b/>
          <w:bCs/>
          <w:sz w:val="21"/>
          <w:szCs w:val="21"/>
        </w:rPr>
        <w:t>、所有者权益变动表项目注释</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81</w:t>
      </w:r>
      <w:r>
        <w:rPr>
          <w:rFonts w:ascii="Microsoft JhengHei" w:hAnsi="Microsoft JhengHei" w:cs="Microsoft JhengHei" w:eastAsia="Microsoft JhengHei" w:hint="default"/>
          <w:b/>
          <w:bCs/>
          <w:sz w:val="21"/>
          <w:szCs w:val="21"/>
        </w:rPr>
        <w:t>、所有权或使用权受到限制的资产</w:t>
      </w:r>
      <w:r>
        <w:rPr>
          <w:rFonts w:ascii="Microsoft JhengHei" w:hAnsi="Microsoft JhengHei" w:cs="Microsoft JhengHei" w:eastAsia="Microsoft JhengHei" w:hint="default"/>
          <w:sz w:val="21"/>
          <w:szCs w:val="21"/>
        </w:rPr>
      </w:r>
    </w:p>
    <w:p>
      <w:pPr>
        <w:pStyle w:val="BodyText"/>
        <w:spacing w:line="240" w:lineRule="auto" w:before="5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195,302,834.40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受限资金</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195,302,834.40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0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4,202,667.21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29,318,646.99</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3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986,385.79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7,709,098.14</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3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1,823,531.11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1,633,482.70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雷亚尔</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425,999.56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1.73559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739,360.58</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葡币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50,777.71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0.86931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44,141.57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4,597,569.21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32,073,562.32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3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3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42,704.86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297,917.64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3"/>
              <w:jc w:val="righ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3"/>
              <w:jc w:val="righ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2,391.73</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3"/>
              <w:jc w:val="right"/>
              <w:rPr>
                <w:rFonts w:ascii="宋体" w:hAnsi="宋体" w:cs="宋体" w:eastAsia="宋体" w:hint="default"/>
                <w:sz w:val="18"/>
                <w:szCs w:val="18"/>
              </w:rPr>
            </w:pPr>
            <w:r>
              <w:rPr>
                <w:rFonts w:ascii="宋体" w:hAnsi="宋体" w:cs="宋体" w:eastAsia="宋体" w:hint="default"/>
                <w:sz w:val="18"/>
                <w:szCs w:val="18"/>
              </w:rPr>
              <w:t>葡币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72,220.00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0.86931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62,781.57</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2" w:right="0"/>
              <w:jc w:val="left"/>
              <w:rPr>
                <w:rFonts w:ascii="宋体" w:hAnsi="宋体" w:cs="宋体" w:eastAsia="宋体" w:hint="default"/>
                <w:sz w:val="18"/>
                <w:szCs w:val="18"/>
              </w:rPr>
            </w:pPr>
            <w:r>
              <w:rPr>
                <w:rFonts w:ascii="宋体" w:hAnsi="宋体" w:cs="宋体" w:eastAsia="宋体" w:hint="default"/>
                <w:sz w:val="18"/>
                <w:szCs w:val="18"/>
              </w:rPr>
              <w:t>其中：葡币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3"/>
              <w:jc w:val="righ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239,156.00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1,668,400.09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葡币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12,950.00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0.86931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11,257.56</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135,343.00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944,179.84</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0"/>
              <w:jc w:val="righ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7,815.50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0"/>
              <w:jc w:val="right"/>
              <w:rPr>
                <w:rFonts w:ascii="宋体" w:hAnsi="宋体" w:cs="宋体" w:eastAsia="宋体" w:hint="default"/>
                <w:sz w:val="18"/>
                <w:szCs w:val="18"/>
              </w:rPr>
            </w:pPr>
            <w:r>
              <w:rPr>
                <w:rFonts w:ascii="宋体" w:hAnsi="宋体" w:cs="宋体" w:eastAsia="宋体" w:hint="default"/>
                <w:sz w:val="18"/>
                <w:szCs w:val="18"/>
              </w:rPr>
              <w:t>葡币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2,617,110.37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0.86931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2,275,080.22</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92"/>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4"/>
              <w:jc w:val="righ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94"/>
              <w:jc w:val="righ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1033"/>
        <w:jc w:val="left"/>
      </w:pPr>
      <w:r>
        <w:rPr/>
        <w:t>其他说明：</w:t>
      </w:r>
    </w:p>
    <w:p>
      <w:pPr>
        <w:spacing w:line="240" w:lineRule="auto" w:before="10"/>
        <w:rPr>
          <w:rFonts w:ascii="宋体" w:hAnsi="宋体" w:cs="宋体" w:eastAsia="宋体" w:hint="default"/>
          <w:sz w:val="26"/>
          <w:szCs w:val="26"/>
        </w:rPr>
      </w:pPr>
    </w:p>
    <w:p>
      <w:pPr>
        <w:pStyle w:val="Heading5"/>
        <w:spacing w:line="314" w:lineRule="exact"/>
        <w:ind w:right="10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6"/>
        </w:rPr>
        <w:t> </w:t>
      </w:r>
      <w:r>
        <w:rPr>
          <w:spacing w:val="26"/>
        </w:rPr>
      </w:r>
      <w:r>
        <w:rPr/>
        <w:t>依据，记账本位币发生变化的还应披露原因。</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5"/>
        <w:spacing w:line="240" w:lineRule="auto"/>
        <w:ind w:right="1033"/>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t>按照套期类别披露套期项目及相关套期工具、被套期风险的定性和定量信息：</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4"/>
        <w:gridCol w:w="2392"/>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2"/>
        <w:rPr>
          <w:rFonts w:ascii="宋体" w:hAnsi="宋体" w:cs="宋体" w:eastAsia="宋体" w:hint="default"/>
          <w:sz w:val="16"/>
          <w:szCs w:val="16"/>
        </w:rPr>
      </w:pPr>
    </w:p>
    <w:p>
      <w:pPr>
        <w:spacing w:line="376" w:lineRule="auto" w:before="0"/>
        <w:ind w:left="153" w:right="833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八、合并范围的变更</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、非同一控制下企业合并</w:t>
      </w:r>
      <w:r>
        <w:rPr>
          <w:rFonts w:ascii="Microsoft JhengHei" w:hAnsi="Microsoft JhengHei" w:cs="Microsoft JhengHei" w:eastAsia="Microsoft JhengHei" w:hint="default"/>
          <w:sz w:val="21"/>
          <w:szCs w:val="21"/>
        </w:rPr>
      </w:r>
    </w:p>
    <w:p>
      <w:pPr>
        <w:pStyle w:val="Heading5"/>
        <w:spacing w:line="240" w:lineRule="auto" w:before="87"/>
        <w:ind w:right="10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3"/>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7"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7" w:right="74" w:hanging="181"/>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9"/>
        <w:ind w:right="10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6073"/>
        <w:jc w:val="left"/>
      </w:pPr>
      <w:r>
        <w:rPr/>
        <w:t>合并成本公允价值的确定方法、或有对价及其变动的说明： 大额商誉形成的主要原因：</w:t>
      </w:r>
    </w:p>
    <w:p>
      <w:pPr>
        <w:pStyle w:val="BodyText"/>
        <w:spacing w:line="240" w:lineRule="auto" w:before="29"/>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7531"/>
        <w:jc w:val="both"/>
      </w:pPr>
      <w:r>
        <w:rPr/>
        <w:t>可辨认资产、负债公允价值的确定方法： 企业合并中承担的被购买方的或有负债： 其他说明：</w:t>
      </w:r>
    </w:p>
    <w:p>
      <w:pPr>
        <w:spacing w:line="240" w:lineRule="auto" w:before="5"/>
        <w:rPr>
          <w:rFonts w:ascii="宋体" w:hAnsi="宋体" w:cs="宋体" w:eastAsia="宋体" w:hint="default"/>
          <w:sz w:val="15"/>
          <w:szCs w:val="15"/>
        </w:rPr>
      </w:pPr>
    </w:p>
    <w:p>
      <w:pPr>
        <w:pStyle w:val="Heading5"/>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5"/>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6"/>
        <w:gridCol w:w="1064"/>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7"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1"/>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1033"/>
        <w:jc w:val="left"/>
      </w:pPr>
      <w:r>
        <w:rPr/>
        <w:t>或有对价及其变动的说明：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181;top:14;width:2;height:394" coordorigin="3181,14" coordsize="2,394">
              <v:shape style="position:absolute;left:3181;top:14;width:2;height:394" coordorigin="3181,14" coordsize="0,394" path="m3181,14l3181,408e" filled="false" stroked="true" strokeweight="1.2pt" strokecolor="#d2d2d2">
                <v:path arrowok="t"/>
              </v:shape>
            </v:group>
            <v:group style="position:absolute;left:34;top:14;width:3135;height:394" coordorigin="34,14" coordsize="3135,394">
              <v:shape style="position:absolute;left:34;top:14;width:3135;height:394" coordorigin="34,14" coordsize="3135,394" path="m34,408l3168,408,3168,14,34,14,34,408xe" filled="true" fillcolor="#d2d2d2" stroked="false">
                <v:path arrowok="t"/>
                <v:fill type="solid"/>
              </v:shape>
            </v:group>
            <v:group style="position:absolute;left:3213;top:14;width:2;height:394" coordorigin="3213,14" coordsize="2,394">
              <v:shape style="position:absolute;left:3213;top:14;width:2;height:394" coordorigin="3213,14" coordsize="0,394" path="m3213,14l3213,408e" filled="false" stroked="true" strokeweight="1.08pt" strokecolor="#d2d2d2">
                <v:path arrowok="t"/>
              </v:shape>
            </v:group>
            <v:group style="position:absolute;left:9561;top:14;width:2;height:394" coordorigin="9561,14" coordsize="2,394">
              <v:shape style="position:absolute;left:9561;top:14;width:2;height:394" coordorigin="9561,14" coordsize="0,394" path="m9561,14l9561,408e" filled="false" stroked="true" strokeweight="1.2pt" strokecolor="#d2d2d2">
                <v:path arrowok="t"/>
              </v:shape>
            </v:group>
            <v:group style="position:absolute;left:3224;top:14;width:6326;height:394" coordorigin="3224,14" coordsize="6326,394">
              <v:shape style="position:absolute;left:3224;top:14;width:6326;height:394" coordorigin="3224,14" coordsize="6326,394" path="m3224,408l9549,408,9549,14,3224,14,3224,408xe" filled="true" fillcolor="#d2d2d2"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4;height:2" coordorigin="3200,10" coordsize="6374,2">
              <v:shape style="position:absolute;left:3200;top:10;width:6374;height:2" coordorigin="3200,10" coordsize="6374,0" path="m3200,10l9573,10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3181;top:418;width:2;height:392" coordorigin="3181,418" coordsize="2,392">
              <v:shape style="position:absolute;left:3181;top:418;width:2;height:392" coordorigin="3181,418" coordsize="0,392" path="m3181,418l3181,809e" filled="false" stroked="true" strokeweight="1.2pt" strokecolor="#d2d2d2">
                <v:path arrowok="t"/>
              </v:shape>
            </v:group>
            <v:group style="position:absolute;left:34;top:418;width:3135;height:392" coordorigin="34,418" coordsize="3135,392">
              <v:shape style="position:absolute;left:34;top:418;width:3135;height:392" coordorigin="34,418" coordsize="3135,392" path="m34,809l3168,809,3168,418,34,418,34,809xe" filled="true" fillcolor="#d2d2d2" stroked="false">
                <v:path arrowok="t"/>
                <v:fill type="solid"/>
              </v:shape>
            </v:group>
            <v:group style="position:absolute;left:3213;top:418;width:2;height:392" coordorigin="3213,418" coordsize="2,392">
              <v:shape style="position:absolute;left:3213;top:418;width:2;height:392" coordorigin="3213,418" coordsize="0,392" path="m3213,418l3213,809e" filled="false" stroked="true" strokeweight="1.08pt" strokecolor="#d2d2d2">
                <v:path arrowok="t"/>
              </v:shape>
            </v:group>
            <v:group style="position:absolute;left:6371;top:418;width:2;height:392" coordorigin="6371,418" coordsize="2,392">
              <v:shape style="position:absolute;left:6371;top:418;width:2;height:392" coordorigin="6371,418" coordsize="0,392" path="m6371,418l6371,809e" filled="false" stroked="true" strokeweight="1.2pt" strokecolor="#d2d2d2">
                <v:path arrowok="t"/>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6403;top:418;width:2;height:392" coordorigin="6403,418" coordsize="2,392">
              <v:shape style="position:absolute;left:6403;top:418;width:2;height:392" coordorigin="6403,418" coordsize="0,392" path="m6403,418l6403,809e" filled="false" stroked="true" strokeweight="1.08pt" strokecolor="#d2d2d2">
                <v:path arrowok="t"/>
              </v:shape>
            </v:group>
            <v:group style="position:absolute;left:9561;top:418;width:2;height:392" coordorigin="9561,418" coordsize="2,392">
              <v:shape style="position:absolute;left:9561;top:418;width:2;height:392" coordorigin="9561,418" coordsize="0,392" path="m9561,418l9561,809e" filled="false" stroked="true" strokeweight="1.2pt" strokecolor="#d2d2d2">
                <v:path arrowok="t"/>
              </v:shape>
            </v:group>
            <v:group style="position:absolute;left:6414;top:418;width:3136;height:392" coordorigin="6414,418" coordsize="3136,392">
              <v:shape style="position:absolute;left:6414;top:418;width:3136;height:392" coordorigin="6414,418" coordsize="3136,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0,413e" filled="false" stroked="true" strokeweight=".48pt" strokecolor="#000000">
                <v:path arrowok="t"/>
              </v:shape>
            </v:group>
            <v:group style="position:absolute;left:3200;top:413;width:3181;height:2" coordorigin="3200,413" coordsize="3181,2">
              <v:shape style="position:absolute;left:3200;top:413;width:3181;height:2" coordorigin="3200,413" coordsize="3181,0" path="m3200,413l6380,413e" filled="false" stroked="true" strokeweight=".48pt" strokecolor="#000000">
                <v:path arrowok="t"/>
              </v:shape>
            </v:group>
            <v:group style="position:absolute;left:6390;top:413;width:3184;height:2" coordorigin="6390,413" coordsize="3184,2">
              <v:shape style="position:absolute;left:6390;top:413;width:3184;height:2" coordorigin="6390,413" coordsize="3184,0" path="m6390,413l9573,413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001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0,814e" filled="false" stroked="true" strokeweight=".48001pt" strokecolor="#000000">
                <v:path arrowok="t"/>
              </v:shape>
            </v:group>
            <v:group style="position:absolute;left:6385;top:408;width:2;height:411" coordorigin="6385,408" coordsize="2,411">
              <v:shape style="position:absolute;left:6385;top:408;width:2;height:411" coordorigin="6385,408" coordsize="0,411" path="m6385,408l6385,818e" filled="false" stroked="true" strokeweight=".48001pt" strokecolor="#000000">
                <v:path arrowok="t"/>
              </v:shape>
            </v:group>
            <v:group style="position:absolute;left:6390;top:814;width:3184;height:2" coordorigin="6390,814" coordsize="3184,2">
              <v:shape style="position:absolute;left:6390;top:814;width:3184;height:2" coordorigin="6390,814" coordsize="3184,0" path="m6390,814l9573,814e" filled="false" stroked="true" strokeweight=".48001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3;width:3190;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4"/>
        <w:ind w:right="7513"/>
        <w:jc w:val="left"/>
      </w:pPr>
      <w:r>
        <w:rPr/>
        <w:t>企业合并中承担的被合并方的或有负债： 其他说明：</w:t>
      </w:r>
    </w:p>
    <w:p>
      <w:pPr>
        <w:spacing w:line="240" w:lineRule="auto" w:before="1"/>
        <w:rPr>
          <w:rFonts w:ascii="宋体" w:hAnsi="宋体" w:cs="宋体" w:eastAsia="宋体" w:hint="default"/>
          <w:sz w:val="15"/>
          <w:szCs w:val="15"/>
        </w:rPr>
      </w:pPr>
    </w:p>
    <w:p>
      <w:pPr>
        <w:pStyle w:val="Heading5"/>
        <w:spacing w:line="240" w:lineRule="auto"/>
        <w:ind w:right="103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033"/>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9"/>
        <w:rPr>
          <w:rFonts w:ascii="宋体" w:hAnsi="宋体" w:cs="宋体" w:eastAsia="宋体" w:hint="default"/>
          <w:sz w:val="17"/>
          <w:szCs w:val="17"/>
        </w:rPr>
      </w:pPr>
    </w:p>
    <w:p>
      <w:pPr>
        <w:pStyle w:val="Heading5"/>
        <w:spacing w:line="240" w:lineRule="auto"/>
        <w:ind w:right="10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4" w:space="453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4"/>
        <w:gridCol w:w="737"/>
        <w:gridCol w:w="735"/>
        <w:gridCol w:w="734"/>
        <w:gridCol w:w="734"/>
        <w:gridCol w:w="737"/>
        <w:gridCol w:w="737"/>
        <w:gridCol w:w="737"/>
        <w:gridCol w:w="735"/>
        <w:gridCol w:w="737"/>
      </w:tblGrid>
      <w:tr>
        <w:trPr>
          <w:trHeight w:val="383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92"/>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93" w:right="92"/>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321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4" w:right="161"/>
              <w:jc w:val="both"/>
              <w:rPr>
                <w:rFonts w:ascii="宋体" w:hAnsi="宋体" w:cs="宋体" w:eastAsia="宋体" w:hint="default"/>
                <w:sz w:val="18"/>
                <w:szCs w:val="18"/>
              </w:rPr>
            </w:pPr>
            <w:r>
              <w:rPr>
                <w:rFonts w:ascii="宋体" w:hAnsi="宋体" w:cs="宋体" w:eastAsia="宋体" w:hint="default"/>
                <w:sz w:val="18"/>
                <w:szCs w:val="18"/>
              </w:rPr>
              <w:t>深圳市 新国都 金服技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1" w:right="0"/>
              <w:jc w:val="left"/>
              <w:rPr>
                <w:rFonts w:ascii="Times New Roman" w:hAnsi="Times New Roman" w:cs="Times New Roman" w:eastAsia="Times New Roman" w:hint="default"/>
                <w:sz w:val="18"/>
                <w:szCs w:val="18"/>
              </w:rPr>
            </w:pPr>
            <w:r>
              <w:rPr>
                <w:rFonts w:ascii="Times New Roman"/>
                <w:sz w:val="18"/>
              </w:rPr>
              <w:t>57,600,0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72.00%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收到</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及</w:t>
            </w:r>
          </w:p>
          <w:p>
            <w:pPr>
              <w:pStyle w:val="TableParagraph"/>
              <w:spacing w:line="319"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以上股 </w:t>
            </w:r>
            <w:r>
              <w:rPr>
                <w:rFonts w:ascii="宋体" w:hAnsi="宋体" w:cs="宋体" w:eastAsia="宋体" w:hint="default"/>
                <w:spacing w:val="-11"/>
                <w:sz w:val="18"/>
                <w:szCs w:val="18"/>
              </w:rPr>
              <w:t>权款、办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理完成 工商变 更手续。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2" w:right="0"/>
              <w:jc w:val="left"/>
              <w:rPr>
                <w:rFonts w:ascii="Times New Roman" w:hAnsi="Times New Roman" w:cs="Times New Roman" w:eastAsia="Times New Roman" w:hint="default"/>
                <w:sz w:val="18"/>
                <w:szCs w:val="18"/>
              </w:rPr>
            </w:pPr>
            <w:r>
              <w:rPr>
                <w:rFonts w:ascii="Times New Roman"/>
                <w:sz w:val="18"/>
              </w:rPr>
              <w:t>33,190,3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4" w:right="0"/>
              <w:jc w:val="left"/>
              <w:rPr>
                <w:rFonts w:ascii="Times New Roman" w:hAnsi="Times New Roman" w:cs="Times New Roman" w:eastAsia="Times New Roman" w:hint="default"/>
                <w:sz w:val="18"/>
                <w:szCs w:val="18"/>
              </w:rPr>
            </w:pPr>
            <w:r>
              <w:rPr>
                <w:rFonts w:ascii="Times New Roman"/>
                <w:sz w:val="18"/>
              </w:rPr>
              <w:t>9,492,63</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1.25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1" w:right="0"/>
              <w:jc w:val="left"/>
              <w:rPr>
                <w:rFonts w:ascii="Times New Roman" w:hAnsi="Times New Roman" w:cs="Times New Roman" w:eastAsia="Times New Roman" w:hint="default"/>
                <w:sz w:val="18"/>
                <w:szCs w:val="18"/>
              </w:rPr>
            </w:pPr>
            <w:r>
              <w:rPr>
                <w:rFonts w:ascii="Times New Roman"/>
                <w:sz w:val="18"/>
              </w:rPr>
              <w:t>21,336,4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9" w:right="0"/>
              <w:jc w:val="left"/>
              <w:rPr>
                <w:rFonts w:ascii="Times New Roman" w:hAnsi="Times New Roman" w:cs="Times New Roman" w:eastAsia="Times New Roman" w:hint="default"/>
                <w:sz w:val="18"/>
                <w:szCs w:val="18"/>
              </w:rPr>
            </w:pPr>
            <w:r>
              <w:rPr>
                <w:rFonts w:ascii="Times New Roman"/>
                <w:sz w:val="18"/>
              </w:rPr>
              <w:t>11,843,8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09.31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以具有 证券从 业资格 的评估 机构出 具的评 估报告 确定的 评估值 为基础。</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4"/>
        <w:gridCol w:w="737"/>
        <w:gridCol w:w="735"/>
        <w:gridCol w:w="734"/>
        <w:gridCol w:w="734"/>
        <w:gridCol w:w="737"/>
        <w:gridCol w:w="737"/>
        <w:gridCol w:w="737"/>
        <w:gridCol w:w="735"/>
        <w:gridCol w:w="737"/>
      </w:tblGrid>
      <w:tr>
        <w:trPr>
          <w:trHeight w:val="227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61"/>
              <w:jc w:val="both"/>
              <w:rPr>
                <w:rFonts w:ascii="宋体" w:hAnsi="宋体" w:cs="宋体" w:eastAsia="宋体" w:hint="default"/>
                <w:sz w:val="18"/>
                <w:szCs w:val="18"/>
              </w:rPr>
            </w:pPr>
            <w:r>
              <w:rPr>
                <w:rFonts w:ascii="宋体" w:hAnsi="宋体" w:cs="宋体" w:eastAsia="宋体" w:hint="default"/>
                <w:sz w:val="18"/>
                <w:szCs w:val="18"/>
              </w:rPr>
              <w:t>苏州新 国都电 子技术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495,547,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96.32%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及</w:t>
            </w:r>
          </w:p>
          <w:p>
            <w:pPr>
              <w:pStyle w:val="TableParagraph"/>
              <w:spacing w:line="316"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以上股 </w:t>
            </w:r>
            <w:r>
              <w:rPr>
                <w:rFonts w:ascii="宋体" w:hAnsi="宋体" w:cs="宋体" w:eastAsia="宋体" w:hint="default"/>
                <w:spacing w:val="-11"/>
                <w:sz w:val="18"/>
                <w:szCs w:val="18"/>
              </w:rPr>
              <w:t>权款、办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理完成 工商变 更手续。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89,128,9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both"/>
      </w:pPr>
      <w:r>
        <w:rPr/>
        <w:t>其他说明：</w:t>
      </w:r>
    </w:p>
    <w:p>
      <w:pPr>
        <w:pStyle w:val="Heading6"/>
        <w:spacing w:line="266" w:lineRule="auto" w:before="94"/>
        <w:ind w:right="1126" w:firstLine="42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30</w:t>
      </w:r>
      <w:r>
        <w:rPr>
          <w:spacing w:val="-2"/>
        </w:rPr>
        <w:t>日，本公司与江汉、宁波梅山保税港区雄腾煜富投资中心（有限合伙）、深圳市信链</w:t>
      </w:r>
      <w:r>
        <w:rPr>
          <w:w w:val="100"/>
        </w:rPr>
        <w:t> </w:t>
      </w:r>
      <w:r>
        <w:rPr>
          <w:spacing w:val="-2"/>
        </w:rPr>
        <w:t>投资咨询合伙企业（有限合伙）签订《关于深圳市新国都金服技术有限公司之股权转让协议》，本公司以</w:t>
      </w:r>
      <w:r>
        <w:rPr>
          <w:spacing w:val="-43"/>
        </w:rPr>
        <w:t> </w:t>
      </w:r>
      <w:r>
        <w:rPr>
          <w:spacing w:val="-43"/>
        </w:rPr>
      </w:r>
      <w:r>
        <w:rPr>
          <w:spacing w:val="-1"/>
        </w:rPr>
        <w:t>人民币</w:t>
      </w:r>
      <w:r>
        <w:rPr>
          <w:rFonts w:ascii="Times New Roman" w:hAnsi="Times New Roman" w:cs="Times New Roman" w:eastAsia="Times New Roman" w:hint="default"/>
          <w:spacing w:val="-1"/>
        </w:rPr>
        <w:t>2,480.00</w:t>
      </w:r>
      <w:r>
        <w:rPr>
          <w:spacing w:val="-1"/>
        </w:rPr>
        <w:t>万元向江汉转让</w:t>
      </w:r>
      <w:r>
        <w:rPr>
          <w:rFonts w:ascii="Times New Roman" w:hAnsi="Times New Roman" w:cs="Times New Roman" w:eastAsia="Times New Roman" w:hint="default"/>
          <w:spacing w:val="-1"/>
        </w:rPr>
        <w:t>31%</w:t>
      </w:r>
      <w:r>
        <w:rPr>
          <w:spacing w:val="-1"/>
        </w:rPr>
        <w:t>的股权、以人民币</w:t>
      </w:r>
      <w:r>
        <w:rPr>
          <w:rFonts w:ascii="Times New Roman" w:hAnsi="Times New Roman" w:cs="Times New Roman" w:eastAsia="Times New Roman" w:hint="default"/>
          <w:spacing w:val="-1"/>
        </w:rPr>
        <w:t>1,600.00</w:t>
      </w:r>
      <w:r>
        <w:rPr>
          <w:spacing w:val="-1"/>
        </w:rPr>
        <w:t>万元向宁波梅山保税港区雄腾煜富投资中心</w:t>
      </w:r>
    </w:p>
    <w:p>
      <w:pPr>
        <w:pStyle w:val="Heading6"/>
        <w:spacing w:line="256" w:lineRule="auto" w:before="0"/>
        <w:ind w:right="1128"/>
        <w:jc w:val="both"/>
      </w:pPr>
      <w:r>
        <w:rPr>
          <w:spacing w:val="-7"/>
        </w:rPr>
        <w:t>（有限合伙）转让</w:t>
      </w:r>
      <w:r>
        <w:rPr>
          <w:rFonts w:ascii="Times New Roman" w:hAnsi="Times New Roman" w:cs="Times New Roman" w:eastAsia="Times New Roman" w:hint="default"/>
          <w:spacing w:val="-7"/>
        </w:rPr>
        <w:t>20%</w:t>
      </w:r>
      <w:r>
        <w:rPr>
          <w:spacing w:val="-7"/>
        </w:rPr>
        <w:t>的股权、以人民币</w:t>
      </w:r>
      <w:r>
        <w:rPr>
          <w:rFonts w:ascii="Times New Roman" w:hAnsi="Times New Roman" w:cs="Times New Roman" w:eastAsia="Times New Roman" w:hint="default"/>
          <w:spacing w:val="-7"/>
        </w:rPr>
        <w:t>1,680.00</w:t>
      </w:r>
      <w:r>
        <w:rPr>
          <w:spacing w:val="-7"/>
        </w:rPr>
        <w:t>万元向深圳市信链投资咨询合伙企业（有限合伙）转让</w:t>
      </w:r>
      <w:r>
        <w:rPr>
          <w:rFonts w:ascii="Times New Roman" w:hAnsi="Times New Roman" w:cs="Times New Roman" w:eastAsia="Times New Roman" w:hint="default"/>
          <w:spacing w:val="-7"/>
        </w:rPr>
        <w:t>21%</w:t>
      </w:r>
      <w:r>
        <w:rPr>
          <w:rFonts w:ascii="Times New Roman" w:hAnsi="Times New Roman" w:cs="Times New Roman" w:eastAsia="Times New Roman" w:hint="default"/>
          <w:spacing w:val="-2"/>
        </w:rPr>
        <w:t> </w:t>
      </w:r>
      <w:r>
        <w:rPr>
          <w:spacing w:val="-1"/>
        </w:rPr>
        <w:t>的股权，本次转让后本公司仍持有深圳市新国都金服技术有限公司</w:t>
      </w:r>
      <w:r>
        <w:rPr>
          <w:rFonts w:ascii="Times New Roman" w:hAnsi="Times New Roman" w:cs="Times New Roman" w:eastAsia="Times New Roman" w:hint="default"/>
          <w:spacing w:val="-1"/>
        </w:rPr>
        <w:t>28%</w:t>
      </w:r>
      <w:r>
        <w:rPr>
          <w:spacing w:val="-1"/>
        </w:rPr>
        <w:t>的股权。截止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w:t>
      </w:r>
      <w:r>
        <w:rPr>
          <w:spacing w:val="-46"/>
        </w:rPr>
        <w:t> </w:t>
      </w:r>
      <w:r>
        <w:rPr>
          <w:spacing w:val="-46"/>
        </w:rPr>
      </w:r>
      <w:r>
        <w:rPr/>
        <w:t>司收到股权转让款</w:t>
      </w:r>
      <w:r>
        <w:rPr>
          <w:rFonts w:ascii="Times New Roman" w:hAnsi="Times New Roman" w:cs="Times New Roman" w:eastAsia="Times New Roman" w:hint="default"/>
        </w:rPr>
        <w:t>4,416.00</w:t>
      </w:r>
      <w:r>
        <w:rPr/>
        <w:t>万元。</w:t>
      </w:r>
    </w:p>
    <w:p>
      <w:pPr>
        <w:pStyle w:val="Heading6"/>
        <w:spacing w:line="256" w:lineRule="auto" w:before="5"/>
        <w:ind w:right="1128"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日，本公司与昆山银桥控股集团有限公司、苏州君宝投资有限公司签订《股权转让</w:t>
      </w:r>
      <w:r>
        <w:rPr>
          <w:w w:val="100"/>
        </w:rPr>
        <w:t> </w:t>
      </w:r>
      <w:r>
        <w:rPr>
          <w:spacing w:val="-2"/>
        </w:rPr>
        <w:t>合同》，本公司以人民币</w:t>
      </w:r>
      <w:r>
        <w:rPr>
          <w:rFonts w:ascii="Times New Roman" w:hAnsi="Times New Roman" w:cs="Times New Roman" w:eastAsia="Times New Roman" w:hint="default"/>
          <w:spacing w:val="-2"/>
        </w:rPr>
        <w:t>49,554.71</w:t>
      </w:r>
      <w:r>
        <w:rPr>
          <w:spacing w:val="-2"/>
        </w:rPr>
        <w:t>万元的交易对价向昆山银桥控股集团有限公司转让控股子公司苏州新国</w:t>
      </w:r>
      <w:r>
        <w:rPr>
          <w:spacing w:val="-37"/>
        </w:rPr>
        <w:t> </w:t>
      </w:r>
      <w:r>
        <w:rPr>
          <w:spacing w:val="-37"/>
        </w:rPr>
      </w:r>
      <w:r>
        <w:rPr/>
        <w:t>都电子技术有限公司</w:t>
      </w:r>
      <w:r>
        <w:rPr>
          <w:rFonts w:ascii="Times New Roman" w:hAnsi="Times New Roman" w:cs="Times New Roman" w:eastAsia="Times New Roman" w:hint="default"/>
        </w:rPr>
        <w:t>96.32%</w:t>
      </w:r>
      <w:r>
        <w:rPr/>
        <w:t>的股权、苏州君宝投资有限公司以人民币</w:t>
      </w:r>
      <w:r>
        <w:rPr>
          <w:rFonts w:ascii="Times New Roman" w:hAnsi="Times New Roman" w:cs="Times New Roman" w:eastAsia="Times New Roman" w:hint="default"/>
        </w:rPr>
        <w:t>1,893.29</w:t>
      </w:r>
      <w:r>
        <w:rPr/>
        <w:t>万元的交易对价向昆山银桥</w:t>
      </w:r>
      <w:r>
        <w:rPr>
          <w:spacing w:val="-43"/>
        </w:rPr>
        <w:t> </w:t>
      </w:r>
      <w:r>
        <w:rPr>
          <w:spacing w:val="-43"/>
        </w:rPr>
      </w:r>
      <w:r>
        <w:rPr/>
        <w:t>控股集团有限公司转让苏州新国都电子技术有限公司</w:t>
      </w:r>
      <w:r>
        <w:rPr>
          <w:rFonts w:ascii="Times New Roman" w:hAnsi="Times New Roman" w:cs="Times New Roman" w:eastAsia="Times New Roman" w:hint="default"/>
        </w:rPr>
        <w:t>3.68%</w:t>
      </w:r>
      <w:r>
        <w:rPr/>
        <w:t>股权。截止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日本公司收到股权转</w:t>
      </w:r>
      <w:r>
        <w:rPr>
          <w:spacing w:val="-41"/>
        </w:rPr>
        <w:t> </w:t>
      </w:r>
      <w:r>
        <w:rPr>
          <w:spacing w:val="-41"/>
        </w:rPr>
      </w:r>
      <w:r>
        <w:rPr/>
        <w:t>让款</w:t>
      </w:r>
      <w:r>
        <w:rPr>
          <w:rFonts w:ascii="Times New Roman" w:hAnsi="Times New Roman" w:cs="Times New Roman" w:eastAsia="Times New Roman" w:hint="default"/>
        </w:rPr>
        <w:t>24,777.36</w:t>
      </w:r>
      <w:r>
        <w:rPr/>
        <w:t>万元。</w:t>
      </w:r>
    </w:p>
    <w:p>
      <w:pPr>
        <w:spacing w:line="240" w:lineRule="auto" w:before="12"/>
        <w:rPr>
          <w:rFonts w:ascii="宋体" w:hAnsi="宋体" w:cs="宋体" w:eastAsia="宋体" w:hint="default"/>
          <w:sz w:val="28"/>
          <w:szCs w:val="28"/>
        </w:rPr>
      </w:pPr>
    </w:p>
    <w:p>
      <w:pPr>
        <w:pStyle w:val="BodyText"/>
        <w:spacing w:line="240" w:lineRule="auto"/>
        <w:ind w:right="0"/>
        <w:jc w:val="both"/>
      </w:pPr>
      <w:r>
        <w:rPr/>
        <w:t>是否存在通过多次交易分步处置对子公司投资且在本期丧失控制权的情形</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说明其他原因导致的合并范围变动（如，新设子公司、清算子公司等）及其相关情况：</w:t>
      </w:r>
    </w:p>
    <w:p>
      <w:pPr>
        <w:pStyle w:val="Heading6"/>
        <w:spacing w:line="240" w:lineRule="auto" w:before="96"/>
        <w:ind w:left="573" w:right="1033"/>
        <w:jc w:val="left"/>
      </w:pPr>
      <w:r>
        <w:rPr/>
        <w:t>本期纳入合并财务报表范围的主体较上期相比，增加</w:t>
      </w:r>
      <w:r>
        <w:rPr>
          <w:rFonts w:ascii="Times New Roman" w:hAnsi="Times New Roman" w:cs="Times New Roman" w:eastAsia="Times New Roman" w:hint="default"/>
        </w:rPr>
        <w:t>6</w:t>
      </w:r>
      <w:r>
        <w:rPr/>
        <w:t>户，减少</w:t>
      </w:r>
      <w:r>
        <w:rPr>
          <w:rFonts w:ascii="Times New Roman" w:hAnsi="Times New Roman" w:cs="Times New Roman" w:eastAsia="Times New Roman" w:hint="default"/>
        </w:rPr>
        <w:t>6</w:t>
      </w:r>
      <w:r>
        <w:rPr/>
        <w:t>户其中：</w:t>
      </w:r>
    </w:p>
    <w:p>
      <w:pPr>
        <w:pStyle w:val="Heading6"/>
        <w:spacing w:line="240" w:lineRule="auto" w:before="21"/>
        <w:ind w:right="0"/>
        <w:jc w:val="both"/>
      </w:pPr>
      <w:r>
        <w:rPr>
          <w:rFonts w:ascii="宋体" w:hAnsi="宋体" w:cs="宋体" w:eastAsia="宋体" w:hint="default"/>
        </w:rPr>
        <w:t>1.</w:t>
      </w:r>
      <w:r>
        <w:rPr>
          <w:rFonts w:ascii="宋体" w:hAnsi="宋体" w:cs="宋体" w:eastAsia="宋体" w:hint="default"/>
          <w:spacing w:val="39"/>
        </w:rPr>
        <w:t> </w:t>
      </w:r>
      <w:r>
        <w:rPr/>
        <w:t>本期新纳入合并范围的子公司、特殊目的主体、通过受托经营或承租等方式形成控制权的经营实体</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70"/>
        <w:gridCol w:w="5159"/>
      </w:tblGrid>
      <w:tr>
        <w:trPr>
          <w:trHeight w:val="353"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Nexgo India Private</w:t>
            </w:r>
            <w:r>
              <w:rPr>
                <w:rFonts w:ascii="Times New Roman"/>
                <w:spacing w:val="-8"/>
                <w:sz w:val="18"/>
              </w:rPr>
              <w:t> </w:t>
            </w:r>
            <w:r>
              <w:rPr>
                <w:rFonts w:ascii="Times New Roman"/>
                <w:sz w:val="18"/>
              </w:rPr>
              <w:t>Ltd.</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XGD Europe</w:t>
            </w:r>
            <w:r>
              <w:rPr>
                <w:rFonts w:ascii="Times New Roman"/>
                <w:spacing w:val="-6"/>
                <w:sz w:val="18"/>
              </w:rPr>
              <w:t> </w:t>
            </w:r>
            <w:r>
              <w:rPr>
                <w:rFonts w:ascii="Times New Roman"/>
                <w:sz w:val="18"/>
              </w:rPr>
              <w:t>S.A.</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深圳市新国都通信技术有限公司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XGD MACAU</w:t>
            </w:r>
            <w:r>
              <w:rPr>
                <w:rFonts w:ascii="Times New Roman"/>
                <w:spacing w:val="-7"/>
                <w:sz w:val="18"/>
              </w:rPr>
              <w:t> </w:t>
            </w:r>
            <w:r>
              <w:rPr>
                <w:rFonts w:ascii="Times New Roman"/>
                <w:sz w:val="18"/>
              </w:rPr>
              <w:t>LIMITED</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信小样（深圳）传媒有限公司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5"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深圳市新国都腾云软件有限公司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投资新设</w:t>
            </w:r>
          </w:p>
        </w:tc>
      </w:tr>
    </w:tbl>
    <w:p>
      <w:pPr>
        <w:spacing w:line="240" w:lineRule="auto" w:before="6"/>
        <w:rPr>
          <w:rFonts w:ascii="宋体" w:hAnsi="宋体" w:cs="宋体" w:eastAsia="宋体" w:hint="default"/>
          <w:sz w:val="5"/>
          <w:szCs w:val="5"/>
        </w:rPr>
      </w:pPr>
    </w:p>
    <w:p>
      <w:pPr>
        <w:pStyle w:val="Heading6"/>
        <w:spacing w:line="240" w:lineRule="auto" w:before="36"/>
        <w:ind w:right="1033"/>
        <w:jc w:val="left"/>
      </w:pPr>
      <w:r>
        <w:rPr>
          <w:rFonts w:ascii="宋体" w:hAnsi="宋体" w:cs="宋体" w:eastAsia="宋体" w:hint="default"/>
        </w:rPr>
        <w:t>1.</w:t>
      </w:r>
      <w:r>
        <w:rPr>
          <w:rFonts w:ascii="宋体" w:hAnsi="宋体" w:cs="宋体" w:eastAsia="宋体" w:hint="default"/>
          <w:spacing w:val="40"/>
        </w:rPr>
        <w:t> </w:t>
      </w:r>
      <w:r>
        <w:rPr/>
        <w:t>本期不再纳入合并范围的子公司、特殊目的主体、通过委托经营或出租等方式丧失控制权的经营实体</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70"/>
        <w:gridCol w:w="5159"/>
      </w:tblGrid>
      <w:tr>
        <w:trPr>
          <w:trHeight w:val="353"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7"/>
              <w:jc w:val="center"/>
              <w:rPr>
                <w:rFonts w:ascii="宋体" w:hAnsi="宋体" w:cs="宋体" w:eastAsia="宋体" w:hint="default"/>
                <w:sz w:val="18"/>
                <w:szCs w:val="18"/>
              </w:rPr>
            </w:pPr>
            <w:r>
              <w:rPr>
                <w:rFonts w:ascii="宋体" w:hAnsi="宋体" w:cs="宋体" w:eastAsia="宋体" w:hint="default"/>
                <w:sz w:val="18"/>
                <w:szCs w:val="18"/>
              </w:rPr>
              <w:t>股权出售</w:t>
            </w:r>
          </w:p>
        </w:tc>
      </w:tr>
      <w:tr>
        <w:trPr>
          <w:trHeight w:val="350"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深圳市信联征信有限公司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股权出售</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深圳市新国都金服技术有限公司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股权出售</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惠州市惠信资信评级有限公司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股权出售</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70"/>
        <w:gridCol w:w="5159"/>
      </w:tblGrid>
      <w:tr>
        <w:trPr>
          <w:trHeight w:val="356"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信小样（深圳）传媒有限公司</w:t>
            </w:r>
          </w:p>
        </w:tc>
        <w:tc>
          <w:tcPr>
            <w:tcW w:w="51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right="7"/>
              <w:jc w:val="center"/>
              <w:rPr>
                <w:rFonts w:ascii="宋体" w:hAnsi="宋体" w:cs="宋体" w:eastAsia="宋体" w:hint="default"/>
                <w:sz w:val="18"/>
                <w:szCs w:val="18"/>
              </w:rPr>
            </w:pPr>
            <w:r>
              <w:rPr>
                <w:rFonts w:ascii="宋体" w:hAnsi="宋体" w:cs="宋体" w:eastAsia="宋体" w:hint="default"/>
                <w:sz w:val="18"/>
                <w:szCs w:val="18"/>
              </w:rPr>
              <w:t>股权出售</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杭州中宗电子有限公司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5"/>
        <w:spacing w:line="335" w:lineRule="exact"/>
        <w:ind w:right="10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6"/>
        <w:spacing w:line="256" w:lineRule="auto" w:before="0"/>
        <w:ind w:right="1033"/>
        <w:jc w:val="left"/>
      </w:pPr>
      <w:r>
        <w:rPr>
          <w:spacing w:val="-4"/>
        </w:rPr>
        <w:t>深圳市鼎嘉信息科技有限公司，本公司受让全资孙公司深圳市鼎嘉信息科技有限公司</w:t>
      </w:r>
      <w:r>
        <w:rPr>
          <w:rFonts w:ascii="Times New Roman" w:hAnsi="Times New Roman" w:cs="Times New Roman" w:eastAsia="Times New Roman" w:hint="default"/>
          <w:spacing w:val="-4"/>
        </w:rPr>
        <w:t>100%</w:t>
      </w:r>
      <w:r>
        <w:rPr>
          <w:spacing w:val="-4"/>
        </w:rPr>
        <w:t>股权，深圳市鼎</w:t>
      </w:r>
      <w:r>
        <w:rPr>
          <w:spacing w:val="-13"/>
        </w:rPr>
        <w:t> </w:t>
      </w:r>
      <w:r>
        <w:rPr>
          <w:spacing w:val="-13"/>
        </w:rPr>
      </w:r>
      <w:r>
        <w:rPr/>
        <w:t>嘉信息科技有限公司由全资孙公司变更为全资子公司</w:t>
      </w:r>
    </w:p>
    <w:p>
      <w:pPr>
        <w:spacing w:line="240" w:lineRule="auto" w:before="12"/>
        <w:rPr>
          <w:rFonts w:ascii="宋体" w:hAnsi="宋体" w:cs="宋体" w:eastAsia="宋体" w:hint="default"/>
          <w:sz w:val="16"/>
          <w:szCs w:val="16"/>
        </w:rPr>
      </w:pPr>
    </w:p>
    <w:p>
      <w:pPr>
        <w:pStyle w:val="Heading4"/>
        <w:spacing w:line="240" w:lineRule="auto"/>
        <w:ind w:right="1033"/>
        <w:jc w:val="left"/>
        <w:rPr>
          <w:b w:val="0"/>
          <w:bCs w:val="0"/>
        </w:rPr>
      </w:pPr>
      <w:r>
        <w:rPr/>
        <w:t>九、在其他主体中的权益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浙江中正智能科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网络安全认证、 防伪、加密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9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深圳市新国都支 付技术有限公司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POS </w:t>
            </w:r>
            <w:r>
              <w:rPr>
                <w:rFonts w:ascii="宋体" w:hAnsi="宋体" w:cs="宋体" w:eastAsia="宋体" w:hint="default"/>
                <w:sz w:val="18"/>
                <w:szCs w:val="18"/>
              </w:rPr>
              <w:t>终端、固定 无线电话机、电 子支付设备、计 算机软硬件、电 子产品的技术开 发、生产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Nexgo,Inc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POS </w:t>
            </w:r>
            <w:r>
              <w:rPr>
                <w:rFonts w:ascii="宋体" w:hAnsi="宋体" w:cs="宋体" w:eastAsia="宋体" w:hint="default"/>
                <w:sz w:val="18"/>
                <w:szCs w:val="18"/>
              </w:rPr>
              <w:t>终端、电子 支付设备的销售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宋体" w:hAnsi="宋体" w:cs="宋体" w:eastAsia="宋体" w:hint="default"/>
                <w:sz w:val="18"/>
                <w:szCs w:val="18"/>
              </w:rPr>
            </w:pPr>
            <w:r>
              <w:rPr>
                <w:rFonts w:ascii="宋体" w:hAnsi="宋体" w:cs="宋体" w:eastAsia="宋体" w:hint="default"/>
                <w:sz w:val="18"/>
                <w:szCs w:val="18"/>
              </w:rPr>
              <w:t>长沙公信诚丰信 息技术服务有限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信息技术咨询服 务、软件开发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96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74"/>
              <w:jc w:val="both"/>
              <w:rPr>
                <w:rFonts w:ascii="宋体" w:hAnsi="宋体" w:cs="宋体" w:eastAsia="宋体" w:hint="default"/>
                <w:sz w:val="18"/>
                <w:szCs w:val="18"/>
              </w:rPr>
            </w:pPr>
            <w:r>
              <w:rPr>
                <w:rFonts w:ascii="宋体" w:hAnsi="宋体" w:cs="宋体" w:eastAsia="宋体" w:hint="default"/>
                <w:sz w:val="18"/>
                <w:szCs w:val="18"/>
              </w:rPr>
              <w:t>深圳市新国都末 微技术服务有限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计算软硬件技术 服务；智能化设 备技术服务；电 子设备的技术开 发、销售、租赁 及技术服务。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长沙法度互联网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互联网信息技术 咨询。</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97.53299pt;margin-top:371.325989pt;width:101pt;height:46.85pt;mso-position-horizontal-relative:page;mso-position-vertical-relative:page;z-index:-1257496" type="#_x0000_t202" filled="false" stroked="false">
            <v:textbox inset="0,0,0,0">
              <w:txbxContent>
                <w:p>
                  <w:pPr>
                    <w:pStyle w:val="BodyText"/>
                    <w:spacing w:line="240" w:lineRule="auto" w:before="49"/>
                    <w:ind w:left="0" w:right="0" w:firstLine="180"/>
                    <w:jc w:val="left"/>
                  </w:pPr>
                  <w:r>
                    <w:rPr/>
                    <w:t>转让、</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0" w:right="0"/>
                    <w:jc w:val="left"/>
                  </w:pPr>
                  <w:r>
                    <w:rPr/>
                    <w:t>计算机、</w:t>
                  </w:r>
                </w:p>
              </w:txbxContent>
            </v:textbox>
            <w10:wrap type="none"/>
          </v:shape>
        </w:pict>
      </w:r>
      <w:r>
        <w:rPr/>
        <w:pict>
          <v:group style="position:absolute;margin-left:330.670013pt;margin-top:371.325989pt;width:67.850pt;height:46.85pt;mso-position-horizontal-relative:page;mso-position-vertical-relative:page;z-index:-1257472" coordorigin="6613,7427" coordsize="1357,937">
            <v:shape style="position:absolute;left:6613;top:7427;width:1357;height:937" coordorigin="6613,7427" coordsize="1357,937" path="m6613,8363l7970,8363,7970,7427,6613,7427,6613,836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379"/>
        <w:gridCol w:w="990"/>
        <w:gridCol w:w="1366"/>
        <w:gridCol w:w="1366"/>
      </w:tblGrid>
      <w:tr>
        <w:trPr>
          <w:trHeight w:val="258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62" w:lineRule="auto"/>
              <w:ind w:left="24" w:right="89"/>
              <w:jc w:val="left"/>
              <w:rPr>
                <w:rFonts w:ascii="Times New Roman" w:hAnsi="Times New Roman" w:cs="Times New Roman" w:eastAsia="Times New Roman" w:hint="default"/>
                <w:sz w:val="18"/>
                <w:szCs w:val="18"/>
              </w:rPr>
            </w:pPr>
            <w:r>
              <w:rPr>
                <w:rFonts w:ascii="Times New Roman"/>
                <w:sz w:val="18"/>
              </w:rPr>
              <w:t>NEXGO</w:t>
            </w:r>
            <w:r>
              <w:rPr>
                <w:rFonts w:ascii="Times New Roman"/>
                <w:spacing w:val="-1"/>
                <w:sz w:val="18"/>
              </w:rPr>
              <w:t> </w:t>
            </w:r>
            <w:r>
              <w:rPr>
                <w:rFonts w:ascii="Times New Roman"/>
                <w:sz w:val="18"/>
              </w:rPr>
              <w:t>DO</w:t>
            </w:r>
            <w:r>
              <w:rPr>
                <w:rFonts w:ascii="Times New Roman"/>
                <w:w w:val="99"/>
                <w:sz w:val="18"/>
              </w:rPr>
              <w:t> </w:t>
            </w:r>
            <w:r>
              <w:rPr>
                <w:rFonts w:ascii="Times New Roman"/>
                <w:sz w:val="18"/>
              </w:rPr>
              <w:t>BRASIL</w:t>
            </w:r>
            <w:r>
              <w:rPr>
                <w:rFonts w:ascii="Times New Roman"/>
                <w:w w:val="99"/>
                <w:sz w:val="18"/>
              </w:rPr>
              <w:t> </w:t>
            </w:r>
            <w:r>
              <w:rPr>
                <w:rFonts w:ascii="Times New Roman"/>
                <w:spacing w:val="-4"/>
                <w:sz w:val="18"/>
              </w:rPr>
              <w:t>PARTICIPACOE</w:t>
            </w:r>
            <w:r>
              <w:rPr>
                <w:rFonts w:ascii="Times New Roman"/>
                <w:w w:val="99"/>
                <w:sz w:val="18"/>
              </w:rPr>
              <w:t> </w:t>
            </w:r>
            <w:r>
              <w:rPr>
                <w:rFonts w:ascii="Times New Roman"/>
                <w:sz w:val="18"/>
              </w:rPr>
              <w:t>S</w:t>
            </w:r>
            <w:r>
              <w:rPr>
                <w:rFonts w:ascii="Times New Roman"/>
                <w:spacing w:val="-1"/>
                <w:sz w:val="18"/>
              </w:rPr>
              <w:t> </w:t>
            </w:r>
            <w:r>
              <w:rPr>
                <w:rFonts w:ascii="Times New Roman"/>
                <w:spacing w:val="-5"/>
                <w:sz w:val="18"/>
              </w:rPr>
              <w:t>LTDA</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巴西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71"/>
              <w:jc w:val="left"/>
              <w:rPr>
                <w:rFonts w:ascii="宋体" w:hAnsi="宋体" w:cs="宋体" w:eastAsia="宋体" w:hint="default"/>
                <w:sz w:val="18"/>
                <w:szCs w:val="18"/>
              </w:rPr>
            </w:pPr>
            <w:r>
              <w:rPr>
                <w:rFonts w:ascii="宋体" w:hAnsi="宋体" w:cs="宋体" w:eastAsia="宋体" w:hint="default"/>
                <w:sz w:val="18"/>
                <w:szCs w:val="18"/>
              </w:rPr>
              <w:t>圣保罗州圣保罗 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POS </w:t>
            </w:r>
            <w:r>
              <w:rPr>
                <w:rFonts w:ascii="宋体" w:hAnsi="宋体" w:cs="宋体" w:eastAsia="宋体" w:hint="default"/>
                <w:sz w:val="18"/>
                <w:szCs w:val="18"/>
              </w:rPr>
              <w:t>终端支付产 品在巴西及南美 市场的销售、技 术支持与服务管 理，对巴西及南 美市场的投资管 理及进出口业务 等</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95"/>
              <w:jc w:val="left"/>
              <w:rPr>
                <w:rFonts w:ascii="Times New Roman" w:hAnsi="Times New Roman" w:cs="Times New Roman" w:eastAsia="Times New Roman" w:hint="default"/>
                <w:sz w:val="18"/>
                <w:szCs w:val="18"/>
              </w:rPr>
            </w:pPr>
            <w:r>
              <w:rPr>
                <w:rFonts w:ascii="Times New Roman"/>
                <w:spacing w:val="-2"/>
                <w:sz w:val="18"/>
              </w:rPr>
              <w:t>NexgoTechnolog</w:t>
            </w:r>
            <w:r>
              <w:rPr>
                <w:rFonts w:ascii="Times New Roman"/>
                <w:spacing w:val="-32"/>
                <w:sz w:val="18"/>
              </w:rPr>
              <w:t> </w:t>
            </w:r>
            <w:r>
              <w:rPr>
                <w:rFonts w:ascii="Times New Roman"/>
                <w:spacing w:val="-32"/>
                <w:sz w:val="18"/>
              </w:rPr>
            </w:r>
            <w:r>
              <w:rPr>
                <w:rFonts w:ascii="Times New Roman"/>
                <w:sz w:val="18"/>
              </w:rPr>
              <w:t>yDWC-LLC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阿拉伯联合酋长 国港市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一般贸易</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4"/>
              <w:jc w:val="left"/>
              <w:rPr>
                <w:rFonts w:ascii="宋体" w:hAnsi="宋体" w:cs="宋体" w:eastAsia="宋体" w:hint="default"/>
                <w:sz w:val="18"/>
                <w:szCs w:val="18"/>
              </w:rPr>
            </w:pPr>
            <w:r>
              <w:rPr>
                <w:rFonts w:ascii="宋体" w:hAnsi="宋体" w:cs="宋体" w:eastAsia="宋体" w:hint="default"/>
                <w:sz w:val="18"/>
                <w:szCs w:val="18"/>
              </w:rPr>
              <w:t>深圳市新国都软 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软件的技术开 发、销售、技术 咨询；计算机系 统集成</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60" w:lineRule="auto"/>
              <w:ind w:left="24" w:right="367"/>
              <w:jc w:val="left"/>
              <w:rPr>
                <w:rFonts w:ascii="Times New Roman" w:hAnsi="Times New Roman" w:cs="Times New Roman" w:eastAsia="Times New Roman" w:hint="default"/>
                <w:sz w:val="18"/>
                <w:szCs w:val="18"/>
              </w:rPr>
            </w:pPr>
            <w:r>
              <w:rPr>
                <w:rFonts w:ascii="Times New Roman"/>
                <w:sz w:val="18"/>
              </w:rPr>
              <w:t>NexgoGlobal 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香港特别行政区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香港特别行政区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货物及技术的进 出口业务，技术 服务，管理及咨 询</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27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深圳市新国都商 服有限公司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技术开发、 咨询、服务；技 术推广； 银行卡受理终 端、通讯设备和 辅助设备的销 售、修理、租赁</w:t>
            </w:r>
          </w:p>
        </w:tc>
        <w:tc>
          <w:tcPr>
            <w:tcW w:w="379" w:type="dxa"/>
            <w:tcBorders>
              <w:top w:val="single" w:sz="4" w:space="0" w:color="000000"/>
              <w:left w:val="single" w:sz="4" w:space="0" w:color="000000"/>
              <w:bottom w:val="single" w:sz="4" w:space="0" w:color="000000"/>
              <w:right w:val="nil" w:sz="6" w:space="0" w:color="auto"/>
            </w:tcBorders>
          </w:tcPr>
          <w:p>
            <w:pPr/>
          </w:p>
        </w:tc>
        <w:tc>
          <w:tcPr>
            <w:tcW w:w="99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深圳市鼎嘉信息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计算机技术开 发、计算机技术 咨询、计算机技 术服务、计算机 技术转让、计算 机技术培训；软 件开发、软件设 计；机器人的研 发；计算机网络 技术开发；经营 电子商务</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79.53299pt;margin-top:72.475983pt;width:119pt;height:85.85pt;mso-position-horizontal-relative:page;mso-position-vertical-relative:page;z-index:-1257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pStyle w:val="BodyText"/>
                    <w:spacing w:line="240" w:lineRule="auto"/>
                    <w:ind w:left="0" w:right="0"/>
                    <w:jc w:val="left"/>
                  </w:pPr>
                  <w:r>
                    <w:rPr/>
                    <w:t>销售与租赁；</w:t>
                  </w:r>
                </w:p>
              </w:txbxContent>
            </v:textbox>
            <w10:wrap type="none"/>
          </v:shape>
        </w:pict>
      </w:r>
      <w:r>
        <w:rPr/>
        <w:pict>
          <v:group style="position:absolute;margin-left:330.670013pt;margin-top:72.475983pt;width:67.850pt;height:85.85pt;mso-position-horizontal-relative:page;mso-position-vertical-relative:page;z-index:-1257424" coordorigin="6613,1450" coordsize="1357,1717">
            <v:shape style="position:absolute;left:6613;top:1450;width:1357;height:1717" coordorigin="6613,1450" coordsize="1357,1717" path="m6613,3166l7970,3166,7970,1450,6613,1450,6613,3166xe" filled="true" fillcolor="#ffffff" stroked="false">
              <v:path arrowok="t"/>
              <v:fill type="solid"/>
            </v:shape>
            <w10:wrap type="none"/>
          </v:group>
        </w:pict>
      </w:r>
      <w:r>
        <w:rPr/>
        <w:pict>
          <v:group style="position:absolute;margin-left:330.670013pt;margin-top:593.799988pt;width:66.650pt;height:20.65pt;mso-position-horizontal-relative:page;mso-position-vertical-relative:page;z-index:-1257400" coordorigin="6613,11876" coordsize="1333,413">
            <v:group style="position:absolute;left:6624;top:11887;width:2;height:392" coordorigin="6624,11887" coordsize="2,392">
              <v:shape style="position:absolute;left:6624;top:11887;width:2;height:392" coordorigin="6624,11887" coordsize="0,392" path="m6624,11887l6624,12278e" filled="false" stroked="true" strokeweight="1.08pt" strokecolor="#ffffff">
                <v:path arrowok="t"/>
              </v:shape>
            </v:group>
            <v:group style="position:absolute;left:6635;top:11887;width:1311;height:392" coordorigin="6635,11887" coordsize="1311,392">
              <v:shape style="position:absolute;left:6635;top:11887;width:1311;height:392" coordorigin="6635,11887" coordsize="1311,392" path="m6635,12278l7946,12278,7946,11887,6635,11887,6635,1227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379"/>
        <w:gridCol w:w="990"/>
        <w:gridCol w:w="1366"/>
        <w:gridCol w:w="1366"/>
      </w:tblGrid>
      <w:tr>
        <w:trPr>
          <w:trHeight w:val="356" w:hRule="exact"/>
        </w:trPr>
        <w:tc>
          <w:tcPr>
            <w:tcW w:w="1370"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电子终端设备</w:t>
            </w:r>
          </w:p>
        </w:tc>
        <w:tc>
          <w:tcPr>
            <w:tcW w:w="379" w:type="dxa"/>
            <w:vMerge w:val="restart"/>
            <w:tcBorders>
              <w:top w:val="single" w:sz="4" w:space="0" w:color="000000"/>
              <w:left w:val="single" w:sz="4" w:space="0" w:color="000000"/>
              <w:right w:val="nil" w:sz="6" w:space="0" w:color="auto"/>
            </w:tcBorders>
          </w:tcPr>
          <w:p>
            <w:pPr/>
          </w:p>
        </w:tc>
        <w:tc>
          <w:tcPr>
            <w:tcW w:w="990" w:type="dxa"/>
            <w:tcBorders>
              <w:top w:val="single" w:sz="4" w:space="0" w:color="000000"/>
              <w:left w:val="nil" w:sz="6" w:space="0" w:color="auto"/>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0"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机）及相</w:t>
            </w:r>
          </w:p>
        </w:tc>
        <w:tc>
          <w:tcPr>
            <w:tcW w:w="379" w:type="dxa"/>
            <w:vMerge/>
            <w:tcBorders>
              <w:left w:val="single" w:sz="4" w:space="0" w:color="000000"/>
              <w:right w:val="nil" w:sz="6" w:space="0" w:color="auto"/>
            </w:tcBorders>
          </w:tcPr>
          <w:p>
            <w:pPr/>
          </w:p>
        </w:tc>
        <w:tc>
          <w:tcPr>
            <w:tcW w:w="990"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0"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关应用软件和应</w:t>
            </w:r>
          </w:p>
        </w:tc>
        <w:tc>
          <w:tcPr>
            <w:tcW w:w="379" w:type="dxa"/>
            <w:vMerge/>
            <w:tcBorders>
              <w:left w:val="single" w:sz="4" w:space="0" w:color="000000"/>
              <w:right w:val="nil" w:sz="6" w:space="0" w:color="auto"/>
            </w:tcBorders>
          </w:tcPr>
          <w:p>
            <w:pPr/>
          </w:p>
        </w:tc>
        <w:tc>
          <w:tcPr>
            <w:tcW w:w="990"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用设备的技术开</w:t>
            </w:r>
          </w:p>
        </w:tc>
        <w:tc>
          <w:tcPr>
            <w:tcW w:w="379" w:type="dxa"/>
            <w:vMerge/>
            <w:tcBorders>
              <w:left w:val="single" w:sz="4" w:space="0" w:color="000000"/>
              <w:right w:val="nil" w:sz="6" w:space="0" w:color="auto"/>
            </w:tcBorders>
          </w:tcPr>
          <w:p>
            <w:pPr/>
          </w:p>
        </w:tc>
        <w:tc>
          <w:tcPr>
            <w:tcW w:w="990"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w:t>
            </w:r>
          </w:p>
        </w:tc>
        <w:tc>
          <w:tcPr>
            <w:tcW w:w="379" w:type="dxa"/>
            <w:vMerge/>
            <w:tcBorders>
              <w:left w:val="single" w:sz="4" w:space="0" w:color="000000"/>
              <w:right w:val="nil" w:sz="6" w:space="0" w:color="auto"/>
            </w:tcBorders>
          </w:tcPr>
          <w:p>
            <w:pPr/>
          </w:p>
        </w:tc>
        <w:tc>
          <w:tcPr>
            <w:tcW w:w="990"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4"/>
              <w:jc w:val="left"/>
              <w:rPr>
                <w:rFonts w:ascii="宋体" w:hAnsi="宋体" w:cs="宋体" w:eastAsia="宋体" w:hint="default"/>
                <w:sz w:val="18"/>
                <w:szCs w:val="18"/>
              </w:rPr>
            </w:pPr>
            <w:r>
              <w:rPr>
                <w:rFonts w:ascii="宋体" w:hAnsi="宋体" w:cs="宋体" w:eastAsia="宋体" w:hint="default"/>
                <w:sz w:val="18"/>
                <w:szCs w:val="18"/>
              </w:rPr>
              <w:t>嘉联支付有限公 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软件技术的开发 与销售（不含专</w:t>
            </w:r>
          </w:p>
        </w:tc>
        <w:tc>
          <w:tcPr>
            <w:tcW w:w="379" w:type="dxa"/>
            <w:vMerge/>
            <w:tcBorders>
              <w:left w:val="single" w:sz="4" w:space="0" w:color="000000"/>
              <w:right w:val="nil" w:sz="6" w:space="0" w:color="auto"/>
            </w:tcBorders>
          </w:tcPr>
          <w:p>
            <w:pPr/>
          </w:p>
        </w:tc>
        <w:tc>
          <w:tcPr>
            <w:tcW w:w="99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营、专控、专卖</w:t>
            </w:r>
          </w:p>
        </w:tc>
        <w:tc>
          <w:tcPr>
            <w:tcW w:w="379" w:type="dxa"/>
            <w:vMerge/>
            <w:tcBorders>
              <w:left w:val="single" w:sz="4" w:space="0" w:color="000000"/>
              <w:right w:val="nil" w:sz="6" w:space="0" w:color="auto"/>
            </w:tcBorders>
          </w:tcPr>
          <w:p>
            <w:pPr/>
          </w:p>
        </w:tc>
        <w:tc>
          <w:tcPr>
            <w:tcW w:w="990"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软件技术</w:t>
            </w:r>
          </w:p>
        </w:tc>
        <w:tc>
          <w:tcPr>
            <w:tcW w:w="379" w:type="dxa"/>
            <w:vMerge/>
            <w:tcBorders>
              <w:left w:val="single" w:sz="4" w:space="0" w:color="000000"/>
              <w:right w:val="nil" w:sz="6" w:space="0" w:color="auto"/>
            </w:tcBorders>
          </w:tcPr>
          <w:p>
            <w:pPr/>
          </w:p>
        </w:tc>
        <w:tc>
          <w:tcPr>
            <w:tcW w:w="990"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咨询（不含限制</w:t>
            </w:r>
          </w:p>
        </w:tc>
        <w:tc>
          <w:tcPr>
            <w:tcW w:w="379" w:type="dxa"/>
            <w:vMerge/>
            <w:tcBorders>
              <w:left w:val="single" w:sz="4" w:space="0" w:color="000000"/>
              <w:right w:val="nil" w:sz="6" w:space="0" w:color="auto"/>
            </w:tcBorders>
          </w:tcPr>
          <w:p>
            <w:pPr/>
          </w:p>
        </w:tc>
        <w:tc>
          <w:tcPr>
            <w:tcW w:w="990"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银行卡收</w:t>
            </w:r>
          </w:p>
        </w:tc>
        <w:tc>
          <w:tcPr>
            <w:tcW w:w="379" w:type="dxa"/>
            <w:vMerge/>
            <w:tcBorders>
              <w:left w:val="single" w:sz="4" w:space="0" w:color="000000"/>
              <w:right w:val="nil" w:sz="6" w:space="0" w:color="auto"/>
            </w:tcBorders>
          </w:tcPr>
          <w:p>
            <w:pPr/>
          </w:p>
        </w:tc>
        <w:tc>
          <w:tcPr>
            <w:tcW w:w="990"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0"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单</w:t>
            </w:r>
          </w:p>
        </w:tc>
        <w:tc>
          <w:tcPr>
            <w:tcW w:w="379" w:type="dxa"/>
            <w:vMerge/>
            <w:tcBorders>
              <w:left w:val="single" w:sz="4" w:space="0" w:color="000000"/>
              <w:bottom w:val="single" w:sz="4" w:space="0" w:color="000000"/>
              <w:right w:val="nil" w:sz="6" w:space="0" w:color="auto"/>
            </w:tcBorders>
          </w:tcPr>
          <w:p>
            <w:pPr/>
          </w:p>
        </w:tc>
        <w:tc>
          <w:tcPr>
            <w:tcW w:w="990" w:type="dxa"/>
            <w:tcBorders>
              <w:top w:val="nil" w:sz="6" w:space="0" w:color="auto"/>
              <w:left w:val="nil" w:sz="6" w:space="0" w:color="auto"/>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0"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电子终端设备</w:t>
            </w:r>
          </w:p>
        </w:tc>
        <w:tc>
          <w:tcPr>
            <w:tcW w:w="1369" w:type="dxa"/>
            <w:gridSpan w:val="2"/>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0"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机）及相关</w:t>
            </w:r>
          </w:p>
        </w:tc>
        <w:tc>
          <w:tcPr>
            <w:tcW w:w="1369"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深圳市嘉联云科 技有限公司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6" w:right="70"/>
              <w:jc w:val="left"/>
              <w:rPr>
                <w:rFonts w:ascii="宋体" w:hAnsi="宋体" w:cs="宋体" w:eastAsia="宋体" w:hint="default"/>
                <w:sz w:val="18"/>
                <w:szCs w:val="18"/>
              </w:rPr>
            </w:pPr>
            <w:r>
              <w:rPr>
                <w:rFonts w:ascii="宋体" w:hAnsi="宋体" w:cs="宋体" w:eastAsia="宋体" w:hint="default"/>
                <w:sz w:val="18"/>
                <w:szCs w:val="18"/>
              </w:rPr>
              <w:t>应用软件和应用 设备的技术开 发；计算机软件</w:t>
            </w:r>
          </w:p>
        </w:tc>
        <w:tc>
          <w:tcPr>
            <w:tcW w:w="1369"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4" w:lineRule="auto"/>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开发与销售、技</w:t>
            </w:r>
          </w:p>
        </w:tc>
        <w:tc>
          <w:tcPr>
            <w:tcW w:w="1369"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370"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术咨询</w:t>
            </w:r>
          </w:p>
        </w:tc>
        <w:tc>
          <w:tcPr>
            <w:tcW w:w="1369" w:type="dxa"/>
            <w:gridSpan w:val="2"/>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深圳市都之家科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研发、租赁</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7" w:hRule="exact"/>
        </w:trPr>
        <w:tc>
          <w:tcPr>
            <w:tcW w:w="1370"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经营进出口业</w:t>
            </w:r>
          </w:p>
        </w:tc>
        <w:tc>
          <w:tcPr>
            <w:tcW w:w="1369" w:type="dxa"/>
            <w:gridSpan w:val="2"/>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360" w:lineRule="auto" w:before="54"/>
              <w:ind w:left="24" w:right="439"/>
              <w:jc w:val="left"/>
              <w:rPr>
                <w:rFonts w:ascii="Times New Roman" w:hAnsi="Times New Roman" w:cs="Times New Roman" w:eastAsia="Times New Roman" w:hint="default"/>
                <w:sz w:val="18"/>
                <w:szCs w:val="18"/>
              </w:rPr>
            </w:pPr>
            <w:r>
              <w:rPr>
                <w:rFonts w:ascii="Times New Roman"/>
                <w:sz w:val="18"/>
              </w:rPr>
              <w:t>Nexgo</w:t>
            </w:r>
            <w:r>
              <w:rPr>
                <w:rFonts w:ascii="Times New Roman"/>
                <w:spacing w:val="-2"/>
                <w:sz w:val="18"/>
              </w:rPr>
              <w:t> </w:t>
            </w:r>
            <w:r>
              <w:rPr>
                <w:rFonts w:ascii="Times New Roman"/>
                <w:sz w:val="18"/>
              </w:rPr>
              <w:t>India</w:t>
            </w:r>
            <w:r>
              <w:rPr>
                <w:rFonts w:ascii="Times New Roman"/>
                <w:sz w:val="18"/>
              </w:rPr>
              <w:t> Private</w:t>
            </w:r>
            <w:r>
              <w:rPr>
                <w:rFonts w:ascii="Times New Roman"/>
                <w:spacing w:val="-2"/>
                <w:sz w:val="18"/>
              </w:rPr>
              <w:t> </w:t>
            </w:r>
            <w:r>
              <w:rPr>
                <w:rFonts w:ascii="Times New Roman"/>
                <w:sz w:val="18"/>
              </w:rPr>
              <w:t>Ltd.</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孟买</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00" w:lineRule="auto" w:before="9"/>
              <w:ind w:left="26" w:right="7"/>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 电子支付设备、</w:t>
            </w:r>
          </w:p>
        </w:tc>
        <w:tc>
          <w:tcPr>
            <w:tcW w:w="1369"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5" w:hRule="exact"/>
        </w:trPr>
        <w:tc>
          <w:tcPr>
            <w:tcW w:w="1370"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计算机软硬件、</w:t>
            </w:r>
          </w:p>
        </w:tc>
        <w:tc>
          <w:tcPr>
            <w:tcW w:w="1369" w:type="dxa"/>
            <w:gridSpan w:val="2"/>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0"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电子终端设备及</w:t>
            </w:r>
          </w:p>
        </w:tc>
        <w:tc>
          <w:tcPr>
            <w:tcW w:w="1369" w:type="dxa"/>
            <w:gridSpan w:val="2"/>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XGD Europe</w:t>
            </w:r>
            <w:r>
              <w:rPr>
                <w:rFonts w:ascii="Times New Roman"/>
                <w:spacing w:val="-3"/>
                <w:sz w:val="18"/>
              </w:rPr>
              <w:t> </w:t>
            </w:r>
            <w:r>
              <w:rPr>
                <w:rFonts w:ascii="Times New Roman"/>
                <w:sz w:val="18"/>
              </w:rPr>
              <w:t>S.A</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卢森堡</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卢森堡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相关应用软件和 应用设备的技术</w:t>
            </w:r>
          </w:p>
        </w:tc>
        <w:tc>
          <w:tcPr>
            <w:tcW w:w="1369"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8" w:hRule="exact"/>
        </w:trPr>
        <w:tc>
          <w:tcPr>
            <w:tcW w:w="1370"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开发、销售</w:t>
            </w:r>
          </w:p>
        </w:tc>
        <w:tc>
          <w:tcPr>
            <w:tcW w:w="1369" w:type="dxa"/>
            <w:gridSpan w:val="2"/>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0"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计算机软件、信</w:t>
            </w:r>
          </w:p>
        </w:tc>
        <w:tc>
          <w:tcPr>
            <w:tcW w:w="1369" w:type="dxa"/>
            <w:gridSpan w:val="2"/>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0"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息系统软件的开</w:t>
            </w:r>
          </w:p>
        </w:tc>
        <w:tc>
          <w:tcPr>
            <w:tcW w:w="1369" w:type="dxa"/>
            <w:gridSpan w:val="2"/>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深圳市新国都通 信技术有限公司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both"/>
              <w:rPr>
                <w:rFonts w:ascii="宋体" w:hAnsi="宋体" w:cs="宋体" w:eastAsia="宋体" w:hint="default"/>
                <w:sz w:val="18"/>
                <w:szCs w:val="18"/>
              </w:rPr>
            </w:pPr>
            <w:r>
              <w:rPr>
                <w:rFonts w:ascii="宋体" w:hAnsi="宋体" w:cs="宋体" w:eastAsia="宋体" w:hint="default"/>
                <w:sz w:val="18"/>
                <w:szCs w:val="18"/>
              </w:rPr>
              <w:t>发、销售；信息 </w:t>
            </w:r>
            <w:r>
              <w:rPr>
                <w:rFonts w:ascii="宋体" w:hAnsi="宋体" w:cs="宋体" w:eastAsia="宋体" w:hint="default"/>
                <w:spacing w:val="-6"/>
                <w:sz w:val="18"/>
                <w:szCs w:val="18"/>
              </w:rPr>
              <w:t>系统设计、集成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运行维护；信息</w:t>
            </w:r>
          </w:p>
        </w:tc>
        <w:tc>
          <w:tcPr>
            <w:tcW w:w="136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技术咨询；集成</w:t>
            </w:r>
          </w:p>
        </w:tc>
        <w:tc>
          <w:tcPr>
            <w:tcW w:w="1369" w:type="dxa"/>
            <w:gridSpan w:val="2"/>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370"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电路设计、研发</w:t>
            </w:r>
          </w:p>
        </w:tc>
        <w:tc>
          <w:tcPr>
            <w:tcW w:w="1369" w:type="dxa"/>
            <w:gridSpan w:val="2"/>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227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62" w:lineRule="auto"/>
              <w:ind w:left="24" w:right="233"/>
              <w:jc w:val="left"/>
              <w:rPr>
                <w:rFonts w:ascii="Times New Roman" w:hAnsi="Times New Roman" w:cs="Times New Roman" w:eastAsia="Times New Roman" w:hint="default"/>
                <w:sz w:val="18"/>
                <w:szCs w:val="18"/>
              </w:rPr>
            </w:pPr>
            <w:r>
              <w:rPr>
                <w:rFonts w:ascii="Times New Roman"/>
                <w:sz w:val="18"/>
              </w:rPr>
              <w:t>XGD</w:t>
            </w:r>
            <w:r>
              <w:rPr>
                <w:rFonts w:ascii="Times New Roman"/>
                <w:spacing w:val="-5"/>
                <w:sz w:val="18"/>
              </w:rPr>
              <w:t> </w:t>
            </w:r>
            <w:r>
              <w:rPr>
                <w:rFonts w:ascii="Times New Roman"/>
                <w:sz w:val="18"/>
              </w:rPr>
              <w:t>MACAU</w:t>
            </w:r>
            <w:r>
              <w:rPr>
                <w:rFonts w:ascii="Times New Roman"/>
                <w:w w:val="99"/>
                <w:sz w:val="18"/>
              </w:rPr>
              <w:t> </w:t>
            </w:r>
            <w:r>
              <w:rPr>
                <w:rFonts w:ascii="Times New Roman"/>
                <w:sz w:val="18"/>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澳门特别行政区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澳门特别行政区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电子终端设备及 相关应用软件和 应用设备的技术 开发、销售与租 赁；软件技术的 开发、销售咨询 及服务业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1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深圳市新国都腾 云软件有限公司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21"/>
              <w:jc w:val="left"/>
              <w:rPr>
                <w:rFonts w:ascii="宋体" w:hAnsi="宋体" w:cs="宋体" w:eastAsia="宋体" w:hint="default"/>
                <w:sz w:val="18"/>
                <w:szCs w:val="18"/>
              </w:rPr>
            </w:pPr>
            <w:r>
              <w:rPr>
                <w:rFonts w:ascii="宋体" w:hAnsi="宋体" w:cs="宋体" w:eastAsia="宋体" w:hint="default"/>
                <w:sz w:val="18"/>
                <w:szCs w:val="18"/>
              </w:rPr>
              <w:t>软件的技术开 发、销售、技术 咨询；计算机系 </w:t>
            </w:r>
            <w:r>
              <w:rPr>
                <w:rFonts w:ascii="宋体" w:hAnsi="宋体" w:cs="宋体" w:eastAsia="宋体" w:hint="default"/>
                <w:spacing w:val="-17"/>
                <w:sz w:val="18"/>
                <w:szCs w:val="18"/>
              </w:rPr>
              <w:t>统集成。（以上各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项涉及法律、行 政法规、国务院 决定禁止的项目 除外，限制的项 目须取得许可后 方可经营）</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49"/>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7693"/>
        <w:jc w:val="left"/>
      </w:pPr>
      <w:r>
        <w:rPr/>
        <w:t>确定公司是代理人还是委托人的依据： 其他说明：</w:t>
      </w:r>
    </w:p>
    <w:p>
      <w:pPr>
        <w:spacing w:line="240" w:lineRule="auto" w:before="5"/>
        <w:rPr>
          <w:rFonts w:ascii="宋体" w:hAnsi="宋体" w:cs="宋体" w:eastAsia="宋体" w:hint="default"/>
          <w:sz w:val="15"/>
          <w:szCs w:val="15"/>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49"/>
        <w:ind w:right="6433"/>
        <w:jc w:val="left"/>
      </w:pPr>
      <w:r>
        <w:rPr/>
        <w:t>子公司少数股东的持股比例不同于表决权比例的说明： 其他说明：</w:t>
      </w:r>
    </w:p>
    <w:p>
      <w:pPr>
        <w:spacing w:line="240" w:lineRule="auto" w:before="0"/>
        <w:rPr>
          <w:rFonts w:ascii="宋体" w:hAnsi="宋体" w:cs="宋体" w:eastAsia="宋体" w:hint="default"/>
          <w:sz w:val="15"/>
          <w:szCs w:val="15"/>
        </w:rPr>
      </w:pPr>
    </w:p>
    <w:p>
      <w:pPr>
        <w:pStyle w:val="Heading5"/>
        <w:spacing w:line="240" w:lineRule="auto"/>
        <w:ind w:right="10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4"/>
        <w:gridCol w:w="735"/>
        <w:gridCol w:w="737"/>
        <w:gridCol w:w="737"/>
        <w:gridCol w:w="735"/>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9"/>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3"/>
        <w:gridCol w:w="1066"/>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d2d2d2">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d2d2d2">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369"/>
        <w:gridCol w:w="1369"/>
        <w:gridCol w:w="1366"/>
        <w:gridCol w:w="1368"/>
        <w:gridCol w:w="1369"/>
        <w:gridCol w:w="1366"/>
        <w:gridCol w:w="1366"/>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033"/>
        <w:jc w:val="left"/>
      </w:pPr>
      <w:r>
        <w:rPr/>
        <w:t>在合营企业或联营企业的持股比例不同于表决权比例的说明：</w:t>
      </w:r>
    </w:p>
    <w:p>
      <w:pPr>
        <w:pStyle w:val="BodyText"/>
        <w:spacing w:line="240" w:lineRule="auto" w:before="117"/>
        <w:ind w:right="1033"/>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1"/>
        <w:rPr>
          <w:rFonts w:ascii="宋体" w:hAnsi="宋体" w:cs="宋体" w:eastAsia="宋体" w:hint="default"/>
          <w:sz w:val="20"/>
          <w:szCs w:val="20"/>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0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4"/>
        <w:gridCol w:w="3059"/>
        <w:gridCol w:w="3186"/>
      </w:tblGrid>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18,798,768.71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-2,537,671.84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6"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4"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49"/>
        <w:ind w:right="5533"/>
        <w:jc w:val="left"/>
      </w:pPr>
      <w:r>
        <w:rPr/>
        <w:t>在共同经营中的持股比例或享有的份额不同于表决权比例的说明： 共同经营为单独主体的，分类为共同经营的依据：</w:t>
      </w:r>
    </w:p>
    <w:p>
      <w:pPr>
        <w:pStyle w:val="BodyText"/>
        <w:spacing w:line="240" w:lineRule="auto" w:before="25"/>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t>未纳入合并财务报表范围的结构化主体的相关说明：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spacing w:line="362" w:lineRule="auto" w:before="0"/>
        <w:ind w:left="153" w:right="571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4"/>
          <w:szCs w:val="24"/>
        </w:rPr>
        <w:t>十、与金融工具相关的风险</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Microsoft JhengHei" w:hAnsi="Microsoft JhengHei" w:cs="Microsoft JhengHei" w:eastAsia="Microsoft JhengHei" w:hint="default"/>
          <w:b/>
          <w:bCs/>
          <w:sz w:val="24"/>
          <w:szCs w:val="24"/>
        </w:rPr>
        <w:t>十一、公允价值的披露</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pacing w:val="-1"/>
          <w:sz w:val="21"/>
          <w:szCs w:val="21"/>
        </w:rPr>
        <w:t>1</w:t>
      </w:r>
      <w:r>
        <w:rPr>
          <w:rFonts w:ascii="Microsoft JhengHei" w:hAnsi="Microsoft JhengHei" w:cs="Microsoft JhengHei" w:eastAsia="Microsoft JhengHei" w:hint="default"/>
          <w:b/>
          <w:bCs/>
          <w:spacing w:val="-1"/>
          <w:sz w:val="21"/>
          <w:szCs w:val="21"/>
        </w:rPr>
        <w:t>、以公允价值计量的资产和负债的期末公允价值</w:t>
      </w:r>
      <w:r>
        <w:rPr>
          <w:rFonts w:ascii="Microsoft JhengHei" w:hAnsi="Microsoft JhengHei" w:cs="Microsoft JhengHei" w:eastAsia="Microsoft JhengHei" w:hint="default"/>
          <w:spacing w:val="-1"/>
          <w:sz w:val="21"/>
          <w:szCs w:val="21"/>
        </w:rPr>
      </w:r>
    </w:p>
    <w:p>
      <w:pPr>
        <w:spacing w:line="240" w:lineRule="auto" w:before="8"/>
        <w:rPr>
          <w:rFonts w:ascii="Microsoft JhengHei" w:hAnsi="Microsoft JhengHei" w:cs="Microsoft JhengHei" w:eastAsia="Microsoft JhengHei" w:hint="default"/>
          <w:b/>
          <w:bCs/>
          <w:sz w:val="8"/>
          <w:szCs w:val="8"/>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401"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22"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84" w:type="dxa"/>
            <w:vMerge w:val="restart"/>
            <w:tcBorders>
              <w:top w:val="nil" w:sz="6" w:space="0" w:color="auto"/>
              <w:left w:val="single" w:sz="4" w:space="0" w:color="000000"/>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pacing w:val="-4"/>
                <w:w w:val="95"/>
                <w:sz w:val="18"/>
                <w:szCs w:val="18"/>
              </w:rPr>
              <w:t>一、持续的公允价值计量</w:t>
            </w:r>
          </w:p>
        </w:tc>
        <w:tc>
          <w:tcPr>
            <w:tcW w:w="1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3"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pacing w:val="-4"/>
                <w:w w:val="95"/>
                <w:sz w:val="18"/>
                <w:szCs w:val="18"/>
              </w:rPr>
              <w:t>（三）其他权益工具投资</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50,000,000.00</w:t>
            </w:r>
          </w:p>
        </w:tc>
      </w:tr>
      <w:tr>
        <w:trPr>
          <w:trHeight w:val="161" w:hRule="exact"/>
        </w:trPr>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84" w:type="dxa"/>
            <w:vMerge/>
            <w:tcBorders>
              <w:left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3"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335" w:lineRule="exact"/>
        <w:ind w:right="0"/>
        <w:jc w:val="both"/>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6"/>
        <w:spacing w:line="240" w:lineRule="auto" w:before="0"/>
        <w:ind w:right="0"/>
        <w:jc w:val="both"/>
      </w:pPr>
      <w:r>
        <w:rPr/>
        <w:t>第</w:t>
      </w:r>
      <w:r>
        <w:rPr>
          <w:rFonts w:ascii="Times New Roman" w:hAnsi="Times New Roman" w:cs="Times New Roman" w:eastAsia="Times New Roman" w:hint="default"/>
        </w:rPr>
        <w:t>1</w:t>
      </w:r>
      <w:r>
        <w:rPr/>
        <w:t>层次：是在计量日能够取得的相同资产或负债在活跃市场上未经调整的报价。</w:t>
      </w:r>
    </w:p>
    <w:p>
      <w:pPr>
        <w:spacing w:line="600" w:lineRule="atLeast" w:before="20"/>
        <w:ind w:left="153" w:right="10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、持续和非持续第二层次公允价值计量项目，采用的估值技术和重要参数的定性及定量信息</w:t>
      </w:r>
      <w:r>
        <w:rPr>
          <w:rFonts w:ascii="Microsoft JhengHei" w:hAnsi="Microsoft JhengHei" w:cs="Microsoft JhengHei" w:eastAsia="Microsoft JhengHei" w:hint="default"/>
          <w:b/>
          <w:bCs/>
          <w:spacing w:val="-22"/>
          <w:sz w:val="21"/>
          <w:szCs w:val="21"/>
        </w:rPr>
        <w:t> </w:t>
      </w:r>
      <w:r>
        <w:rPr>
          <w:rFonts w:ascii="Microsoft JhengHei" w:hAnsi="Microsoft JhengHei" w:cs="Microsoft JhengHei" w:eastAsia="Microsoft JhengHei" w:hint="default"/>
          <w:b/>
          <w:bCs/>
          <w:spacing w:val="-22"/>
          <w:sz w:val="21"/>
          <w:szCs w:val="21"/>
        </w:rPr>
      </w:r>
      <w:r>
        <w:rPr>
          <w:rFonts w:ascii="宋体" w:hAnsi="宋体" w:cs="宋体" w:eastAsia="宋体" w:hint="default"/>
          <w:sz w:val="21"/>
          <w:szCs w:val="21"/>
        </w:rPr>
        <w:t>第</w:t>
      </w:r>
      <w:r>
        <w:rPr>
          <w:rFonts w:ascii="Times New Roman" w:hAnsi="Times New Roman" w:cs="Times New Roman" w:eastAsia="Times New Roman" w:hint="default"/>
          <w:sz w:val="21"/>
          <w:szCs w:val="21"/>
        </w:rPr>
        <w:t>2</w:t>
      </w:r>
      <w:r>
        <w:rPr>
          <w:rFonts w:ascii="宋体" w:hAnsi="宋体" w:cs="宋体" w:eastAsia="宋体" w:hint="default"/>
          <w:sz w:val="21"/>
          <w:szCs w:val="21"/>
        </w:rPr>
        <w:t>层次：是除第一层次输入值外相关资产或负债直接或间接可观察的输入值</w:t>
      </w:r>
    </w:p>
    <w:p>
      <w:pPr>
        <w:pStyle w:val="BodyText"/>
        <w:spacing w:line="300" w:lineRule="auto" w:before="42"/>
        <w:ind w:right="1135"/>
        <w:jc w:val="both"/>
      </w:pPr>
      <w:r>
        <w:rPr/>
        <w:t>第二层次输入值包括：</w:t>
      </w:r>
      <w:r>
        <w:rPr>
          <w:rFonts w:ascii="Times New Roman" w:hAnsi="Times New Roman" w:cs="Times New Roman" w:eastAsia="Times New Roman" w:hint="default"/>
        </w:rPr>
        <w:t>1</w:t>
      </w:r>
      <w:r>
        <w:rPr/>
        <w:t>）活跃市场中类似资产或负债的报价；</w:t>
      </w:r>
      <w:r>
        <w:rPr>
          <w:rFonts w:ascii="Times New Roman" w:hAnsi="Times New Roman" w:cs="Times New Roman" w:eastAsia="Times New Roman" w:hint="default"/>
        </w:rPr>
        <w:t>2</w:t>
      </w:r>
      <w:r>
        <w:rPr/>
        <w:t>）非活跃市场中相同或类似资产或负债的报价；</w:t>
      </w:r>
      <w:r>
        <w:rPr>
          <w:rFonts w:ascii="Times New Roman" w:hAnsi="Times New Roman" w:cs="Times New Roman" w:eastAsia="Times New Roman" w:hint="default"/>
        </w:rPr>
        <w:t>3</w:t>
      </w:r>
      <w:r>
        <w:rPr/>
        <w:t>）除报价</w:t>
      </w:r>
      <w:r>
        <w:rPr>
          <w:spacing w:val="-86"/>
        </w:rPr>
        <w:t> </w:t>
      </w:r>
      <w:r>
        <w:rPr/>
        <w:t>以外的其他可观察输入值，包括在正常报价间隔期间可观察的利率和收益率曲线、隐含波动率和信用利差等；</w:t>
      </w:r>
      <w:r>
        <w:rPr>
          <w:rFonts w:ascii="Times New Roman" w:hAnsi="Times New Roman" w:cs="Times New Roman" w:eastAsia="Times New Roman" w:hint="default"/>
        </w:rPr>
        <w:t>4</w:t>
      </w:r>
      <w:r>
        <w:rPr/>
        <w:t>）市场验证 的输入值等。</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rFonts w:ascii="Arial" w:hAnsi="Arial" w:cs="Arial" w:eastAsia="Arial" w:hint="default"/>
          <w:w w:val="105"/>
        </w:rPr>
        <w:t>1.</w:t>
      </w:r>
      <w:r>
        <w:rPr>
          <w:rFonts w:ascii="Arial" w:hAnsi="Arial" w:cs="Arial" w:eastAsia="Arial" w:hint="default"/>
          <w:spacing w:val="18"/>
          <w:w w:val="105"/>
        </w:rPr>
        <w:t> </w:t>
      </w:r>
      <w:r>
        <w:rPr>
          <w:w w:val="105"/>
        </w:rPr>
        <w:t>估值技术、输入值说明</w:t>
      </w:r>
      <w:r>
        <w:rPr>
          <w:b w:val="0"/>
          <w:bCs w:val="0"/>
          <w:w w:val="105"/>
        </w:rPr>
      </w:r>
    </w:p>
    <w:p>
      <w:pPr>
        <w:pStyle w:val="Heading6"/>
        <w:spacing w:line="240" w:lineRule="auto" w:before="13"/>
        <w:ind w:left="573" w:right="1033"/>
        <w:jc w:val="left"/>
      </w:pPr>
      <w:r>
        <w:rPr/>
        <w:t>（</w:t>
      </w:r>
      <w:r>
        <w:rPr>
          <w:rFonts w:ascii="Times New Roman" w:hAnsi="Times New Roman" w:cs="Times New Roman" w:eastAsia="Times New Roman" w:hint="default"/>
        </w:rPr>
        <w:t>1</w:t>
      </w:r>
      <w:r>
        <w:rPr/>
        <w:t>）公司计入其他权益工具投资，该类项目的主要估值技术及方法如下：</w:t>
      </w:r>
    </w:p>
    <w:p>
      <w:pPr>
        <w:pStyle w:val="Heading6"/>
        <w:spacing w:line="268" w:lineRule="auto" w:before="21"/>
        <w:ind w:right="1104" w:firstLine="420"/>
        <w:jc w:val="both"/>
      </w:pPr>
      <w:r>
        <w:rPr>
          <w:spacing w:val="-2"/>
        </w:rPr>
        <w:t>①被投资单位经营稳定，近期有新一轮融资或股权转让的，以核实后融资或股权转让价格作为公允价</w:t>
      </w:r>
      <w:r>
        <w:rPr>
          <w:w w:val="100"/>
        </w:rPr>
        <w:t> </w:t>
      </w:r>
      <w:r>
        <w:rPr>
          <w:spacing w:val="-2"/>
        </w:rPr>
        <w:t>值的确定基础；②被投资单位投后无新一轮融资，经营情况一般但在原投资预期情况内的，以原投资成本</w:t>
      </w:r>
      <w:r>
        <w:rPr>
          <w:spacing w:val="-44"/>
        </w:rPr>
        <w:t> </w:t>
      </w:r>
      <w:r>
        <w:rPr>
          <w:spacing w:val="-44"/>
        </w:rPr>
      </w:r>
      <w:r>
        <w:rPr>
          <w:spacing w:val="-3"/>
        </w:rPr>
        <w:t>作为公允价值的确定基础；③被投资单位近期无新一轮融资，但该公司已申报</w:t>
      </w:r>
      <w:r>
        <w:rPr>
          <w:rFonts w:ascii="Times New Roman" w:hAnsi="Times New Roman" w:cs="Times New Roman" w:eastAsia="Times New Roman" w:hint="default"/>
          <w:spacing w:val="-3"/>
        </w:rPr>
        <w:t>IPO</w:t>
      </w:r>
      <w:r>
        <w:rPr>
          <w:spacing w:val="-3"/>
        </w:rPr>
        <w:t>或计划近期申报，或近</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32"/>
        </w:rPr>
        <w:t> </w:t>
      </w:r>
      <w:r>
        <w:rPr>
          <w:spacing w:val="-2"/>
        </w:rPr>
        <w:t>年收益增长较高的，采用上市公司比较法作为公允价值的确定基础；④被投资单位投后无新一轮融资，投</w:t>
      </w:r>
      <w:r>
        <w:rPr>
          <w:spacing w:val="-43"/>
        </w:rPr>
        <w:t> </w:t>
      </w:r>
      <w:r>
        <w:rPr>
          <w:spacing w:val="-43"/>
        </w:rPr>
      </w:r>
      <w:r>
        <w:rPr/>
        <w:t>资时间长于</w:t>
      </w:r>
      <w:r>
        <w:rPr>
          <w:rFonts w:ascii="Times New Roman" w:hAnsi="Times New Roman" w:cs="Times New Roman" w:eastAsia="Times New Roman" w:hint="default"/>
        </w:rPr>
        <w:t>3</w:t>
      </w:r>
      <w:r>
        <w:rPr/>
        <w:t>年且经营情况不善、持续亏损的，采用基准日被投资单位报表净资产乘以持股比例作为公允</w:t>
      </w:r>
      <w:r>
        <w:rPr>
          <w:spacing w:val="-25"/>
        </w:rPr>
        <w:t> </w:t>
      </w:r>
      <w:r>
        <w:rPr>
          <w:spacing w:val="-25"/>
        </w:rPr>
      </w:r>
      <w:r>
        <w:rPr>
          <w:spacing w:val="-2"/>
        </w:rPr>
        <w:t>价值确定基础；⑤对于基金公司（创投公司）股权，有基准日基金运营报告的采用基金运营报告的基金净</w:t>
      </w:r>
      <w:r>
        <w:rPr>
          <w:spacing w:val="-47"/>
        </w:rPr>
        <w:t> </w:t>
      </w:r>
      <w:r>
        <w:rPr>
          <w:spacing w:val="-47"/>
        </w:rPr>
      </w:r>
      <w:r>
        <w:rPr>
          <w:spacing w:val="-2"/>
        </w:rPr>
        <w:t>值乘以持股比例作为公允价值的确定基础；⑥对于成立时间较短、无投资项目的基金公司（创投企业），</w:t>
      </w:r>
      <w:r>
        <w:rPr>
          <w:spacing w:val="-21"/>
        </w:rPr>
        <w:t> </w:t>
      </w:r>
      <w:r>
        <w:rPr>
          <w:spacing w:val="-21"/>
        </w:rPr>
      </w:r>
      <w:r>
        <w:rPr>
          <w:spacing w:val="-2"/>
        </w:rPr>
        <w:t>或者无法获取进一步资料的，以基准日被投资基金公司（创投企业）的财务报表净资产乘以持股比例作为</w:t>
      </w:r>
      <w:r>
        <w:rPr>
          <w:spacing w:val="-42"/>
        </w:rPr>
        <w:t> </w:t>
      </w:r>
      <w:r>
        <w:rPr>
          <w:spacing w:val="-42"/>
        </w:rPr>
      </w:r>
      <w:r>
        <w:rPr/>
        <w:t>公允价值的确定基础。</w:t>
      </w:r>
    </w:p>
    <w:p>
      <w:pPr>
        <w:pStyle w:val="Heading5"/>
        <w:spacing w:line="240" w:lineRule="auto" w:before="101"/>
        <w:ind w:right="0"/>
        <w:jc w:val="both"/>
        <w:rPr>
          <w:b w:val="0"/>
          <w:bCs w:val="0"/>
        </w:rPr>
      </w:pPr>
      <w:r>
        <w:rPr>
          <w:rFonts w:ascii="Times New Roman" w:hAnsi="Times New Roman" w:cs="Times New Roman" w:eastAsia="Times New Roman" w:hint="default"/>
        </w:rPr>
        <w:t>2.</w:t>
      </w:r>
      <w:r>
        <w:rPr/>
        <w:t>不可观察输入值信息</w:t>
      </w:r>
      <w:r>
        <w:rPr>
          <w:b w:val="0"/>
          <w:bCs w:val="0"/>
        </w:rPr>
      </w:r>
    </w:p>
    <w:p>
      <w:pPr>
        <w:spacing w:after="0" w:line="240" w:lineRule="auto"/>
        <w:jc w:val="both"/>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6" w:type="dxa"/>
        <w:tblLayout w:type="fixed"/>
        <w:tblCellMar>
          <w:top w:w="0" w:type="dxa"/>
          <w:left w:w="0" w:type="dxa"/>
          <w:bottom w:w="0" w:type="dxa"/>
          <w:right w:w="0" w:type="dxa"/>
        </w:tblCellMar>
        <w:tblLook w:val="01E0"/>
      </w:tblPr>
      <w:tblGrid>
        <w:gridCol w:w="1284"/>
        <w:gridCol w:w="1604"/>
        <w:gridCol w:w="1387"/>
        <w:gridCol w:w="2456"/>
        <w:gridCol w:w="1798"/>
      </w:tblGrid>
      <w:tr>
        <w:trPr>
          <w:trHeight w:val="668" w:hRule="exact"/>
        </w:trPr>
        <w:tc>
          <w:tcPr>
            <w:tcW w:w="12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18"/>
              <w:ind w:left="616" w:right="67" w:hanging="54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日公允 价值</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2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590" w:right="0"/>
              <w:jc w:val="left"/>
              <w:rPr>
                <w:rFonts w:ascii="宋体" w:hAnsi="宋体" w:cs="宋体" w:eastAsia="宋体" w:hint="default"/>
                <w:sz w:val="18"/>
                <w:szCs w:val="18"/>
              </w:rPr>
            </w:pPr>
            <w:r>
              <w:rPr>
                <w:rFonts w:ascii="宋体" w:hAnsi="宋体" w:cs="宋体" w:eastAsia="宋体" w:hint="default"/>
                <w:sz w:val="18"/>
                <w:szCs w:val="18"/>
              </w:rPr>
              <w:t>不可观察输入值</w:t>
            </w:r>
          </w:p>
        </w:tc>
        <w:tc>
          <w:tcPr>
            <w:tcW w:w="17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范围区间</w:t>
            </w:r>
          </w:p>
        </w:tc>
      </w:tr>
      <w:tr>
        <w:trPr>
          <w:trHeight w:val="977" w:hRule="exact"/>
        </w:trPr>
        <w:tc>
          <w:tcPr>
            <w:tcW w:w="1284" w:type="dxa"/>
            <w:tcBorders>
              <w:top w:val="single" w:sz="12" w:space="0" w:color="000000"/>
              <w:left w:val="single" w:sz="6" w:space="0" w:color="000000"/>
              <w:bottom w:val="single" w:sz="12" w:space="0" w:color="000000"/>
              <w:right w:val="single" w:sz="6" w:space="0" w:color="000000"/>
            </w:tcBorders>
          </w:tcPr>
          <w:p>
            <w:pPr>
              <w:pStyle w:val="TableParagraph"/>
              <w:spacing w:line="309" w:lineRule="auto" w:before="8"/>
              <w:ind w:left="4" w:right="2"/>
              <w:jc w:val="left"/>
              <w:rPr>
                <w:rFonts w:ascii="宋体" w:hAnsi="宋体" w:cs="宋体" w:eastAsia="宋体" w:hint="default"/>
                <w:sz w:val="18"/>
                <w:szCs w:val="18"/>
              </w:rPr>
            </w:pPr>
            <w:r>
              <w:rPr>
                <w:rFonts w:ascii="宋体" w:hAnsi="宋体" w:cs="宋体" w:eastAsia="宋体" w:hint="default"/>
                <w:sz w:val="18"/>
                <w:szCs w:val="18"/>
              </w:rPr>
              <w:t>其他权益工具投 资</w:t>
            </w:r>
            <w:r>
              <w:rPr>
                <w:rFonts w:ascii="Times New Roman" w:hAnsi="Times New Roman" w:cs="Times New Roman" w:eastAsia="Times New Roman" w:hint="default"/>
                <w:sz w:val="18"/>
                <w:szCs w:val="18"/>
              </w:rPr>
              <w:t>-</w:t>
            </w:r>
            <w:r>
              <w:rPr>
                <w:rFonts w:ascii="宋体" w:hAnsi="宋体" w:cs="宋体" w:eastAsia="宋体" w:hint="default"/>
                <w:sz w:val="18"/>
                <w:szCs w:val="18"/>
              </w:rPr>
              <w:t>非上市公司 股权投资</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50,000,000.00</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50,000,000.00</w:t>
            </w:r>
          </w:p>
        </w:tc>
        <w:tc>
          <w:tcPr>
            <w:tcW w:w="24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日公允价值</w:t>
            </w:r>
          </w:p>
        </w:tc>
        <w:tc>
          <w:tcPr>
            <w:tcW w:w="17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股权投资成本</w:t>
            </w:r>
          </w:p>
        </w:tc>
      </w:tr>
    </w:tbl>
    <w:p>
      <w:pPr>
        <w:spacing w:line="240" w:lineRule="auto" w:before="3"/>
        <w:rPr>
          <w:rFonts w:ascii="Microsoft JhengHei" w:hAnsi="Microsoft JhengHei" w:cs="Microsoft JhengHei" w:eastAsia="Microsoft JhengHei" w:hint="default"/>
          <w:b/>
          <w:bCs/>
          <w:sz w:val="6"/>
          <w:szCs w:val="6"/>
        </w:rPr>
      </w:pPr>
    </w:p>
    <w:p>
      <w:pPr>
        <w:pStyle w:val="Heading5"/>
        <w:spacing w:line="335" w:lineRule="exact"/>
        <w:ind w:right="1033"/>
        <w:jc w:val="left"/>
        <w:rPr>
          <w:b w:val="0"/>
          <w:bCs w:val="0"/>
        </w:rPr>
      </w:pPr>
      <w:r>
        <w:rPr>
          <w:rFonts w:ascii="Times New Roman" w:hAnsi="Times New Roman" w:cs="Times New Roman" w:eastAsia="Times New Roman" w:hint="default"/>
        </w:rPr>
        <w:t>3.</w:t>
      </w:r>
      <w:r>
        <w:rPr/>
        <w:t>估值流程</w:t>
      </w:r>
      <w:r>
        <w:rPr>
          <w:b w:val="0"/>
          <w:bCs w:val="0"/>
        </w:rPr>
      </w:r>
    </w:p>
    <w:p>
      <w:pPr>
        <w:pStyle w:val="Heading6"/>
        <w:spacing w:line="273" w:lineRule="auto" w:before="13"/>
        <w:ind w:right="1126" w:firstLine="420"/>
        <w:jc w:val="both"/>
      </w:pPr>
      <w:r>
        <w:rPr>
          <w:spacing w:val="-2"/>
        </w:rPr>
        <w:t>对于第三层次公允价值计量，公司制定了不同项目公允价值的估值方法，资产负债表日由投资部门按</w:t>
      </w:r>
      <w:r>
        <w:rPr>
          <w:w w:val="100"/>
        </w:rPr>
        <w:t> </w:t>
      </w:r>
      <w:r>
        <w:rPr>
          <w:spacing w:val="-2"/>
        </w:rPr>
        <w:t>照既定的方法形成估值数据并提供估值依据，财务部门按照既定的方法及投资部门提供的估值依据复核各</w:t>
      </w:r>
      <w:r>
        <w:rPr>
          <w:spacing w:val="-43"/>
        </w:rPr>
        <w:t> </w:t>
      </w:r>
      <w:r>
        <w:rPr>
          <w:spacing w:val="-43"/>
        </w:rPr>
      </w:r>
      <w:r>
        <w:rPr/>
        <w:t>项目估值数据的准确性并进行账务处理。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5"/>
        <w:spacing w:line="240" w:lineRule="auto"/>
        <w:ind w:right="103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pict>
          <v:shape style="position:absolute;margin-left:56.304001pt;margin-top:19.564419pt;width:540.5pt;height:114.5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49"/>
                    <w:gridCol w:w="1117"/>
                    <w:gridCol w:w="1111"/>
                    <w:gridCol w:w="1124"/>
                    <w:gridCol w:w="1114"/>
                    <w:gridCol w:w="1114"/>
                    <w:gridCol w:w="1114"/>
                    <w:gridCol w:w="1121"/>
                    <w:gridCol w:w="1010"/>
                  </w:tblGrid>
                  <w:tr>
                    <w:trPr>
                      <w:trHeight w:val="355" w:hRule="exact"/>
                    </w:trPr>
                    <w:tc>
                      <w:tcPr>
                        <w:tcW w:w="1949"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17" w:type="dxa"/>
                        <w:vMerge w:val="restart"/>
                        <w:tcBorders>
                          <w:top w:val="single" w:sz="6" w:space="0" w:color="000000"/>
                          <w:left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23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00" w:right="0"/>
                          <w:jc w:val="left"/>
                          <w:rPr>
                            <w:rFonts w:ascii="宋体" w:hAnsi="宋体" w:cs="宋体" w:eastAsia="宋体" w:hint="default"/>
                            <w:sz w:val="18"/>
                            <w:szCs w:val="18"/>
                          </w:rPr>
                        </w:pPr>
                        <w:r>
                          <w:rPr>
                            <w:rFonts w:ascii="宋体" w:hAnsi="宋体" w:cs="宋体" w:eastAsia="宋体" w:hint="default"/>
                            <w:sz w:val="18"/>
                            <w:szCs w:val="18"/>
                          </w:rPr>
                          <w:t>当期利得或损失总额</w:t>
                        </w:r>
                      </w:p>
                    </w:tc>
                    <w:tc>
                      <w:tcPr>
                        <w:tcW w:w="4463" w:type="dxa"/>
                        <w:gridSpan w:val="4"/>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233" w:right="0"/>
                          <w:jc w:val="left"/>
                          <w:rPr>
                            <w:rFonts w:ascii="宋体" w:hAnsi="宋体" w:cs="宋体" w:eastAsia="宋体" w:hint="default"/>
                            <w:sz w:val="18"/>
                            <w:szCs w:val="18"/>
                          </w:rPr>
                        </w:pPr>
                        <w:r>
                          <w:rPr>
                            <w:rFonts w:ascii="宋体" w:hAnsi="宋体" w:cs="宋体" w:eastAsia="宋体" w:hint="default"/>
                            <w:sz w:val="18"/>
                            <w:szCs w:val="18"/>
                          </w:rPr>
                          <w:t>购买、发行、出售和结算</w:t>
                        </w:r>
                      </w:p>
                    </w:tc>
                    <w:tc>
                      <w:tcPr>
                        <w:tcW w:w="1010" w:type="dxa"/>
                        <w:vMerge w:val="restart"/>
                        <w:tcBorders>
                          <w:top w:val="single" w:sz="6" w:space="0" w:color="000000"/>
                          <w:left w:val="single" w:sz="6" w:space="0" w:color="000000"/>
                          <w:right w:val="nil" w:sz="6" w:space="0" w:color="auto"/>
                        </w:tcBorders>
                      </w:tcPr>
                      <w:p>
                        <w:pPr>
                          <w:pStyle w:val="TableParagraph"/>
                          <w:spacing w:line="240" w:lineRule="auto" w:before="20"/>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p>
                      <w:p>
                        <w:pPr>
                          <w:pStyle w:val="TableParagraph"/>
                          <w:spacing w:line="240" w:lineRule="auto" w:before="63"/>
                          <w:ind w:left="93" w:right="0"/>
                          <w:jc w:val="center"/>
                          <w:rPr>
                            <w:rFonts w:ascii="宋体" w:hAnsi="宋体" w:cs="宋体" w:eastAsia="宋体" w:hint="default"/>
                            <w:sz w:val="18"/>
                            <w:szCs w:val="18"/>
                          </w:rPr>
                        </w:pPr>
                        <w:r>
                          <w:rPr>
                            <w:rFonts w:ascii="宋体" w:hAnsi="宋体" w:cs="宋体" w:eastAsia="宋体" w:hint="default"/>
                            <w:sz w:val="18"/>
                            <w:szCs w:val="18"/>
                          </w:rPr>
                          <w:t>日</w:t>
                        </w:r>
                      </w:p>
                    </w:tc>
                  </w:tr>
                  <w:tr>
                    <w:trPr>
                      <w:trHeight w:val="1248" w:hRule="exact"/>
                    </w:trPr>
                    <w:tc>
                      <w:tcPr>
                        <w:tcW w:w="1949" w:type="dxa"/>
                        <w:vMerge/>
                        <w:tcBorders>
                          <w:left w:val="single" w:sz="6" w:space="0" w:color="000000"/>
                          <w:bottom w:val="single" w:sz="12" w:space="0" w:color="000000"/>
                          <w:right w:val="single" w:sz="6" w:space="0" w:color="000000"/>
                        </w:tcBorders>
                      </w:tcPr>
                      <w:p>
                        <w:pPr/>
                      </w:p>
                    </w:tc>
                    <w:tc>
                      <w:tcPr>
                        <w:tcW w:w="1117" w:type="dxa"/>
                        <w:vMerge/>
                        <w:tcBorders>
                          <w:left w:val="single" w:sz="6" w:space="0" w:color="000000"/>
                          <w:bottom w:val="single" w:sz="12" w:space="0" w:color="000000"/>
                          <w:right w:val="single" w:sz="6" w:space="0" w:color="000000"/>
                        </w:tcBorders>
                      </w:tcPr>
                      <w:p>
                        <w:pPr/>
                      </w:p>
                    </w:tc>
                    <w:tc>
                      <w:tcPr>
                        <w:tcW w:w="1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89" w:right="0"/>
                          <w:jc w:val="left"/>
                          <w:rPr>
                            <w:rFonts w:ascii="宋体" w:hAnsi="宋体" w:cs="宋体" w:eastAsia="宋体" w:hint="default"/>
                            <w:sz w:val="18"/>
                            <w:szCs w:val="18"/>
                          </w:rPr>
                        </w:pPr>
                        <w:r>
                          <w:rPr>
                            <w:rFonts w:ascii="宋体" w:hAnsi="宋体" w:cs="宋体" w:eastAsia="宋体" w:hint="default"/>
                            <w:sz w:val="18"/>
                            <w:szCs w:val="18"/>
                          </w:rPr>
                          <w:t>计入损益</w:t>
                        </w:r>
                      </w:p>
                    </w:tc>
                    <w:tc>
                      <w:tcPr>
                        <w:tcW w:w="112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374" w:right="12" w:hanging="361"/>
                          <w:jc w:val="left"/>
                          <w:rPr>
                            <w:rFonts w:ascii="宋体" w:hAnsi="宋体" w:cs="宋体" w:eastAsia="宋体" w:hint="default"/>
                            <w:sz w:val="18"/>
                            <w:szCs w:val="18"/>
                          </w:rPr>
                        </w:pPr>
                        <w:r>
                          <w:rPr>
                            <w:rFonts w:ascii="宋体" w:hAnsi="宋体" w:cs="宋体" w:eastAsia="宋体" w:hint="default"/>
                            <w:sz w:val="18"/>
                            <w:szCs w:val="18"/>
                          </w:rPr>
                          <w:t>计入其他综合 收益</w:t>
                        </w:r>
                      </w:p>
                    </w:tc>
                    <w:tc>
                      <w:tcPr>
                        <w:tcW w:w="11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1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w:t>
                        </w:r>
                      </w:p>
                    </w:tc>
                    <w:tc>
                      <w:tcPr>
                        <w:tcW w:w="11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11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结算</w:t>
                        </w:r>
                      </w:p>
                    </w:tc>
                    <w:tc>
                      <w:tcPr>
                        <w:tcW w:w="1010" w:type="dxa"/>
                        <w:vMerge/>
                        <w:tcBorders>
                          <w:left w:val="single" w:sz="6" w:space="0" w:color="000000"/>
                          <w:bottom w:val="single" w:sz="12" w:space="0" w:color="000000"/>
                          <w:right w:val="nil" w:sz="6" w:space="0" w:color="auto"/>
                        </w:tcBorders>
                      </w:tcPr>
                      <w:p>
                        <w:pPr/>
                      </w:p>
                    </w:tc>
                  </w:tr>
                  <w:tr>
                    <w:trPr>
                      <w:trHeight w:val="665"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4" w:right="67"/>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非上 市公司股权投资</w:t>
                        </w:r>
                      </w:p>
                    </w:tc>
                    <w:tc>
                      <w:tcPr>
                        <w:tcW w:w="11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64" w:right="0"/>
                          <w:jc w:val="left"/>
                          <w:rPr>
                            <w:rFonts w:ascii="Times New Roman" w:hAnsi="Times New Roman" w:cs="Times New Roman" w:eastAsia="Times New Roman" w:hint="default"/>
                            <w:sz w:val="18"/>
                            <w:szCs w:val="18"/>
                          </w:rPr>
                        </w:pPr>
                        <w:r>
                          <w:rPr>
                            <w:rFonts w:ascii="Times New Roman"/>
                            <w:sz w:val="18"/>
                          </w:rPr>
                          <w:t>50,000,000.00</w:t>
                        </w:r>
                      </w:p>
                    </w:tc>
                    <w:tc>
                      <w:tcPr>
                        <w:tcW w:w="1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1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1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0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62" w:right="-5"/>
                          <w:jc w:val="left"/>
                          <w:rPr>
                            <w:rFonts w:ascii="Times New Roman" w:hAnsi="Times New Roman" w:cs="Times New Roman" w:eastAsia="Times New Roman" w:hint="default"/>
                            <w:sz w:val="18"/>
                            <w:szCs w:val="18"/>
                          </w:rPr>
                        </w:pPr>
                        <w:r>
                          <w:rPr>
                            <w:rFonts w:ascii="Times New Roman"/>
                            <w:sz w:val="18"/>
                          </w:rPr>
                          <w:t>50,000,000.0</w:t>
                        </w:r>
                      </w:p>
                    </w:tc>
                  </w:tr>
                </w:tbl>
                <w:p>
                  <w:pPr/>
                </w:p>
              </w:txbxContent>
            </v:textbox>
            <w10:wrap type="none"/>
          </v:shape>
        </w:pict>
      </w:r>
      <w:r>
        <w:rPr>
          <w:rFonts w:ascii="Arial" w:hAnsi="Arial" w:cs="Arial" w:eastAsia="Arial" w:hint="default"/>
        </w:rPr>
        <w:t>1.  </w:t>
      </w:r>
      <w:r>
        <w:rPr>
          <w:rFonts w:ascii="Arial" w:hAnsi="Arial" w:cs="Arial" w:eastAsia="Arial" w:hint="default"/>
          <w:spacing w:val="22"/>
        </w:rPr>
        <w:t> </w:t>
      </w:r>
      <w:r>
        <w:rPr/>
        <w:t>期初与期末账面价值间的的调节信息</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5"/>
          <w:szCs w:val="25"/>
        </w:rPr>
      </w:pPr>
    </w:p>
    <w:p>
      <w:pPr>
        <w:pStyle w:val="Heading5"/>
        <w:spacing w:line="335" w:lineRule="exact"/>
        <w:ind w:right="103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403" w:lineRule="auto"/>
        <w:ind w:right="1753"/>
        <w:jc w:val="left"/>
        <w:rPr>
          <w:b w:val="0"/>
          <w:bCs w:val="0"/>
        </w:rPr>
      </w:pPr>
      <w:r>
        <w:rPr>
          <w:rFonts w:ascii="Times New Roman" w:hAnsi="Times New Roman" w:cs="Times New Roman" w:eastAsia="Times New Roman" w:hint="default"/>
        </w:rPr>
        <w:t>7</w:t>
      </w:r>
      <w:r>
        <w:rPr/>
        <w:t>、本期内发生的估值技术变更及变更原因</w:t>
      </w:r>
      <w:r>
        <w:rPr>
          <w:spacing w:val="-37"/>
        </w:rPr>
        <w:t> </w:t>
      </w:r>
      <w:r>
        <w:rPr>
          <w:spacing w:val="-37"/>
        </w:rPr>
      </w:r>
      <w:r>
        <w:rPr/>
        <w:t>本公司金融工具的公允价值估值技术在本年度未发生变更</w:t>
      </w:r>
      <w:r>
        <w:rPr>
          <w:b w:val="0"/>
          <w:bCs w:val="0"/>
        </w:rPr>
      </w:r>
    </w:p>
    <w:p>
      <w:pPr>
        <w:spacing w:line="240" w:lineRule="auto" w:before="3"/>
        <w:rPr>
          <w:rFonts w:ascii="Microsoft JhengHei" w:hAnsi="Microsoft JhengHei" w:cs="Microsoft JhengHei" w:eastAsia="Microsoft JhengHei" w:hint="default"/>
          <w:b/>
          <w:bCs/>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6"/>
        <w:spacing w:line="273" w:lineRule="auto" w:before="0"/>
        <w:ind w:right="1033"/>
        <w:jc w:val="left"/>
      </w:pPr>
      <w:r>
        <w:rPr>
          <w:spacing w:val="-2"/>
        </w:rPr>
        <w:t>不以公允价值计量的金融资产和负债主要包括：应收款项、短期借款、应付款项、应付债券，上述不以公</w:t>
      </w:r>
      <w:r>
        <w:rPr>
          <w:spacing w:val="-43"/>
        </w:rPr>
        <w:t> </w:t>
      </w:r>
      <w:r>
        <w:rPr>
          <w:spacing w:val="-43"/>
        </w:rPr>
      </w:r>
      <w:r>
        <w:rPr/>
        <w:t>允价值计量的金融资产和负债的账面价值与公允价值相差很小</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4"/>
        <w:spacing w:line="240" w:lineRule="auto"/>
        <w:ind w:right="1033"/>
        <w:jc w:val="left"/>
        <w:rPr>
          <w:b w:val="0"/>
          <w:bCs w:val="0"/>
        </w:rPr>
      </w:pPr>
      <w:r>
        <w:rPr/>
        <w:t>十二、关联方及关联交易</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2" w:right="71"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49"/>
        <w:ind w:right="8413"/>
        <w:jc w:val="left"/>
      </w:pPr>
      <w:r>
        <w:rPr/>
        <w:t>本企业的母公司情况的说明 本企业最终控制方是。 其他说明：</w:t>
      </w:r>
    </w:p>
    <w:p>
      <w:pPr>
        <w:spacing w:line="240" w:lineRule="auto" w:before="5"/>
        <w:rPr>
          <w:rFonts w:ascii="宋体" w:hAnsi="宋体" w:cs="宋体" w:eastAsia="宋体" w:hint="default"/>
          <w:sz w:val="15"/>
          <w:szCs w:val="15"/>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t>本企业子公司的情况详见附注。</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2293"/>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深圳市新国都金服技术有限公司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本公司持股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tc>
      </w:tr>
    </w:tbl>
    <w:p>
      <w:pPr>
        <w:pStyle w:val="BodyText"/>
        <w:spacing w:line="240" w:lineRule="auto" w:before="68"/>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信美人寿相互保险社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本公司高管江勇之配偶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陈文辉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本公司之子公司长沙公信诚丰信息技术服务有限公司的董事</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武汉末微技术服务有限公司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持有本公司子公司深圳市新国都末微技术服务有限公司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深圳市信联征信有限公司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联营公司之子公司</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3"/>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7"/>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深圳市新国都金服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数据服务成本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634,677.02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634,677.02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0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深圳市新国都金服技术有限公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数据业务收入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900,764.30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深圳市信联征信有限公司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场地使用费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895,320.99</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1,796,085.29</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033"/>
        <w:jc w:val="left"/>
      </w:pPr>
      <w:r>
        <w:rPr/>
        <w:t>购销商品、提供和接受劳务的关联交易说明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pStyle w:val="BodyText"/>
        <w:spacing w:line="338" w:lineRule="auto" w:before="49"/>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033"/>
        <w:jc w:val="left"/>
      </w:pPr>
      <w:r>
        <w:rPr/>
        <w:t>关联管理</w:t>
      </w:r>
      <w:r>
        <w:rPr>
          <w:rFonts w:ascii="Times New Roman" w:hAnsi="Times New Roman" w:cs="Times New Roman" w:eastAsia="Times New Roman" w:hint="default"/>
        </w:rPr>
        <w:t>/</w:t>
      </w:r>
      <w:r>
        <w:rPr/>
        <w:t>出包情况说明</w:t>
      </w:r>
    </w:p>
    <w:p>
      <w:pPr>
        <w:spacing w:line="240" w:lineRule="auto" w:before="11"/>
        <w:rPr>
          <w:rFonts w:ascii="宋体" w:hAnsi="宋体" w:cs="宋体" w:eastAsia="宋体" w:hint="default"/>
          <w:sz w:val="20"/>
          <w:szCs w:val="20"/>
        </w:rPr>
      </w:pPr>
    </w:p>
    <w:p>
      <w:pPr>
        <w:pStyle w:val="Heading5"/>
        <w:spacing w:line="240" w:lineRule="auto"/>
        <w:ind w:right="10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t>本公司作为出租方：</w:t>
      </w:r>
    </w:p>
    <w:p>
      <w:pPr>
        <w:pStyle w:val="BodyText"/>
        <w:spacing w:line="240" w:lineRule="auto" w:before="117"/>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1033"/>
        <w:jc w:val="left"/>
      </w:pPr>
      <w:r>
        <w:rPr/>
        <w:t>本公司作为承租方：</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603,876.51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759,942.90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93,188.24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139,784.89</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陈文辉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717,432.44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472,206.90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1,414,497.19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1,371,934.69</w:t>
            </w:r>
          </w:p>
        </w:tc>
      </w:tr>
    </w:tbl>
    <w:p>
      <w:pPr>
        <w:pStyle w:val="BodyText"/>
        <w:spacing w:line="240" w:lineRule="auto" w:before="49"/>
        <w:ind w:right="1033"/>
        <w:jc w:val="left"/>
      </w:pPr>
      <w:r>
        <w:rPr/>
        <w:t>关联租赁情况说明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t>本公司作为担保方</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033"/>
        <w:jc w:val="left"/>
      </w:pPr>
      <w:r>
        <w:rPr/>
        <w:t>本公司作为被担保方</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5"/>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0"/>
        <w:ind w:right="0"/>
        <w:jc w:val="both"/>
      </w:pPr>
      <w:r>
        <w:rPr/>
        <w:t>关联担保情况说明</w:t>
      </w:r>
    </w:p>
    <w:p>
      <w:pPr>
        <w:pStyle w:val="Heading6"/>
        <w:spacing w:line="256" w:lineRule="auto" w:before="94"/>
        <w:ind w:right="1128"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日，本公司与广发银行股份有限公司深圳分行签署了编号为</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）深银综授额</w:t>
      </w:r>
      <w:r>
        <w:rPr>
          <w:w w:val="100"/>
        </w:rPr>
        <w:t> </w:t>
      </w:r>
      <w:r>
        <w:rPr>
          <w:spacing w:val="-3"/>
        </w:rPr>
        <w:t>字第</w:t>
      </w:r>
      <w:r>
        <w:rPr>
          <w:rFonts w:ascii="Times New Roman" w:hAnsi="Times New Roman" w:cs="Times New Roman" w:eastAsia="Times New Roman" w:hint="default"/>
          <w:spacing w:val="-3"/>
        </w:rPr>
        <w:t>000031</w:t>
      </w:r>
      <w:r>
        <w:rPr>
          <w:spacing w:val="-3"/>
        </w:rPr>
        <w:t>号</w:t>
      </w:r>
      <w:r>
        <w:rPr>
          <w:rFonts w:ascii="Times New Roman" w:hAnsi="Times New Roman" w:cs="Times New Roman" w:eastAsia="Times New Roman" w:hint="default"/>
          <w:spacing w:val="-3"/>
        </w:rPr>
        <w:t>”</w:t>
      </w:r>
      <w:r>
        <w:rPr>
          <w:spacing w:val="-3"/>
        </w:rPr>
        <w:t>《授信额度合同》，根据该合同，该行向本公司提供人民币</w:t>
      </w:r>
      <w:r>
        <w:rPr>
          <w:rFonts w:ascii="Times New Roman" w:hAnsi="Times New Roman" w:cs="Times New Roman" w:eastAsia="Times New Roman" w:hint="default"/>
          <w:spacing w:val="-3"/>
        </w:rPr>
        <w:t>30,000</w:t>
      </w:r>
      <w:r>
        <w:rPr>
          <w:spacing w:val="-3"/>
        </w:rPr>
        <w:t>万元的授信额度以及人民</w:t>
      </w:r>
      <w:r>
        <w:rPr>
          <w:spacing w:val="-22"/>
        </w:rPr>
        <w:t> </w:t>
      </w:r>
      <w:r>
        <w:rPr>
          <w:spacing w:val="-22"/>
        </w:rPr>
      </w:r>
      <w:r>
        <w:rPr>
          <w:spacing w:val="-1"/>
        </w:rPr>
        <w:t>币</w:t>
      </w:r>
      <w:r>
        <w:rPr>
          <w:rFonts w:ascii="Times New Roman" w:hAnsi="Times New Roman" w:cs="Times New Roman" w:eastAsia="Times New Roman" w:hint="default"/>
          <w:spacing w:val="-1"/>
        </w:rPr>
        <w:t>10,000</w:t>
      </w:r>
      <w:r>
        <w:rPr>
          <w:spacing w:val="-1"/>
        </w:rPr>
        <w:t>万元的授信额度敞口，授信期限自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28</w:t>
      </w:r>
      <w:r>
        <w:rPr>
          <w:spacing w:val="-1"/>
        </w:rPr>
        <w:t>日起至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27</w:t>
      </w:r>
      <w:r>
        <w:rPr>
          <w:spacing w:val="-1"/>
        </w:rPr>
        <w:t>日止。本公司、本公司实际控</w:t>
      </w:r>
      <w:r>
        <w:rPr>
          <w:spacing w:val="-22"/>
        </w:rPr>
        <w:t> </w:t>
      </w:r>
      <w:r>
        <w:rPr>
          <w:spacing w:val="-22"/>
        </w:rPr>
      </w:r>
      <w:r>
        <w:rPr>
          <w:spacing w:val="-4"/>
        </w:rPr>
        <w:t>制人刘祥分别与广发银行股份有限公司深圳分行签订了编号为：（</w:t>
      </w:r>
      <w:r>
        <w:rPr>
          <w:rFonts w:ascii="Times New Roman" w:hAnsi="Times New Roman" w:cs="Times New Roman" w:eastAsia="Times New Roman" w:hint="default"/>
          <w:spacing w:val="-4"/>
        </w:rPr>
        <w:t>2018</w:t>
      </w:r>
      <w:r>
        <w:rPr>
          <w:spacing w:val="-4"/>
        </w:rPr>
        <w:t>）深银综授额字第</w:t>
      </w:r>
      <w:r>
        <w:rPr>
          <w:rFonts w:ascii="Times New Roman" w:hAnsi="Times New Roman" w:cs="Times New Roman" w:eastAsia="Times New Roman" w:hint="default"/>
          <w:spacing w:val="-4"/>
        </w:rPr>
        <w:t>000031</w:t>
      </w:r>
      <w:r>
        <w:rPr>
          <w:spacing w:val="-4"/>
        </w:rPr>
        <w:t>号</w:t>
      </w:r>
      <w:r>
        <w:rPr>
          <w:rFonts w:ascii="Times New Roman" w:hAnsi="Times New Roman" w:cs="Times New Roman" w:eastAsia="Times New Roman" w:hint="default"/>
          <w:spacing w:val="-4"/>
        </w:rPr>
        <w:t>-</w:t>
      </w:r>
      <w:r>
        <w:rPr>
          <w:spacing w:val="-4"/>
        </w:rPr>
        <w:t>担保</w:t>
      </w:r>
      <w:r>
        <w:rPr>
          <w:rFonts w:ascii="Times New Roman" w:hAnsi="Times New Roman" w:cs="Times New Roman" w:eastAsia="Times New Roman" w:hint="default"/>
          <w:spacing w:val="-4"/>
        </w:rPr>
        <w:t>02</w:t>
      </w:r>
      <w:r>
        <w:rPr>
          <w:rFonts w:ascii="Times New Roman" w:hAnsi="Times New Roman" w:cs="Times New Roman" w:eastAsia="Times New Roman" w:hint="default"/>
          <w:spacing w:val="3"/>
        </w:rPr>
        <w:t> </w:t>
      </w:r>
      <w:r>
        <w:rPr>
          <w:spacing w:val="-4"/>
        </w:rPr>
        <w:t>的《最高额保证金质押合同》、（</w:t>
      </w:r>
      <w:r>
        <w:rPr>
          <w:rFonts w:ascii="Times New Roman" w:hAnsi="Times New Roman" w:cs="Times New Roman" w:eastAsia="Times New Roman" w:hint="default"/>
          <w:spacing w:val="-4"/>
        </w:rPr>
        <w:t>2018</w:t>
      </w:r>
      <w:r>
        <w:rPr>
          <w:spacing w:val="-4"/>
        </w:rPr>
        <w:t>）深银综授额字第</w:t>
      </w:r>
      <w:r>
        <w:rPr>
          <w:rFonts w:ascii="Times New Roman" w:hAnsi="Times New Roman" w:cs="Times New Roman" w:eastAsia="Times New Roman" w:hint="default"/>
          <w:spacing w:val="-4"/>
        </w:rPr>
        <w:t>000031</w:t>
      </w:r>
      <w:r>
        <w:rPr>
          <w:spacing w:val="-4"/>
        </w:rPr>
        <w:t>号</w:t>
      </w:r>
      <w:r>
        <w:rPr>
          <w:rFonts w:ascii="Times New Roman" w:hAnsi="Times New Roman" w:cs="Times New Roman" w:eastAsia="Times New Roman" w:hint="default"/>
          <w:spacing w:val="-4"/>
        </w:rPr>
        <w:t>-</w:t>
      </w:r>
      <w:r>
        <w:rPr>
          <w:spacing w:val="-4"/>
        </w:rPr>
        <w:t>担保</w:t>
      </w:r>
      <w:r>
        <w:rPr>
          <w:rFonts w:ascii="Times New Roman" w:hAnsi="Times New Roman" w:cs="Times New Roman" w:eastAsia="Times New Roman" w:hint="default"/>
          <w:spacing w:val="-4"/>
        </w:rPr>
        <w:t>01</w:t>
      </w:r>
      <w:r>
        <w:rPr>
          <w:spacing w:val="-4"/>
        </w:rPr>
        <w:t>的《最高额保证合同》，对前述</w:t>
      </w:r>
      <w:r>
        <w:rPr>
          <w:spacing w:val="-1"/>
        </w:rPr>
        <w:t> </w:t>
      </w:r>
      <w:r>
        <w:rPr>
          <w:spacing w:val="-1"/>
        </w:rPr>
      </w:r>
      <w:r>
        <w:rPr/>
        <w:t>授信合同提供担保。</w:t>
      </w:r>
    </w:p>
    <w:p>
      <w:pPr>
        <w:pStyle w:val="Heading6"/>
        <w:spacing w:line="240" w:lineRule="auto" w:before="23"/>
        <w:ind w:left="573" w:right="1033"/>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 </w:t>
      </w:r>
      <w:r>
        <w:rPr>
          <w:rFonts w:ascii="Times New Roman" w:hAnsi="Times New Roman" w:cs="Times New Roman" w:eastAsia="Times New Roman" w:hint="default"/>
        </w:rPr>
        <w:t>4</w:t>
      </w:r>
      <w:r>
        <w:rPr/>
        <w:t>日，本公司与中国光大银行股份有限公司深圳分行签署了编号为</w:t>
      </w:r>
      <w:r>
        <w:rPr>
          <w:rFonts w:ascii="Times New Roman" w:hAnsi="Times New Roman" w:cs="Times New Roman" w:eastAsia="Times New Roman" w:hint="default"/>
        </w:rPr>
        <w:t>“ZH</w:t>
      </w:r>
      <w:r>
        <w:rPr>
          <w:rFonts w:ascii="Times New Roman" w:hAnsi="Times New Roman" w:cs="Times New Roman" w:eastAsia="Times New Roman" w:hint="default"/>
          <w:spacing w:val="-24"/>
        </w:rPr>
        <w:t> </w:t>
      </w:r>
      <w:r>
        <w:rPr>
          <w:rFonts w:ascii="Times New Roman" w:hAnsi="Times New Roman" w:cs="Times New Roman" w:eastAsia="Times New Roman" w:hint="default"/>
        </w:rPr>
        <w:t>39181808004”</w:t>
      </w:r>
    </w:p>
    <w:p>
      <w:pPr>
        <w:pStyle w:val="Heading6"/>
        <w:spacing w:line="256" w:lineRule="auto" w:before="21"/>
        <w:ind w:right="1126"/>
        <w:jc w:val="both"/>
      </w:pPr>
      <w:r>
        <w:rPr>
          <w:spacing w:val="-1"/>
        </w:rPr>
        <w:t>《综合授信协议》，根据该合同，该行向本公司提供人民币</w:t>
      </w:r>
      <w:r>
        <w:rPr>
          <w:rFonts w:ascii="Times New Roman" w:hAnsi="Times New Roman" w:cs="Times New Roman" w:eastAsia="Times New Roman" w:hint="default"/>
          <w:spacing w:val="-1"/>
        </w:rPr>
        <w:t>20,000</w:t>
      </w:r>
      <w:r>
        <w:rPr>
          <w:spacing w:val="-1"/>
        </w:rPr>
        <w:t>万元的综合授信额度，授信期限自</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w:t>
      </w:r>
      <w:r>
        <w:rPr>
          <w:spacing w:val="-2"/>
        </w:rPr>
        <w:t>日止。本公司实际控制人刘祥与中国光大银行股份有限公司深圳分行签订了编号</w:t>
      </w:r>
      <w:r>
        <w:rPr>
          <w:spacing w:val="-37"/>
        </w:rPr>
        <w:t> </w:t>
      </w:r>
      <w:r>
        <w:rPr>
          <w:spacing w:val="-37"/>
        </w:rPr>
      </w:r>
      <w:r>
        <w:rPr/>
        <w:t>为：</w:t>
      </w:r>
      <w:r>
        <w:rPr>
          <w:rFonts w:ascii="Times New Roman" w:hAnsi="Times New Roman" w:cs="Times New Roman" w:eastAsia="Times New Roman" w:hint="default"/>
        </w:rPr>
        <w:t>“GB39181808004”</w:t>
      </w:r>
      <w:r>
        <w:rPr/>
        <w:t>的《最高额保证合同》，对前述授信合同提供担保。</w:t>
      </w:r>
    </w:p>
    <w:p>
      <w:pPr>
        <w:pStyle w:val="Heading6"/>
        <w:spacing w:line="256" w:lineRule="auto" w:before="5"/>
        <w:ind w:right="1126" w:firstLine="42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日，本公司与珠海华润银行股份有限公司深圳分行签署了编号为</w:t>
      </w:r>
      <w:r>
        <w:rPr>
          <w:rFonts w:ascii="Times New Roman" w:hAnsi="Times New Roman" w:cs="Times New Roman" w:eastAsia="Times New Roman" w:hint="default"/>
          <w:spacing w:val="-2"/>
        </w:rPr>
        <w:t>“</w:t>
      </w:r>
      <w:r>
        <w:rPr>
          <w:spacing w:val="-2"/>
        </w:rPr>
        <w:t>华银（</w:t>
      </w:r>
      <w:r>
        <w:rPr>
          <w:rFonts w:ascii="Times New Roman" w:hAnsi="Times New Roman" w:cs="Times New Roman" w:eastAsia="Times New Roman" w:hint="default"/>
          <w:spacing w:val="-2"/>
        </w:rPr>
        <w:t>2018</w:t>
      </w:r>
      <w:r>
        <w:rPr>
          <w:spacing w:val="-2"/>
        </w:rPr>
        <w:t>）深综</w:t>
      </w:r>
      <w:r>
        <w:rPr>
          <w:w w:val="100"/>
        </w:rPr>
        <w:t> </w:t>
      </w:r>
      <w:r>
        <w:rPr>
          <w:spacing w:val="-1"/>
        </w:rPr>
        <w:t>字（上金）第</w:t>
      </w:r>
      <w:r>
        <w:rPr>
          <w:rFonts w:ascii="Times New Roman" w:hAnsi="Times New Roman" w:cs="Times New Roman" w:eastAsia="Times New Roman" w:hint="default"/>
          <w:spacing w:val="-1"/>
        </w:rPr>
        <w:t>007</w:t>
      </w:r>
      <w:r>
        <w:rPr>
          <w:spacing w:val="-1"/>
        </w:rPr>
        <w:t>号</w:t>
      </w:r>
      <w:r>
        <w:rPr>
          <w:rFonts w:ascii="Times New Roman" w:hAnsi="Times New Roman" w:cs="Times New Roman" w:eastAsia="Times New Roman" w:hint="default"/>
          <w:spacing w:val="-1"/>
        </w:rPr>
        <w:t>”</w:t>
      </w:r>
      <w:r>
        <w:rPr>
          <w:spacing w:val="-1"/>
        </w:rPr>
        <w:t>《综合授信合同》，根据该合同，该行向本公司提供人民币</w:t>
      </w:r>
      <w:r>
        <w:rPr>
          <w:rFonts w:ascii="Times New Roman" w:hAnsi="Times New Roman" w:cs="Times New Roman" w:eastAsia="Times New Roman" w:hint="default"/>
          <w:spacing w:val="-1"/>
        </w:rPr>
        <w:t>10,000</w:t>
      </w:r>
      <w:r>
        <w:rPr>
          <w:spacing w:val="-1"/>
        </w:rPr>
        <w:t>万元的综合授信额</w:t>
      </w:r>
      <w:r>
        <w:rPr>
          <w:spacing w:val="-16"/>
        </w:rPr>
        <w:t> </w:t>
      </w:r>
      <w:r>
        <w:rPr>
          <w:spacing w:val="-16"/>
        </w:rPr>
      </w:r>
      <w:r>
        <w:rPr>
          <w:spacing w:val="-2"/>
        </w:rPr>
        <w:t>度，授信期限自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7</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日止。本公司实际控制人刘祥与珠海华润银行股份有限公司</w:t>
      </w:r>
      <w:r>
        <w:rPr>
          <w:spacing w:val="-37"/>
        </w:rPr>
        <w:t> </w:t>
      </w:r>
      <w:r>
        <w:rPr>
          <w:spacing w:val="-37"/>
        </w:rPr>
      </w:r>
      <w:r>
        <w:rPr/>
        <w:t>深圳分行签订了编号为：华银（</w:t>
      </w:r>
      <w:r>
        <w:rPr>
          <w:rFonts w:ascii="Times New Roman" w:hAnsi="Times New Roman" w:cs="Times New Roman" w:eastAsia="Times New Roman" w:hint="default"/>
        </w:rPr>
        <w:t>2018</w:t>
      </w:r>
      <w:r>
        <w:rPr/>
        <w:t>）深额保字（上金）第</w:t>
      </w:r>
      <w:r>
        <w:rPr>
          <w:rFonts w:ascii="Times New Roman" w:hAnsi="Times New Roman" w:cs="Times New Roman" w:eastAsia="Times New Roman" w:hint="default"/>
        </w:rPr>
        <w:t>007</w:t>
      </w:r>
      <w:r>
        <w:rPr/>
        <w:t>号最高额保证合同，对前述授信合同提供</w:t>
      </w:r>
      <w:r>
        <w:rPr>
          <w:spacing w:val="-27"/>
        </w:rPr>
        <w:t> </w:t>
      </w:r>
      <w:r>
        <w:rPr>
          <w:spacing w:val="-27"/>
        </w:rPr>
      </w:r>
      <w:r>
        <w:rPr/>
        <w:t>担保。</w:t>
      </w:r>
    </w:p>
    <w:p>
      <w:pPr>
        <w:pStyle w:val="Heading6"/>
        <w:spacing w:line="256" w:lineRule="auto" w:before="22"/>
        <w:ind w:right="1063" w:firstLine="42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日，本公司与中国银行股份有限公司深圳龙岗支行签署了编号为</w:t>
      </w:r>
      <w:r>
        <w:rPr>
          <w:rFonts w:ascii="Times New Roman" w:hAnsi="Times New Roman" w:cs="Times New Roman" w:eastAsia="Times New Roman" w:hint="default"/>
        </w:rPr>
        <w:t>“2018</w:t>
      </w:r>
      <w:r>
        <w:rPr/>
        <w:t>圳中银岗额</w:t>
      </w:r>
      <w:r>
        <w:rPr>
          <w:w w:val="100"/>
        </w:rPr>
        <w:t> </w:t>
      </w:r>
      <w:r>
        <w:rPr>
          <w:spacing w:val="-2"/>
        </w:rPr>
        <w:t>协字第</w:t>
      </w:r>
      <w:r>
        <w:rPr>
          <w:rFonts w:ascii="Times New Roman" w:hAnsi="Times New Roman" w:cs="Times New Roman" w:eastAsia="Times New Roman" w:hint="default"/>
          <w:spacing w:val="-2"/>
        </w:rPr>
        <w:t>0000036</w:t>
      </w:r>
      <w:r>
        <w:rPr>
          <w:spacing w:val="-2"/>
        </w:rPr>
        <w:t>号</w:t>
      </w:r>
      <w:r>
        <w:rPr>
          <w:rFonts w:ascii="Times New Roman" w:hAnsi="Times New Roman" w:cs="Times New Roman" w:eastAsia="Times New Roman" w:hint="default"/>
          <w:spacing w:val="-2"/>
        </w:rPr>
        <w:t>”</w:t>
      </w:r>
      <w:r>
        <w:rPr>
          <w:spacing w:val="-2"/>
        </w:rPr>
        <w:t>《授信额度协议》，根据该合同，该行向本公司提供人民币</w:t>
      </w:r>
      <w:r>
        <w:rPr>
          <w:rFonts w:ascii="Times New Roman" w:hAnsi="Times New Roman" w:cs="Times New Roman" w:eastAsia="Times New Roman" w:hint="default"/>
          <w:spacing w:val="-2"/>
        </w:rPr>
        <w:t>6,000</w:t>
      </w:r>
      <w:r>
        <w:rPr>
          <w:spacing w:val="-2"/>
        </w:rPr>
        <w:t>万元的综合授信额度，</w:t>
      </w:r>
      <w:r>
        <w:rPr>
          <w:spacing w:val="-9"/>
        </w:rPr>
        <w:t> </w:t>
      </w:r>
      <w:r>
        <w:rPr>
          <w:spacing w:val="-9"/>
        </w:rPr>
      </w:r>
      <w:r>
        <w:rPr>
          <w:spacing w:val="-2"/>
        </w:rPr>
        <w:t>授信期限自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5</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4</w:t>
      </w:r>
      <w:r>
        <w:rPr>
          <w:spacing w:val="-2"/>
        </w:rPr>
        <w:t>日止。本公司实际控制人刘祥与中国银行股份有限公司深圳龙</w:t>
      </w:r>
      <w:r>
        <w:rPr>
          <w:spacing w:val="-33"/>
        </w:rPr>
        <w:t> </w:t>
      </w:r>
      <w:r>
        <w:rPr>
          <w:spacing w:val="-33"/>
        </w:rPr>
      </w:r>
      <w:r>
        <w:rPr/>
        <w:t>岗支行签订了编号为：</w:t>
      </w:r>
      <w:r>
        <w:rPr>
          <w:rFonts w:ascii="Times New Roman" w:hAnsi="Times New Roman" w:cs="Times New Roman" w:eastAsia="Times New Roman" w:hint="default"/>
        </w:rPr>
        <w:t>2018</w:t>
      </w:r>
      <w:r>
        <w:rPr/>
        <w:t>圳中银岗额保字第</w:t>
      </w:r>
      <w:r>
        <w:rPr>
          <w:rFonts w:ascii="Times New Roman" w:hAnsi="Times New Roman" w:cs="Times New Roman" w:eastAsia="Times New Roman" w:hint="default"/>
        </w:rPr>
        <w:t>0000036</w:t>
      </w:r>
      <w:r>
        <w:rPr/>
        <w:t>号最高额保证合同，对前述授信合同提供担保。</w:t>
      </w:r>
    </w:p>
    <w:p>
      <w:pPr>
        <w:pStyle w:val="Heading6"/>
        <w:spacing w:line="256" w:lineRule="auto" w:before="5"/>
        <w:ind w:right="1128" w:firstLine="42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日，本公司与华夏银行股份有限公司深圳泰然支行签署了编号为</w:t>
      </w:r>
      <w:r>
        <w:rPr>
          <w:rFonts w:ascii="Times New Roman" w:hAnsi="Times New Roman" w:cs="Times New Roman" w:eastAsia="Times New Roman" w:hint="default"/>
          <w:spacing w:val="2"/>
        </w:rPr>
        <w:t>SZ03</w:t>
      </w:r>
      <w:r>
        <w:rPr>
          <w:spacing w:val="2"/>
        </w:rPr>
        <w:t>（融资）</w:t>
      </w:r>
      <w:r>
        <w:rPr>
          <w:w w:val="100"/>
        </w:rPr>
        <w:t> </w:t>
      </w:r>
      <w:r>
        <w:rPr>
          <w:rFonts w:ascii="Times New Roman" w:hAnsi="Times New Roman" w:cs="Times New Roman" w:eastAsia="Times New Roman" w:hint="default"/>
          <w:spacing w:val="-3"/>
        </w:rPr>
        <w:t>20180022</w:t>
      </w:r>
      <w:r>
        <w:rPr>
          <w:spacing w:val="-3"/>
        </w:rPr>
        <w:t>的《最高额融资合同》，根据该合同，该行向本公司提供人民币</w:t>
      </w:r>
      <w:r>
        <w:rPr>
          <w:rFonts w:ascii="Times New Roman" w:hAnsi="Times New Roman" w:cs="Times New Roman" w:eastAsia="Times New Roman" w:hint="default"/>
          <w:spacing w:val="-3"/>
        </w:rPr>
        <w:t>4,500</w:t>
      </w:r>
      <w:r>
        <w:rPr>
          <w:spacing w:val="-3"/>
        </w:rPr>
        <w:t>万元的综合授信额度，授信</w:t>
      </w:r>
      <w:r>
        <w:rPr>
          <w:spacing w:val="-37"/>
        </w:rPr>
        <w:t> </w:t>
      </w:r>
      <w:r>
        <w:rPr>
          <w:spacing w:val="-37"/>
        </w:rPr>
      </w:r>
      <w:r>
        <w:rPr>
          <w:spacing w:val="-2"/>
        </w:rPr>
        <w:t>期限自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日止。本公司实际控制人刘祥与华夏银行股份有限公司深圳泰然支行</w:t>
      </w:r>
      <w:r>
        <w:rPr>
          <w:spacing w:val="-34"/>
        </w:rPr>
        <w:t> </w:t>
      </w:r>
      <w:r>
        <w:rPr>
          <w:spacing w:val="-34"/>
        </w:rPr>
      </w:r>
      <w:r>
        <w:rPr/>
        <w:t>签订了编号为：</w:t>
      </w:r>
      <w:r>
        <w:rPr>
          <w:rFonts w:ascii="Times New Roman" w:hAnsi="Times New Roman" w:cs="Times New Roman" w:eastAsia="Times New Roman" w:hint="default"/>
        </w:rPr>
        <w:t>SZ03</w:t>
      </w:r>
      <w:r>
        <w:rPr/>
        <w:t>高保</w:t>
      </w:r>
      <w:r>
        <w:rPr>
          <w:rFonts w:ascii="Times New Roman" w:hAnsi="Times New Roman" w:cs="Times New Roman" w:eastAsia="Times New Roman" w:hint="default"/>
        </w:rPr>
        <w:t>20180022-11</w:t>
      </w:r>
      <w:r>
        <w:rPr/>
        <w:t>的《个人最高额保证合同》，对前述授信合同提供担保。</w:t>
      </w:r>
    </w:p>
    <w:p>
      <w:pPr>
        <w:pStyle w:val="Heading6"/>
        <w:spacing w:line="256" w:lineRule="auto" w:before="5"/>
        <w:ind w:right="1126" w:firstLine="420"/>
        <w:jc w:val="both"/>
      </w:pPr>
      <w:r>
        <w:rPr>
          <w:spacing w:val="-6"/>
        </w:rPr>
        <w:t>（</w:t>
      </w:r>
      <w:r>
        <w:rPr>
          <w:rFonts w:ascii="Times New Roman" w:hAnsi="Times New Roman" w:cs="Times New Roman" w:eastAsia="Times New Roman" w:hint="default"/>
          <w:spacing w:val="-6"/>
        </w:rPr>
        <w:t>6</w:t>
      </w:r>
      <w:r>
        <w:rPr>
          <w:spacing w:val="-6"/>
        </w:rPr>
        <w:t>）</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27</w:t>
      </w:r>
      <w:r>
        <w:rPr>
          <w:spacing w:val="-6"/>
        </w:rPr>
        <w:t>日，本公司与江苏银行股份有限公司深圳分行签署了编号为</w:t>
      </w:r>
      <w:r>
        <w:rPr>
          <w:spacing w:val="50"/>
        </w:rPr>
        <w:t> </w:t>
      </w:r>
      <w:r>
        <w:rPr>
          <w:rFonts w:ascii="Times New Roman" w:hAnsi="Times New Roman" w:cs="Times New Roman" w:eastAsia="Times New Roman" w:hint="default"/>
          <w:spacing w:val="-6"/>
        </w:rPr>
        <w:t>“SX164718000396”</w:t>
      </w:r>
      <w:r>
        <w:rPr>
          <w:spacing w:val="-6"/>
        </w:rPr>
        <w:t>《最</w:t>
      </w:r>
      <w:r>
        <w:rPr>
          <w:w w:val="100"/>
        </w:rPr>
        <w:t> </w:t>
      </w:r>
      <w:r>
        <w:rPr>
          <w:spacing w:val="-3"/>
        </w:rPr>
        <w:t>高额综合授信合同》，根据该合同，该行向本公司提供人民币</w:t>
      </w:r>
      <w:r>
        <w:rPr>
          <w:rFonts w:ascii="Times New Roman" w:hAnsi="Times New Roman" w:cs="Times New Roman" w:eastAsia="Times New Roman" w:hint="default"/>
          <w:spacing w:val="-3"/>
        </w:rPr>
        <w:t>8,000</w:t>
      </w:r>
      <w:r>
        <w:rPr>
          <w:spacing w:val="-3"/>
        </w:rPr>
        <w:t>万元的综合授信额度，授信期限自</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日止。本公司实际控制人刘祥与江苏银行股份有限公司深圳分行签订了编号</w:t>
      </w:r>
      <w:r>
        <w:rPr>
          <w:spacing w:val="-30"/>
        </w:rPr>
        <w:t> </w:t>
      </w:r>
      <w:r>
        <w:rPr>
          <w:spacing w:val="-30"/>
        </w:rPr>
      </w:r>
      <w:r>
        <w:rPr/>
        <w:t>为：</w:t>
      </w:r>
      <w:r>
        <w:rPr>
          <w:rFonts w:ascii="Times New Roman" w:hAnsi="Times New Roman" w:cs="Times New Roman" w:eastAsia="Times New Roman" w:hint="default"/>
        </w:rPr>
        <w:t>BZ164718000011</w:t>
      </w:r>
      <w:r>
        <w:rPr/>
        <w:t>的《最高额个人连带责任保证书》，对前述授信合同提供担保。</w:t>
      </w:r>
    </w:p>
    <w:p>
      <w:pPr>
        <w:pStyle w:val="Heading6"/>
        <w:spacing w:line="256" w:lineRule="auto" w:before="5"/>
        <w:ind w:right="1128" w:firstLine="420"/>
        <w:jc w:val="both"/>
      </w:pPr>
      <w:r>
        <w:rPr>
          <w:spacing w:val="-5"/>
        </w:rPr>
        <w:t>（</w:t>
      </w:r>
      <w:r>
        <w:rPr>
          <w:rFonts w:ascii="Times New Roman" w:hAnsi="Times New Roman" w:cs="Times New Roman" w:eastAsia="Times New Roman" w:hint="default"/>
          <w:spacing w:val="-5"/>
        </w:rPr>
        <w:t>7</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16</w:t>
      </w:r>
      <w:r>
        <w:rPr>
          <w:spacing w:val="-5"/>
        </w:rPr>
        <w:t>日，本公司与招商银行股份有限公司深圳分行签署了编号为</w:t>
      </w:r>
      <w:r>
        <w:rPr>
          <w:rFonts w:ascii="Times New Roman" w:hAnsi="Times New Roman" w:cs="Times New Roman" w:eastAsia="Times New Roman" w:hint="default"/>
          <w:spacing w:val="-5"/>
        </w:rPr>
        <w:t>“755XY2018039143”</w:t>
      </w:r>
      <w:r>
        <w:rPr>
          <w:spacing w:val="-5"/>
        </w:rPr>
        <w:t>《授</w:t>
      </w:r>
      <w:r>
        <w:rPr>
          <w:w w:val="100"/>
        </w:rPr>
        <w:t> </w:t>
      </w:r>
      <w:r>
        <w:rPr/>
        <w:t>信协议》，根据该合同，该行向本公司提供人民币</w:t>
      </w:r>
      <w:r>
        <w:rPr>
          <w:rFonts w:ascii="Times New Roman" w:hAnsi="Times New Roman" w:cs="Times New Roman" w:eastAsia="Times New Roman" w:hint="default"/>
        </w:rPr>
        <w:t>4,000</w:t>
      </w:r>
      <w:r>
        <w:rPr/>
        <w:t>万元的综合授信额度，授信期限自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rFonts w:ascii="Times New Roman" w:hAnsi="Times New Roman" w:cs="Times New Roman" w:eastAsia="Times New Roman" w:hint="default"/>
          <w:spacing w:val="16"/>
        </w:rPr>
        <w:t> </w:t>
      </w:r>
      <w:r>
        <w:rPr>
          <w:spacing w:val="5"/>
        </w:rPr>
        <w:t>日起至</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20</w:t>
      </w:r>
      <w:r>
        <w:rPr>
          <w:spacing w:val="5"/>
        </w:rPr>
        <w:t>日止。本公司实际控制人刘祥与招商银行股份有限公司深圳分行签订了编号为：</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right="1033"/>
        <w:jc w:val="left"/>
      </w:pPr>
      <w:r>
        <w:rPr>
          <w:rFonts w:ascii="Times New Roman" w:hAnsi="Times New Roman" w:cs="Times New Roman" w:eastAsia="Times New Roman" w:hint="default"/>
        </w:rPr>
        <w:t>755XY201803914301</w:t>
      </w:r>
      <w:r>
        <w:rPr/>
        <w:t>最高额不可撤销担保书，对前述授信合同提供担保。</w:t>
      </w:r>
    </w:p>
    <w:p>
      <w:pPr>
        <w:pStyle w:val="Heading6"/>
        <w:spacing w:line="256" w:lineRule="auto" w:before="21"/>
        <w:ind w:right="1126" w:firstLine="420"/>
        <w:jc w:val="both"/>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日，本公司与兴业银行股份有限公司深圳后海支行签署了编号为</w:t>
      </w:r>
      <w:r>
        <w:rPr>
          <w:rFonts w:ascii="Times New Roman" w:hAnsi="Times New Roman" w:cs="Times New Roman" w:eastAsia="Times New Roman" w:hint="default"/>
        </w:rPr>
        <w:t>“</w:t>
      </w:r>
      <w:r>
        <w:rPr/>
        <w:t>兴银深后海授信</w:t>
      </w:r>
      <w:r>
        <w:rPr>
          <w:w w:val="100"/>
        </w:rPr>
        <w:t> </w:t>
      </w:r>
      <w:r>
        <w:rPr>
          <w:spacing w:val="-1"/>
        </w:rPr>
        <w:t>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048</w:t>
      </w:r>
      <w:r>
        <w:rPr>
          <w:spacing w:val="-1"/>
        </w:rPr>
        <w:t>号</w:t>
      </w:r>
      <w:r>
        <w:rPr>
          <w:rFonts w:ascii="Times New Roman" w:hAnsi="Times New Roman" w:cs="Times New Roman" w:eastAsia="Times New Roman" w:hint="default"/>
          <w:spacing w:val="-1"/>
        </w:rPr>
        <w:t>”</w:t>
      </w:r>
      <w:r>
        <w:rPr>
          <w:spacing w:val="-1"/>
        </w:rPr>
        <w:t>《额度授信合同》，根据该合同，该行向本公司提供人民币</w:t>
      </w:r>
      <w:r>
        <w:rPr>
          <w:rFonts w:ascii="Times New Roman" w:hAnsi="Times New Roman" w:cs="Times New Roman" w:eastAsia="Times New Roman" w:hint="default"/>
          <w:spacing w:val="-1"/>
        </w:rPr>
        <w:t>10,000</w:t>
      </w:r>
      <w:r>
        <w:rPr>
          <w:spacing w:val="-1"/>
        </w:rPr>
        <w:t>万元的授信额度，</w:t>
      </w:r>
      <w:r>
        <w:rPr>
          <w:spacing w:val="-14"/>
        </w:rPr>
        <w:t> </w:t>
      </w:r>
      <w:r>
        <w:rPr>
          <w:spacing w:val="-14"/>
        </w:rPr>
      </w:r>
      <w:r>
        <w:rPr>
          <w:spacing w:val="-2"/>
        </w:rPr>
        <w:t>授信期限自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日起至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日止。本公司实际控制人刘祥、本公司之子公司深圳市新国都</w:t>
      </w:r>
      <w:r>
        <w:rPr>
          <w:spacing w:val="-34"/>
        </w:rPr>
        <w:t> </w:t>
      </w:r>
      <w:r>
        <w:rPr>
          <w:spacing w:val="-34"/>
        </w:rPr>
      </w:r>
      <w:r>
        <w:rPr/>
        <w:t>支付技术有限公司与兴业银行股份有限公司深圳后海支行分别签订了编号为：</w:t>
      </w:r>
      <w:r>
        <w:rPr>
          <w:rFonts w:ascii="Times New Roman" w:hAnsi="Times New Roman" w:cs="Times New Roman" w:eastAsia="Times New Roman" w:hint="default"/>
        </w:rPr>
        <w:t>“</w:t>
      </w:r>
      <w:r>
        <w:rPr/>
        <w:t>兴银深后海授信（保证）</w:t>
      </w:r>
      <w:r>
        <w:rPr>
          <w:spacing w:val="-13"/>
        </w:rPr>
        <w:t> </w:t>
      </w:r>
      <w:r>
        <w:rPr>
          <w:spacing w:val="-13"/>
        </w:rPr>
      </w:r>
      <w:r>
        <w:rPr>
          <w:spacing w:val="-1"/>
        </w:rPr>
        <w:t>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048B</w:t>
      </w:r>
      <w:r>
        <w:rPr>
          <w:spacing w:val="-1"/>
        </w:rPr>
        <w:t>号</w:t>
      </w:r>
      <w:r>
        <w:rPr>
          <w:rFonts w:ascii="Times New Roman" w:hAnsi="Times New Roman" w:cs="Times New Roman" w:eastAsia="Times New Roman" w:hint="default"/>
          <w:spacing w:val="-1"/>
        </w:rPr>
        <w:t>”</w:t>
      </w:r>
      <w:r>
        <w:rPr>
          <w:spacing w:val="-1"/>
        </w:rPr>
        <w:t>《最高额保证合同》、</w:t>
      </w:r>
      <w:r>
        <w:rPr>
          <w:rFonts w:ascii="Times New Roman" w:hAnsi="Times New Roman" w:cs="Times New Roman" w:eastAsia="Times New Roman" w:hint="default"/>
          <w:spacing w:val="-1"/>
        </w:rPr>
        <w:t>“</w:t>
      </w:r>
      <w:r>
        <w:rPr>
          <w:spacing w:val="-1"/>
        </w:rPr>
        <w:t>兴银深后海授信（保证）字（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048A</w:t>
      </w:r>
      <w:r>
        <w:rPr>
          <w:spacing w:val="-1"/>
        </w:rPr>
        <w:t>号</w:t>
      </w:r>
      <w:r>
        <w:rPr>
          <w:rFonts w:ascii="Times New Roman" w:hAnsi="Times New Roman" w:cs="Times New Roman" w:eastAsia="Times New Roman" w:hint="default"/>
          <w:spacing w:val="-1"/>
        </w:rPr>
        <w:t>”</w:t>
      </w:r>
      <w:r>
        <w:rPr>
          <w:spacing w:val="-1"/>
        </w:rPr>
        <w:t>《最高额保</w:t>
      </w:r>
      <w:r>
        <w:rPr>
          <w:spacing w:val="-16"/>
        </w:rPr>
        <w:t> </w:t>
      </w:r>
      <w:r>
        <w:rPr>
          <w:spacing w:val="-16"/>
        </w:rPr>
      </w:r>
      <w:r>
        <w:rPr/>
        <w:t>证合同》，对前述授信合同提供担保。</w:t>
      </w:r>
    </w:p>
    <w:p>
      <w:pPr>
        <w:pStyle w:val="Heading6"/>
        <w:spacing w:line="256" w:lineRule="auto" w:before="22"/>
        <w:ind w:right="1033" w:firstLine="420"/>
        <w:jc w:val="left"/>
      </w:pPr>
      <w:r>
        <w:rPr>
          <w:spacing w:val="-2"/>
        </w:rPr>
        <w:t>（</w:t>
      </w: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日，本公司与上海银行股份有限公司深圳分行签署了编号为</w:t>
      </w:r>
      <w:r>
        <w:rPr>
          <w:rFonts w:ascii="Times New Roman" w:hAnsi="Times New Roman" w:cs="Times New Roman" w:eastAsia="Times New Roman" w:hint="default"/>
          <w:spacing w:val="-2"/>
        </w:rPr>
        <w:t>“SX92903190086”</w:t>
      </w:r>
      <w:r>
        <w:rPr>
          <w:spacing w:val="-2"/>
        </w:rPr>
        <w:t>《综</w:t>
      </w:r>
      <w:r>
        <w:rPr>
          <w:spacing w:val="-3"/>
          <w:w w:val="100"/>
        </w:rPr>
        <w:t> </w:t>
      </w:r>
      <w:r>
        <w:rPr/>
        <w:t>合授信合同》。根据该合同，该行向本公司提供人民币</w:t>
      </w:r>
      <w:r>
        <w:rPr>
          <w:rFonts w:ascii="Times New Roman" w:hAnsi="Times New Roman" w:cs="Times New Roman" w:eastAsia="Times New Roman" w:hint="default"/>
        </w:rPr>
        <w:t>5,000</w:t>
      </w:r>
      <w:r>
        <w:rPr/>
        <w:t>万元的授信额度，其中敞口授信人民币</w:t>
      </w:r>
      <w:r>
        <w:rPr>
          <w:rFonts w:ascii="Times New Roman" w:hAnsi="Times New Roman" w:cs="Times New Roman" w:eastAsia="Times New Roman" w:hint="default"/>
        </w:rPr>
        <w:t>2000</w:t>
      </w:r>
      <w:r>
        <w:rPr>
          <w:rFonts w:ascii="Times New Roman" w:hAnsi="Times New Roman" w:cs="Times New Roman" w:eastAsia="Times New Roman" w:hint="default"/>
          <w:w w:val="100"/>
        </w:rPr>
        <w:t> </w:t>
      </w:r>
      <w:r>
        <w:rPr>
          <w:spacing w:val="-2"/>
        </w:rPr>
        <w:t>万元。授信期限自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日起至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日止。本公司实际控制人刘祥与上海银行股份有限公司</w:t>
      </w:r>
      <w:r>
        <w:rPr>
          <w:spacing w:val="-34"/>
        </w:rPr>
        <w:t> </w:t>
      </w:r>
      <w:r>
        <w:rPr>
          <w:spacing w:val="-34"/>
        </w:rPr>
      </w:r>
      <w:r>
        <w:rPr/>
        <w:t>深圳分行签订了编号为：</w:t>
      </w:r>
      <w:r>
        <w:rPr>
          <w:rFonts w:ascii="Times New Roman" w:hAnsi="Times New Roman" w:cs="Times New Roman" w:eastAsia="Times New Roman" w:hint="default"/>
        </w:rPr>
        <w:t>“ZDBSX92903190086”</w:t>
      </w:r>
      <w:r>
        <w:rPr/>
        <w:t>《最高额保证合同》，对前述授信合同提供担保。</w:t>
      </w:r>
    </w:p>
    <w:p>
      <w:pPr>
        <w:pStyle w:val="Heading6"/>
        <w:spacing w:line="256" w:lineRule="auto" w:before="5"/>
        <w:ind w:right="1126" w:firstLine="420"/>
        <w:jc w:val="both"/>
      </w:pP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28</w:t>
      </w:r>
      <w:r>
        <w:rPr>
          <w:spacing w:val="3"/>
        </w:rPr>
        <w:t>日，本公司与民生银行股份有限公司深圳分行签署了编号为</w:t>
      </w:r>
      <w:r>
        <w:rPr>
          <w:rFonts w:ascii="Times New Roman" w:hAnsi="Times New Roman" w:cs="Times New Roman" w:eastAsia="Times New Roman" w:hint="default"/>
          <w:spacing w:val="3"/>
        </w:rPr>
        <w:t>“</w:t>
      </w:r>
      <w:r>
        <w:rPr>
          <w:spacing w:val="3"/>
        </w:rPr>
        <w:t>公授信字第机构一</w:t>
      </w:r>
      <w:r>
        <w:rPr>
          <w:w w:val="100"/>
        </w:rPr>
        <w:t> </w:t>
      </w:r>
      <w:r>
        <w:rPr>
          <w:rFonts w:ascii="Times New Roman" w:hAnsi="Times New Roman" w:cs="Times New Roman" w:eastAsia="Times New Roman" w:hint="default"/>
          <w:spacing w:val="-1"/>
        </w:rPr>
        <w:t>19006</w:t>
      </w:r>
      <w:r>
        <w:rPr>
          <w:spacing w:val="-1"/>
        </w:rPr>
        <w:t>号</w:t>
      </w:r>
      <w:r>
        <w:rPr>
          <w:rFonts w:ascii="Times New Roman" w:hAnsi="Times New Roman" w:cs="Times New Roman" w:eastAsia="Times New Roman" w:hint="default"/>
          <w:spacing w:val="-1"/>
        </w:rPr>
        <w:t>”</w:t>
      </w:r>
      <w:r>
        <w:rPr>
          <w:spacing w:val="-1"/>
        </w:rPr>
        <w:t>《综合授信合同》。根据该合同，该行向本公司提供人民币</w:t>
      </w:r>
      <w:r>
        <w:rPr>
          <w:rFonts w:ascii="Times New Roman" w:hAnsi="Times New Roman" w:cs="Times New Roman" w:eastAsia="Times New Roman" w:hint="default"/>
          <w:spacing w:val="-1"/>
        </w:rPr>
        <w:t>20,000</w:t>
      </w:r>
      <w:r>
        <w:rPr>
          <w:spacing w:val="-1"/>
        </w:rPr>
        <w:t>万元整的综合授信额度，其中</w:t>
      </w:r>
      <w:r>
        <w:rPr>
          <w:spacing w:val="-14"/>
        </w:rPr>
        <w:t> </w:t>
      </w:r>
      <w:r>
        <w:rPr>
          <w:spacing w:val="-14"/>
        </w:rPr>
      </w:r>
      <w:r>
        <w:rPr/>
        <w:t>给予深圳市新国都支付技术有限公司该授信的使用额度为人民币</w:t>
      </w:r>
      <w:r>
        <w:rPr>
          <w:rFonts w:ascii="Times New Roman" w:hAnsi="Times New Roman" w:cs="Times New Roman" w:eastAsia="Times New Roman" w:hint="default"/>
        </w:rPr>
        <w:t>10,000</w:t>
      </w:r>
      <w:r>
        <w:rPr/>
        <w:t>万元整。授信期限自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18"/>
        </w:rPr>
        <w:t> </w:t>
      </w:r>
      <w:r>
        <w:rPr>
          <w:spacing w:val="-2"/>
        </w:rPr>
        <w:t>日起至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日止。本公司实际控制人刘祥、本公司与该行分别签订了编号为：</w:t>
      </w:r>
      <w:r>
        <w:rPr>
          <w:rFonts w:ascii="Times New Roman" w:hAnsi="Times New Roman" w:cs="Times New Roman" w:eastAsia="Times New Roman" w:hint="default"/>
          <w:spacing w:val="-2"/>
        </w:rPr>
        <w:t>“</w:t>
      </w:r>
      <w:r>
        <w:rPr>
          <w:spacing w:val="-2"/>
        </w:rPr>
        <w:t>公高保字第机构一</w:t>
      </w:r>
      <w:r>
        <w:rPr>
          <w:spacing w:val="-25"/>
        </w:rPr>
        <w:t> </w:t>
      </w:r>
      <w:r>
        <w:rPr>
          <w:spacing w:val="-25"/>
        </w:rPr>
      </w:r>
      <w:r>
        <w:rPr>
          <w:rFonts w:ascii="Times New Roman" w:hAnsi="Times New Roman" w:cs="Times New Roman" w:eastAsia="Times New Roman" w:hint="default"/>
          <w:spacing w:val="-3"/>
        </w:rPr>
        <w:t>19006</w:t>
      </w:r>
      <w:r>
        <w:rPr>
          <w:spacing w:val="-3"/>
        </w:rPr>
        <w:t>号</w:t>
      </w:r>
      <w:r>
        <w:rPr>
          <w:rFonts w:ascii="Times New Roman" w:hAnsi="Times New Roman" w:cs="Times New Roman" w:eastAsia="Times New Roman" w:hint="default"/>
          <w:spacing w:val="-3"/>
        </w:rPr>
        <w:t>”</w:t>
      </w:r>
      <w:r>
        <w:rPr>
          <w:spacing w:val="-3"/>
        </w:rPr>
        <w:t>《最高额保证合同》、</w:t>
      </w:r>
      <w:r>
        <w:rPr>
          <w:rFonts w:ascii="Times New Roman" w:hAnsi="Times New Roman" w:cs="Times New Roman" w:eastAsia="Times New Roman" w:hint="default"/>
          <w:spacing w:val="-3"/>
        </w:rPr>
        <w:t>“</w:t>
      </w:r>
      <w:r>
        <w:rPr>
          <w:spacing w:val="-3"/>
        </w:rPr>
        <w:t>公高保字第机构一</w:t>
      </w:r>
      <w:r>
        <w:rPr>
          <w:rFonts w:ascii="Times New Roman" w:hAnsi="Times New Roman" w:cs="Times New Roman" w:eastAsia="Times New Roman" w:hint="default"/>
          <w:spacing w:val="-3"/>
        </w:rPr>
        <w:t>19006-1</w:t>
      </w:r>
      <w:r>
        <w:rPr>
          <w:spacing w:val="-3"/>
        </w:rPr>
        <w:t>号</w:t>
      </w:r>
      <w:r>
        <w:rPr>
          <w:rFonts w:ascii="Times New Roman" w:hAnsi="Times New Roman" w:cs="Times New Roman" w:eastAsia="Times New Roman" w:hint="default"/>
          <w:spacing w:val="-3"/>
        </w:rPr>
        <w:t>”</w:t>
      </w:r>
      <w:r>
        <w:rPr>
          <w:spacing w:val="-3"/>
        </w:rPr>
        <w:t>《最高额保证合同》，对前述授信合同提供</w:t>
      </w:r>
      <w:r>
        <w:rPr>
          <w:spacing w:val="-9"/>
        </w:rPr>
        <w:t> </w:t>
      </w:r>
      <w:r>
        <w:rPr>
          <w:spacing w:val="-9"/>
        </w:rPr>
      </w:r>
      <w:r>
        <w:rPr/>
        <w:t>担保。</w:t>
      </w:r>
    </w:p>
    <w:p>
      <w:pPr>
        <w:pStyle w:val="Heading6"/>
        <w:spacing w:line="256" w:lineRule="auto" w:before="22"/>
        <w:ind w:right="1126" w:firstLine="420"/>
        <w:jc w:val="both"/>
      </w:pPr>
      <w:r>
        <w:rPr>
          <w:rFonts w:ascii="Times New Roman" w:hAnsi="Times New Roman" w:cs="Times New Roman" w:eastAsia="Times New Roman" w:hint="default"/>
          <w:spacing w:val="-1"/>
        </w:rPr>
        <w:t>(11)</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日，深圳市新国都支付技术有限公司与广发银行股份有限公司深圳分行签署（合同</w:t>
      </w:r>
      <w:r>
        <w:rPr>
          <w:w w:val="100"/>
        </w:rPr>
        <w:t> </w:t>
      </w:r>
      <w:r>
        <w:rPr>
          <w:spacing w:val="-2"/>
        </w:rPr>
        <w:t>编号：（</w:t>
      </w:r>
      <w:r>
        <w:rPr>
          <w:rFonts w:ascii="Times New Roman" w:hAnsi="Times New Roman" w:cs="Times New Roman" w:eastAsia="Times New Roman" w:hint="default"/>
          <w:spacing w:val="-2"/>
        </w:rPr>
        <w:t>2018</w:t>
      </w:r>
      <w:r>
        <w:rPr>
          <w:spacing w:val="-2"/>
        </w:rPr>
        <w:t>）深银综授额字第</w:t>
      </w:r>
      <w:r>
        <w:rPr>
          <w:rFonts w:ascii="Times New Roman" w:hAnsi="Times New Roman" w:cs="Times New Roman" w:eastAsia="Times New Roman" w:hint="default"/>
          <w:spacing w:val="-2"/>
        </w:rPr>
        <w:t>000297</w:t>
      </w:r>
      <w:r>
        <w:rPr>
          <w:spacing w:val="-2"/>
        </w:rPr>
        <w:t>号）《授信额度合同》。根据该合同，该行向深圳市新国都支付技</w:t>
      </w:r>
      <w:r>
        <w:rPr>
          <w:spacing w:val="-42"/>
        </w:rPr>
        <w:t> </w:t>
      </w:r>
      <w:r>
        <w:rPr>
          <w:spacing w:val="-42"/>
        </w:rPr>
      </w:r>
      <w:r>
        <w:rPr/>
        <w:t>术有限公司提供最高限额为人民币</w:t>
      </w:r>
      <w:r>
        <w:rPr>
          <w:rFonts w:ascii="Times New Roman" w:hAnsi="Times New Roman" w:cs="Times New Roman" w:eastAsia="Times New Roman" w:hint="default"/>
        </w:rPr>
        <w:t>30,000</w:t>
      </w:r>
      <w:r>
        <w:rPr/>
        <w:t>万元整的授信额度，最高限额度为人民币</w:t>
      </w:r>
      <w:r>
        <w:rPr>
          <w:rFonts w:ascii="Times New Roman" w:hAnsi="Times New Roman" w:cs="Times New Roman" w:eastAsia="Times New Roman" w:hint="default"/>
        </w:rPr>
        <w:t>20,000</w:t>
      </w:r>
      <w:r>
        <w:rPr/>
        <w:t>万元整的授信额</w:t>
      </w:r>
      <w:r>
        <w:rPr>
          <w:spacing w:val="-24"/>
        </w:rPr>
        <w:t> </w:t>
      </w:r>
      <w:r>
        <w:rPr>
          <w:spacing w:val="-24"/>
        </w:rPr>
      </w:r>
      <w:r>
        <w:rPr>
          <w:spacing w:val="-2"/>
        </w:rPr>
        <w:t>度敞口，授信期限自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日止。本公司、本公司实际控制人刘祥与广发银行</w:t>
      </w:r>
      <w:r>
        <w:rPr>
          <w:spacing w:val="-27"/>
        </w:rPr>
        <w:t> </w:t>
      </w:r>
      <w:r>
        <w:rPr>
          <w:spacing w:val="-27"/>
        </w:rPr>
      </w:r>
      <w:r>
        <w:rPr>
          <w:spacing w:val="-3"/>
        </w:rPr>
        <w:t>股份有限公司深圳分行签署编号为：（</w:t>
      </w:r>
      <w:r>
        <w:rPr>
          <w:rFonts w:ascii="Times New Roman" w:hAnsi="Times New Roman" w:cs="Times New Roman" w:eastAsia="Times New Roman" w:hint="default"/>
          <w:spacing w:val="-3"/>
        </w:rPr>
        <w:t>2018</w:t>
      </w:r>
      <w:r>
        <w:rPr>
          <w:spacing w:val="-3"/>
        </w:rPr>
        <w:t>）深银综授额字第</w:t>
      </w:r>
      <w:r>
        <w:rPr>
          <w:rFonts w:ascii="Times New Roman" w:hAnsi="Times New Roman" w:cs="Times New Roman" w:eastAsia="Times New Roman" w:hint="default"/>
          <w:spacing w:val="-3"/>
        </w:rPr>
        <w:t>000297</w:t>
      </w:r>
      <w:r>
        <w:rPr>
          <w:spacing w:val="-3"/>
        </w:rPr>
        <w:t>号</w:t>
      </w:r>
      <w:r>
        <w:rPr>
          <w:rFonts w:ascii="Times New Roman" w:hAnsi="Times New Roman" w:cs="Times New Roman" w:eastAsia="Times New Roman" w:hint="default"/>
          <w:spacing w:val="-3"/>
        </w:rPr>
        <w:t>-</w:t>
      </w:r>
      <w:r>
        <w:rPr>
          <w:spacing w:val="-3"/>
        </w:rPr>
        <w:t>担保</w:t>
      </w:r>
      <w:r>
        <w:rPr>
          <w:rFonts w:ascii="Times New Roman" w:hAnsi="Times New Roman" w:cs="Times New Roman" w:eastAsia="Times New Roman" w:hint="default"/>
          <w:spacing w:val="-3"/>
        </w:rPr>
        <w:t>01</w:t>
      </w:r>
      <w:r>
        <w:rPr>
          <w:spacing w:val="-3"/>
        </w:rPr>
        <w:t>《最高额保证合同》，为上</w:t>
      </w:r>
      <w:r>
        <w:rPr>
          <w:spacing w:val="-51"/>
        </w:rPr>
        <w:t> </w:t>
      </w:r>
      <w:r>
        <w:rPr>
          <w:spacing w:val="-51"/>
        </w:rPr>
      </w:r>
      <w:r>
        <w:rPr>
          <w:spacing w:val="-1"/>
        </w:rPr>
        <w:t>述授信提供人民币</w:t>
      </w:r>
      <w:r>
        <w:rPr>
          <w:rFonts w:ascii="Times New Roman" w:hAnsi="Times New Roman" w:cs="Times New Roman" w:eastAsia="Times New Roman" w:hint="default"/>
          <w:spacing w:val="-1"/>
        </w:rPr>
        <w:t>20,000</w:t>
      </w:r>
      <w:r>
        <w:rPr>
          <w:spacing w:val="-1"/>
        </w:rPr>
        <w:t>万元整连带责任担保。深圳市新国都支付技术有限公司与广发银行股份有限公司</w:t>
      </w:r>
      <w:r>
        <w:rPr>
          <w:spacing w:val="-28"/>
        </w:rPr>
        <w:t> </w:t>
      </w:r>
      <w:r>
        <w:rPr>
          <w:spacing w:val="-28"/>
        </w:rPr>
      </w:r>
      <w:r>
        <w:rPr>
          <w:spacing w:val="-4"/>
        </w:rPr>
        <w:t>深圳分行签署编号为（</w:t>
      </w:r>
      <w:r>
        <w:rPr>
          <w:rFonts w:ascii="Times New Roman" w:hAnsi="Times New Roman" w:cs="Times New Roman" w:eastAsia="Times New Roman" w:hint="default"/>
          <w:spacing w:val="-4"/>
        </w:rPr>
        <w:t>2018</w:t>
      </w:r>
      <w:r>
        <w:rPr>
          <w:spacing w:val="-4"/>
        </w:rPr>
        <w:t>）深银综授额字第</w:t>
      </w:r>
      <w:r>
        <w:rPr>
          <w:rFonts w:ascii="Times New Roman" w:hAnsi="Times New Roman" w:cs="Times New Roman" w:eastAsia="Times New Roman" w:hint="default"/>
          <w:spacing w:val="-4"/>
        </w:rPr>
        <w:t>000297</w:t>
      </w:r>
      <w:r>
        <w:rPr>
          <w:spacing w:val="-4"/>
        </w:rPr>
        <w:t>号</w:t>
      </w:r>
      <w:r>
        <w:rPr>
          <w:rFonts w:ascii="Times New Roman" w:hAnsi="Times New Roman" w:cs="Times New Roman" w:eastAsia="Times New Roman" w:hint="default"/>
          <w:spacing w:val="-4"/>
        </w:rPr>
        <w:t>-</w:t>
      </w:r>
      <w:r>
        <w:rPr>
          <w:spacing w:val="-4"/>
        </w:rPr>
        <w:t>担保</w:t>
      </w:r>
      <w:r>
        <w:rPr>
          <w:rFonts w:ascii="Times New Roman" w:hAnsi="Times New Roman" w:cs="Times New Roman" w:eastAsia="Times New Roman" w:hint="default"/>
          <w:spacing w:val="-4"/>
        </w:rPr>
        <w:t>02</w:t>
      </w:r>
      <w:r>
        <w:rPr>
          <w:spacing w:val="-4"/>
        </w:rPr>
        <w:t>《最高额保证金质押合同》，为上述授信提</w:t>
      </w:r>
      <w:r>
        <w:rPr>
          <w:spacing w:val="1"/>
        </w:rPr>
        <w:t> </w:t>
      </w:r>
      <w:r>
        <w:rPr>
          <w:spacing w:val="1"/>
        </w:rPr>
      </w:r>
      <w:r>
        <w:rPr/>
        <w:t>供人民币</w:t>
      </w:r>
      <w:r>
        <w:rPr>
          <w:rFonts w:ascii="Times New Roman" w:hAnsi="Times New Roman" w:cs="Times New Roman" w:eastAsia="Times New Roman" w:hint="default"/>
        </w:rPr>
        <w:t>30,000</w:t>
      </w:r>
      <w:r>
        <w:rPr/>
        <w:t>万元整保证责任担保。</w:t>
      </w:r>
    </w:p>
    <w:p>
      <w:pPr>
        <w:pStyle w:val="Heading6"/>
        <w:spacing w:line="256" w:lineRule="auto" w:before="5"/>
        <w:ind w:right="1132" w:firstLine="420"/>
        <w:jc w:val="both"/>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日，宁波银行深圳财富港支行给予深圳市新国都支付技术有限公司综合授信额度</w:t>
      </w:r>
      <w:r>
        <w:rPr>
          <w:w w:val="100"/>
        </w:rPr>
        <w:t> </w:t>
      </w:r>
      <w:r>
        <w:rPr/>
        <w:t>人民币</w:t>
      </w:r>
      <w:r>
        <w:rPr>
          <w:rFonts w:ascii="Times New Roman" w:hAnsi="Times New Roman" w:cs="Times New Roman" w:eastAsia="Times New Roman" w:hint="default"/>
        </w:rPr>
        <w:t>8000</w:t>
      </w:r>
      <w:r>
        <w:rPr/>
        <w:t>万元整，保证期限为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日起一年。本公司、本公司实际控制人刘祥对前述授信协议</w:t>
      </w:r>
      <w:r>
        <w:rPr>
          <w:spacing w:val="-31"/>
        </w:rPr>
        <w:t> </w:t>
      </w:r>
      <w:r>
        <w:rPr>
          <w:spacing w:val="-31"/>
        </w:rPr>
      </w:r>
      <w:r>
        <w:rPr/>
        <w:t>提供保证担保。</w:t>
      </w:r>
    </w:p>
    <w:p>
      <w:pPr>
        <w:pStyle w:val="Heading6"/>
        <w:spacing w:line="256" w:lineRule="auto" w:before="22"/>
        <w:ind w:right="1126" w:firstLine="420"/>
        <w:jc w:val="both"/>
      </w:pPr>
      <w:r>
        <w:rPr/>
        <w:t>（</w:t>
      </w:r>
      <w:r>
        <w:rPr>
          <w:rFonts w:ascii="Times New Roman" w:hAnsi="Times New Roman" w:cs="Times New Roman" w:eastAsia="Times New Roman" w:hint="default"/>
        </w:rPr>
        <w:t>13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日，深圳市新国都支付技术有限公司与中信银行股份有限公司深圳分行签署（合</w:t>
      </w:r>
      <w:r>
        <w:rPr>
          <w:w w:val="100"/>
        </w:rPr>
        <w:t> </w:t>
      </w:r>
      <w:r>
        <w:rPr>
          <w:spacing w:val="-2"/>
        </w:rPr>
        <w:t>同编号：</w:t>
      </w:r>
      <w:r>
        <w:rPr>
          <w:rFonts w:ascii="Times New Roman" w:hAnsi="Times New Roman" w:cs="Times New Roman" w:eastAsia="Times New Roman" w:hint="default"/>
          <w:spacing w:val="-2"/>
        </w:rPr>
        <w:t>2018</w:t>
      </w:r>
      <w:r>
        <w:rPr>
          <w:spacing w:val="-2"/>
        </w:rPr>
        <w:t>深银前海综字第</w:t>
      </w:r>
      <w:r>
        <w:rPr>
          <w:rFonts w:ascii="Times New Roman" w:hAnsi="Times New Roman" w:cs="Times New Roman" w:eastAsia="Times New Roman" w:hint="default"/>
          <w:spacing w:val="-2"/>
        </w:rPr>
        <w:t>0005</w:t>
      </w:r>
      <w:r>
        <w:rPr>
          <w:spacing w:val="-2"/>
        </w:rPr>
        <w:t>号）《综合授信合同》。根据该合同，该行向深圳市新国都支付技术有</w:t>
      </w:r>
      <w:r>
        <w:rPr>
          <w:spacing w:val="-35"/>
        </w:rPr>
        <w:t> </w:t>
      </w:r>
      <w:r>
        <w:rPr>
          <w:spacing w:val="-35"/>
        </w:rPr>
      </w:r>
      <w:r>
        <w:rPr>
          <w:spacing w:val="-1"/>
        </w:rPr>
        <w:t>限公司提供人民币</w:t>
      </w:r>
      <w:r>
        <w:rPr>
          <w:rFonts w:ascii="Times New Roman" w:hAnsi="Times New Roman" w:cs="Times New Roman" w:eastAsia="Times New Roman" w:hint="default"/>
          <w:spacing w:val="-1"/>
        </w:rPr>
        <w:t>20,000</w:t>
      </w:r>
      <w:r>
        <w:rPr>
          <w:spacing w:val="-1"/>
        </w:rPr>
        <w:t>万元整的授信敞口额度，授信期限自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25</w:t>
      </w:r>
      <w:r>
        <w:rPr>
          <w:spacing w:val="-1"/>
        </w:rPr>
        <w:t>日起至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22</w:t>
      </w:r>
      <w:r>
        <w:rPr>
          <w:spacing w:val="-1"/>
        </w:rPr>
        <w:t>日止。本公</w:t>
      </w:r>
      <w:r>
        <w:rPr>
          <w:spacing w:val="-23"/>
        </w:rPr>
        <w:t> </w:t>
      </w:r>
      <w:r>
        <w:rPr>
          <w:spacing w:val="-23"/>
        </w:rPr>
      </w:r>
      <w:r>
        <w:rPr>
          <w:spacing w:val="2"/>
        </w:rPr>
        <w:t>司、本公司实际控制人刘祥与中信银行股份有限公司深圳分行分别签署编号为：</w:t>
      </w:r>
      <w:r>
        <w:rPr>
          <w:rFonts w:ascii="Times New Roman" w:hAnsi="Times New Roman" w:cs="Times New Roman" w:eastAsia="Times New Roman" w:hint="default"/>
          <w:spacing w:val="2"/>
        </w:rPr>
        <w:t>2018</w:t>
      </w:r>
      <w:r>
        <w:rPr>
          <w:spacing w:val="2"/>
        </w:rPr>
        <w:t>深银前海最保字第</w:t>
      </w:r>
      <w:r>
        <w:rPr>
          <w:spacing w:val="-24"/>
        </w:rPr>
        <w:t> </w:t>
      </w:r>
      <w:r>
        <w:rPr>
          <w:spacing w:val="-24"/>
        </w:rPr>
      </w:r>
      <w:r>
        <w:rPr>
          <w:rFonts w:ascii="Times New Roman" w:hAnsi="Times New Roman" w:cs="Times New Roman" w:eastAsia="Times New Roman" w:hint="default"/>
          <w:spacing w:val="-2"/>
        </w:rPr>
        <w:t>0004</w:t>
      </w:r>
      <w:r>
        <w:rPr>
          <w:spacing w:val="-2"/>
        </w:rPr>
        <w:t>号《最高额保证合同》、</w:t>
      </w:r>
      <w:r>
        <w:rPr>
          <w:rFonts w:ascii="Times New Roman" w:hAnsi="Times New Roman" w:cs="Times New Roman" w:eastAsia="Times New Roman" w:hint="default"/>
          <w:spacing w:val="-2"/>
        </w:rPr>
        <w:t>2018</w:t>
      </w:r>
      <w:r>
        <w:rPr>
          <w:spacing w:val="-2"/>
        </w:rPr>
        <w:t>深银前海额保字第</w:t>
      </w:r>
      <w:r>
        <w:rPr>
          <w:rFonts w:ascii="Times New Roman" w:hAnsi="Times New Roman" w:cs="Times New Roman" w:eastAsia="Times New Roman" w:hint="default"/>
          <w:spacing w:val="-2"/>
        </w:rPr>
        <w:t>0001</w:t>
      </w:r>
      <w:r>
        <w:rPr>
          <w:spacing w:val="-2"/>
        </w:rPr>
        <w:t>号《最高额保证合同》，对前述授信合同提供担</w:t>
      </w:r>
      <w:r>
        <w:rPr>
          <w:spacing w:val="-30"/>
        </w:rPr>
        <w:t> </w:t>
      </w:r>
      <w:r>
        <w:rPr>
          <w:spacing w:val="-30"/>
        </w:rPr>
      </w:r>
      <w:r>
        <w:rPr/>
        <w:t>保。</w:t>
      </w:r>
    </w:p>
    <w:p>
      <w:pPr>
        <w:pStyle w:val="Heading6"/>
        <w:spacing w:line="256" w:lineRule="auto" w:before="22"/>
        <w:ind w:right="1022" w:firstLine="420"/>
        <w:jc w:val="left"/>
      </w:pPr>
      <w:r>
        <w:rPr/>
        <w:t>（</w:t>
      </w:r>
      <w:r>
        <w:rPr>
          <w:rFonts w:ascii="Times New Roman" w:hAnsi="Times New Roman" w:cs="Times New Roman" w:eastAsia="Times New Roman" w:hint="default"/>
        </w:rPr>
        <w:t>14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日，本公司与珠海华润银行股份有限公司深圳分行签署了编号为</w:t>
      </w:r>
      <w:r>
        <w:rPr>
          <w:rFonts w:ascii="Times New Roman" w:hAnsi="Times New Roman" w:cs="Times New Roman" w:eastAsia="Times New Roman" w:hint="default"/>
        </w:rPr>
        <w:t>“</w:t>
      </w:r>
      <w:r>
        <w:rPr/>
        <w:t>华银（</w:t>
      </w:r>
      <w:r>
        <w:rPr>
          <w:rFonts w:ascii="Times New Roman" w:hAnsi="Times New Roman" w:cs="Times New Roman" w:eastAsia="Times New Roman" w:hint="default"/>
        </w:rPr>
        <w:t>2018</w:t>
      </w:r>
      <w:r>
        <w:rPr/>
        <w:t>）深</w:t>
      </w:r>
      <w:r>
        <w:rPr>
          <w:w w:val="100"/>
        </w:rPr>
        <w:t> </w:t>
      </w:r>
      <w:r>
        <w:rPr/>
        <w:t>综字（上金）第</w:t>
      </w:r>
      <w:r>
        <w:rPr>
          <w:rFonts w:ascii="Times New Roman" w:hAnsi="Times New Roman" w:cs="Times New Roman" w:eastAsia="Times New Roman" w:hint="default"/>
        </w:rPr>
        <w:t>007</w:t>
      </w:r>
      <w:r>
        <w:rPr/>
        <w:t>号</w:t>
      </w:r>
      <w:r>
        <w:rPr>
          <w:rFonts w:ascii="Times New Roman" w:hAnsi="Times New Roman" w:cs="Times New Roman" w:eastAsia="Times New Roman" w:hint="default"/>
        </w:rPr>
        <w:t>”</w:t>
      </w:r>
      <w:r>
        <w:rPr/>
        <w:t>《综合授信合同》，深圳市新国都支付技术有限公司作为该笔授信的转授信对象，</w:t>
      </w:r>
      <w:r>
        <w:rPr>
          <w:w w:val="100"/>
        </w:rPr>
        <w:t> </w:t>
      </w:r>
      <w:r>
        <w:rPr>
          <w:spacing w:val="-6"/>
        </w:rPr>
        <w:t>与珠海华润银行股份有限公司深圳分行签署编号：华银（</w:t>
      </w:r>
      <w:r>
        <w:rPr>
          <w:rFonts w:ascii="Times New Roman" w:hAnsi="Times New Roman" w:cs="Times New Roman" w:eastAsia="Times New Roman" w:hint="default"/>
          <w:spacing w:val="-6"/>
        </w:rPr>
        <w:t>2018</w:t>
      </w:r>
      <w:r>
        <w:rPr>
          <w:spacing w:val="-6"/>
        </w:rPr>
        <w:t>）深综字上金第</w:t>
      </w:r>
      <w:r>
        <w:rPr>
          <w:rFonts w:ascii="Times New Roman" w:hAnsi="Times New Roman" w:cs="Times New Roman" w:eastAsia="Times New Roman" w:hint="default"/>
          <w:spacing w:val="-6"/>
        </w:rPr>
        <w:t>007-1</w:t>
      </w:r>
      <w:r>
        <w:rPr>
          <w:spacing w:val="-6"/>
        </w:rPr>
        <w:t>号的《综合授信合同》。</w:t>
      </w:r>
      <w:r>
        <w:rPr/>
        <w:t> </w:t>
      </w:r>
      <w:r>
        <w:rPr/>
        <w:t>根据上述两份授信合同，该行为深圳市新国都支付技术有限公司提供人民币</w:t>
      </w:r>
      <w:r>
        <w:rPr>
          <w:rFonts w:ascii="Times New Roman" w:hAnsi="Times New Roman" w:cs="Times New Roman" w:eastAsia="Times New Roman" w:hint="default"/>
        </w:rPr>
        <w:t>10,000</w:t>
      </w:r>
      <w:r>
        <w:rPr/>
        <w:t>万元整的授信额度，授</w:t>
      </w:r>
      <w:r>
        <w:rPr>
          <w:spacing w:val="-77"/>
        </w:rPr>
        <w:t> </w:t>
      </w:r>
      <w:r>
        <w:rPr>
          <w:spacing w:val="-77"/>
        </w:rPr>
      </w:r>
      <w:r>
        <w:rPr>
          <w:spacing w:val="-2"/>
        </w:rPr>
        <w:t>信期限自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7</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日止。本公司实际控制人刘祥、本公司与珠海华润银行股份有限公</w:t>
      </w:r>
      <w:r>
        <w:rPr>
          <w:spacing w:val="-32"/>
        </w:rPr>
        <w:t> </w:t>
      </w:r>
      <w:r>
        <w:rPr>
          <w:spacing w:val="-32"/>
        </w:rPr>
      </w:r>
      <w:r>
        <w:rPr/>
        <w:t>司深圳分行签署编号为：华银（</w:t>
      </w:r>
      <w:r>
        <w:rPr>
          <w:rFonts w:ascii="Times New Roman" w:hAnsi="Times New Roman" w:cs="Times New Roman" w:eastAsia="Times New Roman" w:hint="default"/>
        </w:rPr>
        <w:t>2018</w:t>
      </w:r>
      <w:r>
        <w:rPr/>
        <w:t>）深额保字（上金）第</w:t>
      </w:r>
      <w:r>
        <w:rPr>
          <w:rFonts w:ascii="Times New Roman" w:hAnsi="Times New Roman" w:cs="Times New Roman" w:eastAsia="Times New Roman" w:hint="default"/>
        </w:rPr>
        <w:t>007</w:t>
      </w:r>
      <w:r>
        <w:rPr/>
        <w:t>号的《最高额保证合同》、华银（</w:t>
      </w:r>
      <w:r>
        <w:rPr>
          <w:rFonts w:ascii="Times New Roman" w:hAnsi="Times New Roman" w:cs="Times New Roman" w:eastAsia="Times New Roman" w:hint="default"/>
        </w:rPr>
        <w:t>2018</w:t>
      </w:r>
      <w:r>
        <w:rPr/>
        <w:t>）</w:t>
      </w:r>
      <w:r>
        <w:rPr>
          <w:spacing w:val="-25"/>
        </w:rPr>
        <w:t> </w:t>
      </w:r>
      <w:r>
        <w:rPr/>
        <w:t>深额保字（上金）第</w:t>
      </w:r>
      <w:r>
        <w:rPr>
          <w:rFonts w:ascii="Times New Roman" w:hAnsi="Times New Roman" w:cs="Times New Roman" w:eastAsia="Times New Roman" w:hint="default"/>
        </w:rPr>
        <w:t>007-1</w:t>
      </w:r>
      <w:r>
        <w:rPr/>
        <w:t>号的《最高额保证合同》，对前述授信合同提供担保。</w:t>
      </w:r>
    </w:p>
    <w:p>
      <w:pPr>
        <w:pStyle w:val="Heading6"/>
        <w:spacing w:line="240" w:lineRule="auto" w:before="5"/>
        <w:ind w:left="573" w:right="1033"/>
        <w:jc w:val="left"/>
      </w:pP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日，深圳市新国都支付技术有限公司与华夏银行股份有限公司深圳泰然支行签署</w:t>
      </w:r>
    </w:p>
    <w:p>
      <w:pPr>
        <w:pStyle w:val="Heading6"/>
        <w:spacing w:line="256" w:lineRule="auto" w:before="21"/>
        <w:ind w:right="1033"/>
        <w:jc w:val="left"/>
      </w:pPr>
      <w:r>
        <w:rPr>
          <w:spacing w:val="-1"/>
        </w:rPr>
        <w:t>（合同编号：</w:t>
      </w:r>
      <w:r>
        <w:rPr>
          <w:rFonts w:ascii="Times New Roman" w:hAnsi="Times New Roman" w:cs="Times New Roman" w:eastAsia="Times New Roman" w:hint="default"/>
          <w:spacing w:val="-1"/>
        </w:rPr>
        <w:t>SZ03(</w:t>
      </w:r>
      <w:r>
        <w:rPr>
          <w:spacing w:val="-1"/>
        </w:rPr>
        <w:t>融资</w:t>
      </w:r>
      <w:r>
        <w:rPr>
          <w:rFonts w:ascii="Times New Roman" w:hAnsi="Times New Roman" w:cs="Times New Roman" w:eastAsia="Times New Roman" w:hint="default"/>
          <w:spacing w:val="-1"/>
        </w:rPr>
        <w:t>)20180023</w:t>
      </w:r>
      <w:r>
        <w:rPr>
          <w:spacing w:val="-1"/>
        </w:rPr>
        <w:t>）《最高额融资合同》。根据该合同，该行向深圳市新国都支付技术有</w:t>
      </w:r>
      <w:r>
        <w:rPr>
          <w:spacing w:val="-48"/>
        </w:rPr>
        <w:t> </w:t>
      </w:r>
      <w:r>
        <w:rPr>
          <w:spacing w:val="-48"/>
        </w:rPr>
      </w:r>
      <w:r>
        <w:rPr>
          <w:spacing w:val="-1"/>
        </w:rPr>
        <w:t>限公司提供人民币</w:t>
      </w:r>
      <w:r>
        <w:rPr>
          <w:rFonts w:ascii="Times New Roman" w:hAnsi="Times New Roman" w:cs="Times New Roman" w:eastAsia="Times New Roman" w:hint="default"/>
          <w:spacing w:val="-1"/>
        </w:rPr>
        <w:t>10,000</w:t>
      </w:r>
      <w:r>
        <w:rPr>
          <w:spacing w:val="-1"/>
        </w:rPr>
        <w:t>万元整的最高融资额度，授信期限自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11</w:t>
      </w:r>
      <w:r>
        <w:rPr>
          <w:spacing w:val="-1"/>
        </w:rPr>
        <w:t>日起至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11</w:t>
      </w:r>
      <w:r>
        <w:rPr>
          <w:spacing w:val="-1"/>
        </w:rPr>
        <w:t>日止。本公</w:t>
      </w:r>
    </w:p>
    <w:p>
      <w:pPr>
        <w:spacing w:after="0" w:line="256"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56" w:lineRule="auto" w:before="36"/>
        <w:ind w:right="1130"/>
        <w:jc w:val="both"/>
      </w:pPr>
      <w:r>
        <w:rPr>
          <w:spacing w:val="24"/>
        </w:rPr>
        <w:t>司、本公司实际控制人</w:t>
      </w:r>
      <w:r>
        <w:rPr>
          <w:spacing w:val="-68"/>
        </w:rPr>
        <w:t> </w:t>
      </w:r>
      <w:r>
        <w:rPr>
          <w:spacing w:val="24"/>
        </w:rPr>
        <w:t>刘祥与华夏银行股份有</w:t>
      </w:r>
      <w:r>
        <w:rPr>
          <w:spacing w:val="-68"/>
        </w:rPr>
        <w:t> </w:t>
      </w:r>
      <w:r>
        <w:rPr>
          <w:spacing w:val="13"/>
        </w:rPr>
        <w:t>限公</w:t>
      </w:r>
      <w:r>
        <w:rPr>
          <w:spacing w:val="-63"/>
        </w:rPr>
        <w:t> </w:t>
      </w:r>
      <w:r>
        <w:rPr>
          <w:spacing w:val="23"/>
        </w:rPr>
        <w:t>司深圳泰然支行分</w:t>
      </w:r>
      <w:r>
        <w:rPr>
          <w:spacing w:val="-68"/>
        </w:rPr>
        <w:t> </w:t>
      </w:r>
      <w:r>
        <w:rPr>
          <w:spacing w:val="23"/>
        </w:rPr>
        <w:t>别签署编号为：</w:t>
      </w:r>
      <w:r>
        <w:rPr>
          <w:spacing w:val="-63"/>
        </w:rPr>
        <w:t> </w:t>
      </w:r>
      <w:r>
        <w:rPr>
          <w:rFonts w:ascii="Times New Roman" w:hAnsi="Times New Roman" w:cs="Times New Roman" w:eastAsia="Times New Roman" w:hint="default"/>
        </w:rPr>
        <w:t>SZ03(</w:t>
      </w:r>
      <w:r>
        <w:rPr>
          <w:rFonts w:ascii="Times New Roman" w:hAnsi="Times New Roman" w:cs="Times New Roman" w:eastAsia="Times New Roman" w:hint="default"/>
          <w:spacing w:val="-13"/>
        </w:rPr>
        <w:t> </w:t>
      </w:r>
      <w:r>
        <w:rPr/>
        <w:t>高</w:t>
      </w:r>
      <w:r>
        <w:rPr>
          <w:spacing w:val="-89"/>
        </w:rPr>
        <w:t> </w:t>
      </w:r>
      <w:r>
        <w:rPr>
          <w:spacing w:val="-1"/>
        </w:rPr>
        <w:t>保</w:t>
      </w:r>
      <w:r>
        <w:rPr>
          <w:rFonts w:ascii="Times New Roman" w:hAnsi="Times New Roman" w:cs="Times New Roman" w:eastAsia="Times New Roman" w:hint="default"/>
          <w:spacing w:val="-1"/>
        </w:rPr>
        <w:t>)20180023-11</w:t>
      </w:r>
      <w:r>
        <w:rPr>
          <w:spacing w:val="-1"/>
        </w:rPr>
        <w:t>《最高额保证合同》、</w:t>
      </w:r>
      <w:r>
        <w:rPr>
          <w:rFonts w:ascii="Times New Roman" w:hAnsi="Times New Roman" w:cs="Times New Roman" w:eastAsia="Times New Roman" w:hint="default"/>
          <w:spacing w:val="-1"/>
        </w:rPr>
        <w:t>SZ03(</w:t>
      </w:r>
      <w:r>
        <w:rPr>
          <w:spacing w:val="-1"/>
        </w:rPr>
        <w:t>高保</w:t>
      </w:r>
      <w:r>
        <w:rPr>
          <w:rFonts w:ascii="Times New Roman" w:hAnsi="Times New Roman" w:cs="Times New Roman" w:eastAsia="Times New Roman" w:hint="default"/>
          <w:spacing w:val="-1"/>
        </w:rPr>
        <w:t>)20180023-12</w:t>
      </w:r>
      <w:r>
        <w:rPr>
          <w:spacing w:val="-1"/>
        </w:rPr>
        <w:t>《个人最高额保证合同》，对前述授信合同</w:t>
      </w:r>
      <w:r>
        <w:rPr>
          <w:spacing w:val="-43"/>
        </w:rPr>
        <w:t> </w:t>
      </w:r>
      <w:r>
        <w:rPr>
          <w:spacing w:val="-43"/>
        </w:rPr>
      </w:r>
      <w:r>
        <w:rPr/>
        <w:t>提供担保。</w:t>
      </w:r>
    </w:p>
    <w:p>
      <w:pPr>
        <w:pStyle w:val="Heading6"/>
        <w:spacing w:line="256" w:lineRule="auto" w:before="22"/>
        <w:ind w:right="1128" w:firstLine="420"/>
        <w:jc w:val="both"/>
      </w:pPr>
      <w:r>
        <w:rPr/>
        <w:t>（</w:t>
      </w:r>
      <w:r>
        <w:rPr>
          <w:rFonts w:ascii="Times New Roman" w:hAnsi="Times New Roman" w:cs="Times New Roman" w:eastAsia="Times New Roman" w:hint="default"/>
        </w:rPr>
        <w:t>16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日，深圳市新国都支付技术有限公司与招商银行股份有限公司深圳分行签署（合</w:t>
      </w:r>
      <w:r>
        <w:rPr>
          <w:w w:val="100"/>
        </w:rPr>
        <w:t> </w:t>
      </w:r>
      <w:r>
        <w:rPr>
          <w:spacing w:val="-2"/>
        </w:rPr>
        <w:t>同编号：</w:t>
      </w:r>
      <w:r>
        <w:rPr>
          <w:rFonts w:ascii="Times New Roman" w:hAnsi="Times New Roman" w:cs="Times New Roman" w:eastAsia="Times New Roman" w:hint="default"/>
          <w:spacing w:val="-2"/>
        </w:rPr>
        <w:t>755XY2018039141</w:t>
      </w:r>
      <w:r>
        <w:rPr>
          <w:spacing w:val="-2"/>
        </w:rPr>
        <w:t>）《授信协议》。根据该合同，该行向深圳市新国都支付技术有限公司提供人</w:t>
      </w:r>
      <w:r>
        <w:rPr>
          <w:spacing w:val="-21"/>
        </w:rPr>
        <w:t> </w:t>
      </w:r>
      <w:r>
        <w:rPr>
          <w:spacing w:val="-21"/>
        </w:rPr>
      </w:r>
      <w:r>
        <w:rPr>
          <w:spacing w:val="-3"/>
        </w:rPr>
        <w:t>民币</w:t>
      </w:r>
      <w:r>
        <w:rPr>
          <w:rFonts w:ascii="Times New Roman" w:hAnsi="Times New Roman" w:cs="Times New Roman" w:eastAsia="Times New Roman" w:hint="default"/>
          <w:spacing w:val="-3"/>
        </w:rPr>
        <w:t>7,000</w:t>
      </w:r>
      <w:r>
        <w:rPr>
          <w:spacing w:val="-3"/>
        </w:rPr>
        <w:t>万元整的授信额度，授信期限自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21</w:t>
      </w:r>
      <w:r>
        <w:rPr>
          <w:spacing w:val="-3"/>
        </w:rPr>
        <w:t>日起至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w:t>
      </w:r>
      <w:r>
        <w:rPr>
          <w:spacing w:val="-3"/>
        </w:rPr>
        <w:t>日止。本公司、本公司实际控</w:t>
      </w:r>
      <w:r>
        <w:rPr>
          <w:spacing w:val="-21"/>
        </w:rPr>
        <w:t> </w:t>
      </w:r>
      <w:r>
        <w:rPr>
          <w:spacing w:val="-21"/>
        </w:rPr>
      </w:r>
      <w:r>
        <w:rPr>
          <w:spacing w:val="-2"/>
        </w:rPr>
        <w:t>制人刘祥与招商银行股份有限公司深圳分行分别签署编号为：</w:t>
      </w:r>
      <w:r>
        <w:rPr>
          <w:rFonts w:ascii="Times New Roman" w:hAnsi="Times New Roman" w:cs="Times New Roman" w:eastAsia="Times New Roman" w:hint="default"/>
          <w:spacing w:val="-2"/>
        </w:rPr>
        <w:t>755XY201803914105</w:t>
      </w:r>
      <w:r>
        <w:rPr>
          <w:spacing w:val="-2"/>
        </w:rPr>
        <w:t>《最高额不可撤销担保</w:t>
      </w:r>
      <w:r>
        <w:rPr>
          <w:spacing w:val="-20"/>
        </w:rPr>
        <w:t> </w:t>
      </w:r>
      <w:r>
        <w:rPr>
          <w:spacing w:val="-20"/>
        </w:rPr>
      </w:r>
      <w:r>
        <w:rPr/>
        <w:t>书》、</w:t>
      </w:r>
      <w:r>
        <w:rPr>
          <w:rFonts w:ascii="Times New Roman" w:hAnsi="Times New Roman" w:cs="Times New Roman" w:eastAsia="Times New Roman" w:hint="default"/>
        </w:rPr>
        <w:t>755XY201803914104</w:t>
      </w:r>
      <w:r>
        <w:rPr/>
        <w:t>《最高额不可撤销担保书》，对前述授信合同提供担保。</w:t>
      </w:r>
    </w:p>
    <w:p>
      <w:pPr>
        <w:pStyle w:val="Heading6"/>
        <w:spacing w:line="261" w:lineRule="auto" w:before="5"/>
        <w:ind w:right="1126" w:firstLine="420"/>
        <w:jc w:val="both"/>
      </w:pPr>
      <w:r>
        <w:rPr>
          <w:spacing w:val="-2"/>
        </w:rPr>
        <w:t>（</w:t>
      </w:r>
      <w:r>
        <w:rPr>
          <w:rFonts w:ascii="Times New Roman" w:hAnsi="Times New Roman" w:cs="Times New Roman" w:eastAsia="Times New Roman" w:hint="default"/>
          <w:spacing w:val="-2"/>
        </w:rPr>
        <w:t>17</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日，深圳市新国都支付技术有限公司与上海浦东发展银行股份有限公司深圳分行签</w:t>
      </w:r>
      <w:r>
        <w:rPr>
          <w:w w:val="100"/>
        </w:rPr>
        <w:t> </w:t>
      </w:r>
      <w:r>
        <w:rPr>
          <w:spacing w:val="-3"/>
        </w:rPr>
        <w:t>署（合同编号：</w:t>
      </w:r>
      <w:r>
        <w:rPr>
          <w:rFonts w:ascii="Times New Roman" w:hAnsi="Times New Roman" w:cs="Times New Roman" w:eastAsia="Times New Roman" w:hint="default"/>
          <w:spacing w:val="-3"/>
        </w:rPr>
        <w:t>BC2019022800001365</w:t>
      </w:r>
      <w:r>
        <w:rPr>
          <w:spacing w:val="-3"/>
        </w:rPr>
        <w:t>）《融资额度协议》。根据该合同，该行向深圳市新国都支付技术有</w:t>
      </w:r>
      <w:r>
        <w:rPr>
          <w:spacing w:val="-44"/>
        </w:rPr>
        <w:t> </w:t>
      </w:r>
      <w:r>
        <w:rPr>
          <w:spacing w:val="-44"/>
        </w:rPr>
      </w:r>
      <w:r>
        <w:rPr>
          <w:spacing w:val="-3"/>
        </w:rPr>
        <w:t>限公司提供人民币</w:t>
      </w:r>
      <w:r>
        <w:rPr>
          <w:rFonts w:ascii="Times New Roman" w:hAnsi="Times New Roman" w:cs="Times New Roman" w:eastAsia="Times New Roman" w:hint="default"/>
          <w:spacing w:val="-3"/>
        </w:rPr>
        <w:t>20,000</w:t>
      </w:r>
      <w:r>
        <w:rPr>
          <w:spacing w:val="-3"/>
        </w:rPr>
        <w:t>万元整的授信额度，授信期限自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5</w:t>
      </w:r>
      <w:r>
        <w:rPr>
          <w:spacing w:val="-3"/>
        </w:rPr>
        <w:t>日起至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28</w:t>
      </w:r>
      <w:r>
        <w:rPr>
          <w:spacing w:val="-3"/>
        </w:rPr>
        <w:t>日止。本公司、本</w:t>
      </w:r>
      <w:r>
        <w:rPr>
          <w:spacing w:val="-25"/>
        </w:rPr>
        <w:t> </w:t>
      </w:r>
      <w:r>
        <w:rPr>
          <w:spacing w:val="-25"/>
        </w:rPr>
      </w:r>
      <w:r>
        <w:rPr/>
        <w:t>公</w:t>
      </w:r>
      <w:r>
        <w:rPr>
          <w:spacing w:val="-61"/>
        </w:rPr>
        <w:t> </w:t>
      </w:r>
      <w:r>
        <w:rPr/>
        <w:t>司</w:t>
      </w:r>
      <w:r>
        <w:rPr>
          <w:spacing w:val="-59"/>
        </w:rPr>
        <w:t> </w:t>
      </w:r>
      <w:r>
        <w:rPr/>
        <w:t>实</w:t>
      </w:r>
      <w:r>
        <w:rPr>
          <w:spacing w:val="-61"/>
        </w:rPr>
        <w:t> </w:t>
      </w:r>
      <w:r>
        <w:rPr/>
        <w:t>际</w:t>
      </w:r>
      <w:r>
        <w:rPr>
          <w:spacing w:val="-61"/>
        </w:rPr>
        <w:t> </w:t>
      </w:r>
      <w:r>
        <w:rPr/>
        <w:t>控</w:t>
      </w:r>
      <w:r>
        <w:rPr>
          <w:spacing w:val="-61"/>
        </w:rPr>
        <w:t> </w:t>
      </w:r>
      <w:r>
        <w:rPr/>
        <w:t>制</w:t>
      </w:r>
      <w:r>
        <w:rPr>
          <w:spacing w:val="-61"/>
        </w:rPr>
        <w:t> </w:t>
      </w:r>
      <w:r>
        <w:rPr/>
        <w:t>人</w:t>
      </w:r>
      <w:r>
        <w:rPr>
          <w:spacing w:val="-61"/>
        </w:rPr>
        <w:t> </w:t>
      </w:r>
      <w:r>
        <w:rPr/>
        <w:t>刘</w:t>
      </w:r>
      <w:r>
        <w:rPr>
          <w:spacing w:val="-59"/>
        </w:rPr>
        <w:t> </w:t>
      </w:r>
      <w:r>
        <w:rPr/>
        <w:t>祥</w:t>
      </w:r>
      <w:r>
        <w:rPr>
          <w:spacing w:val="-61"/>
        </w:rPr>
        <w:t> </w:t>
      </w:r>
      <w:r>
        <w:rPr/>
        <w:t>与</w:t>
      </w:r>
      <w:r>
        <w:rPr>
          <w:spacing w:val="-61"/>
        </w:rPr>
        <w:t> </w:t>
      </w:r>
      <w:r>
        <w:rPr/>
        <w:t>上</w:t>
      </w:r>
      <w:r>
        <w:rPr>
          <w:spacing w:val="-59"/>
        </w:rPr>
        <w:t> </w:t>
      </w:r>
      <w:r>
        <w:rPr/>
        <w:t>海</w:t>
      </w:r>
      <w:r>
        <w:rPr>
          <w:spacing w:val="-61"/>
        </w:rPr>
        <w:t> </w:t>
      </w:r>
      <w:r>
        <w:rPr/>
        <w:t>浦</w:t>
      </w:r>
      <w:r>
        <w:rPr>
          <w:spacing w:val="-61"/>
        </w:rPr>
        <w:t> </w:t>
      </w:r>
      <w:r>
        <w:rPr/>
        <w:t>东</w:t>
      </w:r>
      <w:r>
        <w:rPr>
          <w:spacing w:val="-61"/>
        </w:rPr>
        <w:t> </w:t>
      </w:r>
      <w:r>
        <w:rPr/>
        <w:t>发</w:t>
      </w:r>
      <w:r>
        <w:rPr>
          <w:spacing w:val="-61"/>
        </w:rPr>
        <w:t> </w:t>
      </w:r>
      <w:r>
        <w:rPr/>
        <w:t>展</w:t>
      </w:r>
      <w:r>
        <w:rPr>
          <w:spacing w:val="-61"/>
        </w:rPr>
        <w:t> </w:t>
      </w:r>
      <w:r>
        <w:rPr/>
        <w:t>银</w:t>
      </w:r>
      <w:r>
        <w:rPr>
          <w:spacing w:val="-59"/>
        </w:rPr>
        <w:t> </w:t>
      </w:r>
      <w:r>
        <w:rPr/>
        <w:t>行</w:t>
      </w:r>
      <w:r>
        <w:rPr>
          <w:spacing w:val="-61"/>
        </w:rPr>
        <w:t> </w:t>
      </w:r>
      <w:r>
        <w:rPr/>
        <w:t>股</w:t>
      </w:r>
      <w:r>
        <w:rPr>
          <w:spacing w:val="-61"/>
        </w:rPr>
        <w:t> </w:t>
      </w:r>
      <w:r>
        <w:rPr/>
        <w:t>份</w:t>
      </w:r>
      <w:r>
        <w:rPr>
          <w:spacing w:val="-59"/>
        </w:rPr>
        <w:t> </w:t>
      </w:r>
      <w:r>
        <w:rPr/>
        <w:t>有</w:t>
      </w:r>
      <w:r>
        <w:rPr>
          <w:spacing w:val="-61"/>
        </w:rPr>
        <w:t> </w:t>
      </w:r>
      <w:r>
        <w:rPr/>
        <w:t>限</w:t>
      </w:r>
      <w:r>
        <w:rPr>
          <w:spacing w:val="-61"/>
        </w:rPr>
        <w:t> </w:t>
      </w:r>
      <w:r>
        <w:rPr/>
        <w:t>公</w:t>
      </w:r>
      <w:r>
        <w:rPr>
          <w:spacing w:val="-61"/>
        </w:rPr>
        <w:t> </w:t>
      </w:r>
      <w:r>
        <w:rPr/>
        <w:t>司</w:t>
      </w:r>
      <w:r>
        <w:rPr>
          <w:spacing w:val="-61"/>
        </w:rPr>
        <w:t> </w:t>
      </w:r>
      <w:r>
        <w:rPr/>
        <w:t>深</w:t>
      </w:r>
      <w:r>
        <w:rPr>
          <w:spacing w:val="-61"/>
        </w:rPr>
        <w:t> </w:t>
      </w:r>
      <w:r>
        <w:rPr/>
        <w:t>圳</w:t>
      </w:r>
      <w:r>
        <w:rPr>
          <w:spacing w:val="-59"/>
        </w:rPr>
        <w:t> </w:t>
      </w:r>
      <w:r>
        <w:rPr/>
        <w:t>分</w:t>
      </w:r>
      <w:r>
        <w:rPr>
          <w:spacing w:val="-61"/>
        </w:rPr>
        <w:t> </w:t>
      </w:r>
      <w:r>
        <w:rPr/>
        <w:t>行</w:t>
      </w:r>
      <w:r>
        <w:rPr>
          <w:spacing w:val="-61"/>
        </w:rPr>
        <w:t> </w:t>
      </w:r>
      <w:r>
        <w:rPr/>
        <w:t>签</w:t>
      </w:r>
      <w:r>
        <w:rPr>
          <w:spacing w:val="-59"/>
        </w:rPr>
        <w:t> </w:t>
      </w:r>
      <w:r>
        <w:rPr/>
        <w:t>署</w:t>
      </w:r>
      <w:r>
        <w:rPr>
          <w:spacing w:val="-61"/>
        </w:rPr>
        <w:t> </w:t>
      </w:r>
      <w:r>
        <w:rPr/>
        <w:t>分</w:t>
      </w:r>
      <w:r>
        <w:rPr>
          <w:spacing w:val="-61"/>
        </w:rPr>
        <w:t> </w:t>
      </w:r>
      <w:r>
        <w:rPr/>
        <w:t>别</w:t>
      </w:r>
      <w:r>
        <w:rPr>
          <w:spacing w:val="-61"/>
        </w:rPr>
        <w:t> </w:t>
      </w:r>
      <w:r>
        <w:rPr/>
        <w:t>签</w:t>
      </w:r>
      <w:r>
        <w:rPr>
          <w:spacing w:val="-61"/>
        </w:rPr>
        <w:t> </w:t>
      </w:r>
      <w:r>
        <w:rPr/>
        <w:t>署</w:t>
      </w:r>
      <w:r>
        <w:rPr>
          <w:spacing w:val="-61"/>
        </w:rPr>
        <w:t> </w:t>
      </w:r>
      <w:r>
        <w:rPr/>
        <w:t>编</w:t>
      </w:r>
      <w:r>
        <w:rPr>
          <w:spacing w:val="-59"/>
        </w:rPr>
        <w:t> </w:t>
      </w:r>
      <w:r>
        <w:rPr/>
        <w:t>号</w:t>
      </w:r>
      <w:r>
        <w:rPr>
          <w:spacing w:val="-61"/>
        </w:rPr>
        <w:t> </w:t>
      </w:r>
      <w:r>
        <w:rPr/>
        <w:t>为</w:t>
      </w:r>
      <w:r>
        <w:rPr>
          <w:spacing w:val="-61"/>
        </w:rPr>
        <w:t> </w:t>
      </w:r>
      <w:r>
        <w:rPr/>
        <w:t>：</w:t>
      </w:r>
      <w:r>
        <w:rPr>
          <w:w w:val="100"/>
        </w:rPr>
        <w:t> </w:t>
      </w:r>
      <w:r>
        <w:rPr>
          <w:rFonts w:ascii="Times New Roman" w:hAnsi="Times New Roman" w:cs="Times New Roman" w:eastAsia="Times New Roman" w:hint="default"/>
        </w:rPr>
        <w:t>ZB7919201900000009</w:t>
      </w:r>
      <w:r>
        <w:rPr/>
        <w:t>《最高额保证合同》、</w:t>
      </w:r>
      <w:r>
        <w:rPr>
          <w:rFonts w:ascii="Times New Roman" w:hAnsi="Times New Roman" w:cs="Times New Roman" w:eastAsia="Times New Roman" w:hint="default"/>
        </w:rPr>
        <w:t>ZB7919201900000010</w:t>
      </w:r>
      <w:r>
        <w:rPr/>
        <w:t>《最高额保证合同》，对前述授信合同</w:t>
      </w:r>
      <w:r>
        <w:rPr>
          <w:spacing w:val="-45"/>
        </w:rPr>
        <w:t> </w:t>
      </w:r>
      <w:r>
        <w:rPr>
          <w:spacing w:val="-45"/>
        </w:rPr>
      </w:r>
      <w:r>
        <w:rPr/>
        <w:t>提供担保。</w:t>
      </w:r>
    </w:p>
    <w:p>
      <w:pPr>
        <w:pStyle w:val="Heading6"/>
        <w:spacing w:line="261" w:lineRule="auto" w:before="18"/>
        <w:ind w:right="1131" w:firstLine="420"/>
        <w:jc w:val="both"/>
      </w:pPr>
      <w:r>
        <w:rPr/>
        <w:t>（</w:t>
      </w:r>
      <w:r>
        <w:rPr>
          <w:rFonts w:ascii="Times New Roman" w:hAnsi="Times New Roman" w:cs="Times New Roman" w:eastAsia="Times New Roman" w:hint="default"/>
        </w:rPr>
        <w:t>18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日，深圳市新国都支付技术有限公司与上海银行股份有限公司深圳分行签署（合</w:t>
      </w:r>
      <w:r>
        <w:rPr>
          <w:w w:val="100"/>
        </w:rPr>
        <w:t> </w:t>
      </w:r>
      <w:r>
        <w:rPr>
          <w:spacing w:val="-1"/>
        </w:rPr>
        <w:t>同编号：</w:t>
      </w:r>
      <w:r>
        <w:rPr>
          <w:rFonts w:ascii="Times New Roman" w:hAnsi="Times New Roman" w:cs="Times New Roman" w:eastAsia="Times New Roman" w:hint="default"/>
          <w:spacing w:val="-1"/>
        </w:rPr>
        <w:t>SX92903190087</w:t>
      </w:r>
      <w:r>
        <w:rPr>
          <w:spacing w:val="-1"/>
        </w:rPr>
        <w:t>）《综合授信合同》。根据该合同，该行向深圳市新国都支付技术有限公司提供</w:t>
      </w:r>
      <w:r>
        <w:rPr>
          <w:spacing w:val="-37"/>
        </w:rPr>
        <w:t> </w:t>
      </w:r>
      <w:r>
        <w:rPr>
          <w:spacing w:val="-37"/>
        </w:rPr>
      </w:r>
      <w:r>
        <w:rPr>
          <w:spacing w:val="-3"/>
        </w:rPr>
        <w:t>人民币</w:t>
      </w:r>
      <w:r>
        <w:rPr>
          <w:rFonts w:ascii="Times New Roman" w:hAnsi="Times New Roman" w:cs="Times New Roman" w:eastAsia="Times New Roman" w:hint="default"/>
          <w:spacing w:val="-3"/>
        </w:rPr>
        <w:t>5,000</w:t>
      </w:r>
      <w:r>
        <w:rPr>
          <w:spacing w:val="-3"/>
        </w:rPr>
        <w:t>万元的授信额度，其中敞口授信人民币</w:t>
      </w:r>
      <w:r>
        <w:rPr>
          <w:rFonts w:ascii="Times New Roman" w:hAnsi="Times New Roman" w:cs="Times New Roman" w:eastAsia="Times New Roman" w:hint="default"/>
          <w:spacing w:val="-3"/>
        </w:rPr>
        <w:t>2000</w:t>
      </w:r>
      <w:r>
        <w:rPr>
          <w:spacing w:val="-3"/>
        </w:rPr>
        <w:t>万元。授信期限自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日起至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27"/>
        </w:rPr>
        <w:t> </w:t>
      </w:r>
      <w:r>
        <w:rPr>
          <w:spacing w:val="11"/>
        </w:rPr>
        <w:t>日日</w:t>
      </w:r>
      <w:r>
        <w:rPr>
          <w:spacing w:val="-71"/>
        </w:rPr>
        <w:t> </w:t>
      </w:r>
      <w:r>
        <w:rPr>
          <w:spacing w:val="11"/>
        </w:rPr>
        <w:t>止。</w:t>
      </w:r>
      <w:r>
        <w:rPr>
          <w:spacing w:val="-75"/>
        </w:rPr>
        <w:t> </w:t>
      </w:r>
      <w:r>
        <w:rPr>
          <w:spacing w:val="11"/>
        </w:rPr>
        <w:t>本公</w:t>
      </w:r>
      <w:r>
        <w:rPr>
          <w:spacing w:val="-71"/>
        </w:rPr>
        <w:t> </w:t>
      </w:r>
      <w:r>
        <w:rPr>
          <w:spacing w:val="11"/>
        </w:rPr>
        <w:t>司、</w:t>
      </w:r>
      <w:r>
        <w:rPr>
          <w:spacing w:val="-75"/>
        </w:rPr>
        <w:t> </w:t>
      </w:r>
      <w:r>
        <w:rPr>
          <w:spacing w:val="16"/>
        </w:rPr>
        <w:t>本公司实</w:t>
      </w:r>
      <w:r>
        <w:rPr>
          <w:spacing w:val="-71"/>
        </w:rPr>
        <w:t> </w:t>
      </w:r>
      <w:r>
        <w:rPr>
          <w:spacing w:val="16"/>
        </w:rPr>
        <w:t>际控制人</w:t>
      </w:r>
      <w:r>
        <w:rPr>
          <w:spacing w:val="-71"/>
        </w:rPr>
        <w:t> </w:t>
      </w:r>
      <w:r>
        <w:rPr>
          <w:spacing w:val="18"/>
        </w:rPr>
        <w:t>刘祥与上海银</w:t>
      </w:r>
      <w:r>
        <w:rPr>
          <w:spacing w:val="-71"/>
        </w:rPr>
        <w:t> </w:t>
      </w:r>
      <w:r>
        <w:rPr>
          <w:spacing w:val="16"/>
        </w:rPr>
        <w:t>行股份有</w:t>
      </w:r>
      <w:r>
        <w:rPr>
          <w:spacing w:val="-71"/>
        </w:rPr>
        <w:t> </w:t>
      </w:r>
      <w:r>
        <w:rPr>
          <w:spacing w:val="18"/>
        </w:rPr>
        <w:t>限公司深圳分</w:t>
      </w:r>
      <w:r>
        <w:rPr>
          <w:spacing w:val="-71"/>
        </w:rPr>
        <w:t> </w:t>
      </w:r>
      <w:r>
        <w:rPr>
          <w:spacing w:val="16"/>
        </w:rPr>
        <w:t>行分别签</w:t>
      </w:r>
      <w:r>
        <w:rPr>
          <w:spacing w:val="-71"/>
        </w:rPr>
        <w:t> </w:t>
      </w:r>
      <w:r>
        <w:rPr>
          <w:spacing w:val="17"/>
        </w:rPr>
        <w:t>署编号为：</w:t>
      </w:r>
      <w:r>
        <w:rPr>
          <w:spacing w:val="-92"/>
        </w:rPr>
        <w:t> </w:t>
      </w:r>
      <w:r>
        <w:rPr>
          <w:spacing w:val="-92"/>
        </w:rPr>
      </w:r>
      <w:r>
        <w:rPr>
          <w:rFonts w:ascii="Times New Roman" w:hAnsi="Times New Roman" w:cs="Times New Roman" w:eastAsia="Times New Roman" w:hint="default"/>
        </w:rPr>
        <w:t>ZDBSX9290319008701</w:t>
      </w:r>
      <w:r>
        <w:rPr/>
        <w:t>《最高额保证合同》、</w:t>
      </w:r>
      <w:r>
        <w:rPr>
          <w:rFonts w:ascii="Times New Roman" w:hAnsi="Times New Roman" w:cs="Times New Roman" w:eastAsia="Times New Roman" w:hint="default"/>
        </w:rPr>
        <w:t>ZDBSX9290319008702</w:t>
      </w:r>
      <w:r>
        <w:rPr/>
        <w:t>《最高额保证合同》，对前述授信合</w:t>
      </w:r>
      <w:r>
        <w:rPr>
          <w:spacing w:val="-48"/>
        </w:rPr>
        <w:t> </w:t>
      </w:r>
      <w:r>
        <w:rPr>
          <w:spacing w:val="-48"/>
        </w:rPr>
      </w:r>
      <w:r>
        <w:rPr/>
        <w:t>同提供担保。</w:t>
      </w:r>
    </w:p>
    <w:p>
      <w:pPr>
        <w:pStyle w:val="Heading6"/>
        <w:spacing w:line="268" w:lineRule="auto" w:before="18"/>
        <w:ind w:right="1126" w:firstLine="420"/>
        <w:jc w:val="both"/>
      </w:pPr>
      <w:r>
        <w:rPr/>
        <w:t>（</w:t>
      </w:r>
      <w:r>
        <w:rPr>
          <w:rFonts w:ascii="Times New Roman" w:hAnsi="Times New Roman" w:cs="Times New Roman" w:eastAsia="Times New Roman" w:hint="default"/>
        </w:rPr>
        <w:t>19</w:t>
      </w:r>
      <w:r>
        <w:rPr/>
        <w:t>）本公司根据实际发展需要，向合格投资者非公开发行人民币</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亿元公司债券，募集资金用于偿</w:t>
      </w:r>
      <w:r>
        <w:rPr>
          <w:w w:val="100"/>
        </w:rPr>
        <w:t> </w:t>
      </w:r>
      <w:r>
        <w:rPr>
          <w:spacing w:val="-2"/>
        </w:rPr>
        <w:t>还借款及补充流动资金。本次非公开发行由深圳市中小企业信用融资担保集团有限公司出具《担保函》对</w:t>
      </w:r>
      <w:r>
        <w:rPr>
          <w:spacing w:val="-42"/>
        </w:rPr>
        <w:t> </w:t>
      </w:r>
      <w:r>
        <w:rPr>
          <w:spacing w:val="-42"/>
        </w:rPr>
      </w:r>
      <w:r>
        <w:rPr>
          <w:spacing w:val="-2"/>
        </w:rPr>
        <w:t>债券存续年度内提供无条件不可撤销的连带责任保证担保。同时本公司实际控制人刘祥与深圳市中小企业</w:t>
      </w:r>
      <w:r>
        <w:rPr>
          <w:spacing w:val="-43"/>
        </w:rPr>
        <w:t> </w:t>
      </w:r>
      <w:r>
        <w:rPr>
          <w:spacing w:val="-43"/>
        </w:rPr>
      </w:r>
      <w:r>
        <w:rPr>
          <w:spacing w:val="-2"/>
        </w:rPr>
        <w:t>信用融资担保集团有限公司签订《保证反担保合同》，刘祥以其拥有合法处分权的财产为本公司发行债券</w:t>
      </w:r>
      <w:r>
        <w:rPr>
          <w:spacing w:val="-44"/>
        </w:rPr>
        <w:t> </w:t>
      </w:r>
      <w:r>
        <w:rPr>
          <w:spacing w:val="-44"/>
        </w:rPr>
      </w:r>
      <w:r>
        <w:rPr/>
        <w:t>向担保机构提供保证反担保。</w:t>
      </w:r>
    </w:p>
    <w:p>
      <w:pPr>
        <w:spacing w:line="240" w:lineRule="auto" w:before="10"/>
        <w:rPr>
          <w:rFonts w:ascii="宋体" w:hAnsi="宋体" w:cs="宋体" w:eastAsia="宋体" w:hint="default"/>
          <w:sz w:val="18"/>
          <w:szCs w:val="18"/>
        </w:rPr>
      </w:pPr>
    </w:p>
    <w:p>
      <w:pPr>
        <w:pStyle w:val="Heading5"/>
        <w:spacing w:line="240" w:lineRule="auto"/>
        <w:ind w:right="0"/>
        <w:jc w:val="both"/>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陈文辉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214,147.64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157,402.30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93,193.30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46,596.65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深圳市信联征信有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6,960.86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深圳市新国都金服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492,723.10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24,636.16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深圳市信联征信有限公司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37,195.57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深圳市新国都金服技术有限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25,693.27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875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十三、股份支付</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7"/>
          <w:szCs w:val="7"/>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7,928,014.92</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0" w:right="1135"/>
        <w:jc w:val="right"/>
      </w:pPr>
      <w:r>
        <w:rPr/>
        <w:pict>
          <v:shape style="position:absolute;margin-left:56.484001pt;margin-top:-18.548296pt;width:479.2pt;height:51.9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5"/>
                    <w:gridCol w:w="4115"/>
                  </w:tblGrid>
                  <w:tr>
                    <w:trPr>
                      <w:trHeight w:val="1028"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第三轮，权价格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13.434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元，期间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日。第四轮，行权价格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14.833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期间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按实际授予股票期权人数进行估计</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101,179,804.82</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6,904,108.34</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left="1146" w:right="1033"/>
        <w:jc w:val="left"/>
        <w:rPr>
          <w:b w:val="0"/>
          <w:bCs w:val="0"/>
        </w:rPr>
      </w:pPr>
      <w:r>
        <w:rPr>
          <w:rFonts w:ascii="Arial" w:hAnsi="Arial" w:cs="Arial" w:eastAsia="Arial" w:hint="default"/>
          <w:w w:val="105"/>
        </w:rPr>
        <w:t>1.</w:t>
      </w:r>
      <w:r>
        <w:rPr>
          <w:rFonts w:ascii="Arial" w:hAnsi="Arial" w:cs="Arial" w:eastAsia="Arial" w:hint="default"/>
          <w:spacing w:val="49"/>
          <w:w w:val="105"/>
        </w:rPr>
        <w:t> </w:t>
      </w:r>
      <w:r>
        <w:rPr>
          <w:w w:val="105"/>
        </w:rPr>
        <w:t>第二轮股权激励</w:t>
      </w:r>
      <w:r>
        <w:rPr>
          <w:b w:val="0"/>
          <w:bCs w:val="0"/>
          <w:w w:val="105"/>
        </w:rPr>
      </w:r>
    </w:p>
    <w:p>
      <w:pPr>
        <w:pStyle w:val="Heading6"/>
        <w:spacing w:line="240" w:lineRule="auto" w:before="13"/>
        <w:ind w:left="933" w:right="103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日，公司召开第三届董事会第二十次会议及第三届监事会第十九次会议审议通过了</w:t>
      </w:r>
    </w:p>
    <w:p>
      <w:pPr>
        <w:pStyle w:val="Heading6"/>
        <w:spacing w:line="256" w:lineRule="auto" w:before="21"/>
        <w:ind w:left="513" w:right="1123"/>
        <w:jc w:val="both"/>
      </w:pPr>
      <w:r>
        <w:rPr>
          <w:spacing w:val="-6"/>
        </w:rPr>
        <w:t>《审议</w:t>
      </w:r>
      <w:r>
        <w:rPr>
          <w:rFonts w:ascii="Times New Roman" w:hAnsi="Times New Roman" w:cs="Times New Roman" w:eastAsia="Times New Roman" w:hint="default"/>
          <w:spacing w:val="-6"/>
        </w:rPr>
        <w:t>&lt;</w:t>
      </w:r>
      <w:r>
        <w:rPr>
          <w:spacing w:val="-6"/>
        </w:rPr>
        <w:t>关于深圳市新国都技术股份有限公司</w:t>
      </w:r>
      <w:r>
        <w:rPr>
          <w:rFonts w:ascii="Times New Roman" w:hAnsi="Times New Roman" w:cs="Times New Roman" w:eastAsia="Times New Roman" w:hint="default"/>
          <w:spacing w:val="-6"/>
        </w:rPr>
        <w:t>2015</w:t>
      </w:r>
      <w:r>
        <w:rPr>
          <w:spacing w:val="-6"/>
        </w:rPr>
        <w:t>年股票期权激励计划（草案）及摘要</w:t>
      </w:r>
      <w:r>
        <w:rPr>
          <w:rFonts w:ascii="Times New Roman" w:hAnsi="Times New Roman" w:cs="Times New Roman" w:eastAsia="Times New Roman" w:hint="default"/>
          <w:spacing w:val="-6"/>
        </w:rPr>
        <w:t>&gt;</w:t>
      </w:r>
      <w:r>
        <w:rPr>
          <w:spacing w:val="-6"/>
        </w:rPr>
        <w:t>的议案》、《审</w:t>
      </w:r>
      <w:r>
        <w:rPr>
          <w:spacing w:val="-24"/>
        </w:rPr>
        <w:t> </w:t>
      </w:r>
      <w:r>
        <w:rPr>
          <w:spacing w:val="-24"/>
        </w:rPr>
      </w:r>
      <w:r>
        <w:rPr/>
        <w:t>议</w:t>
      </w:r>
      <w:r>
        <w:rPr>
          <w:rFonts w:ascii="Times New Roman" w:hAnsi="Times New Roman" w:cs="Times New Roman" w:eastAsia="Times New Roman" w:hint="default"/>
        </w:rPr>
        <w:t>&lt;</w:t>
      </w:r>
      <w:r>
        <w:rPr/>
        <w:t>关于深圳市新国都技术股份有限公司</w:t>
      </w:r>
      <w:r>
        <w:rPr>
          <w:rFonts w:ascii="Times New Roman" w:hAnsi="Times New Roman" w:cs="Times New Roman" w:eastAsia="Times New Roman" w:hint="default"/>
        </w:rPr>
        <w:t>2015</w:t>
      </w:r>
      <w:r>
        <w:rPr/>
        <w:t>年股票期权激励计划管理办法</w:t>
      </w:r>
      <w:r>
        <w:rPr>
          <w:rFonts w:ascii="Times New Roman" w:hAnsi="Times New Roman" w:cs="Times New Roman" w:eastAsia="Times New Roman" w:hint="default"/>
        </w:rPr>
        <w:t>&gt;</w:t>
      </w:r>
      <w:r>
        <w:rPr/>
        <w:t>的议案》、《审议</w:t>
      </w:r>
      <w:r>
        <w:rPr>
          <w:rFonts w:ascii="Times New Roman" w:hAnsi="Times New Roman" w:cs="Times New Roman" w:eastAsia="Times New Roman" w:hint="default"/>
        </w:rPr>
        <w:t>&lt;</w:t>
      </w:r>
      <w:r>
        <w:rPr/>
        <w:t>关于</w:t>
      </w:r>
      <w:r>
        <w:rPr>
          <w:spacing w:val="-1"/>
        </w:rPr>
        <w:t> </w:t>
      </w:r>
      <w:r>
        <w:rPr>
          <w:spacing w:val="-3"/>
        </w:rPr>
        <w:t>深圳市新国都技术股份有限公司</w:t>
      </w:r>
      <w:r>
        <w:rPr>
          <w:rFonts w:ascii="Times New Roman" w:hAnsi="Times New Roman" w:cs="Times New Roman" w:eastAsia="Times New Roman" w:hint="default"/>
          <w:spacing w:val="-3"/>
        </w:rPr>
        <w:t>2015</w:t>
      </w:r>
      <w:r>
        <w:rPr>
          <w:spacing w:val="-3"/>
        </w:rPr>
        <w:t>年股票期权激励计划实施考核办法</w:t>
      </w:r>
      <w:r>
        <w:rPr>
          <w:rFonts w:ascii="Times New Roman" w:hAnsi="Times New Roman" w:cs="Times New Roman" w:eastAsia="Times New Roman" w:hint="default"/>
          <w:spacing w:val="-3"/>
        </w:rPr>
        <w:t>&gt;</w:t>
      </w:r>
      <w:r>
        <w:rPr>
          <w:spacing w:val="-3"/>
        </w:rPr>
        <w:t>的议案》、《关于提请股东大</w:t>
      </w:r>
      <w:r>
        <w:rPr>
          <w:spacing w:val="-51"/>
        </w:rPr>
        <w:t> </w:t>
      </w:r>
      <w:r>
        <w:rPr>
          <w:spacing w:val="-51"/>
        </w:rPr>
      </w:r>
      <w:r>
        <w:rPr/>
        <w:t>会授权董事会办理公司</w:t>
      </w:r>
      <w:r>
        <w:rPr>
          <w:rFonts w:ascii="Times New Roman" w:hAnsi="Times New Roman" w:cs="Times New Roman" w:eastAsia="Times New Roman" w:hint="default"/>
        </w:rPr>
        <w:t>2015</w:t>
      </w:r>
      <w:r>
        <w:rPr/>
        <w:t>年股票期权激励计划相关事宜的议案》。</w:t>
      </w:r>
    </w:p>
    <w:p>
      <w:pPr>
        <w:pStyle w:val="Heading6"/>
        <w:spacing w:line="261" w:lineRule="auto" w:before="5"/>
        <w:ind w:left="513" w:right="1033" w:firstLine="420"/>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17</w:t>
      </w:r>
      <w:r>
        <w:rPr>
          <w:spacing w:val="-3"/>
        </w:rPr>
        <w:t>日，公司召开</w:t>
      </w:r>
      <w:r>
        <w:rPr>
          <w:rFonts w:ascii="Times New Roman" w:hAnsi="Times New Roman" w:cs="Times New Roman" w:eastAsia="Times New Roman" w:hint="default"/>
          <w:spacing w:val="-3"/>
        </w:rPr>
        <w:t>2015</w:t>
      </w:r>
      <w:r>
        <w:rPr>
          <w:spacing w:val="-3"/>
        </w:rPr>
        <w:t>年第六次临时股东大会，审议通过了《审议</w:t>
      </w:r>
      <w:r>
        <w:rPr>
          <w:rFonts w:ascii="Times New Roman" w:hAnsi="Times New Roman" w:cs="Times New Roman" w:eastAsia="Times New Roman" w:hint="default"/>
          <w:spacing w:val="-3"/>
        </w:rPr>
        <w:t>&lt;</w:t>
      </w:r>
      <w:r>
        <w:rPr>
          <w:spacing w:val="-3"/>
        </w:rPr>
        <w:t>关于深圳市新国都技</w:t>
      </w:r>
      <w:r>
        <w:rPr>
          <w:w w:val="100"/>
        </w:rPr>
        <w:t> </w:t>
      </w:r>
      <w:r>
        <w:rPr/>
        <w:t>术股份有限公司</w:t>
      </w:r>
      <w:r>
        <w:rPr>
          <w:rFonts w:ascii="Times New Roman" w:hAnsi="Times New Roman" w:cs="Times New Roman" w:eastAsia="Times New Roman" w:hint="default"/>
        </w:rPr>
        <w:t>2015</w:t>
      </w:r>
      <w:r>
        <w:rPr/>
        <w:t>年股票期权激励计划（草案）及摘要</w:t>
      </w:r>
      <w:r>
        <w:rPr>
          <w:rFonts w:ascii="Times New Roman" w:hAnsi="Times New Roman" w:cs="Times New Roman" w:eastAsia="Times New Roman" w:hint="default"/>
        </w:rPr>
        <w:t>&gt;</w:t>
      </w:r>
      <w:r>
        <w:rPr/>
        <w:t>的议案》、《审议</w:t>
      </w:r>
      <w:r>
        <w:rPr>
          <w:rFonts w:ascii="Times New Roman" w:hAnsi="Times New Roman" w:cs="Times New Roman" w:eastAsia="Times New Roman" w:hint="default"/>
        </w:rPr>
        <w:t>&lt;</w:t>
      </w:r>
      <w:r>
        <w:rPr/>
        <w:t>关于深圳市新国都技术</w:t>
      </w:r>
      <w:r>
        <w:rPr>
          <w:w w:val="100"/>
        </w:rPr>
        <w:t> </w:t>
      </w:r>
      <w:r>
        <w:rPr/>
        <w:t>股份有限公司</w:t>
      </w:r>
      <w:r>
        <w:rPr>
          <w:rFonts w:ascii="Times New Roman" w:hAnsi="Times New Roman" w:cs="Times New Roman" w:eastAsia="Times New Roman" w:hint="default"/>
        </w:rPr>
        <w:t>2015</w:t>
      </w:r>
      <w:r>
        <w:rPr/>
        <w:t>年股票期权激励计划管理办法</w:t>
      </w:r>
      <w:r>
        <w:rPr>
          <w:rFonts w:ascii="Times New Roman" w:hAnsi="Times New Roman" w:cs="Times New Roman" w:eastAsia="Times New Roman" w:hint="default"/>
        </w:rPr>
        <w:t>&gt;</w:t>
      </w:r>
      <w:r>
        <w:rPr/>
        <w:t>的议案》、《审议</w:t>
      </w:r>
      <w:r>
        <w:rPr>
          <w:rFonts w:ascii="Times New Roman" w:hAnsi="Times New Roman" w:cs="Times New Roman" w:eastAsia="Times New Roman" w:hint="default"/>
        </w:rPr>
        <w:t>&lt;</w:t>
      </w:r>
      <w:r>
        <w:rPr/>
        <w:t>关于深圳市新国都技术股份有限</w:t>
      </w:r>
      <w:r>
        <w:rPr>
          <w:spacing w:val="-101"/>
        </w:rPr>
        <w:t> </w:t>
      </w:r>
      <w:r>
        <w:rPr>
          <w:spacing w:val="-101"/>
        </w:rPr>
      </w:r>
      <w:r>
        <w:rPr>
          <w:spacing w:val="-3"/>
        </w:rPr>
        <w:t>公司</w:t>
      </w:r>
      <w:r>
        <w:rPr>
          <w:rFonts w:ascii="Times New Roman" w:hAnsi="Times New Roman" w:cs="Times New Roman" w:eastAsia="Times New Roman" w:hint="default"/>
          <w:spacing w:val="-3"/>
        </w:rPr>
        <w:t>2015</w:t>
      </w:r>
      <w:r>
        <w:rPr>
          <w:spacing w:val="-3"/>
        </w:rPr>
        <w:t>年股票期权激励计划实施考核办法</w:t>
      </w:r>
      <w:r>
        <w:rPr>
          <w:rFonts w:ascii="Times New Roman" w:hAnsi="Times New Roman" w:cs="Times New Roman" w:eastAsia="Times New Roman" w:hint="default"/>
          <w:spacing w:val="-3"/>
        </w:rPr>
        <w:t>&gt;</w:t>
      </w:r>
      <w:r>
        <w:rPr>
          <w:spacing w:val="-3"/>
        </w:rPr>
        <w:t>的议案》、《关于提请股东大会授权董事会办理公司</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3"/>
        </w:rPr>
        <w:t>年股票期权激励计划相关事宜的议案》，董事会被授权确认激励对象参与股权激励计划的资格和条件，</w:t>
      </w:r>
      <w:r>
        <w:rPr>
          <w:spacing w:val="-43"/>
        </w:rPr>
        <w:t> </w:t>
      </w:r>
      <w:r>
        <w:rPr>
          <w:spacing w:val="-43"/>
        </w:rPr>
      </w:r>
      <w:r>
        <w:rPr/>
        <w:t>确定激励对象名单及其授予数量，确定标的股权的授予价格；在激励对象符合条件时向激励对象授予</w:t>
      </w:r>
      <w:r>
        <w:rPr>
          <w:spacing w:val="-65"/>
        </w:rPr>
        <w:t> </w:t>
      </w:r>
      <w:r>
        <w:rPr>
          <w:spacing w:val="-65"/>
        </w:rPr>
      </w:r>
      <w:r>
        <w:rPr/>
        <w:t>股票并办理授予股票和解锁股票所必需的全部事宜。</w:t>
      </w:r>
    </w:p>
    <w:p>
      <w:pPr>
        <w:pStyle w:val="Heading6"/>
        <w:spacing w:line="256" w:lineRule="auto" w:before="18"/>
        <w:ind w:left="513" w:right="1033" w:firstLine="420"/>
        <w:jc w:val="left"/>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30</w:t>
      </w:r>
      <w:r>
        <w:rPr>
          <w:spacing w:val="-3"/>
        </w:rPr>
        <w:t>日，公司召开第三届董事会第二十九次会议及第三届监事会第二十八次会议审议通过</w:t>
      </w:r>
      <w:r>
        <w:rPr>
          <w:w w:val="100"/>
        </w:rPr>
        <w:t> </w:t>
      </w:r>
      <w:r>
        <w:rPr/>
        <w:t>了《关于对</w:t>
      </w:r>
      <w:r>
        <w:rPr>
          <w:rFonts w:ascii="Times New Roman" w:hAnsi="Times New Roman" w:cs="Times New Roman" w:eastAsia="Times New Roman" w:hint="default"/>
        </w:rPr>
        <w:t>2015</w:t>
      </w:r>
      <w:r>
        <w:rPr/>
        <w:t>年股票期权激励计划首次授予股票期权行权价格进行调整的议案》，公司</w:t>
      </w:r>
      <w:r>
        <w:rPr>
          <w:rFonts w:ascii="Times New Roman" w:hAnsi="Times New Roman" w:cs="Times New Roman" w:eastAsia="Times New Roman" w:hint="default"/>
        </w:rPr>
        <w:t>2015</w:t>
      </w:r>
      <w:r>
        <w:rPr/>
        <w:t>年度利</w:t>
      </w:r>
      <w:r>
        <w:rPr>
          <w:spacing w:val="-68"/>
        </w:rPr>
        <w:t> </w:t>
      </w:r>
      <w:r>
        <w:rPr>
          <w:spacing w:val="-68"/>
        </w:rPr>
      </w:r>
      <w:r>
        <w:rPr>
          <w:spacing w:val="-5"/>
        </w:rPr>
        <w:t>润分配已于</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20</w:t>
      </w:r>
      <w:r>
        <w:rPr>
          <w:spacing w:val="-5"/>
        </w:rPr>
        <w:t>日实施完毕。根据公司股东大会的授权及《</w:t>
      </w:r>
      <w:r>
        <w:rPr>
          <w:rFonts w:ascii="Times New Roman" w:hAnsi="Times New Roman" w:cs="Times New Roman" w:eastAsia="Times New Roman" w:hint="default"/>
          <w:spacing w:val="-5"/>
        </w:rPr>
        <w:t>2015</w:t>
      </w:r>
      <w:r>
        <w:rPr>
          <w:spacing w:val="-5"/>
        </w:rPr>
        <w:t>年股票期权激励计划（草案）》</w:t>
      </w:r>
      <w:r>
        <w:rPr>
          <w:spacing w:val="-31"/>
        </w:rPr>
        <w:t> </w:t>
      </w:r>
      <w:r>
        <w:rPr>
          <w:spacing w:val="-31"/>
        </w:rPr>
      </w:r>
      <w:r>
        <w:rPr>
          <w:spacing w:val="-2"/>
        </w:rPr>
        <w:t>的相关规定，公司将</w:t>
      </w:r>
      <w:r>
        <w:rPr>
          <w:rFonts w:ascii="Times New Roman" w:hAnsi="Times New Roman" w:cs="Times New Roman" w:eastAsia="Times New Roman" w:hint="default"/>
          <w:spacing w:val="-2"/>
        </w:rPr>
        <w:t>2015</w:t>
      </w:r>
      <w:r>
        <w:rPr>
          <w:spacing w:val="-2"/>
        </w:rPr>
        <w:t>年股票期权激励计划首次授予的股票期权行权价格由</w:t>
      </w:r>
      <w:r>
        <w:rPr>
          <w:rFonts w:ascii="Times New Roman" w:hAnsi="Times New Roman" w:cs="Times New Roman" w:eastAsia="Times New Roman" w:hint="default"/>
          <w:spacing w:val="-2"/>
        </w:rPr>
        <w:t>31.78</w:t>
      </w:r>
      <w:r>
        <w:rPr>
          <w:spacing w:val="-2"/>
        </w:rPr>
        <w:t>元调整为</w:t>
      </w:r>
      <w:r>
        <w:rPr>
          <w:rFonts w:ascii="Times New Roman" w:hAnsi="Times New Roman" w:cs="Times New Roman" w:eastAsia="Times New Roman" w:hint="default"/>
          <w:spacing w:val="-2"/>
        </w:rPr>
        <w:t>31.73</w:t>
      </w:r>
      <w:r>
        <w:rPr>
          <w:spacing w:val="-2"/>
        </w:rPr>
        <w:t>元。</w:t>
      </w:r>
      <w:r>
        <w:rPr/>
      </w:r>
    </w:p>
    <w:p>
      <w:pPr>
        <w:pStyle w:val="Heading6"/>
        <w:spacing w:line="256" w:lineRule="auto" w:before="5"/>
        <w:ind w:left="513" w:right="1127" w:firstLine="42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日，本公司召开第三届董事会第三十六次会议审议通过《关于注销部分已获授股票</w:t>
      </w:r>
      <w:r>
        <w:rPr>
          <w:w w:val="100"/>
        </w:rPr>
        <w:t> </w:t>
      </w:r>
      <w:r>
        <w:rPr>
          <w:spacing w:val="-1"/>
        </w:rPr>
        <w:t>期权的议案》：公司《</w:t>
      </w:r>
      <w:r>
        <w:rPr>
          <w:rFonts w:ascii="Times New Roman" w:hAnsi="Times New Roman" w:cs="Times New Roman" w:eastAsia="Times New Roman" w:hint="default"/>
          <w:spacing w:val="-1"/>
        </w:rPr>
        <w:t>2015</w:t>
      </w:r>
      <w:r>
        <w:rPr>
          <w:spacing w:val="-1"/>
        </w:rPr>
        <w:t>年股票期权激励计划（草案）》原激励对象雷平、黄栩因个人原因辞职，</w:t>
      </w:r>
      <w:r>
        <w:rPr>
          <w:spacing w:val="-22"/>
        </w:rPr>
        <w:t> </w:t>
      </w:r>
      <w:r>
        <w:rPr>
          <w:spacing w:val="-22"/>
        </w:rPr>
      </w:r>
      <w:r>
        <w:rPr>
          <w:spacing w:val="8"/>
        </w:rPr>
        <w:t>已不符合激励条件，对其已获授予的股票期权应由公司注销。本次调整后公司的股票期权数量为</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left="513" w:right="0"/>
        <w:jc w:val="both"/>
      </w:pPr>
      <w:r>
        <w:rPr>
          <w:rFonts w:ascii="Times New Roman" w:hAnsi="Times New Roman" w:cs="Times New Roman" w:eastAsia="Times New Roman" w:hint="default"/>
        </w:rPr>
        <w:t>6,180,000</w:t>
      </w:r>
      <w:r>
        <w:rPr/>
        <w:t>股。</w:t>
      </w:r>
    </w:p>
    <w:p>
      <w:pPr>
        <w:pStyle w:val="Heading6"/>
        <w:spacing w:line="256" w:lineRule="auto" w:before="21"/>
        <w:ind w:left="513" w:right="1127"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7</w:t>
      </w:r>
      <w:r>
        <w:rPr>
          <w:spacing w:val="-1"/>
        </w:rPr>
        <w:t>日，本公司召开第三届董事会第四十次（临时）会议审议通过《关于注销</w:t>
      </w:r>
      <w:r>
        <w:rPr>
          <w:rFonts w:ascii="Times New Roman" w:hAnsi="Times New Roman" w:cs="Times New Roman" w:eastAsia="Times New Roman" w:hint="default"/>
          <w:spacing w:val="-1"/>
        </w:rPr>
        <w:t>2015</w:t>
      </w:r>
      <w:r>
        <w:rPr>
          <w:spacing w:val="-1"/>
        </w:rPr>
        <w:t>年股票</w:t>
      </w:r>
      <w:r>
        <w:rPr>
          <w:w w:val="100"/>
        </w:rPr>
        <w:t> </w:t>
      </w:r>
      <w:r>
        <w:rPr>
          <w:spacing w:val="-1"/>
        </w:rPr>
        <w:t>期权激励计划部分已获授股票期权的议案》：公司《</w:t>
      </w:r>
      <w:r>
        <w:rPr>
          <w:rFonts w:ascii="Times New Roman" w:hAnsi="Times New Roman" w:cs="Times New Roman" w:eastAsia="Times New Roman" w:hint="default"/>
          <w:spacing w:val="-1"/>
        </w:rPr>
        <w:t>2015</w:t>
      </w:r>
      <w:r>
        <w:rPr>
          <w:spacing w:val="-1"/>
        </w:rPr>
        <w:t>年股票期权激励计划（草案）》原激励对象</w:t>
      </w:r>
      <w:r>
        <w:rPr>
          <w:spacing w:val="-22"/>
        </w:rPr>
        <w:t> </w:t>
      </w:r>
      <w:r>
        <w:rPr>
          <w:spacing w:val="-22"/>
        </w:rPr>
      </w:r>
      <w:r>
        <w:rPr>
          <w:spacing w:val="-1"/>
        </w:rPr>
        <w:t>许晖等</w:t>
      </w:r>
      <w:r>
        <w:rPr>
          <w:rFonts w:ascii="Times New Roman" w:hAnsi="Times New Roman" w:cs="Times New Roman" w:eastAsia="Times New Roman" w:hint="default"/>
          <w:spacing w:val="-1"/>
        </w:rPr>
        <w:t>28</w:t>
      </w:r>
      <w:r>
        <w:rPr>
          <w:spacing w:val="-1"/>
        </w:rPr>
        <w:t>人因个人原因辞职，已不符合激励条件，对其已获授予的股票期权应由公司注销。本次调整</w:t>
      </w:r>
      <w:r>
        <w:rPr>
          <w:spacing w:val="-21"/>
        </w:rPr>
        <w:t> </w:t>
      </w:r>
      <w:r>
        <w:rPr>
          <w:spacing w:val="-21"/>
        </w:rPr>
      </w:r>
      <w:r>
        <w:rPr/>
        <w:t>后公司的股票期权数量为</w:t>
      </w:r>
      <w:r>
        <w:rPr>
          <w:rFonts w:ascii="Times New Roman" w:hAnsi="Times New Roman" w:cs="Times New Roman" w:eastAsia="Times New Roman" w:hint="default"/>
        </w:rPr>
        <w:t>4,220,000</w:t>
      </w:r>
      <w:r>
        <w:rPr/>
        <w:t>股。</w:t>
      </w:r>
    </w:p>
    <w:p>
      <w:pPr>
        <w:pStyle w:val="Heading6"/>
        <w:spacing w:line="261" w:lineRule="auto" w:before="5"/>
        <w:ind w:left="513" w:right="1127" w:firstLine="42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17</w:t>
      </w:r>
      <w:r>
        <w:rPr>
          <w:spacing w:val="-3"/>
        </w:rPr>
        <w:t>日，公司召开第三届董事会第四十一次会议审议通过《关于公司</w:t>
      </w:r>
      <w:r>
        <w:rPr>
          <w:rFonts w:ascii="Times New Roman" w:hAnsi="Times New Roman" w:cs="Times New Roman" w:eastAsia="Times New Roman" w:hint="default"/>
          <w:spacing w:val="-3"/>
        </w:rPr>
        <w:t>2015</w:t>
      </w:r>
      <w:r>
        <w:rPr>
          <w:spacing w:val="-3"/>
        </w:rPr>
        <w:t>年股票期权激励</w:t>
      </w:r>
      <w:r>
        <w:rPr>
          <w:w w:val="100"/>
        </w:rPr>
        <w:t> </w:t>
      </w:r>
      <w:r>
        <w:rPr>
          <w:spacing w:val="-1"/>
        </w:rPr>
        <w:t>计划第一个行权期未达到行权条件予以注销的议案》，并公告了《关于</w:t>
      </w:r>
      <w:r>
        <w:rPr>
          <w:rFonts w:ascii="Times New Roman" w:hAnsi="Times New Roman" w:cs="Times New Roman" w:eastAsia="Times New Roman" w:hint="default"/>
          <w:spacing w:val="-1"/>
        </w:rPr>
        <w:t>2015</w:t>
      </w:r>
      <w:r>
        <w:rPr>
          <w:spacing w:val="-1"/>
        </w:rPr>
        <w:t>年股票期权激励计划第一</w:t>
      </w:r>
      <w:r>
        <w:rPr>
          <w:spacing w:val="-21"/>
        </w:rPr>
        <w:t> </w:t>
      </w:r>
      <w:r>
        <w:rPr>
          <w:spacing w:val="-21"/>
        </w:rPr>
      </w:r>
      <w:r>
        <w:rPr>
          <w:spacing w:val="-1"/>
        </w:rPr>
        <w:t>个行权期未达到行权条件并予以注销的公告》。公司对本次股票期权激励计划第一个行权期已获授的</w:t>
      </w:r>
      <w:r>
        <w:rPr>
          <w:spacing w:val="-21"/>
        </w:rPr>
        <w:t> </w:t>
      </w:r>
      <w:r>
        <w:rPr>
          <w:spacing w:val="-21"/>
        </w:rPr>
      </w:r>
      <w:r>
        <w:rPr/>
        <w:t>期权</w:t>
      </w:r>
      <w:r>
        <w:rPr>
          <w:rFonts w:ascii="Times New Roman" w:hAnsi="Times New Roman" w:cs="Times New Roman" w:eastAsia="Times New Roman" w:hint="default"/>
        </w:rPr>
        <w:t>422,000</w:t>
      </w:r>
      <w:r>
        <w:rPr/>
        <w:t>份进行注销。本次注销后公司已获授股票期权数量为</w:t>
      </w:r>
      <w:r>
        <w:rPr>
          <w:rFonts w:ascii="Times New Roman" w:hAnsi="Times New Roman" w:cs="Times New Roman" w:eastAsia="Times New Roman" w:hint="default"/>
        </w:rPr>
        <w:t>3,798,000</w:t>
      </w:r>
      <w:r>
        <w:rPr/>
        <w:t>份。</w:t>
      </w:r>
    </w:p>
    <w:p>
      <w:pPr>
        <w:pStyle w:val="Heading6"/>
        <w:spacing w:line="256" w:lineRule="auto" w:before="0"/>
        <w:ind w:left="513" w:right="1125" w:firstLine="42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日，公司公告了《</w:t>
      </w:r>
      <w:r>
        <w:rPr>
          <w:rFonts w:ascii="Times New Roman" w:hAnsi="Times New Roman" w:cs="Times New Roman" w:eastAsia="Times New Roman" w:hint="default"/>
          <w:spacing w:val="-3"/>
        </w:rPr>
        <w:t>2015</w:t>
      </w:r>
      <w:r>
        <w:rPr>
          <w:spacing w:val="-3"/>
        </w:rPr>
        <w:t>年股票期权激励计划第一个行权期未达到行权条件期权注销完</w:t>
      </w:r>
      <w:r>
        <w:rPr>
          <w:w w:val="100"/>
        </w:rPr>
        <w:t> </w:t>
      </w:r>
      <w:r>
        <w:rPr>
          <w:spacing w:val="-6"/>
        </w:rPr>
        <w:t>成的公告》，经中国证券登记结算有限责任公司深圳分公司审核确认，上述</w:t>
      </w:r>
      <w:r>
        <w:rPr>
          <w:rFonts w:ascii="Times New Roman" w:hAnsi="Times New Roman" w:cs="Times New Roman" w:eastAsia="Times New Roman" w:hint="default"/>
          <w:spacing w:val="-6"/>
        </w:rPr>
        <w:t>422,000</w:t>
      </w:r>
      <w:r>
        <w:rPr>
          <w:spacing w:val="-6"/>
        </w:rPr>
        <w:t>份股票期权已于</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日办理完成注销手续。</w:t>
      </w:r>
    </w:p>
    <w:p>
      <w:pPr>
        <w:pStyle w:val="Heading6"/>
        <w:spacing w:line="256" w:lineRule="auto" w:before="5"/>
        <w:ind w:left="513" w:right="1126"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6</w:t>
      </w:r>
      <w:r>
        <w:rPr>
          <w:spacing w:val="-1"/>
        </w:rPr>
        <w:t>日，公司召开第四届董事会第二次会议审议通过了《关于对</w:t>
      </w:r>
      <w:r>
        <w:rPr>
          <w:rFonts w:ascii="Times New Roman" w:hAnsi="Times New Roman" w:cs="Times New Roman" w:eastAsia="Times New Roman" w:hint="default"/>
          <w:spacing w:val="-1"/>
        </w:rPr>
        <w:t>2015</w:t>
      </w:r>
      <w:r>
        <w:rPr>
          <w:spacing w:val="-1"/>
        </w:rPr>
        <w:t>年股票期权激励计划</w:t>
      </w:r>
      <w:r>
        <w:rPr>
          <w:w w:val="100"/>
        </w:rPr>
        <w:t> </w:t>
      </w:r>
      <w:r>
        <w:rPr>
          <w:spacing w:val="-1"/>
        </w:rPr>
        <w:t>已获授的股票期权行权价格进行调整的议案》，并公告了《关于对</w:t>
      </w:r>
      <w:r>
        <w:rPr>
          <w:rFonts w:ascii="Times New Roman" w:hAnsi="Times New Roman" w:cs="Times New Roman" w:eastAsia="Times New Roman" w:hint="default"/>
          <w:spacing w:val="-1"/>
        </w:rPr>
        <w:t>2015</w:t>
      </w:r>
      <w:r>
        <w:rPr>
          <w:spacing w:val="-1"/>
        </w:rPr>
        <w:t>年股票期权激励计划已获授的</w:t>
      </w:r>
      <w:r>
        <w:rPr>
          <w:spacing w:val="-22"/>
        </w:rPr>
        <w:t> </w:t>
      </w:r>
      <w:r>
        <w:rPr>
          <w:spacing w:val="-22"/>
        </w:rPr>
      </w:r>
      <w:r>
        <w:rPr>
          <w:spacing w:val="-1"/>
        </w:rPr>
        <w:t>股票期权行权价格进行调整的公告》，公司</w:t>
      </w:r>
      <w:r>
        <w:rPr>
          <w:rFonts w:ascii="Times New Roman" w:hAnsi="Times New Roman" w:cs="Times New Roman" w:eastAsia="Times New Roman" w:hint="default"/>
          <w:spacing w:val="-1"/>
        </w:rPr>
        <w:t>2016</w:t>
      </w:r>
      <w:r>
        <w:rPr>
          <w:spacing w:val="-1"/>
        </w:rPr>
        <w:t>年度利润分配已于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日实施完毕。根据公司</w:t>
      </w:r>
      <w:r>
        <w:rPr>
          <w:spacing w:val="-20"/>
        </w:rPr>
        <w:t> </w:t>
      </w:r>
      <w:r>
        <w:rPr>
          <w:spacing w:val="-1"/>
        </w:rPr>
        <w:t>股东大会的授权及《</w:t>
      </w:r>
      <w:r>
        <w:rPr>
          <w:rFonts w:ascii="Times New Roman" w:hAnsi="Times New Roman" w:cs="Times New Roman" w:eastAsia="Times New Roman" w:hint="default"/>
          <w:spacing w:val="-1"/>
        </w:rPr>
        <w:t>2015</w:t>
      </w:r>
      <w:r>
        <w:rPr>
          <w:spacing w:val="-1"/>
        </w:rPr>
        <w:t>年股票期权激励计划（草案）》的相关规定，将公司</w:t>
      </w:r>
      <w:r>
        <w:rPr>
          <w:rFonts w:ascii="Times New Roman" w:hAnsi="Times New Roman" w:cs="Times New Roman" w:eastAsia="Times New Roman" w:hint="default"/>
          <w:spacing w:val="-1"/>
        </w:rPr>
        <w:t>2015</w:t>
      </w:r>
      <w:r>
        <w:rPr>
          <w:spacing w:val="-1"/>
        </w:rPr>
        <w:t>年股票期权激励计</w:t>
      </w:r>
      <w:r>
        <w:rPr>
          <w:spacing w:val="-20"/>
        </w:rPr>
        <w:t> </w:t>
      </w:r>
      <w:r>
        <w:rPr>
          <w:spacing w:val="-20"/>
        </w:rPr>
      </w:r>
      <w:r>
        <w:rPr/>
        <w:t>划（草案）已获授的股票期权行权价格由</w:t>
      </w:r>
      <w:r>
        <w:rPr>
          <w:rFonts w:ascii="Times New Roman" w:hAnsi="Times New Roman" w:cs="Times New Roman" w:eastAsia="Times New Roman" w:hint="default"/>
        </w:rPr>
        <w:t>31.73</w:t>
      </w:r>
      <w:r>
        <w:rPr/>
        <w:t>元调整为</w:t>
      </w:r>
      <w:r>
        <w:rPr>
          <w:rFonts w:ascii="Times New Roman" w:hAnsi="Times New Roman" w:cs="Times New Roman" w:eastAsia="Times New Roman" w:hint="default"/>
        </w:rPr>
        <w:t>31.671</w:t>
      </w:r>
      <w:r>
        <w:rPr/>
        <w:t>元。</w:t>
      </w:r>
    </w:p>
    <w:p>
      <w:pPr>
        <w:pStyle w:val="Heading6"/>
        <w:spacing w:line="256" w:lineRule="auto" w:before="5"/>
        <w:ind w:left="513" w:right="1125"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26</w:t>
      </w:r>
      <w:r>
        <w:rPr>
          <w:spacing w:val="-3"/>
        </w:rPr>
        <w:t>日，公司召开第四届董事会第十一次会议审议通过了《关于注销</w:t>
      </w:r>
      <w:r>
        <w:rPr>
          <w:rFonts w:ascii="Times New Roman" w:hAnsi="Times New Roman" w:cs="Times New Roman" w:eastAsia="Times New Roman" w:hint="default"/>
          <w:spacing w:val="-3"/>
        </w:rPr>
        <w:t>2015</w:t>
      </w:r>
      <w:r>
        <w:rPr>
          <w:spacing w:val="-3"/>
        </w:rPr>
        <w:t>年股票期权激励</w:t>
      </w:r>
      <w:r>
        <w:rPr>
          <w:w w:val="100"/>
        </w:rPr>
        <w:t> </w:t>
      </w:r>
      <w:r>
        <w:rPr>
          <w:spacing w:val="-1"/>
        </w:rPr>
        <w:t>计划部分已获授股票期权的议案》，原激励对象黄学佳等</w:t>
      </w:r>
      <w:r>
        <w:rPr>
          <w:rFonts w:ascii="Times New Roman" w:hAnsi="Times New Roman" w:cs="Times New Roman" w:eastAsia="Times New Roman" w:hint="default"/>
          <w:spacing w:val="-1"/>
        </w:rPr>
        <w:t>17</w:t>
      </w:r>
      <w:r>
        <w:rPr>
          <w:spacing w:val="-1"/>
        </w:rPr>
        <w:t>人因个人原因辞职，已不符合激励条件，</w:t>
      </w:r>
      <w:r>
        <w:rPr>
          <w:spacing w:val="-20"/>
        </w:rPr>
        <w:t> </w:t>
      </w:r>
      <w:r>
        <w:rPr>
          <w:spacing w:val="-20"/>
        </w:rPr>
      </w:r>
      <w:r>
        <w:rPr>
          <w:spacing w:val="-1"/>
        </w:rPr>
        <w:t>根据公司《</w:t>
      </w:r>
      <w:r>
        <w:rPr>
          <w:rFonts w:ascii="Times New Roman" w:hAnsi="Times New Roman" w:cs="Times New Roman" w:eastAsia="Times New Roman" w:hint="default"/>
          <w:spacing w:val="-1"/>
        </w:rPr>
        <w:t>2015</w:t>
      </w:r>
      <w:r>
        <w:rPr>
          <w:spacing w:val="-1"/>
        </w:rPr>
        <w:t>年股票期权激励计划（草案）》、公司《</w:t>
      </w:r>
      <w:r>
        <w:rPr>
          <w:rFonts w:ascii="Times New Roman" w:hAnsi="Times New Roman" w:cs="Times New Roman" w:eastAsia="Times New Roman" w:hint="default"/>
          <w:spacing w:val="-1"/>
        </w:rPr>
        <w:t>2015</w:t>
      </w:r>
      <w:r>
        <w:rPr>
          <w:spacing w:val="-1"/>
        </w:rPr>
        <w:t>年股票期权激励计划管理办法》相关规</w:t>
      </w:r>
      <w:r>
        <w:rPr>
          <w:spacing w:val="-24"/>
        </w:rPr>
        <w:t> </w:t>
      </w:r>
      <w:r>
        <w:rPr>
          <w:spacing w:val="-24"/>
        </w:rPr>
      </w:r>
      <w:r>
        <w:rPr>
          <w:spacing w:val="-2"/>
        </w:rPr>
        <w:t>定及公司</w:t>
      </w:r>
      <w:r>
        <w:rPr>
          <w:rFonts w:ascii="Times New Roman" w:hAnsi="Times New Roman" w:cs="Times New Roman" w:eastAsia="Times New Roman" w:hint="default"/>
          <w:spacing w:val="-2"/>
        </w:rPr>
        <w:t>2015</w:t>
      </w:r>
      <w:r>
        <w:rPr>
          <w:spacing w:val="-2"/>
        </w:rPr>
        <w:t>年第六次临时股东大会的授权，公司拟对以上激励对象已获授予的股票期权合计</w:t>
      </w:r>
      <w:r>
        <w:rPr>
          <w:rFonts w:ascii="Times New Roman" w:hAnsi="Times New Roman" w:cs="Times New Roman" w:eastAsia="Times New Roman" w:hint="default"/>
          <w:spacing w:val="-2"/>
        </w:rPr>
        <w:t>540,000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份进行注销。</w:t>
      </w:r>
      <w:r>
        <w:rPr>
          <w:spacing w:val="-26"/>
        </w:rPr>
        <w:t> </w:t>
      </w:r>
      <w:r>
        <w:rPr/>
        <w:t>本次注销后公司</w:t>
      </w:r>
      <w:r>
        <w:rPr>
          <w:rFonts w:ascii="Times New Roman" w:hAnsi="Times New Roman" w:cs="Times New Roman" w:eastAsia="Times New Roman" w:hint="default"/>
        </w:rPr>
        <w:t>2015</w:t>
      </w:r>
      <w:r>
        <w:rPr/>
        <w:t>年股票期权激励计划已获授股票期权数量为</w:t>
      </w:r>
      <w:r>
        <w:rPr>
          <w:rFonts w:ascii="Times New Roman" w:hAnsi="Times New Roman" w:cs="Times New Roman" w:eastAsia="Times New Roman" w:hint="default"/>
        </w:rPr>
        <w:t>3,258,000</w:t>
      </w:r>
      <w:r>
        <w:rPr/>
        <w:t>份。</w:t>
      </w:r>
    </w:p>
    <w:p>
      <w:pPr>
        <w:pStyle w:val="Heading6"/>
        <w:spacing w:line="256" w:lineRule="auto" w:before="5"/>
        <w:ind w:left="513" w:right="1128"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29</w:t>
      </w:r>
      <w:r>
        <w:rPr>
          <w:spacing w:val="-3"/>
        </w:rPr>
        <w:t>日，公司召开第四届董事会第十四次会议审议通过了《关于公司</w:t>
      </w:r>
      <w:r>
        <w:rPr>
          <w:rFonts w:ascii="Times New Roman" w:hAnsi="Times New Roman" w:cs="Times New Roman" w:eastAsia="Times New Roman" w:hint="default"/>
          <w:spacing w:val="-3"/>
        </w:rPr>
        <w:t>2015</w:t>
      </w:r>
      <w:r>
        <w:rPr>
          <w:spacing w:val="-3"/>
        </w:rPr>
        <w:t>年股票期权激励</w:t>
      </w:r>
      <w:r>
        <w:rPr>
          <w:w w:val="100"/>
        </w:rPr>
        <w:t> </w:t>
      </w:r>
      <w:r>
        <w:rPr>
          <w:spacing w:val="-1"/>
        </w:rPr>
        <w:t>计划第二个行权期未达到行权条件予以注销的议案》，并公告了《关于公司</w:t>
      </w:r>
      <w:r>
        <w:rPr>
          <w:rFonts w:ascii="Times New Roman" w:hAnsi="Times New Roman" w:cs="Times New Roman" w:eastAsia="Times New Roman" w:hint="default"/>
          <w:spacing w:val="-1"/>
        </w:rPr>
        <w:t>2015</w:t>
      </w:r>
      <w:r>
        <w:rPr>
          <w:spacing w:val="-1"/>
        </w:rPr>
        <w:t>年股票期权激励计划</w:t>
      </w:r>
      <w:r>
        <w:rPr>
          <w:spacing w:val="-22"/>
        </w:rPr>
        <w:t> </w:t>
      </w:r>
      <w:r>
        <w:rPr>
          <w:spacing w:val="-22"/>
        </w:rPr>
      </w:r>
      <w:r>
        <w:rPr>
          <w:spacing w:val="-1"/>
        </w:rPr>
        <w:t>第二个行权期未达到行权条件予以注销的公告》。根据公司《</w:t>
      </w:r>
      <w:r>
        <w:rPr>
          <w:rFonts w:ascii="Times New Roman" w:hAnsi="Times New Roman" w:cs="Times New Roman" w:eastAsia="Times New Roman" w:hint="default"/>
          <w:spacing w:val="-1"/>
        </w:rPr>
        <w:t>2015</w:t>
      </w:r>
      <w:r>
        <w:rPr>
          <w:spacing w:val="-1"/>
        </w:rPr>
        <w:t>年股票期权激励计划（草案）》、</w:t>
      </w:r>
    </w:p>
    <w:p>
      <w:pPr>
        <w:pStyle w:val="Heading6"/>
        <w:spacing w:line="256" w:lineRule="auto" w:before="5"/>
        <w:ind w:left="513" w:right="1126"/>
        <w:jc w:val="both"/>
      </w:pPr>
      <w:r>
        <w:rPr>
          <w:spacing w:val="-1"/>
        </w:rPr>
        <w:t>《</w:t>
      </w:r>
      <w:r>
        <w:rPr>
          <w:rFonts w:ascii="Times New Roman" w:hAnsi="Times New Roman" w:cs="Times New Roman" w:eastAsia="Times New Roman" w:hint="default"/>
          <w:spacing w:val="-1"/>
        </w:rPr>
        <w:t>2015</w:t>
      </w:r>
      <w:r>
        <w:rPr>
          <w:spacing w:val="-1"/>
        </w:rPr>
        <w:t>年股票期权激励计划管理办法》相关规定及公司</w:t>
      </w:r>
      <w:r>
        <w:rPr>
          <w:rFonts w:ascii="Times New Roman" w:hAnsi="Times New Roman" w:cs="Times New Roman" w:eastAsia="Times New Roman" w:hint="default"/>
          <w:spacing w:val="-1"/>
        </w:rPr>
        <w:t>2015</w:t>
      </w:r>
      <w:r>
        <w:rPr>
          <w:spacing w:val="-1"/>
        </w:rPr>
        <w:t>年第六次临时股东大会的授权，结合公司</w:t>
      </w:r>
      <w:r>
        <w:rPr>
          <w:spacing w:val="-24"/>
        </w:rPr>
        <w:t> </w:t>
      </w:r>
      <w:r>
        <w:rPr>
          <w:spacing w:val="-24"/>
        </w:rPr>
      </w:r>
      <w:r>
        <w:rPr>
          <w:rFonts w:ascii="Times New Roman" w:hAnsi="Times New Roman" w:cs="Times New Roman" w:eastAsia="Times New Roman" w:hint="default"/>
          <w:spacing w:val="-1"/>
        </w:rPr>
        <w:t>2017</w:t>
      </w:r>
      <w:r>
        <w:rPr>
          <w:spacing w:val="-1"/>
        </w:rPr>
        <w:t>年审计报告，</w:t>
      </w:r>
      <w:r>
        <w:rPr>
          <w:rFonts w:ascii="Times New Roman" w:hAnsi="Times New Roman" w:cs="Times New Roman" w:eastAsia="Times New Roman" w:hint="default"/>
          <w:spacing w:val="-1"/>
        </w:rPr>
        <w:t>2017</w:t>
      </w:r>
      <w:r>
        <w:rPr>
          <w:spacing w:val="-1"/>
        </w:rPr>
        <w:t>年度公司业绩条件未达到行权条件，对应行权期所获授的但尚未行权的股票期</w:t>
      </w:r>
      <w:r>
        <w:rPr>
          <w:spacing w:val="-21"/>
        </w:rPr>
        <w:t> </w:t>
      </w:r>
      <w:r>
        <w:rPr>
          <w:spacing w:val="-21"/>
        </w:rPr>
      </w:r>
      <w:r>
        <w:rPr>
          <w:spacing w:val="2"/>
        </w:rPr>
        <w:t>权由公司注销。公司应对</w:t>
      </w:r>
      <w:r>
        <w:rPr>
          <w:rFonts w:ascii="Times New Roman" w:hAnsi="Times New Roman" w:cs="Times New Roman" w:eastAsia="Times New Roman" w:hint="default"/>
          <w:spacing w:val="2"/>
        </w:rPr>
        <w:t>2015</w:t>
      </w:r>
      <w:r>
        <w:rPr>
          <w:spacing w:val="2"/>
        </w:rPr>
        <w:t>年股票期权激励计划第二个行权期已获授的股票期权</w:t>
      </w:r>
      <w:r>
        <w:rPr>
          <w:rFonts w:ascii="Times New Roman" w:hAnsi="Times New Roman" w:cs="Times New Roman" w:eastAsia="Times New Roman" w:hint="default"/>
          <w:spacing w:val="2"/>
        </w:rPr>
        <w:t>362,000</w:t>
      </w:r>
      <w:r>
        <w:rPr>
          <w:spacing w:val="2"/>
        </w:rPr>
        <w:t>份进行注</w:t>
      </w:r>
      <w:r>
        <w:rPr>
          <w:spacing w:val="-21"/>
        </w:rPr>
        <w:t> </w:t>
      </w:r>
      <w:r>
        <w:rPr>
          <w:spacing w:val="-21"/>
        </w:rPr>
      </w:r>
      <w:r>
        <w:rPr/>
        <w:t>销。本次注销后公司</w:t>
      </w:r>
      <w:r>
        <w:rPr>
          <w:rFonts w:ascii="Times New Roman" w:hAnsi="Times New Roman" w:cs="Times New Roman" w:eastAsia="Times New Roman" w:hint="default"/>
        </w:rPr>
        <w:t>2015</w:t>
      </w:r>
      <w:r>
        <w:rPr/>
        <w:t>年股票期权激励计划已获授股票期权数量为</w:t>
      </w:r>
      <w:r>
        <w:rPr>
          <w:rFonts w:ascii="Times New Roman" w:hAnsi="Times New Roman" w:cs="Times New Roman" w:eastAsia="Times New Roman" w:hint="default"/>
        </w:rPr>
        <w:t>2,896,000</w:t>
      </w:r>
      <w:r>
        <w:rPr/>
        <w:t>份。</w:t>
      </w:r>
    </w:p>
    <w:p>
      <w:pPr>
        <w:pStyle w:val="Heading6"/>
        <w:spacing w:line="256" w:lineRule="auto" w:before="5"/>
        <w:ind w:left="513" w:right="1125"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11</w:t>
      </w:r>
      <w:r>
        <w:rPr>
          <w:spacing w:val="-3"/>
        </w:rPr>
        <w:t>日，公司召开第四届董事会第十八次会议审议通过了《审议对</w:t>
      </w:r>
      <w:r>
        <w:rPr>
          <w:rFonts w:ascii="Times New Roman" w:hAnsi="Times New Roman" w:cs="Times New Roman" w:eastAsia="Times New Roman" w:hint="default"/>
          <w:spacing w:val="-3"/>
        </w:rPr>
        <w:t>2015</w:t>
      </w:r>
      <w:r>
        <w:rPr>
          <w:spacing w:val="-3"/>
        </w:rPr>
        <w:t>年股票期权激励计</w:t>
      </w:r>
      <w:r>
        <w:rPr>
          <w:w w:val="100"/>
        </w:rPr>
        <w:t> </w:t>
      </w:r>
      <w:r>
        <w:rPr>
          <w:spacing w:val="-1"/>
        </w:rPr>
        <w:t>划已获授的股票期权行权价格及数量进行调整的议案》，并公告了《关于对</w:t>
      </w:r>
      <w:r>
        <w:rPr>
          <w:rFonts w:ascii="Times New Roman" w:hAnsi="Times New Roman" w:cs="Times New Roman" w:eastAsia="Times New Roman" w:hint="default"/>
          <w:spacing w:val="-1"/>
        </w:rPr>
        <w:t>2015</w:t>
      </w:r>
      <w:r>
        <w:rPr>
          <w:spacing w:val="-1"/>
        </w:rPr>
        <w:t>年股票期权激励计划</w:t>
      </w:r>
      <w:r>
        <w:rPr>
          <w:spacing w:val="-22"/>
        </w:rPr>
        <w:t> </w:t>
      </w:r>
      <w:r>
        <w:rPr>
          <w:spacing w:val="-22"/>
        </w:rPr>
      </w:r>
      <w:r>
        <w:rPr>
          <w:spacing w:val="-1"/>
        </w:rPr>
        <w:t>已获授的股票期权行权价格及数量进行调整的公告》，公司</w:t>
      </w:r>
      <w:r>
        <w:rPr>
          <w:rFonts w:ascii="Times New Roman" w:hAnsi="Times New Roman" w:cs="Times New Roman" w:eastAsia="Times New Roman" w:hint="default"/>
          <w:spacing w:val="-1"/>
        </w:rPr>
        <w:t>2017</w:t>
      </w:r>
      <w:r>
        <w:rPr>
          <w:spacing w:val="-1"/>
        </w:rPr>
        <w:t>年年度权益分派实施情况为：以公司</w:t>
      </w:r>
      <w:r>
        <w:rPr>
          <w:spacing w:val="-22"/>
        </w:rPr>
        <w:t> </w:t>
      </w:r>
      <w:r>
        <w:rPr>
          <w:spacing w:val="-22"/>
        </w:rPr>
      </w:r>
      <w:r>
        <w:rPr>
          <w:spacing w:val="-3"/>
        </w:rPr>
        <w:t>实施</w:t>
      </w:r>
      <w:r>
        <w:rPr>
          <w:rFonts w:ascii="Times New Roman" w:hAnsi="Times New Roman" w:cs="Times New Roman" w:eastAsia="Times New Roman" w:hint="default"/>
          <w:spacing w:val="-3"/>
        </w:rPr>
        <w:t>2017</w:t>
      </w:r>
      <w:r>
        <w:rPr>
          <w:spacing w:val="-3"/>
        </w:rPr>
        <w:t>年权益分派的股权登记日总股本</w:t>
      </w:r>
      <w:r>
        <w:rPr>
          <w:rFonts w:ascii="Times New Roman" w:hAnsi="Times New Roman" w:cs="Times New Roman" w:eastAsia="Times New Roman" w:hint="default"/>
          <w:spacing w:val="-3"/>
        </w:rPr>
        <w:t>265,508,400</w:t>
      </w:r>
      <w:r>
        <w:rPr>
          <w:spacing w:val="-3"/>
        </w:rPr>
        <w:t>股为基数，向全体股东每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1.5</w:t>
      </w:r>
      <w:r>
        <w:rPr>
          <w:spacing w:val="-3"/>
        </w:rPr>
        <w:t>元人民币现金</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6"/>
        </w:rPr>
        <w:t> </w:t>
      </w:r>
      <w:r>
        <w:rPr>
          <w:spacing w:val="-1"/>
        </w:rPr>
        <w:t>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8</w:t>
      </w:r>
      <w:r>
        <w:rPr>
          <w:spacing w:val="-1"/>
        </w:rPr>
        <w:t>股。该权益分派方案已于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25</w:t>
      </w:r>
      <w:r>
        <w:rPr>
          <w:spacing w:val="-1"/>
        </w:rPr>
        <w:t>日实施完毕。根据</w:t>
      </w:r>
      <w:r>
        <w:rPr>
          <w:spacing w:val="-21"/>
        </w:rPr>
        <w:t> </w:t>
      </w:r>
      <w:r>
        <w:rPr>
          <w:spacing w:val="-21"/>
        </w:rPr>
      </w:r>
      <w:r>
        <w:rPr>
          <w:spacing w:val="-1"/>
        </w:rPr>
        <w:t>公司股东大会的授权及《</w:t>
      </w:r>
      <w:r>
        <w:rPr>
          <w:rFonts w:ascii="Times New Roman" w:hAnsi="Times New Roman" w:cs="Times New Roman" w:eastAsia="Times New Roman" w:hint="default"/>
          <w:spacing w:val="-1"/>
        </w:rPr>
        <w:t>2015</w:t>
      </w:r>
      <w:r>
        <w:rPr>
          <w:spacing w:val="-1"/>
        </w:rPr>
        <w:t>年股票期权激励计划（草案）》的相关规定，将公司</w:t>
      </w:r>
      <w:r>
        <w:rPr>
          <w:rFonts w:ascii="Times New Roman" w:hAnsi="Times New Roman" w:cs="Times New Roman" w:eastAsia="Times New Roman" w:hint="default"/>
          <w:spacing w:val="-1"/>
        </w:rPr>
        <w:t>2015</w:t>
      </w:r>
      <w:r>
        <w:rPr>
          <w:spacing w:val="-1"/>
        </w:rPr>
        <w:t>年股票期权激</w:t>
      </w:r>
      <w:r>
        <w:rPr>
          <w:spacing w:val="-18"/>
        </w:rPr>
        <w:t> </w:t>
      </w:r>
      <w:r>
        <w:rPr>
          <w:spacing w:val="-18"/>
        </w:rPr>
      </w:r>
      <w:r>
        <w:rPr>
          <w:spacing w:val="-3"/>
        </w:rPr>
        <w:t>励计划已获授的股票期权行权价格由</w:t>
      </w:r>
      <w:r>
        <w:rPr>
          <w:rFonts w:ascii="Times New Roman" w:hAnsi="Times New Roman" w:cs="Times New Roman" w:eastAsia="Times New Roman" w:hint="default"/>
          <w:spacing w:val="-3"/>
        </w:rPr>
        <w:t>31.671</w:t>
      </w:r>
      <w:r>
        <w:rPr>
          <w:spacing w:val="-3"/>
        </w:rPr>
        <w:t>元调整为</w:t>
      </w:r>
      <w:r>
        <w:rPr>
          <w:rFonts w:ascii="Times New Roman" w:hAnsi="Times New Roman" w:cs="Times New Roman" w:eastAsia="Times New Roman" w:hint="default"/>
          <w:spacing w:val="-3"/>
        </w:rPr>
        <w:t>17.512</w:t>
      </w:r>
      <w:r>
        <w:rPr>
          <w:spacing w:val="-3"/>
        </w:rPr>
        <w:t>元，期权数量由</w:t>
      </w:r>
      <w:r>
        <w:rPr>
          <w:rFonts w:ascii="Times New Roman" w:hAnsi="Times New Roman" w:cs="Times New Roman" w:eastAsia="Times New Roman" w:hint="default"/>
          <w:spacing w:val="-3"/>
        </w:rPr>
        <w:t>2,896,000</w:t>
      </w:r>
      <w:r>
        <w:rPr>
          <w:spacing w:val="-3"/>
        </w:rPr>
        <w:t>份调整为</w:t>
      </w:r>
      <w:r>
        <w:rPr>
          <w:rFonts w:ascii="Times New Roman" w:hAnsi="Times New Roman" w:cs="Times New Roman" w:eastAsia="Times New Roman" w:hint="default"/>
          <w:spacing w:val="-3"/>
        </w:rPr>
        <w:t>5,212,610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份。</w:t>
      </w:r>
    </w:p>
    <w:p>
      <w:pPr>
        <w:pStyle w:val="Heading6"/>
        <w:spacing w:line="259" w:lineRule="auto" w:before="22"/>
        <w:ind w:left="513" w:right="1126"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14</w:t>
      </w:r>
      <w:r>
        <w:rPr>
          <w:spacing w:val="-3"/>
        </w:rPr>
        <w:t>日，公司召开第四届董事会第二十四次会议审议通过了《关于注销</w:t>
      </w:r>
      <w:r>
        <w:rPr>
          <w:rFonts w:ascii="Times New Roman" w:hAnsi="Times New Roman" w:cs="Times New Roman" w:eastAsia="Times New Roman" w:hint="default"/>
          <w:spacing w:val="-3"/>
        </w:rPr>
        <w:t>2015</w:t>
      </w:r>
      <w:r>
        <w:rPr>
          <w:spacing w:val="-3"/>
        </w:rPr>
        <w:t>年股票期权激</w:t>
      </w:r>
      <w:r>
        <w:rPr>
          <w:w w:val="100"/>
        </w:rPr>
        <w:t> </w:t>
      </w:r>
      <w:r>
        <w:rPr>
          <w:spacing w:val="-1"/>
        </w:rPr>
        <w:t>励计划部分已获授股票期权的议案》，并于同日于中国证监会指定创业板信息披露媒体巨潮资讯网公</w:t>
      </w:r>
      <w:r>
        <w:rPr>
          <w:spacing w:val="-21"/>
        </w:rPr>
        <w:t> </w:t>
      </w:r>
      <w:r>
        <w:rPr>
          <w:spacing w:val="-21"/>
        </w:rPr>
      </w:r>
      <w:r>
        <w:rPr>
          <w:spacing w:val="-1"/>
        </w:rPr>
        <w:t>告了《关于注销</w:t>
      </w:r>
      <w:r>
        <w:rPr>
          <w:rFonts w:ascii="Times New Roman" w:hAnsi="Times New Roman" w:cs="Times New Roman" w:eastAsia="Times New Roman" w:hint="default"/>
          <w:spacing w:val="-1"/>
        </w:rPr>
        <w:t>2015</w:t>
      </w:r>
      <w:r>
        <w:rPr>
          <w:spacing w:val="-1"/>
        </w:rPr>
        <w:t>年股票期权激励计划部分已获授股票期权的公告》。公司原激励对象田爱权等</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8"/>
        </w:rPr>
        <w:t> </w:t>
      </w:r>
      <w:r>
        <w:rPr>
          <w:spacing w:val="-1"/>
        </w:rPr>
        <w:t>人因个人原因辞职，已不符合激励条件，根据《</w:t>
      </w:r>
      <w:r>
        <w:rPr>
          <w:rFonts w:ascii="Times New Roman" w:hAnsi="Times New Roman" w:cs="Times New Roman" w:eastAsia="Times New Roman" w:hint="default"/>
          <w:spacing w:val="-1"/>
        </w:rPr>
        <w:t>2015</w:t>
      </w:r>
      <w:r>
        <w:rPr>
          <w:spacing w:val="-1"/>
        </w:rPr>
        <w:t>年股票期权激励计划（草案）》、《</w:t>
      </w:r>
      <w:r>
        <w:rPr>
          <w:rFonts w:ascii="Times New Roman" w:hAnsi="Times New Roman" w:cs="Times New Roman" w:eastAsia="Times New Roman" w:hint="default"/>
          <w:spacing w:val="-1"/>
        </w:rPr>
        <w:t>2015</w:t>
      </w:r>
      <w:r>
        <w:rPr>
          <w:spacing w:val="-1"/>
        </w:rPr>
        <w:t>年股票</w:t>
      </w:r>
      <w:r>
        <w:rPr>
          <w:spacing w:val="-21"/>
        </w:rPr>
        <w:t> </w:t>
      </w:r>
      <w:r>
        <w:rPr>
          <w:spacing w:val="-21"/>
        </w:rPr>
      </w:r>
      <w:r>
        <w:rPr>
          <w:spacing w:val="-2"/>
        </w:rPr>
        <w:t>期权激励计划管理办法》相关规定及公司</w:t>
      </w:r>
      <w:r>
        <w:rPr>
          <w:rFonts w:ascii="Times New Roman" w:hAnsi="Times New Roman" w:cs="Times New Roman" w:eastAsia="Times New Roman" w:hint="default"/>
          <w:spacing w:val="-2"/>
        </w:rPr>
        <w:t>2015</w:t>
      </w:r>
      <w:r>
        <w:rPr>
          <w:spacing w:val="-2"/>
        </w:rPr>
        <w:t>年第六次临时股东大会的授权</w:t>
      </w:r>
      <w:r>
        <w:rPr>
          <w:rFonts w:ascii="Times New Roman" w:hAnsi="Times New Roman" w:cs="Times New Roman" w:eastAsia="Times New Roman" w:hint="default"/>
          <w:spacing w:val="-2"/>
        </w:rPr>
        <w:t>,</w:t>
      </w:r>
      <w:r>
        <w:rPr>
          <w:spacing w:val="-2"/>
        </w:rPr>
        <w:t>公司对以上激励对象已获</w:t>
      </w:r>
      <w:r>
        <w:rPr>
          <w:spacing w:val="-31"/>
        </w:rPr>
        <w:t> </w:t>
      </w:r>
      <w:r>
        <w:rPr>
          <w:spacing w:val="-31"/>
        </w:rPr>
      </w:r>
      <w:r>
        <w:rPr>
          <w:spacing w:val="-2"/>
        </w:rPr>
        <w:t>授予的股票期权合计</w:t>
      </w:r>
      <w:r>
        <w:rPr>
          <w:rFonts w:ascii="Times New Roman" w:hAnsi="Times New Roman" w:cs="Times New Roman" w:eastAsia="Times New Roman" w:hint="default"/>
          <w:spacing w:val="-2"/>
        </w:rPr>
        <w:t>575,980</w:t>
      </w:r>
      <w:r>
        <w:rPr>
          <w:spacing w:val="-2"/>
        </w:rPr>
        <w:t>份进行注销。本次注销后公司</w:t>
      </w:r>
      <w:r>
        <w:rPr>
          <w:rFonts w:ascii="Times New Roman" w:hAnsi="Times New Roman" w:cs="Times New Roman" w:eastAsia="Times New Roman" w:hint="default"/>
          <w:spacing w:val="-2"/>
        </w:rPr>
        <w:t>2015</w:t>
      </w:r>
      <w:r>
        <w:rPr>
          <w:spacing w:val="-2"/>
        </w:rPr>
        <w:t>年股票期权激励计划已获授股票期权数</w:t>
      </w:r>
      <w:r>
        <w:rPr>
          <w:spacing w:val="-27"/>
        </w:rPr>
        <w:t> </w:t>
      </w:r>
      <w:r>
        <w:rPr>
          <w:spacing w:val="-27"/>
        </w:rPr>
      </w:r>
      <w:r>
        <w:rPr/>
        <w:t>量为</w:t>
      </w:r>
      <w:r>
        <w:rPr>
          <w:rFonts w:ascii="Times New Roman" w:hAnsi="Times New Roman" w:cs="Times New Roman" w:eastAsia="Times New Roman" w:hint="default"/>
        </w:rPr>
        <w:t>4,636,630</w:t>
      </w:r>
      <w:r>
        <w:rPr/>
        <w:t>份。</w:t>
      </w:r>
    </w:p>
    <w:p>
      <w:pPr>
        <w:spacing w:after="0" w:line="259"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56" w:lineRule="auto" w:before="36"/>
        <w:ind w:left="513" w:right="1126"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26</w:t>
      </w:r>
      <w:r>
        <w:rPr>
          <w:spacing w:val="-3"/>
        </w:rPr>
        <w:t>日，公司于中国证监会指定创业板信息披露媒体巨潮资讯网公告了《部分已获授股票</w:t>
      </w:r>
      <w:r>
        <w:rPr>
          <w:w w:val="100"/>
        </w:rPr>
        <w:t> </w:t>
      </w:r>
      <w:r>
        <w:rPr>
          <w:spacing w:val="-2"/>
        </w:rPr>
        <w:t>期权注销完成公告》，经中国证券登记结算有限责任公司深圳分公司审核确认</w:t>
      </w:r>
      <w:r>
        <w:rPr>
          <w:rFonts w:ascii="Times New Roman" w:hAnsi="Times New Roman" w:cs="Times New Roman" w:eastAsia="Times New Roman" w:hint="default"/>
          <w:spacing w:val="-2"/>
        </w:rPr>
        <w:t>575,980</w:t>
      </w:r>
      <w:r>
        <w:rPr>
          <w:spacing w:val="-2"/>
        </w:rPr>
        <w:t>份股票期权已于</w:t>
      </w:r>
      <w:r>
        <w:rPr>
          <w:spacing w:val="-31"/>
        </w:rPr>
        <w:t> </w:t>
      </w:r>
      <w:r>
        <w:rPr>
          <w:spacing w:val="-31"/>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日办理完成注销手续。</w:t>
      </w:r>
    </w:p>
    <w:p>
      <w:pPr>
        <w:pStyle w:val="Heading6"/>
        <w:spacing w:line="259" w:lineRule="auto" w:before="5"/>
        <w:ind w:left="513" w:right="1127"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26</w:t>
      </w:r>
      <w:r>
        <w:rPr>
          <w:spacing w:val="-1"/>
        </w:rPr>
        <w:t>日，公司召开第四届董事会第二十七次会议审议通过了《关于对</w:t>
      </w:r>
      <w:r>
        <w:rPr>
          <w:rFonts w:ascii="Times New Roman" w:hAnsi="Times New Roman" w:cs="Times New Roman" w:eastAsia="Times New Roman" w:hint="default"/>
          <w:spacing w:val="-1"/>
        </w:rPr>
        <w:t>2015</w:t>
      </w:r>
      <w:r>
        <w:rPr>
          <w:spacing w:val="-1"/>
        </w:rPr>
        <w:t>年股票期权激</w:t>
      </w:r>
      <w:r>
        <w:rPr>
          <w:w w:val="100"/>
        </w:rPr>
        <w:t> </w:t>
      </w:r>
      <w:r>
        <w:rPr>
          <w:spacing w:val="-1"/>
        </w:rPr>
        <w:t>励计划已获授的股票期权行权价格进行调整的议案》，同日于中国证监会指定创业板信息披露媒体巨</w:t>
      </w:r>
      <w:r>
        <w:rPr>
          <w:spacing w:val="-21"/>
        </w:rPr>
        <w:t> </w:t>
      </w:r>
      <w:r>
        <w:rPr>
          <w:spacing w:val="-21"/>
        </w:rPr>
      </w:r>
      <w:r>
        <w:rPr>
          <w:spacing w:val="-1"/>
        </w:rPr>
        <w:t>潮资讯网披露了《关于对</w:t>
      </w:r>
      <w:r>
        <w:rPr>
          <w:rFonts w:ascii="Times New Roman" w:hAnsi="Times New Roman" w:cs="Times New Roman" w:eastAsia="Times New Roman" w:hint="default"/>
          <w:spacing w:val="-1"/>
        </w:rPr>
        <w:t>2015</w:t>
      </w:r>
      <w:r>
        <w:rPr>
          <w:spacing w:val="-1"/>
        </w:rPr>
        <w:t>年股票期权激励计划已获授的股票期权行权价格进行调整的公告》，公</w:t>
      </w:r>
      <w:r>
        <w:rPr>
          <w:spacing w:val="-25"/>
        </w:rPr>
        <w:t> </w:t>
      </w:r>
      <w:r>
        <w:rPr>
          <w:spacing w:val="-25"/>
        </w:rPr>
      </w:r>
      <w:r>
        <w:rPr>
          <w:spacing w:val="-3"/>
        </w:rPr>
        <w:t>司</w:t>
      </w:r>
      <w:r>
        <w:rPr>
          <w:rFonts w:ascii="Times New Roman" w:hAnsi="Times New Roman" w:cs="Times New Roman" w:eastAsia="Times New Roman" w:hint="default"/>
          <w:spacing w:val="-3"/>
        </w:rPr>
        <w:t>2018</w:t>
      </w:r>
      <w:r>
        <w:rPr>
          <w:spacing w:val="-3"/>
        </w:rPr>
        <w:t>年半年度权益分派方案为：以公司总股本</w:t>
      </w:r>
      <w:r>
        <w:rPr>
          <w:rFonts w:ascii="Times New Roman" w:hAnsi="Times New Roman" w:cs="Times New Roman" w:eastAsia="Times New Roman" w:hint="default"/>
          <w:spacing w:val="-3"/>
        </w:rPr>
        <w:t>477,897,755</w:t>
      </w:r>
      <w:r>
        <w:rPr>
          <w:spacing w:val="-3"/>
        </w:rPr>
        <w:t>股为基数，向全体股东每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2</w:t>
      </w:r>
      <w:r>
        <w:rPr>
          <w:spacing w:val="-3"/>
        </w:rPr>
        <w:t>元人民币</w:t>
      </w:r>
      <w:r>
        <w:rPr>
          <w:spacing w:val="-20"/>
        </w:rPr>
        <w:t> </w:t>
      </w:r>
      <w:r>
        <w:rPr>
          <w:spacing w:val="-20"/>
        </w:rPr>
      </w:r>
      <w:r>
        <w:rPr>
          <w:spacing w:val="-1"/>
        </w:rPr>
        <w:t>现金，该权益分派方案已于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12</w:t>
      </w:r>
      <w:r>
        <w:rPr>
          <w:spacing w:val="-1"/>
        </w:rPr>
        <w:t>日实施完毕。根据公司股东大会的授权及《</w:t>
      </w:r>
      <w:r>
        <w:rPr>
          <w:rFonts w:ascii="Times New Roman" w:hAnsi="Times New Roman" w:cs="Times New Roman" w:eastAsia="Times New Roman" w:hint="default"/>
          <w:spacing w:val="-1"/>
        </w:rPr>
        <w:t>2015</w:t>
      </w:r>
      <w:r>
        <w:rPr>
          <w:spacing w:val="-1"/>
        </w:rPr>
        <w:t>年股票期权</w:t>
      </w:r>
      <w:r>
        <w:rPr>
          <w:spacing w:val="-18"/>
        </w:rPr>
        <w:t> </w:t>
      </w:r>
      <w:r>
        <w:rPr>
          <w:spacing w:val="-18"/>
        </w:rPr>
      </w:r>
      <w:r>
        <w:rPr/>
        <w:t>激励计划（草案）》的相关规定，公司</w:t>
      </w:r>
      <w:r>
        <w:rPr>
          <w:rFonts w:ascii="Times New Roman" w:hAnsi="Times New Roman" w:cs="Times New Roman" w:eastAsia="Times New Roman" w:hint="default"/>
        </w:rPr>
        <w:t>2015</w:t>
      </w:r>
      <w:r>
        <w:rPr/>
        <w:t>年股票期权激励计划已获授的股票期权行权价格由</w:t>
      </w:r>
      <w:r>
        <w:rPr>
          <w:rFonts w:ascii="Times New Roman" w:hAnsi="Times New Roman" w:cs="Times New Roman" w:eastAsia="Times New Roman" w:hint="default"/>
        </w:rPr>
        <w:t>17.512</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元调整为</w:t>
      </w:r>
      <w:r>
        <w:rPr>
          <w:rFonts w:ascii="Times New Roman" w:hAnsi="Times New Roman" w:cs="Times New Roman" w:eastAsia="Times New Roman" w:hint="default"/>
        </w:rPr>
        <w:t>17.312</w:t>
      </w:r>
      <w:r>
        <w:rPr/>
        <w:t>元。</w:t>
      </w:r>
    </w:p>
    <w:p>
      <w:pPr>
        <w:pStyle w:val="Heading6"/>
        <w:spacing w:line="261" w:lineRule="auto" w:before="3"/>
        <w:ind w:left="513" w:right="1126"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6</w:t>
      </w:r>
      <w:r>
        <w:rPr>
          <w:spacing w:val="-3"/>
        </w:rPr>
        <w:t>日，公司于中国证监会指定创业板信息披露媒体巨潮资讯网披露了《关于股票期权激</w:t>
      </w:r>
      <w:r>
        <w:rPr>
          <w:w w:val="100"/>
        </w:rPr>
        <w:t> </w:t>
      </w:r>
      <w:r>
        <w:rPr>
          <w:spacing w:val="-1"/>
        </w:rPr>
        <w:t>励计划已获授的股票期权行权价格调整完成的公告》，经中国证券登记结算有限责任公司深圳分公司</w:t>
      </w:r>
      <w:r>
        <w:rPr>
          <w:spacing w:val="-21"/>
        </w:rPr>
        <w:t> </w:t>
      </w:r>
      <w:r>
        <w:rPr>
          <w:spacing w:val="-21"/>
        </w:rPr>
      </w:r>
      <w:r>
        <w:rPr>
          <w:spacing w:val="2"/>
        </w:rPr>
        <w:t>审核确认，</w:t>
      </w:r>
      <w:r>
        <w:rPr>
          <w:rFonts w:ascii="Times New Roman" w:hAnsi="Times New Roman" w:cs="Times New Roman" w:eastAsia="Times New Roman" w:hint="default"/>
          <w:spacing w:val="2"/>
        </w:rPr>
        <w:t>2015</w:t>
      </w:r>
      <w:r>
        <w:rPr>
          <w:spacing w:val="2"/>
        </w:rPr>
        <w:t>年股票期权激励计划的行权价格由</w:t>
      </w:r>
      <w:r>
        <w:rPr>
          <w:rFonts w:ascii="Times New Roman" w:hAnsi="Times New Roman" w:cs="Times New Roman" w:eastAsia="Times New Roman" w:hint="default"/>
          <w:spacing w:val="2"/>
        </w:rPr>
        <w:t>17.512</w:t>
      </w:r>
      <w:r>
        <w:rPr>
          <w:spacing w:val="2"/>
        </w:rPr>
        <w:t>元</w:t>
      </w:r>
      <w:r>
        <w:rPr>
          <w:rFonts w:ascii="Times New Roman" w:hAnsi="Times New Roman" w:cs="Times New Roman" w:eastAsia="Times New Roman" w:hint="default"/>
          <w:spacing w:val="2"/>
        </w:rPr>
        <w:t>/</w:t>
      </w:r>
      <w:r>
        <w:rPr>
          <w:spacing w:val="2"/>
        </w:rPr>
        <w:t>股调整为</w:t>
      </w:r>
      <w:r>
        <w:rPr>
          <w:rFonts w:ascii="Times New Roman" w:hAnsi="Times New Roman" w:cs="Times New Roman" w:eastAsia="Times New Roman" w:hint="default"/>
          <w:spacing w:val="2"/>
        </w:rPr>
        <w:t>17.312</w:t>
      </w:r>
      <w:r>
        <w:rPr>
          <w:spacing w:val="2"/>
        </w:rPr>
        <w:t>元</w:t>
      </w:r>
      <w:r>
        <w:rPr>
          <w:rFonts w:ascii="Times New Roman" w:hAnsi="Times New Roman" w:cs="Times New Roman" w:eastAsia="Times New Roman" w:hint="default"/>
          <w:spacing w:val="2"/>
        </w:rPr>
        <w:t>/</w:t>
      </w:r>
      <w:r>
        <w:rPr>
          <w:spacing w:val="2"/>
        </w:rPr>
        <w:t>股，数量不变，仍为</w:t>
      </w:r>
      <w:r>
        <w:rPr>
          <w:spacing w:val="-3"/>
        </w:rPr>
        <w:t> </w:t>
      </w:r>
      <w:r>
        <w:rPr>
          <w:spacing w:val="-3"/>
        </w:rPr>
      </w:r>
      <w:r>
        <w:rPr>
          <w:rFonts w:ascii="Times New Roman" w:hAnsi="Times New Roman" w:cs="Times New Roman" w:eastAsia="Times New Roman" w:hint="default"/>
        </w:rPr>
        <w:t>4,636,630</w:t>
      </w:r>
      <w:r>
        <w:rPr/>
        <w:t>份。</w:t>
      </w:r>
    </w:p>
    <w:p>
      <w:pPr>
        <w:pStyle w:val="Heading6"/>
        <w:spacing w:line="256" w:lineRule="auto" w:before="0"/>
        <w:ind w:left="513" w:right="1126" w:firstLine="42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22</w:t>
      </w:r>
      <w:r>
        <w:rPr>
          <w:spacing w:val="-3"/>
        </w:rPr>
        <w:t>日，公司召开第四届董事会第二十九次会议，审议通过了《关于注销</w:t>
      </w:r>
      <w:r>
        <w:rPr>
          <w:rFonts w:ascii="Times New Roman" w:hAnsi="Times New Roman" w:cs="Times New Roman" w:eastAsia="Times New Roman" w:hint="default"/>
          <w:spacing w:val="-3"/>
        </w:rPr>
        <w:t>2015</w:t>
      </w:r>
      <w:r>
        <w:rPr>
          <w:spacing w:val="-3"/>
        </w:rPr>
        <w:t>年股票期权</w:t>
      </w:r>
      <w:r>
        <w:rPr>
          <w:w w:val="100"/>
        </w:rPr>
        <w:t> </w:t>
      </w:r>
      <w:r>
        <w:rPr>
          <w:spacing w:val="-3"/>
        </w:rPr>
        <w:t>激励计划部分已获授股票期权的议案》，公司原激励对象姚伟等</w:t>
      </w:r>
      <w:r>
        <w:rPr>
          <w:rFonts w:ascii="Times New Roman" w:hAnsi="Times New Roman" w:cs="Times New Roman" w:eastAsia="Times New Roman" w:hint="default"/>
          <w:spacing w:val="-3"/>
        </w:rPr>
        <w:t>3</w:t>
      </w:r>
      <w:r>
        <w:rPr>
          <w:spacing w:val="-3"/>
        </w:rPr>
        <w:t>人因个人原因辞职，已不符合激励条</w:t>
      </w:r>
      <w:r>
        <w:rPr>
          <w:spacing w:val="-49"/>
        </w:rPr>
        <w:t> </w:t>
      </w:r>
      <w:r>
        <w:rPr>
          <w:spacing w:val="-49"/>
        </w:rPr>
      </w:r>
      <w:r>
        <w:rPr>
          <w:spacing w:val="-1"/>
        </w:rPr>
        <w:t>件，根据《</w:t>
      </w:r>
      <w:r>
        <w:rPr>
          <w:rFonts w:ascii="Times New Roman" w:hAnsi="Times New Roman" w:cs="Times New Roman" w:eastAsia="Times New Roman" w:hint="default"/>
          <w:spacing w:val="-1"/>
        </w:rPr>
        <w:t>2015</w:t>
      </w:r>
      <w:r>
        <w:rPr>
          <w:spacing w:val="-1"/>
        </w:rPr>
        <w:t>年股票期权激励计划（草案）》、《</w:t>
      </w:r>
      <w:r>
        <w:rPr>
          <w:rFonts w:ascii="Times New Roman" w:hAnsi="Times New Roman" w:cs="Times New Roman" w:eastAsia="Times New Roman" w:hint="default"/>
          <w:spacing w:val="-1"/>
        </w:rPr>
        <w:t>2015</w:t>
      </w:r>
      <w:r>
        <w:rPr>
          <w:spacing w:val="-1"/>
        </w:rPr>
        <w:t>年股票期权激励计划管理办法》相关规定及</w:t>
      </w:r>
      <w:r>
        <w:rPr>
          <w:spacing w:val="-24"/>
        </w:rPr>
        <w:t> </w:t>
      </w:r>
      <w:r>
        <w:rPr>
          <w:spacing w:val="-24"/>
        </w:rPr>
      </w:r>
      <w:r>
        <w:rPr/>
        <w:t>公司</w:t>
      </w:r>
      <w:r>
        <w:rPr>
          <w:rFonts w:ascii="Times New Roman" w:hAnsi="Times New Roman" w:cs="Times New Roman" w:eastAsia="Times New Roman" w:hint="default"/>
        </w:rPr>
        <w:t>2015</w:t>
      </w:r>
      <w:r>
        <w:rPr/>
        <w:t>年第六次临时股东大会的授权</w:t>
      </w:r>
      <w:r>
        <w:rPr>
          <w:rFonts w:ascii="Times New Roman" w:hAnsi="Times New Roman" w:cs="Times New Roman" w:eastAsia="Times New Roman" w:hint="default"/>
        </w:rPr>
        <w:t>,</w:t>
      </w:r>
      <w:r>
        <w:rPr/>
        <w:t>公司对以上激励对象已获授予的股票期权合计</w:t>
      </w:r>
      <w:r>
        <w:rPr>
          <w:rFonts w:ascii="Times New Roman" w:hAnsi="Times New Roman" w:cs="Times New Roman" w:eastAsia="Times New Roman" w:hint="default"/>
        </w:rPr>
        <w:t>287,990</w:t>
      </w:r>
      <w:r>
        <w:rPr/>
        <w:t>份进行</w:t>
      </w:r>
      <w:r>
        <w:rPr>
          <w:spacing w:val="27"/>
        </w:rPr>
        <w:t> </w:t>
      </w:r>
      <w:r>
        <w:rPr>
          <w:spacing w:val="27"/>
        </w:rPr>
      </w:r>
      <w:r>
        <w:rPr/>
        <w:t>注销。本次注销后公司</w:t>
      </w:r>
      <w:r>
        <w:rPr>
          <w:rFonts w:ascii="Times New Roman" w:hAnsi="Times New Roman" w:cs="Times New Roman" w:eastAsia="Times New Roman" w:hint="default"/>
        </w:rPr>
        <w:t>2015</w:t>
      </w:r>
      <w:r>
        <w:rPr/>
        <w:t>年股票期权激励计划已获授股票期权数量为</w:t>
      </w:r>
      <w:r>
        <w:rPr>
          <w:rFonts w:ascii="Times New Roman" w:hAnsi="Times New Roman" w:cs="Times New Roman" w:eastAsia="Times New Roman" w:hint="default"/>
        </w:rPr>
        <w:t>4,348,640</w:t>
      </w:r>
      <w:r>
        <w:rPr/>
        <w:t>份。</w:t>
      </w:r>
    </w:p>
    <w:p>
      <w:pPr>
        <w:pStyle w:val="Heading6"/>
        <w:spacing w:line="256" w:lineRule="auto" w:before="5"/>
        <w:ind w:left="513" w:right="1126" w:firstLine="42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日，公司召开第四届董事会第三十一次会议，审议通过了《关于公司</w:t>
      </w:r>
      <w:r>
        <w:rPr>
          <w:rFonts w:ascii="Times New Roman" w:hAnsi="Times New Roman" w:cs="Times New Roman" w:eastAsia="Times New Roman" w:hint="default"/>
          <w:spacing w:val="-3"/>
        </w:rPr>
        <w:t>2015</w:t>
      </w:r>
      <w:r>
        <w:rPr>
          <w:spacing w:val="-3"/>
        </w:rPr>
        <w:t>年股票期权</w:t>
      </w:r>
      <w:r>
        <w:rPr>
          <w:w w:val="100"/>
        </w:rPr>
        <w:t> </w:t>
      </w:r>
      <w:r>
        <w:rPr>
          <w:spacing w:val="-1"/>
        </w:rPr>
        <w:t>激励计划第三个行权期未达到行权条件予以注销的议案》，公司</w:t>
      </w:r>
      <w:r>
        <w:rPr>
          <w:rFonts w:ascii="Times New Roman" w:hAnsi="Times New Roman" w:cs="Times New Roman" w:eastAsia="Times New Roman" w:hint="default"/>
          <w:spacing w:val="-1"/>
        </w:rPr>
        <w:t>2018</w:t>
      </w:r>
      <w:r>
        <w:rPr>
          <w:spacing w:val="-1"/>
        </w:rPr>
        <w:t>年业绩未满足</w:t>
      </w:r>
      <w:r>
        <w:rPr>
          <w:rFonts w:ascii="Times New Roman" w:hAnsi="Times New Roman" w:cs="Times New Roman" w:eastAsia="Times New Roman" w:hint="default"/>
          <w:spacing w:val="-1"/>
        </w:rPr>
        <w:t>2015</w:t>
      </w:r>
      <w:r>
        <w:rPr>
          <w:spacing w:val="-1"/>
        </w:rPr>
        <w:t>年股票期权激</w:t>
      </w:r>
      <w:r>
        <w:rPr>
          <w:spacing w:val="-21"/>
        </w:rPr>
        <w:t> </w:t>
      </w:r>
      <w:r>
        <w:rPr>
          <w:spacing w:val="-21"/>
        </w:rPr>
      </w:r>
      <w:r>
        <w:rPr>
          <w:spacing w:val="-1"/>
        </w:rPr>
        <w:t>励计划第三个行权期设定的行权条件，公司应对</w:t>
      </w:r>
      <w:r>
        <w:rPr>
          <w:rFonts w:ascii="Times New Roman" w:hAnsi="Times New Roman" w:cs="Times New Roman" w:eastAsia="Times New Roman" w:hint="default"/>
          <w:spacing w:val="-1"/>
        </w:rPr>
        <w:t>2015</w:t>
      </w:r>
      <w:r>
        <w:rPr>
          <w:spacing w:val="-1"/>
        </w:rPr>
        <w:t>年股票期权激励计划第三个行权期已获授的股票</w:t>
      </w:r>
      <w:r>
        <w:rPr>
          <w:spacing w:val="-23"/>
        </w:rPr>
        <w:t> </w:t>
      </w:r>
      <w:r>
        <w:rPr>
          <w:spacing w:val="-23"/>
        </w:rPr>
      </w:r>
      <w:r>
        <w:rPr/>
        <w:t>期权</w:t>
      </w:r>
      <w:r>
        <w:rPr>
          <w:rFonts w:ascii="Times New Roman" w:hAnsi="Times New Roman" w:cs="Times New Roman" w:eastAsia="Times New Roman" w:hint="default"/>
        </w:rPr>
        <w:t>4,348,640</w:t>
      </w:r>
      <w:r>
        <w:rPr/>
        <w:t>份进行注销。本次注销后公司</w:t>
      </w:r>
      <w:r>
        <w:rPr>
          <w:rFonts w:ascii="Times New Roman" w:hAnsi="Times New Roman" w:cs="Times New Roman" w:eastAsia="Times New Roman" w:hint="default"/>
        </w:rPr>
        <w:t>2015</w:t>
      </w:r>
      <w:r>
        <w:rPr/>
        <w:t>年股票期权激励计划不再存续。</w:t>
      </w:r>
    </w:p>
    <w:p>
      <w:pPr>
        <w:pStyle w:val="Heading5"/>
        <w:spacing w:line="304" w:lineRule="exact"/>
        <w:ind w:left="1146" w:right="1033"/>
        <w:jc w:val="left"/>
        <w:rPr>
          <w:b w:val="0"/>
          <w:bCs w:val="0"/>
        </w:rPr>
      </w:pPr>
      <w:r>
        <w:rPr>
          <w:rFonts w:ascii="Arial" w:hAnsi="Arial" w:cs="Arial" w:eastAsia="Arial" w:hint="default"/>
          <w:w w:val="105"/>
        </w:rPr>
        <w:t>1.</w:t>
      </w:r>
      <w:r>
        <w:rPr>
          <w:rFonts w:ascii="Arial" w:hAnsi="Arial" w:cs="Arial" w:eastAsia="Arial" w:hint="default"/>
          <w:spacing w:val="49"/>
          <w:w w:val="105"/>
        </w:rPr>
        <w:t> </w:t>
      </w:r>
      <w:r>
        <w:rPr>
          <w:w w:val="105"/>
        </w:rPr>
        <w:t>第三轮股权激励</w:t>
      </w:r>
      <w:r>
        <w:rPr>
          <w:b w:val="0"/>
          <w:bCs w:val="0"/>
          <w:w w:val="105"/>
        </w:rPr>
      </w:r>
    </w:p>
    <w:p>
      <w:pPr>
        <w:pStyle w:val="Heading6"/>
        <w:spacing w:line="256" w:lineRule="auto" w:before="13"/>
        <w:ind w:left="513" w:right="1126" w:firstLine="42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日，公司召开第三届董事会第四十二次（临时）会议及第三届监事会第四十一次会议</w:t>
      </w:r>
      <w:r>
        <w:rPr>
          <w:w w:val="100"/>
        </w:rPr>
        <w:t> </w:t>
      </w:r>
      <w:r>
        <w:rPr>
          <w:spacing w:val="-2"/>
        </w:rPr>
        <w:t>审议通过了《关于</w:t>
      </w:r>
      <w:r>
        <w:rPr>
          <w:rFonts w:ascii="Times New Roman" w:hAnsi="Times New Roman" w:cs="Times New Roman" w:eastAsia="Times New Roman" w:hint="default"/>
          <w:spacing w:val="-2"/>
        </w:rPr>
        <w:t>&lt;</w:t>
      </w:r>
      <w:r>
        <w:rPr>
          <w:spacing w:val="-2"/>
        </w:rPr>
        <w:t>深圳市新国都技术股份有限公司</w:t>
      </w:r>
      <w:r>
        <w:rPr>
          <w:rFonts w:ascii="Times New Roman" w:hAnsi="Times New Roman" w:cs="Times New Roman" w:eastAsia="Times New Roman" w:hint="default"/>
          <w:spacing w:val="-2"/>
        </w:rPr>
        <w:t>2017</w:t>
      </w:r>
      <w:r>
        <w:rPr>
          <w:spacing w:val="-2"/>
        </w:rPr>
        <w:t>年股票期权激励计划草案及摘要</w:t>
      </w:r>
      <w:r>
        <w:rPr>
          <w:rFonts w:ascii="Times New Roman" w:hAnsi="Times New Roman" w:cs="Times New Roman" w:eastAsia="Times New Roman" w:hint="default"/>
          <w:spacing w:val="-2"/>
        </w:rPr>
        <w:t>&gt;</w:t>
      </w:r>
      <w:r>
        <w:rPr>
          <w:spacing w:val="-2"/>
        </w:rPr>
        <w:t>的议案》、</w:t>
      </w:r>
    </w:p>
    <w:p>
      <w:pPr>
        <w:pStyle w:val="Heading6"/>
        <w:spacing w:line="256" w:lineRule="auto" w:before="5"/>
        <w:ind w:left="513" w:right="1033"/>
        <w:jc w:val="left"/>
      </w:pPr>
      <w:r>
        <w:rPr>
          <w:spacing w:val="-2"/>
        </w:rPr>
        <w:t>《关于</w:t>
      </w:r>
      <w:r>
        <w:rPr>
          <w:rFonts w:ascii="Times New Roman" w:hAnsi="Times New Roman" w:cs="Times New Roman" w:eastAsia="Times New Roman" w:hint="default"/>
          <w:spacing w:val="-2"/>
        </w:rPr>
        <w:t>&lt;</w:t>
      </w:r>
      <w:r>
        <w:rPr>
          <w:spacing w:val="-2"/>
        </w:rPr>
        <w:t>深圳市新国都技术股份有限公司</w:t>
      </w:r>
      <w:r>
        <w:rPr>
          <w:rFonts w:ascii="Times New Roman" w:hAnsi="Times New Roman" w:cs="Times New Roman" w:eastAsia="Times New Roman" w:hint="default"/>
          <w:spacing w:val="-2"/>
        </w:rPr>
        <w:t>2017</w:t>
      </w:r>
      <w:r>
        <w:rPr>
          <w:spacing w:val="-2"/>
        </w:rPr>
        <w:t>年股票期权激励计划实施考核办法</w:t>
      </w:r>
      <w:r>
        <w:rPr>
          <w:rFonts w:ascii="Times New Roman" w:hAnsi="Times New Roman" w:cs="Times New Roman" w:eastAsia="Times New Roman" w:hint="default"/>
          <w:spacing w:val="-2"/>
        </w:rPr>
        <w:t>&gt;</w:t>
      </w:r>
      <w:r>
        <w:rPr>
          <w:spacing w:val="-2"/>
        </w:rPr>
        <w:t>的议案》、《关于提</w:t>
      </w:r>
      <w:r>
        <w:rPr>
          <w:spacing w:val="-8"/>
        </w:rPr>
        <w:t> </w:t>
      </w:r>
      <w:r>
        <w:rPr>
          <w:spacing w:val="-8"/>
        </w:rPr>
      </w:r>
      <w:r>
        <w:rPr/>
        <w:t>请股东大会授权董事会办理公司</w:t>
      </w:r>
      <w:r>
        <w:rPr>
          <w:rFonts w:ascii="Times New Roman" w:hAnsi="Times New Roman" w:cs="Times New Roman" w:eastAsia="Times New Roman" w:hint="default"/>
        </w:rPr>
        <w:t>2017</w:t>
      </w:r>
      <w:r>
        <w:rPr/>
        <w:t>年股票期权激励计划相关事宜的议案》。</w:t>
      </w:r>
    </w:p>
    <w:p>
      <w:pPr>
        <w:pStyle w:val="Heading6"/>
        <w:spacing w:line="264" w:lineRule="auto" w:before="5"/>
        <w:ind w:left="513" w:right="1125"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9</w:t>
      </w:r>
      <w:r>
        <w:rPr>
          <w:spacing w:val="-1"/>
        </w:rPr>
        <w:t>日，公司召开</w:t>
      </w:r>
      <w:r>
        <w:rPr>
          <w:rFonts w:ascii="Times New Roman" w:hAnsi="Times New Roman" w:cs="Times New Roman" w:eastAsia="Times New Roman" w:hint="default"/>
          <w:spacing w:val="-1"/>
        </w:rPr>
        <w:t>2016</w:t>
      </w:r>
      <w:r>
        <w:rPr>
          <w:spacing w:val="-1"/>
        </w:rPr>
        <w:t>年年度股东大会审议通过了《关于《深圳市新国都技术股份有限公</w:t>
      </w:r>
      <w:r>
        <w:rPr>
          <w:w w:val="100"/>
        </w:rPr>
        <w:t> </w:t>
      </w:r>
      <w:r>
        <w:rPr>
          <w:spacing w:val="-1"/>
        </w:rPr>
        <w:t>司</w:t>
      </w:r>
      <w:r>
        <w:rPr>
          <w:rFonts w:ascii="Times New Roman" w:hAnsi="Times New Roman" w:cs="Times New Roman" w:eastAsia="Times New Roman" w:hint="default"/>
          <w:spacing w:val="-1"/>
        </w:rPr>
        <w:t>2017</w:t>
      </w:r>
      <w:r>
        <w:rPr>
          <w:spacing w:val="-1"/>
        </w:rPr>
        <w:t>年股票期权激励计划草案及摘要》的议案》、《关于《深圳市新国都技术股份有限公司</w:t>
      </w:r>
      <w:r>
        <w:rPr>
          <w:rFonts w:ascii="Times New Roman" w:hAnsi="Times New Roman" w:cs="Times New Roman" w:eastAsia="Times New Roman" w:hint="default"/>
          <w:spacing w:val="-1"/>
        </w:rPr>
        <w:t>2017</w:t>
      </w:r>
      <w:r>
        <w:rPr>
          <w:spacing w:val="-1"/>
        </w:rPr>
        <w:t>年</w:t>
      </w:r>
      <w:r>
        <w:rPr>
          <w:spacing w:val="-21"/>
        </w:rPr>
        <w:t> </w:t>
      </w:r>
      <w:r>
        <w:rPr>
          <w:spacing w:val="-1"/>
        </w:rPr>
        <w:t>股票期权激励计划实施考核办法》的议案》以及《关于提请股东大会授权董事会办理公司</w:t>
      </w:r>
      <w:r>
        <w:rPr>
          <w:rFonts w:ascii="Times New Roman" w:hAnsi="Times New Roman" w:cs="Times New Roman" w:eastAsia="Times New Roman" w:hint="default"/>
          <w:spacing w:val="-1"/>
        </w:rPr>
        <w:t>2017</w:t>
      </w:r>
      <w:r>
        <w:rPr>
          <w:spacing w:val="-1"/>
        </w:rPr>
        <w:t>年股票</w:t>
      </w:r>
      <w:r>
        <w:rPr>
          <w:spacing w:val="-18"/>
        </w:rPr>
        <w:t> </w:t>
      </w:r>
      <w:r>
        <w:rPr>
          <w:spacing w:val="-18"/>
        </w:rPr>
      </w:r>
      <w:r>
        <w:rPr>
          <w:spacing w:val="-1"/>
        </w:rPr>
        <w:t>期权激励计划相关事宜的议案》，董事会被授权确认激励对象参与股权激励计划的资格和条件，确定</w:t>
      </w:r>
      <w:r>
        <w:rPr>
          <w:spacing w:val="-20"/>
        </w:rPr>
        <w:t> </w:t>
      </w:r>
      <w:r>
        <w:rPr>
          <w:spacing w:val="-20"/>
        </w:rPr>
      </w:r>
      <w:r>
        <w:rPr>
          <w:spacing w:val="-1"/>
        </w:rPr>
        <w:t>激励对象名单及其授予数量，确定标的股权的授予价格；在激励对象符合条件时向激励对象授予股票</w:t>
      </w:r>
      <w:r>
        <w:rPr>
          <w:spacing w:val="-21"/>
        </w:rPr>
        <w:t> </w:t>
      </w:r>
      <w:r>
        <w:rPr>
          <w:spacing w:val="-21"/>
        </w:rPr>
      </w:r>
      <w:r>
        <w:rPr/>
        <w:t>并办理授予股票和解锁股票所必需的全部事宜。</w:t>
      </w:r>
    </w:p>
    <w:p>
      <w:pPr>
        <w:pStyle w:val="Heading6"/>
        <w:spacing w:line="261" w:lineRule="auto" w:before="16"/>
        <w:ind w:left="513" w:right="1126" w:firstLine="42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15</w:t>
      </w:r>
      <w:r>
        <w:rPr>
          <w:spacing w:val="-3"/>
        </w:rPr>
        <w:t>日，公司召开第四届董事会第一次会议审议通过了《关于向激励对象授予股票期权的</w:t>
      </w:r>
      <w:r>
        <w:rPr>
          <w:w w:val="100"/>
        </w:rPr>
        <w:t> </w:t>
      </w:r>
      <w:r>
        <w:rPr>
          <w:spacing w:val="-1"/>
        </w:rPr>
        <w:t>议案》，并召开第四届监事会第一次会议，审议通过了《关于核实公司</w:t>
      </w:r>
      <w:r>
        <w:rPr>
          <w:rFonts w:ascii="Times New Roman" w:hAnsi="Times New Roman" w:cs="Times New Roman" w:eastAsia="Times New Roman" w:hint="default"/>
          <w:spacing w:val="-1"/>
        </w:rPr>
        <w:t>2017</w:t>
      </w:r>
      <w:r>
        <w:rPr>
          <w:spacing w:val="-1"/>
        </w:rPr>
        <w:t>年股票期权激励计划激励</w:t>
      </w:r>
      <w:r>
        <w:rPr>
          <w:spacing w:val="-21"/>
        </w:rPr>
        <w:t> </w:t>
      </w:r>
      <w:r>
        <w:rPr>
          <w:spacing w:val="-21"/>
        </w:rPr>
      </w:r>
      <w:r>
        <w:rPr>
          <w:spacing w:val="-1"/>
        </w:rPr>
        <w:t>对象名单的议案》。公司独立董事对此发表了独立意见，监事会认为激励对象主体资格确认办法合法</w:t>
      </w:r>
      <w:r>
        <w:rPr>
          <w:spacing w:val="-21"/>
        </w:rPr>
        <w:t> </w:t>
      </w:r>
      <w:r>
        <w:rPr>
          <w:spacing w:val="-21"/>
        </w:rPr>
      </w:r>
      <w:r>
        <w:rPr/>
        <w:t>有效，确定的授权日符合相关规定。</w:t>
      </w:r>
    </w:p>
    <w:p>
      <w:pPr>
        <w:pStyle w:val="Heading6"/>
        <w:spacing w:line="256" w:lineRule="auto" w:before="18"/>
        <w:ind w:left="513" w:right="1126" w:firstLine="42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日，公司公告了《关于</w:t>
      </w:r>
      <w:r>
        <w:rPr>
          <w:rFonts w:ascii="Times New Roman" w:hAnsi="Times New Roman" w:cs="Times New Roman" w:eastAsia="Times New Roman" w:hint="default"/>
          <w:spacing w:val="-3"/>
        </w:rPr>
        <w:t>2017</w:t>
      </w:r>
      <w:r>
        <w:rPr>
          <w:spacing w:val="-3"/>
        </w:rPr>
        <w:t>年股票期权激励计划授予完成登记的公告》，完成了《深</w:t>
      </w:r>
      <w:r>
        <w:rPr>
          <w:w w:val="100"/>
        </w:rPr>
        <w:t> </w:t>
      </w:r>
      <w:r>
        <w:rPr/>
        <w:t>圳市新国都技术股份有限公司</w:t>
      </w:r>
      <w:r>
        <w:rPr>
          <w:rFonts w:ascii="Times New Roman" w:hAnsi="Times New Roman" w:cs="Times New Roman" w:eastAsia="Times New Roman" w:hint="default"/>
        </w:rPr>
        <w:t>2017</w:t>
      </w:r>
      <w:r>
        <w:rPr/>
        <w:t>年股票期权激励计划（草案）》股票期权的授予登记工作。</w:t>
      </w:r>
    </w:p>
    <w:p>
      <w:pPr>
        <w:pStyle w:val="Heading6"/>
        <w:spacing w:line="256" w:lineRule="auto" w:before="5"/>
        <w:ind w:left="513" w:right="1126" w:firstLine="42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25</w:t>
      </w:r>
      <w:r>
        <w:rPr>
          <w:spacing w:val="-3"/>
        </w:rPr>
        <w:t>日，公司召开第四届董事会第四次会议审议通过了《关于对</w:t>
      </w:r>
      <w:r>
        <w:rPr>
          <w:rFonts w:ascii="Times New Roman" w:hAnsi="Times New Roman" w:cs="Times New Roman" w:eastAsia="Times New Roman" w:hint="default"/>
          <w:spacing w:val="-3"/>
        </w:rPr>
        <w:t>2017</w:t>
      </w:r>
      <w:r>
        <w:rPr>
          <w:spacing w:val="-3"/>
        </w:rPr>
        <w:t>年股票期权激励计划</w:t>
      </w:r>
      <w:r>
        <w:rPr>
          <w:w w:val="100"/>
        </w:rPr>
        <w:t> </w:t>
      </w:r>
      <w:r>
        <w:rPr>
          <w:spacing w:val="-1"/>
        </w:rPr>
        <w:t>已获授的股票期权行权价格进行调整的议案》，公司</w:t>
      </w:r>
      <w:r>
        <w:rPr>
          <w:rFonts w:ascii="Times New Roman" w:hAnsi="Times New Roman" w:cs="Times New Roman" w:eastAsia="Times New Roman" w:hint="default"/>
          <w:spacing w:val="-1"/>
        </w:rPr>
        <w:t>2016</w:t>
      </w:r>
      <w:r>
        <w:rPr>
          <w:spacing w:val="-1"/>
        </w:rPr>
        <w:t>年年度利润分派方案于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日完成，</w:t>
      </w:r>
      <w:r>
        <w:rPr>
          <w:spacing w:val="-19"/>
        </w:rPr>
        <w:t> </w:t>
      </w:r>
      <w:r>
        <w:rPr>
          <w:spacing w:val="-19"/>
        </w:rPr>
      </w:r>
      <w:r>
        <w:rPr>
          <w:spacing w:val="-1"/>
        </w:rPr>
        <w:t>根据</w:t>
      </w:r>
      <w:r>
        <w:rPr>
          <w:rFonts w:ascii="Times New Roman" w:hAnsi="Times New Roman" w:cs="Times New Roman" w:eastAsia="Times New Roman" w:hint="default"/>
          <w:spacing w:val="-1"/>
        </w:rPr>
        <w:t>2016</w:t>
      </w:r>
      <w:r>
        <w:rPr>
          <w:spacing w:val="-1"/>
        </w:rPr>
        <w:t>年年度股东大会的授权及《</w:t>
      </w:r>
      <w:r>
        <w:rPr>
          <w:rFonts w:ascii="Times New Roman" w:hAnsi="Times New Roman" w:cs="Times New Roman" w:eastAsia="Times New Roman" w:hint="default"/>
          <w:spacing w:val="-1"/>
        </w:rPr>
        <w:t>2017</w:t>
      </w:r>
      <w:r>
        <w:rPr>
          <w:spacing w:val="-1"/>
        </w:rPr>
        <w:t>年股票期权激励计划（草案）》的相关规定，公司</w:t>
      </w:r>
      <w:r>
        <w:rPr>
          <w:rFonts w:ascii="Times New Roman" w:hAnsi="Times New Roman" w:cs="Times New Roman" w:eastAsia="Times New Roman" w:hint="default"/>
          <w:spacing w:val="-1"/>
        </w:rPr>
        <w:t>2017</w:t>
      </w:r>
      <w:r>
        <w:rPr>
          <w:spacing w:val="-1"/>
        </w:rPr>
        <w:t>年股</w:t>
      </w:r>
      <w:r>
        <w:rPr>
          <w:spacing w:val="-18"/>
        </w:rPr>
        <w:t> </w:t>
      </w:r>
      <w:r>
        <w:rPr/>
        <w:t>票期权激励计划已获授的股票期权行权价格由</w:t>
      </w:r>
      <w:r>
        <w:rPr>
          <w:rFonts w:ascii="Times New Roman" w:hAnsi="Times New Roman" w:cs="Times New Roman" w:eastAsia="Times New Roman" w:hint="default"/>
        </w:rPr>
        <w:t>24.75</w:t>
      </w:r>
      <w:r>
        <w:rPr/>
        <w:t>元调整为</w:t>
      </w:r>
      <w:r>
        <w:rPr>
          <w:rFonts w:ascii="Times New Roman" w:hAnsi="Times New Roman" w:cs="Times New Roman" w:eastAsia="Times New Roman" w:hint="default"/>
        </w:rPr>
        <w:t>24.691</w:t>
      </w:r>
      <w:r>
        <w:rPr/>
        <w:t>元。</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56" w:lineRule="auto" w:before="36"/>
        <w:ind w:left="513" w:right="1033" w:firstLine="42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26</w:t>
      </w:r>
      <w:r>
        <w:rPr>
          <w:spacing w:val="-3"/>
        </w:rPr>
        <w:t>日，公司召开第四届董事会第十一次会议审议通过了《关于注销</w:t>
      </w:r>
      <w:r>
        <w:rPr>
          <w:rFonts w:ascii="Times New Roman" w:hAnsi="Times New Roman" w:cs="Times New Roman" w:eastAsia="Times New Roman" w:hint="default"/>
          <w:spacing w:val="-3"/>
        </w:rPr>
        <w:t>2017</w:t>
      </w:r>
      <w:r>
        <w:rPr>
          <w:spacing w:val="-3"/>
        </w:rPr>
        <w:t>年股票期权激励</w:t>
      </w:r>
      <w:r>
        <w:rPr>
          <w:w w:val="100"/>
        </w:rPr>
        <w:t> </w:t>
      </w:r>
      <w:r>
        <w:rPr>
          <w:spacing w:val="-3"/>
        </w:rPr>
        <w:t>计划部分已获授股票期权的议案》，公司原激励对象肖勇等</w:t>
      </w:r>
      <w:r>
        <w:rPr>
          <w:rFonts w:ascii="Times New Roman" w:hAnsi="Times New Roman" w:cs="Times New Roman" w:eastAsia="Times New Roman" w:hint="default"/>
          <w:spacing w:val="-3"/>
        </w:rPr>
        <w:t>17</w:t>
      </w:r>
      <w:r>
        <w:rPr>
          <w:spacing w:val="-3"/>
        </w:rPr>
        <w:t>人因个人原因辞职，已不符合激励条件，</w:t>
      </w:r>
      <w:r>
        <w:rPr>
          <w:spacing w:val="-42"/>
        </w:rPr>
        <w:t> </w:t>
      </w:r>
      <w:r>
        <w:rPr>
          <w:spacing w:val="-42"/>
        </w:rPr>
      </w:r>
      <w:r>
        <w:rPr/>
        <w:t>根据公司《</w:t>
      </w:r>
      <w:r>
        <w:rPr>
          <w:rFonts w:ascii="Times New Roman" w:hAnsi="Times New Roman" w:cs="Times New Roman" w:eastAsia="Times New Roman" w:hint="default"/>
        </w:rPr>
        <w:t>2017</w:t>
      </w:r>
      <w:r>
        <w:rPr/>
        <w:t>年股票期权激励计划（草案）》相关规定及公司</w:t>
      </w:r>
      <w:r>
        <w:rPr>
          <w:rFonts w:ascii="Times New Roman" w:hAnsi="Times New Roman" w:cs="Times New Roman" w:eastAsia="Times New Roman" w:hint="default"/>
        </w:rPr>
        <w:t>2016</w:t>
      </w:r>
      <w:r>
        <w:rPr/>
        <w:t>年年度股东大会的授权，公司对</w:t>
      </w:r>
      <w:r>
        <w:rPr>
          <w:spacing w:val="-72"/>
        </w:rPr>
        <w:t> </w:t>
      </w:r>
      <w:r>
        <w:rPr>
          <w:spacing w:val="-72"/>
        </w:rPr>
      </w:r>
      <w:r>
        <w:rPr/>
        <w:t>以上激励对象已获授予的股票期权合计</w:t>
      </w:r>
      <w:r>
        <w:rPr>
          <w:rFonts w:ascii="Times New Roman" w:hAnsi="Times New Roman" w:cs="Times New Roman" w:eastAsia="Times New Roman" w:hint="default"/>
        </w:rPr>
        <w:t>444,600</w:t>
      </w:r>
      <w:r>
        <w:rPr/>
        <w:t>份进行注销。本次注销后公司</w:t>
      </w:r>
      <w:r>
        <w:rPr>
          <w:rFonts w:ascii="Times New Roman" w:hAnsi="Times New Roman" w:cs="Times New Roman" w:eastAsia="Times New Roman" w:hint="default"/>
        </w:rPr>
        <w:t>2017</w:t>
      </w:r>
      <w:r>
        <w:rPr/>
        <w:t>年股票期权激励计划</w:t>
      </w:r>
      <w:r>
        <w:rPr>
          <w:w w:val="100"/>
        </w:rPr>
        <w:t> </w:t>
      </w:r>
      <w:r>
        <w:rPr/>
        <w:t>已获授股票期权数量为</w:t>
      </w:r>
      <w:r>
        <w:rPr>
          <w:rFonts w:ascii="Times New Roman" w:hAnsi="Times New Roman" w:cs="Times New Roman" w:eastAsia="Times New Roman" w:hint="default"/>
        </w:rPr>
        <w:t>9,555,400</w:t>
      </w:r>
      <w:r>
        <w:rPr/>
        <w:t>份。</w:t>
      </w:r>
    </w:p>
    <w:p>
      <w:pPr>
        <w:pStyle w:val="Heading6"/>
        <w:spacing w:line="256" w:lineRule="auto" w:before="5"/>
        <w:ind w:left="513" w:right="1080"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29</w:t>
      </w:r>
      <w:r>
        <w:rPr>
          <w:spacing w:val="-3"/>
        </w:rPr>
        <w:t>日，公司召开第四届董事会第十四次会议审议通过了《关于公司</w:t>
      </w:r>
      <w:r>
        <w:rPr>
          <w:rFonts w:ascii="Times New Roman" w:hAnsi="Times New Roman" w:cs="Times New Roman" w:eastAsia="Times New Roman" w:hint="default"/>
          <w:spacing w:val="-3"/>
        </w:rPr>
        <w:t>2017</w:t>
      </w:r>
      <w:r>
        <w:rPr>
          <w:spacing w:val="-3"/>
        </w:rPr>
        <w:t>年股票期权激励</w:t>
      </w:r>
      <w:r>
        <w:rPr>
          <w:w w:val="100"/>
        </w:rPr>
        <w:t> </w:t>
      </w:r>
      <w:r>
        <w:rPr/>
        <w:t>计划第一个行权期未达到行权条件予以注销的议案》，并公告了《关于公司</w:t>
      </w:r>
      <w:r>
        <w:rPr>
          <w:rFonts w:ascii="Times New Roman" w:hAnsi="Times New Roman" w:cs="Times New Roman" w:eastAsia="Times New Roman" w:hint="default"/>
        </w:rPr>
        <w:t>2017</w:t>
      </w:r>
      <w:r>
        <w:rPr/>
        <w:t>年股票期权激励计划</w:t>
      </w:r>
      <w:r>
        <w:rPr>
          <w:w w:val="100"/>
        </w:rPr>
        <w:t> </w:t>
      </w:r>
      <w:r>
        <w:rPr>
          <w:spacing w:val="-2"/>
        </w:rPr>
        <w:t>第一个行权期未达到行权条件予以注销的公告》。根据公司《</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spacing w:val="-2"/>
        </w:rPr>
        <w:t>年股票期权激励计划（草案）》、</w:t>
      </w:r>
    </w:p>
    <w:p>
      <w:pPr>
        <w:pStyle w:val="Heading6"/>
        <w:spacing w:line="256" w:lineRule="auto" w:before="5"/>
        <w:ind w:left="513" w:right="1033"/>
        <w:jc w:val="left"/>
      </w:pP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t>年股票期权激励计划实施考核办法》相关规定及公司</w:t>
      </w:r>
      <w:r>
        <w:rPr>
          <w:rFonts w:ascii="Times New Roman" w:hAnsi="Times New Roman" w:cs="Times New Roman" w:eastAsia="Times New Roman" w:hint="default"/>
        </w:rPr>
        <w:t>2016</w:t>
      </w:r>
      <w:r>
        <w:rPr/>
        <w:t>年年度股东大会的授权，公司应对</w:t>
      </w:r>
      <w:r>
        <w:rPr>
          <w:w w:val="100"/>
        </w:rPr>
        <w:t> </w:t>
      </w:r>
      <w:r>
        <w:rPr>
          <w:rFonts w:ascii="Times New Roman" w:hAnsi="Times New Roman" w:cs="Times New Roman" w:eastAsia="Times New Roman" w:hint="default"/>
          <w:spacing w:val="-2"/>
        </w:rPr>
        <w:t>2017</w:t>
      </w:r>
      <w:r>
        <w:rPr>
          <w:spacing w:val="-2"/>
        </w:rPr>
        <w:t>年股票期权激励计划第一个行权期已获授的股票期权</w:t>
      </w:r>
      <w:r>
        <w:rPr>
          <w:rFonts w:ascii="Times New Roman" w:hAnsi="Times New Roman" w:cs="Times New Roman" w:eastAsia="Times New Roman" w:hint="default"/>
          <w:spacing w:val="-2"/>
        </w:rPr>
        <w:t>4,777,700</w:t>
      </w:r>
      <w:r>
        <w:rPr>
          <w:spacing w:val="-2"/>
        </w:rPr>
        <w:t>份进行注销。本次注销后公司</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50"/>
        </w:rPr>
        <w:t> </w:t>
      </w:r>
      <w:r>
        <w:rPr/>
        <w:t>年股票期权激励计划已获授股票期权数量为</w:t>
      </w:r>
      <w:r>
        <w:rPr>
          <w:rFonts w:ascii="Times New Roman" w:hAnsi="Times New Roman" w:cs="Times New Roman" w:eastAsia="Times New Roman" w:hint="default"/>
        </w:rPr>
        <w:t>4,777,700</w:t>
      </w:r>
      <w:r>
        <w:rPr/>
        <w:t>份。</w:t>
      </w:r>
    </w:p>
    <w:p>
      <w:pPr>
        <w:pStyle w:val="Heading6"/>
        <w:spacing w:line="256" w:lineRule="auto" w:before="5"/>
        <w:ind w:left="513" w:right="1033" w:firstLine="42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11</w:t>
      </w:r>
      <w:r>
        <w:rPr>
          <w:spacing w:val="-3"/>
        </w:rPr>
        <w:t>日，公司召开第四届董事会第十八次会议审议通过了《审议对</w:t>
      </w:r>
      <w:r>
        <w:rPr>
          <w:rFonts w:ascii="Times New Roman" w:hAnsi="Times New Roman" w:cs="Times New Roman" w:eastAsia="Times New Roman" w:hint="default"/>
          <w:spacing w:val="-3"/>
        </w:rPr>
        <w:t>2017</w:t>
      </w:r>
      <w:r>
        <w:rPr>
          <w:spacing w:val="-3"/>
        </w:rPr>
        <w:t>年股票期权激励计</w:t>
      </w:r>
      <w:r>
        <w:rPr>
          <w:w w:val="100"/>
        </w:rPr>
        <w:t> </w:t>
      </w:r>
      <w:r>
        <w:rPr>
          <w:spacing w:val="-2"/>
        </w:rPr>
        <w:t>划已获授的股票期权行权价格及数量进行调整的议案》，并公告了《关于对</w:t>
      </w:r>
      <w:r>
        <w:rPr>
          <w:rFonts w:ascii="Times New Roman" w:hAnsi="Times New Roman" w:cs="Times New Roman" w:eastAsia="Times New Roman" w:hint="default"/>
          <w:spacing w:val="-2"/>
        </w:rPr>
        <w:t>2017</w:t>
      </w:r>
      <w:r>
        <w:rPr>
          <w:spacing w:val="-2"/>
        </w:rPr>
        <w:t>年股票期权激励计划</w:t>
      </w:r>
      <w:r>
        <w:rPr>
          <w:spacing w:val="-20"/>
        </w:rPr>
        <w:t> </w:t>
      </w:r>
      <w:r>
        <w:rPr>
          <w:spacing w:val="-20"/>
        </w:rPr>
      </w:r>
      <w:r>
        <w:rPr>
          <w:spacing w:val="-2"/>
        </w:rPr>
        <w:t>已获授的股票期权行权价格及数量进行调整的公告》，公司</w:t>
      </w:r>
      <w:r>
        <w:rPr>
          <w:rFonts w:ascii="Times New Roman" w:hAnsi="Times New Roman" w:cs="Times New Roman" w:eastAsia="Times New Roman" w:hint="default"/>
          <w:spacing w:val="-2"/>
        </w:rPr>
        <w:t>2017</w:t>
      </w:r>
      <w:r>
        <w:rPr>
          <w:spacing w:val="-2"/>
        </w:rPr>
        <w:t>年年度权益分派实施情况为：以公司</w:t>
      </w:r>
      <w:r>
        <w:rPr>
          <w:spacing w:val="-18"/>
        </w:rPr>
        <w:t> </w:t>
      </w:r>
      <w:r>
        <w:rPr>
          <w:spacing w:val="-18"/>
        </w:rPr>
      </w:r>
      <w:r>
        <w:rPr/>
        <w:t>实施</w:t>
      </w:r>
      <w:r>
        <w:rPr>
          <w:rFonts w:ascii="Times New Roman" w:hAnsi="Times New Roman" w:cs="Times New Roman" w:eastAsia="Times New Roman" w:hint="default"/>
        </w:rPr>
        <w:t>2017</w:t>
      </w:r>
      <w:r>
        <w:rPr/>
        <w:t>年权益分派的股权登记日总股本</w:t>
      </w:r>
      <w:r>
        <w:rPr>
          <w:rFonts w:ascii="Times New Roman" w:hAnsi="Times New Roman" w:cs="Times New Roman" w:eastAsia="Times New Roman" w:hint="default"/>
        </w:rPr>
        <w:t>265,486,700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1.50</w:t>
      </w:r>
      <w:r>
        <w:rPr/>
        <w:t>元人民币现</w:t>
      </w:r>
      <w:r>
        <w:rPr>
          <w:w w:val="100"/>
        </w:rPr>
        <w:t> </w:t>
      </w:r>
      <w:r>
        <w:rPr>
          <w:spacing w:val="-2"/>
        </w:rPr>
        <w:t>金</w:t>
      </w:r>
      <w:r>
        <w:rPr>
          <w:rFonts w:ascii="Times New Roman" w:hAnsi="Times New Roman" w:cs="Times New Roman" w:eastAsia="Times New Roman" w:hint="default"/>
          <w:spacing w:val="-2"/>
        </w:rPr>
        <w:t>,</w:t>
      </w:r>
      <w:r>
        <w:rPr>
          <w:spacing w:val="-2"/>
        </w:rPr>
        <w:t>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8</w:t>
      </w:r>
      <w:r>
        <w:rPr>
          <w:spacing w:val="-2"/>
        </w:rPr>
        <w:t>股。该权益分派方案已于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日实施完毕。根</w:t>
      </w:r>
      <w:r>
        <w:rPr>
          <w:spacing w:val="-30"/>
        </w:rPr>
        <w:t> </w:t>
      </w:r>
      <w:r>
        <w:rPr>
          <w:spacing w:val="-30"/>
        </w:rPr>
      </w:r>
      <w:r>
        <w:rPr>
          <w:spacing w:val="-2"/>
        </w:rPr>
        <w:t>据公司股东大会的授权及《</w:t>
      </w:r>
      <w:r>
        <w:rPr>
          <w:rFonts w:ascii="Times New Roman" w:hAnsi="Times New Roman" w:cs="Times New Roman" w:eastAsia="Times New Roman" w:hint="default"/>
          <w:spacing w:val="-2"/>
        </w:rPr>
        <w:t>2017</w:t>
      </w:r>
      <w:r>
        <w:rPr>
          <w:spacing w:val="-2"/>
        </w:rPr>
        <w:t>年股票期权激励计划（草案）》的相关规定，公司</w:t>
      </w:r>
      <w:r>
        <w:rPr>
          <w:rFonts w:ascii="Times New Roman" w:hAnsi="Times New Roman" w:cs="Times New Roman" w:eastAsia="Times New Roman" w:hint="default"/>
          <w:spacing w:val="-2"/>
        </w:rPr>
        <w:t>2017</w:t>
      </w:r>
      <w:r>
        <w:rPr>
          <w:spacing w:val="-2"/>
        </w:rPr>
        <w:t>年股票期权激</w:t>
      </w:r>
      <w:r>
        <w:rPr>
          <w:spacing w:val="-13"/>
        </w:rPr>
        <w:t> </w:t>
      </w:r>
      <w:r>
        <w:rPr>
          <w:spacing w:val="-13"/>
        </w:rPr>
      </w:r>
      <w:r>
        <w:rPr>
          <w:spacing w:val="-3"/>
        </w:rPr>
        <w:t>励计划已获授的股票期权行权价格由</w:t>
      </w:r>
      <w:r>
        <w:rPr>
          <w:rFonts w:ascii="Times New Roman" w:hAnsi="Times New Roman" w:cs="Times New Roman" w:eastAsia="Times New Roman" w:hint="default"/>
          <w:spacing w:val="-3"/>
        </w:rPr>
        <w:t>24.691</w:t>
      </w:r>
      <w:r>
        <w:rPr>
          <w:spacing w:val="-3"/>
        </w:rPr>
        <w:t>元调整为</w:t>
      </w:r>
      <w:r>
        <w:rPr>
          <w:rFonts w:ascii="Times New Roman" w:hAnsi="Times New Roman" w:cs="Times New Roman" w:eastAsia="Times New Roman" w:hint="default"/>
          <w:spacing w:val="-3"/>
        </w:rPr>
        <w:t>13.434</w:t>
      </w:r>
      <w:r>
        <w:rPr>
          <w:spacing w:val="-3"/>
        </w:rPr>
        <w:t>元，期权数量由</w:t>
      </w:r>
      <w:r>
        <w:rPr>
          <w:rFonts w:ascii="Times New Roman" w:hAnsi="Times New Roman" w:cs="Times New Roman" w:eastAsia="Times New Roman" w:hint="default"/>
          <w:spacing w:val="-3"/>
        </w:rPr>
        <w:t>4,777,700</w:t>
      </w:r>
      <w:r>
        <w:rPr>
          <w:spacing w:val="-3"/>
        </w:rPr>
        <w:t>份调整为</w:t>
      </w:r>
      <w:r>
        <w:rPr>
          <w:rFonts w:ascii="Times New Roman" w:hAnsi="Times New Roman" w:cs="Times New Roman" w:eastAsia="Times New Roman" w:hint="default"/>
          <w:spacing w:val="-3"/>
        </w:rPr>
        <w:t>8,599,547</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份。</w:t>
      </w:r>
    </w:p>
    <w:p>
      <w:pPr>
        <w:pStyle w:val="Heading6"/>
        <w:spacing w:line="256" w:lineRule="auto" w:before="22"/>
        <w:ind w:left="513" w:right="1033" w:firstLine="42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14</w:t>
      </w:r>
      <w:r>
        <w:rPr>
          <w:spacing w:val="-3"/>
        </w:rPr>
        <w:t>日，公司召开第四届董事会第二十四次会议审议通过了《关于注销</w:t>
      </w:r>
      <w:r>
        <w:rPr>
          <w:rFonts w:ascii="Times New Roman" w:hAnsi="Times New Roman" w:cs="Times New Roman" w:eastAsia="Times New Roman" w:hint="default"/>
          <w:spacing w:val="-3"/>
        </w:rPr>
        <w:t>2017</w:t>
      </w:r>
      <w:r>
        <w:rPr>
          <w:spacing w:val="-3"/>
        </w:rPr>
        <w:t>年股票期权激</w:t>
      </w:r>
      <w:r>
        <w:rPr>
          <w:w w:val="100"/>
        </w:rPr>
        <w:t> </w:t>
      </w:r>
      <w:r>
        <w:rPr>
          <w:spacing w:val="-2"/>
        </w:rPr>
        <w:t>励计划部分已获授股票期权的议案》，同日于中国证监会指定创业板信息披露媒体巨潮资讯网公告了</w:t>
      </w:r>
    </w:p>
    <w:p>
      <w:pPr>
        <w:pStyle w:val="Heading6"/>
        <w:spacing w:line="256" w:lineRule="auto" w:before="22"/>
        <w:ind w:left="513" w:right="1033"/>
        <w:jc w:val="left"/>
      </w:pPr>
      <w:r>
        <w:rPr>
          <w:spacing w:val="-2"/>
        </w:rPr>
        <w:t>《关于注销</w:t>
      </w:r>
      <w:r>
        <w:rPr>
          <w:rFonts w:ascii="Times New Roman" w:hAnsi="Times New Roman" w:cs="Times New Roman" w:eastAsia="Times New Roman" w:hint="default"/>
          <w:spacing w:val="-2"/>
        </w:rPr>
        <w:t>2017</w:t>
      </w:r>
      <w:r>
        <w:rPr>
          <w:spacing w:val="-2"/>
        </w:rPr>
        <w:t>年股票期权激励计划部分已获授股票期权的公告》公司原激励对象王宏杨等</w:t>
      </w:r>
      <w:r>
        <w:rPr>
          <w:rFonts w:ascii="Times New Roman" w:hAnsi="Times New Roman" w:cs="Times New Roman" w:eastAsia="Times New Roman" w:hint="default"/>
          <w:spacing w:val="-2"/>
        </w:rPr>
        <w:t>25</w:t>
      </w:r>
      <w:r>
        <w:rPr>
          <w:spacing w:val="-2"/>
        </w:rPr>
        <w:t>人因个</w:t>
      </w:r>
      <w:r>
        <w:rPr>
          <w:spacing w:val="-14"/>
        </w:rPr>
        <w:t> </w:t>
      </w:r>
      <w:r>
        <w:rPr>
          <w:spacing w:val="-14"/>
        </w:rPr>
      </w:r>
      <w:r>
        <w:rPr>
          <w:spacing w:val="-2"/>
        </w:rPr>
        <w:t>人原因辞职，已不符合激励条件，根据《</w:t>
      </w:r>
      <w:r>
        <w:rPr>
          <w:rFonts w:ascii="Times New Roman" w:hAnsi="Times New Roman" w:cs="Times New Roman" w:eastAsia="Times New Roman" w:hint="default"/>
          <w:spacing w:val="-2"/>
        </w:rPr>
        <w:t>2017</w:t>
      </w:r>
      <w:r>
        <w:rPr>
          <w:spacing w:val="-2"/>
        </w:rPr>
        <w:t>年股票期权激励计划（草案）》、《</w:t>
      </w:r>
      <w:r>
        <w:rPr>
          <w:rFonts w:ascii="Times New Roman" w:hAnsi="Times New Roman" w:cs="Times New Roman" w:eastAsia="Times New Roman" w:hint="default"/>
          <w:spacing w:val="-2"/>
        </w:rPr>
        <w:t>2017</w:t>
      </w:r>
      <w:r>
        <w:rPr>
          <w:spacing w:val="-2"/>
        </w:rPr>
        <w:t>年股票期权激</w:t>
      </w:r>
      <w:r>
        <w:rPr>
          <w:spacing w:val="-12"/>
        </w:rPr>
        <w:t> </w:t>
      </w:r>
      <w:r>
        <w:rPr>
          <w:spacing w:val="-12"/>
        </w:rPr>
      </w:r>
      <w:r>
        <w:rPr>
          <w:spacing w:val="-2"/>
        </w:rPr>
        <w:t>励计划实施考核办法》相关规定及公司</w:t>
      </w:r>
      <w:r>
        <w:rPr>
          <w:rFonts w:ascii="Times New Roman" w:hAnsi="Times New Roman" w:cs="Times New Roman" w:eastAsia="Times New Roman" w:hint="default"/>
          <w:spacing w:val="-2"/>
        </w:rPr>
        <w:t>2016</w:t>
      </w:r>
      <w:r>
        <w:rPr>
          <w:spacing w:val="-2"/>
        </w:rPr>
        <w:t>年年度股东大会的授权</w:t>
      </w:r>
      <w:r>
        <w:rPr>
          <w:rFonts w:ascii="Times New Roman" w:hAnsi="Times New Roman" w:cs="Times New Roman" w:eastAsia="Times New Roman" w:hint="default"/>
          <w:spacing w:val="-2"/>
        </w:rPr>
        <w:t>,</w:t>
      </w:r>
      <w:r>
        <w:rPr>
          <w:spacing w:val="-2"/>
        </w:rPr>
        <w:t>公司对以上激励对象已获授予的股</w:t>
      </w:r>
      <w:r>
        <w:rPr>
          <w:spacing w:val="-35"/>
        </w:rPr>
        <w:t> </w:t>
      </w:r>
      <w:r>
        <w:rPr>
          <w:spacing w:val="-35"/>
        </w:rPr>
      </w:r>
      <w:r>
        <w:rPr/>
        <w:t>票期权合计</w:t>
      </w:r>
      <w:r>
        <w:rPr>
          <w:rFonts w:ascii="Times New Roman" w:hAnsi="Times New Roman" w:cs="Times New Roman" w:eastAsia="Times New Roman" w:hint="default"/>
        </w:rPr>
        <w:t>779,416</w:t>
      </w:r>
      <w:r>
        <w:rPr/>
        <w:t>份进行注销。本次注销后公司</w:t>
      </w:r>
      <w:r>
        <w:rPr>
          <w:rFonts w:ascii="Times New Roman" w:hAnsi="Times New Roman" w:cs="Times New Roman" w:eastAsia="Times New Roman" w:hint="default"/>
        </w:rPr>
        <w:t>2017</w:t>
      </w:r>
      <w:r>
        <w:rPr/>
        <w:t>年股票期权激励计划已获授股票期权数量为</w:t>
      </w:r>
      <w:r>
        <w:rPr>
          <w:w w:val="100"/>
        </w:rPr>
        <w:t> </w:t>
      </w:r>
      <w:r>
        <w:rPr>
          <w:rFonts w:ascii="Times New Roman" w:hAnsi="Times New Roman" w:cs="Times New Roman" w:eastAsia="Times New Roman" w:hint="default"/>
        </w:rPr>
        <w:t>7,820,131</w:t>
      </w:r>
      <w:r>
        <w:rPr/>
        <w:t>份。</w:t>
      </w:r>
    </w:p>
    <w:p>
      <w:pPr>
        <w:pStyle w:val="Heading6"/>
        <w:spacing w:line="256" w:lineRule="auto" w:before="5"/>
        <w:ind w:left="513" w:right="1126"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26</w:t>
      </w:r>
      <w:r>
        <w:rPr>
          <w:spacing w:val="-3"/>
        </w:rPr>
        <w:t>日，公司于中国证监会指定创业板信息披露媒体巨潮资讯网公告了《部分已获授股票</w:t>
      </w:r>
      <w:r>
        <w:rPr>
          <w:w w:val="100"/>
        </w:rPr>
        <w:t> </w:t>
      </w:r>
      <w:r>
        <w:rPr>
          <w:spacing w:val="-2"/>
        </w:rPr>
        <w:t>期权注销完成公告》，经中国证券登记结算有限责任公司深圳分公司审核确认</w:t>
      </w:r>
      <w:r>
        <w:rPr>
          <w:rFonts w:ascii="Times New Roman" w:hAnsi="Times New Roman" w:cs="Times New Roman" w:eastAsia="Times New Roman" w:hint="default"/>
          <w:spacing w:val="-2"/>
        </w:rPr>
        <w:t>779,416</w:t>
      </w:r>
      <w:r>
        <w:rPr>
          <w:spacing w:val="-2"/>
        </w:rPr>
        <w:t>份股票期权已于</w:t>
      </w:r>
      <w:r>
        <w:rPr>
          <w:spacing w:val="-31"/>
        </w:rPr>
        <w:t> </w:t>
      </w:r>
      <w:r>
        <w:rPr>
          <w:spacing w:val="-31"/>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日办理完成注销手续。</w:t>
      </w:r>
    </w:p>
    <w:p>
      <w:pPr>
        <w:pStyle w:val="Heading6"/>
        <w:spacing w:line="259" w:lineRule="auto" w:before="5"/>
        <w:ind w:left="513" w:right="1033" w:firstLine="42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日，公司召开第四届董事会第二十七次会议审议通过了《关于对</w:t>
      </w:r>
      <w:r>
        <w:rPr>
          <w:rFonts w:ascii="Times New Roman" w:hAnsi="Times New Roman" w:cs="Times New Roman" w:eastAsia="Times New Roman" w:hint="default"/>
          <w:spacing w:val="-2"/>
        </w:rPr>
        <w:t>2017</w:t>
      </w:r>
      <w:r>
        <w:rPr>
          <w:spacing w:val="-2"/>
        </w:rPr>
        <w:t>年股票期权激</w:t>
      </w:r>
      <w:r>
        <w:rPr>
          <w:w w:val="100"/>
        </w:rPr>
        <w:t> </w:t>
      </w:r>
      <w:r>
        <w:rPr>
          <w:spacing w:val="-2"/>
        </w:rPr>
        <w:t>励计划已获授的股票期权行权价格进行调整的议案》，同日于中国证监会指定创业板信息披露媒体巨</w:t>
      </w:r>
      <w:r>
        <w:rPr>
          <w:spacing w:val="-21"/>
        </w:rPr>
        <w:t> </w:t>
      </w:r>
      <w:r>
        <w:rPr>
          <w:spacing w:val="-21"/>
        </w:rPr>
      </w:r>
      <w:r>
        <w:rPr>
          <w:spacing w:val="-2"/>
        </w:rPr>
        <w:t>潮资讯网披露了《关于对</w:t>
      </w:r>
      <w:r>
        <w:rPr>
          <w:rFonts w:ascii="Times New Roman" w:hAnsi="Times New Roman" w:cs="Times New Roman" w:eastAsia="Times New Roman" w:hint="default"/>
          <w:spacing w:val="-2"/>
        </w:rPr>
        <w:t>2017</w:t>
      </w:r>
      <w:r>
        <w:rPr>
          <w:spacing w:val="-2"/>
        </w:rPr>
        <w:t>年股票期权激励计划已获授的股票期权行权价格进行调整的公告》，公</w:t>
      </w:r>
      <w:r>
        <w:rPr>
          <w:spacing w:val="-24"/>
        </w:rPr>
        <w:t> </w:t>
      </w:r>
      <w:r>
        <w:rPr>
          <w:spacing w:val="-24"/>
        </w:rPr>
      </w:r>
      <w:r>
        <w:rPr>
          <w:spacing w:val="-3"/>
        </w:rPr>
        <w:t>司</w:t>
      </w:r>
      <w:r>
        <w:rPr>
          <w:rFonts w:ascii="Times New Roman" w:hAnsi="Times New Roman" w:cs="Times New Roman" w:eastAsia="Times New Roman" w:hint="default"/>
          <w:spacing w:val="-3"/>
        </w:rPr>
        <w:t>2018</w:t>
      </w:r>
      <w:r>
        <w:rPr>
          <w:spacing w:val="-3"/>
        </w:rPr>
        <w:t>年半年度权益分派方案为：以公司总股本</w:t>
      </w:r>
      <w:r>
        <w:rPr>
          <w:rFonts w:ascii="Times New Roman" w:hAnsi="Times New Roman" w:cs="Times New Roman" w:eastAsia="Times New Roman" w:hint="default"/>
          <w:spacing w:val="-3"/>
        </w:rPr>
        <w:t>477,897,755</w:t>
      </w:r>
      <w:r>
        <w:rPr>
          <w:spacing w:val="-3"/>
        </w:rPr>
        <w:t>股为基数，向全体股东每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2</w:t>
      </w:r>
      <w:r>
        <w:rPr>
          <w:spacing w:val="-3"/>
        </w:rPr>
        <w:t>元人民币</w:t>
      </w:r>
      <w:r>
        <w:rPr>
          <w:spacing w:val="-20"/>
        </w:rPr>
        <w:t> </w:t>
      </w:r>
      <w:r>
        <w:rPr>
          <w:spacing w:val="-20"/>
        </w:rPr>
      </w:r>
      <w:r>
        <w:rPr>
          <w:spacing w:val="-2"/>
        </w:rPr>
        <w:t>现金，该权益分派方案已于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日实施完毕。根据公司股东大会的授权及《</w:t>
      </w:r>
      <w:r>
        <w:rPr>
          <w:rFonts w:ascii="Times New Roman" w:hAnsi="Times New Roman" w:cs="Times New Roman" w:eastAsia="Times New Roman" w:hint="default"/>
          <w:spacing w:val="-2"/>
        </w:rPr>
        <w:t>2017</w:t>
      </w:r>
      <w:r>
        <w:rPr>
          <w:spacing w:val="-2"/>
        </w:rPr>
        <w:t>年股票期权</w:t>
      </w:r>
      <w:r>
        <w:rPr>
          <w:spacing w:val="-10"/>
        </w:rPr>
        <w:t> </w:t>
      </w:r>
      <w:r>
        <w:rPr>
          <w:spacing w:val="-10"/>
        </w:rPr>
      </w:r>
      <w:r>
        <w:rPr/>
        <w:t>激励计划（草案）》的相关规定，公司</w:t>
      </w:r>
      <w:r>
        <w:rPr>
          <w:rFonts w:ascii="Times New Roman" w:hAnsi="Times New Roman" w:cs="Times New Roman" w:eastAsia="Times New Roman" w:hint="default"/>
        </w:rPr>
        <w:t>2017</w:t>
      </w:r>
      <w:r>
        <w:rPr/>
        <w:t>年股票期权激励计划已获授的股票期权行权价格由</w:t>
      </w:r>
      <w:r>
        <w:rPr>
          <w:rFonts w:ascii="Times New Roman" w:hAnsi="Times New Roman" w:cs="Times New Roman" w:eastAsia="Times New Roman" w:hint="default"/>
        </w:rPr>
        <w:t>13.634</w:t>
      </w:r>
      <w:r>
        <w:rPr>
          <w:rFonts w:ascii="Times New Roman" w:hAnsi="Times New Roman" w:cs="Times New Roman" w:eastAsia="Times New Roman" w:hint="default"/>
          <w:w w:val="100"/>
        </w:rPr>
        <w:t> </w:t>
      </w:r>
      <w:r>
        <w:rPr/>
        <w:t>元调整为</w:t>
      </w:r>
      <w:r>
        <w:rPr>
          <w:rFonts w:ascii="Times New Roman" w:hAnsi="Times New Roman" w:cs="Times New Roman" w:eastAsia="Times New Roman" w:hint="default"/>
        </w:rPr>
        <w:t>13.434</w:t>
      </w:r>
      <w:r>
        <w:rPr/>
        <w:t>元。</w:t>
      </w:r>
    </w:p>
    <w:p>
      <w:pPr>
        <w:pStyle w:val="Heading6"/>
        <w:spacing w:line="261" w:lineRule="auto" w:before="2"/>
        <w:ind w:left="513" w:right="1033" w:firstLine="42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6</w:t>
      </w:r>
      <w:r>
        <w:rPr>
          <w:spacing w:val="-3"/>
        </w:rPr>
        <w:t>日，公司于中国证监会指定创业板信息披露媒体巨潮资讯网披露了《关于股票期权激</w:t>
      </w:r>
      <w:r>
        <w:rPr>
          <w:w w:val="100"/>
        </w:rPr>
        <w:t> </w:t>
      </w:r>
      <w:r>
        <w:rPr>
          <w:spacing w:val="-2"/>
        </w:rPr>
        <w:t>励计划已获授的股票期权行权价格调整完成的公告》，经中国证券登记结算有限责任公司深圳分公司</w:t>
      </w:r>
      <w:r>
        <w:rPr>
          <w:spacing w:val="-21"/>
        </w:rPr>
        <w:t> </w:t>
      </w:r>
      <w:r>
        <w:rPr>
          <w:spacing w:val="-21"/>
        </w:rPr>
      </w:r>
      <w:r>
        <w:rPr/>
        <w:t>审核确认，</w:t>
      </w:r>
      <w:r>
        <w:rPr>
          <w:rFonts w:ascii="Times New Roman" w:hAnsi="Times New Roman" w:cs="Times New Roman" w:eastAsia="Times New Roman" w:hint="default"/>
        </w:rPr>
        <w:t>2017</w:t>
      </w:r>
      <w:r>
        <w:rPr/>
        <w:t>年股票期权激励计划的行权价格由</w:t>
      </w:r>
      <w:r>
        <w:rPr>
          <w:rFonts w:ascii="Times New Roman" w:hAnsi="Times New Roman" w:cs="Times New Roman" w:eastAsia="Times New Roman" w:hint="default"/>
        </w:rPr>
        <w:t>13.634</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13.434</w:t>
      </w:r>
      <w:r>
        <w:rPr/>
        <w:t>元</w:t>
      </w:r>
      <w:r>
        <w:rPr>
          <w:rFonts w:ascii="Times New Roman" w:hAnsi="Times New Roman" w:cs="Times New Roman" w:eastAsia="Times New Roman" w:hint="default"/>
        </w:rPr>
        <w:t>/</w:t>
      </w:r>
      <w:r>
        <w:rPr/>
        <w:t>股，数量不变，仍为</w:t>
      </w:r>
      <w:r>
        <w:rPr>
          <w:w w:val="100"/>
        </w:rPr>
        <w:t> </w:t>
      </w:r>
      <w:r>
        <w:rPr>
          <w:rFonts w:ascii="Times New Roman" w:hAnsi="Times New Roman" w:cs="Times New Roman" w:eastAsia="Times New Roman" w:hint="default"/>
        </w:rPr>
        <w:t>7,820,131</w:t>
      </w:r>
      <w:r>
        <w:rPr/>
        <w:t>份。</w:t>
      </w:r>
    </w:p>
    <w:p>
      <w:pPr>
        <w:pStyle w:val="Heading6"/>
        <w:spacing w:line="256" w:lineRule="auto" w:before="0"/>
        <w:ind w:left="513" w:right="1126" w:firstLine="42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22</w:t>
      </w:r>
      <w:r>
        <w:rPr>
          <w:spacing w:val="-3"/>
        </w:rPr>
        <w:t>日，公司召开第四届董事会第二十九次会议审议通过了《关于注销</w:t>
      </w:r>
      <w:r>
        <w:rPr>
          <w:rFonts w:ascii="Times New Roman" w:hAnsi="Times New Roman" w:cs="Times New Roman" w:eastAsia="Times New Roman" w:hint="default"/>
          <w:spacing w:val="-3"/>
        </w:rPr>
        <w:t>2017</w:t>
      </w:r>
      <w:r>
        <w:rPr>
          <w:spacing w:val="-3"/>
        </w:rPr>
        <w:t>年股票期权激</w:t>
      </w:r>
      <w:r>
        <w:rPr>
          <w:w w:val="100"/>
        </w:rPr>
        <w:t> </w:t>
      </w:r>
      <w:r>
        <w:rPr>
          <w:spacing w:val="-3"/>
        </w:rPr>
        <w:t>励计划部分已获授股票期权的议案》，公司原激励对象项朝晖等</w:t>
      </w:r>
      <w:r>
        <w:rPr>
          <w:rFonts w:ascii="Times New Roman" w:hAnsi="Times New Roman" w:cs="Times New Roman" w:eastAsia="Times New Roman" w:hint="default"/>
          <w:spacing w:val="-3"/>
        </w:rPr>
        <w:t>6</w:t>
      </w:r>
      <w:r>
        <w:rPr>
          <w:spacing w:val="-3"/>
        </w:rPr>
        <w:t>人因个人原因辞职，已不符合激励条</w:t>
      </w:r>
      <w:r>
        <w:rPr>
          <w:spacing w:val="-48"/>
        </w:rPr>
        <w:t> </w:t>
      </w:r>
      <w:r>
        <w:rPr>
          <w:spacing w:val="-48"/>
        </w:rPr>
      </w:r>
      <w:r>
        <w:rPr>
          <w:spacing w:val="-2"/>
        </w:rPr>
        <w:t>件，根据《</w:t>
      </w:r>
      <w:r>
        <w:rPr>
          <w:rFonts w:ascii="Times New Roman" w:hAnsi="Times New Roman" w:cs="Times New Roman" w:eastAsia="Times New Roman" w:hint="default"/>
          <w:spacing w:val="-2"/>
        </w:rPr>
        <w:t>2017</w:t>
      </w:r>
      <w:r>
        <w:rPr>
          <w:spacing w:val="-2"/>
        </w:rPr>
        <w:t>年股票期权激励计划（草案）》、《</w:t>
      </w:r>
      <w:r>
        <w:rPr>
          <w:rFonts w:ascii="Times New Roman" w:hAnsi="Times New Roman" w:cs="Times New Roman" w:eastAsia="Times New Roman" w:hint="default"/>
          <w:spacing w:val="-2"/>
        </w:rPr>
        <w:t>2017</w:t>
      </w:r>
      <w:r>
        <w:rPr>
          <w:spacing w:val="-2"/>
        </w:rPr>
        <w:t>年股票期权激励计划管理办法》相关规定及</w:t>
      </w:r>
      <w:r>
        <w:rPr>
          <w:spacing w:val="-13"/>
        </w:rPr>
        <w:t> </w:t>
      </w:r>
      <w:r>
        <w:rPr>
          <w:spacing w:val="-13"/>
        </w:rPr>
      </w:r>
      <w:r>
        <w:rPr>
          <w:spacing w:val="-3"/>
        </w:rPr>
        <w:t>公司</w:t>
      </w:r>
      <w:r>
        <w:rPr>
          <w:rFonts w:ascii="Times New Roman" w:hAnsi="Times New Roman" w:cs="Times New Roman" w:eastAsia="Times New Roman" w:hint="default"/>
          <w:spacing w:val="-3"/>
        </w:rPr>
        <w:t>2016</w:t>
      </w:r>
      <w:r>
        <w:rPr>
          <w:spacing w:val="-3"/>
        </w:rPr>
        <w:t>年年度股东大会的授权</w:t>
      </w:r>
      <w:r>
        <w:rPr>
          <w:rFonts w:ascii="Times New Roman" w:hAnsi="Times New Roman" w:cs="Times New Roman" w:eastAsia="Times New Roman" w:hint="default"/>
          <w:spacing w:val="-3"/>
        </w:rPr>
        <w:t>,</w:t>
      </w:r>
      <w:r>
        <w:rPr>
          <w:spacing w:val="-3"/>
        </w:rPr>
        <w:t>公司对以上激励对象已获授予的股票期权合计</w:t>
      </w:r>
      <w:r>
        <w:rPr>
          <w:rFonts w:ascii="Times New Roman" w:hAnsi="Times New Roman" w:cs="Times New Roman" w:eastAsia="Times New Roman" w:hint="default"/>
          <w:spacing w:val="-3"/>
        </w:rPr>
        <w:t>312,288</w:t>
      </w:r>
      <w:r>
        <w:rPr>
          <w:spacing w:val="-3"/>
        </w:rPr>
        <w:t>份进行注销。本</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56" w:lineRule="auto" w:before="36"/>
        <w:ind w:left="933" w:right="1033" w:hanging="420"/>
        <w:jc w:val="left"/>
      </w:pPr>
      <w:r>
        <w:rPr/>
        <w:t>次注销后公司</w:t>
      </w:r>
      <w:r>
        <w:rPr>
          <w:rFonts w:ascii="Times New Roman" w:hAnsi="Times New Roman" w:cs="Times New Roman" w:eastAsia="Times New Roman" w:hint="default"/>
        </w:rPr>
        <w:t>2017</w:t>
      </w:r>
      <w:r>
        <w:rPr/>
        <w:t>年股票期权激励计划已获授股票期权数量为</w:t>
      </w:r>
      <w:r>
        <w:rPr>
          <w:rFonts w:ascii="Times New Roman" w:hAnsi="Times New Roman" w:cs="Times New Roman" w:eastAsia="Times New Roman" w:hint="default"/>
        </w:rPr>
        <w:t>7,507,843</w:t>
      </w:r>
      <w:r>
        <w:rPr/>
        <w:t>份。</w:t>
      </w:r>
      <w:r>
        <w:rPr>
          <w:w w:val="100"/>
        </w:rPr>
        <w:t> </w:t>
      </w:r>
      <w:r>
        <w:rPr>
          <w:spacing w:val="-2"/>
        </w:rPr>
        <w:t>本公司于中国证监会指定创业板信息披露媒体巨潮资讯网发布了相关公告，经中国证券登记结算</w:t>
      </w:r>
    </w:p>
    <w:p>
      <w:pPr>
        <w:pStyle w:val="Heading6"/>
        <w:spacing w:line="256" w:lineRule="auto" w:before="22"/>
        <w:ind w:left="513" w:right="1033"/>
        <w:jc w:val="left"/>
      </w:pPr>
      <w:r>
        <w:rPr>
          <w:spacing w:val="-5"/>
        </w:rPr>
        <w:t>有限责任公司深圳分公司审核确认，上述 </w:t>
      </w:r>
      <w:r>
        <w:rPr>
          <w:rFonts w:ascii="Times New Roman" w:hAnsi="Times New Roman" w:cs="Times New Roman" w:eastAsia="Times New Roman" w:hint="default"/>
        </w:rPr>
        <w:t>312,288 </w:t>
      </w:r>
      <w:r>
        <w:rPr/>
        <w:t>份股票期权已于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日办理完成注销手</w:t>
      </w:r>
      <w:r>
        <w:rPr>
          <w:w w:val="100"/>
        </w:rPr>
        <w:t> </w:t>
      </w:r>
      <w:r>
        <w:rPr/>
        <w:t>续。</w:t>
      </w:r>
    </w:p>
    <w:p>
      <w:pPr>
        <w:pStyle w:val="Heading6"/>
        <w:spacing w:line="256" w:lineRule="auto" w:before="22"/>
        <w:ind w:left="513" w:right="1128" w:firstLine="420"/>
        <w:jc w:val="both"/>
      </w:pPr>
      <w:r>
        <w:rPr>
          <w:spacing w:val="-3"/>
        </w:rPr>
        <w:t>本公司于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日第四届董事会第三十一次会议审议通过了《关于公司</w:t>
      </w:r>
      <w:r>
        <w:rPr>
          <w:rFonts w:ascii="Times New Roman" w:hAnsi="Times New Roman" w:cs="Times New Roman" w:eastAsia="Times New Roman" w:hint="default"/>
          <w:spacing w:val="-3"/>
        </w:rPr>
        <w:t>2017</w:t>
      </w:r>
      <w:r>
        <w:rPr>
          <w:spacing w:val="-3"/>
        </w:rPr>
        <w:t>年股票期权激励</w:t>
      </w:r>
      <w:r>
        <w:rPr>
          <w:w w:val="100"/>
        </w:rPr>
        <w:t> </w:t>
      </w:r>
      <w:r>
        <w:rPr>
          <w:spacing w:val="-2"/>
        </w:rPr>
        <w:t>计划第二个行权期符合行权条件暨可行权的议案》，公司</w:t>
      </w:r>
      <w:r>
        <w:rPr>
          <w:rFonts w:ascii="Times New Roman" w:hAnsi="Times New Roman" w:cs="Times New Roman" w:eastAsia="Times New Roman" w:hint="default"/>
          <w:spacing w:val="-2"/>
        </w:rPr>
        <w:t>2017</w:t>
      </w:r>
      <w:r>
        <w:rPr>
          <w:spacing w:val="-2"/>
        </w:rPr>
        <w:t>年股票期权激励计划的第二个行权期行</w:t>
      </w:r>
      <w:r>
        <w:rPr>
          <w:spacing w:val="-17"/>
        </w:rPr>
        <w:t> </w:t>
      </w:r>
      <w:r>
        <w:rPr>
          <w:spacing w:val="-17"/>
        </w:rPr>
      </w:r>
      <w:r>
        <w:rPr>
          <w:spacing w:val="-3"/>
        </w:rPr>
        <w:t>权条件已满足，同意公司</w:t>
      </w:r>
      <w:r>
        <w:rPr>
          <w:rFonts w:ascii="Times New Roman" w:hAnsi="Times New Roman" w:cs="Times New Roman" w:eastAsia="Times New Roman" w:hint="default"/>
          <w:spacing w:val="-3"/>
        </w:rPr>
        <w:t>2017</w:t>
      </w:r>
      <w:r>
        <w:rPr>
          <w:spacing w:val="-3"/>
        </w:rPr>
        <w:t>年股票期权激励计划已获授股票期权的</w:t>
      </w:r>
      <w:r>
        <w:rPr>
          <w:rFonts w:ascii="Times New Roman" w:hAnsi="Times New Roman" w:cs="Times New Roman" w:eastAsia="Times New Roman" w:hint="default"/>
          <w:spacing w:val="-3"/>
        </w:rPr>
        <w:t>174</w:t>
      </w:r>
      <w:r>
        <w:rPr>
          <w:spacing w:val="-3"/>
        </w:rPr>
        <w:t>名激励对象在第二个行权期可</w:t>
      </w:r>
      <w:r>
        <w:rPr>
          <w:spacing w:val="-37"/>
        </w:rPr>
        <w:t> </w:t>
      </w:r>
      <w:r>
        <w:rPr>
          <w:spacing w:val="-37"/>
        </w:rPr>
      </w:r>
      <w:r>
        <w:rPr/>
        <w:t>自主行权共</w:t>
      </w:r>
      <w:r>
        <w:rPr>
          <w:rFonts w:ascii="Times New Roman" w:hAnsi="Times New Roman" w:cs="Times New Roman" w:eastAsia="Times New Roman" w:hint="default"/>
        </w:rPr>
        <w:t>7,507,843</w:t>
      </w:r>
      <w:r>
        <w:rPr/>
        <w:t>份股票期权，行权价格为</w:t>
      </w:r>
      <w:r>
        <w:rPr>
          <w:rFonts w:ascii="Times New Roman" w:hAnsi="Times New Roman" w:cs="Times New Roman" w:eastAsia="Times New Roman" w:hint="default"/>
        </w:rPr>
        <w:t>13.434</w:t>
      </w:r>
      <w:r>
        <w:rPr/>
        <w:t>元</w:t>
      </w:r>
      <w:r>
        <w:rPr>
          <w:rFonts w:ascii="Times New Roman" w:hAnsi="Times New Roman" w:cs="Times New Roman" w:eastAsia="Times New Roman" w:hint="default"/>
        </w:rPr>
        <w:t>/</w:t>
      </w:r>
      <w:r>
        <w:rPr/>
        <w:t>份。</w:t>
      </w:r>
    </w:p>
    <w:p>
      <w:pPr>
        <w:pStyle w:val="Heading5"/>
        <w:spacing w:line="304" w:lineRule="exact"/>
        <w:ind w:left="923" w:right="1033"/>
        <w:jc w:val="left"/>
        <w:rPr>
          <w:b w:val="0"/>
          <w:bCs w:val="0"/>
        </w:rPr>
      </w:pPr>
      <w:r>
        <w:rPr>
          <w:rFonts w:ascii="Arial" w:hAnsi="Arial" w:cs="Arial" w:eastAsia="Arial" w:hint="default"/>
          <w:w w:val="105"/>
        </w:rPr>
        <w:t>1.</w:t>
      </w:r>
      <w:r>
        <w:rPr>
          <w:rFonts w:ascii="Arial" w:hAnsi="Arial" w:cs="Arial" w:eastAsia="Arial" w:hint="default"/>
          <w:spacing w:val="48"/>
          <w:w w:val="105"/>
        </w:rPr>
        <w:t> </w:t>
      </w:r>
      <w:r>
        <w:rPr>
          <w:w w:val="105"/>
        </w:rPr>
        <w:t>第四轮股权激励</w:t>
      </w:r>
      <w:r>
        <w:rPr>
          <w:b w:val="0"/>
          <w:bCs w:val="0"/>
          <w:w w:val="105"/>
        </w:rPr>
      </w:r>
    </w:p>
    <w:p>
      <w:pPr>
        <w:pStyle w:val="Heading6"/>
        <w:spacing w:line="256" w:lineRule="auto" w:before="13"/>
        <w:ind w:right="1033"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日，公司召开第四届董事会第十六次会议审议通过了《关于深圳市新国都技术股份有限</w:t>
      </w:r>
      <w:r>
        <w:rPr>
          <w:w w:val="100"/>
        </w:rPr>
        <w:t> </w:t>
      </w:r>
      <w:r>
        <w:rPr>
          <w:spacing w:val="-2"/>
        </w:rPr>
        <w:t>公司</w:t>
      </w:r>
      <w:r>
        <w:rPr>
          <w:rFonts w:ascii="Times New Roman" w:hAnsi="Times New Roman" w:cs="Times New Roman" w:eastAsia="Times New Roman" w:hint="default"/>
          <w:spacing w:val="-2"/>
        </w:rPr>
        <w:t>2018</w:t>
      </w:r>
      <w:r>
        <w:rPr>
          <w:spacing w:val="-2"/>
        </w:rPr>
        <w:t>年股票期权激励计划草案及摘要的议案》、《深圳市新国都技术股份有限公司</w:t>
      </w:r>
      <w:r>
        <w:rPr>
          <w:rFonts w:ascii="Times New Roman" w:hAnsi="Times New Roman" w:cs="Times New Roman" w:eastAsia="Times New Roman" w:hint="default"/>
          <w:spacing w:val="-2"/>
        </w:rPr>
        <w:t>2018</w:t>
      </w:r>
      <w:r>
        <w:rPr>
          <w:spacing w:val="-2"/>
        </w:rPr>
        <w:t>年股票期权激</w:t>
      </w:r>
      <w:r>
        <w:rPr>
          <w:spacing w:val="-37"/>
        </w:rPr>
        <w:t> </w:t>
      </w:r>
      <w:r>
        <w:rPr>
          <w:spacing w:val="-37"/>
        </w:rPr>
      </w:r>
      <w:r>
        <w:rPr>
          <w:spacing w:val="-2"/>
        </w:rPr>
        <w:t>励计划实施考核办法》、《关于提请股东大会授权董事会办理公司</w:t>
      </w:r>
      <w:r>
        <w:rPr>
          <w:rFonts w:ascii="Times New Roman" w:hAnsi="Times New Roman" w:cs="Times New Roman" w:eastAsia="Times New Roman" w:hint="default"/>
          <w:spacing w:val="-2"/>
        </w:rPr>
        <w:t>2018</w:t>
      </w:r>
      <w:r>
        <w:rPr>
          <w:spacing w:val="-2"/>
        </w:rPr>
        <w:t>年股票期权激励计划相关事宜的议</w:t>
      </w:r>
      <w:r>
        <w:rPr>
          <w:spacing w:val="-38"/>
        </w:rPr>
        <w:t> </w:t>
      </w:r>
      <w:r>
        <w:rPr>
          <w:spacing w:val="-38"/>
        </w:rPr>
      </w:r>
      <w:r>
        <w:rPr>
          <w:spacing w:val="-2"/>
        </w:rPr>
        <w:t>案》，公司独立董事对股票期权激励计划发表了明确同意的独立意见。并公告了《</w:t>
      </w:r>
      <w:r>
        <w:rPr>
          <w:rFonts w:ascii="Times New Roman" w:hAnsi="Times New Roman" w:cs="Times New Roman" w:eastAsia="Times New Roman" w:hint="default"/>
          <w:spacing w:val="-2"/>
        </w:rPr>
        <w:t>2018</w:t>
      </w:r>
      <w:r>
        <w:rPr>
          <w:spacing w:val="-2"/>
        </w:rPr>
        <w:t>年股票期权激励计</w:t>
      </w:r>
      <w:r>
        <w:rPr>
          <w:spacing w:val="-44"/>
        </w:rPr>
        <w:t> </w:t>
      </w:r>
      <w:r>
        <w:rPr>
          <w:spacing w:val="-44"/>
        </w:rPr>
      </w:r>
      <w:r>
        <w:rPr/>
        <w:t>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年股票期权激励计划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摘要》、《</w:t>
      </w:r>
      <w:r>
        <w:rPr>
          <w:rFonts w:ascii="Times New Roman" w:hAnsi="Times New Roman" w:cs="Times New Roman" w:eastAsia="Times New Roman" w:hint="default"/>
        </w:rPr>
        <w:t>2018</w:t>
      </w:r>
      <w:r>
        <w:rPr/>
        <w:t>年股票期权激励计划实施考核办法》等。</w:t>
      </w:r>
    </w:p>
    <w:p>
      <w:pPr>
        <w:pStyle w:val="Heading6"/>
        <w:spacing w:line="261" w:lineRule="auto" w:before="5"/>
        <w:ind w:right="1033" w:firstLine="50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日，公司召开</w:t>
      </w:r>
      <w:r>
        <w:rPr>
          <w:rFonts w:ascii="Times New Roman" w:hAnsi="Times New Roman" w:cs="Times New Roman" w:eastAsia="Times New Roman" w:hint="default"/>
        </w:rPr>
        <w:t>2018</w:t>
      </w:r>
      <w:r>
        <w:rPr/>
        <w:t>年第二次临时股东大会，会议以特别决议审议通过了《关于深圳市新</w:t>
      </w:r>
      <w:r>
        <w:rPr>
          <w:w w:val="100"/>
        </w:rPr>
        <w:t> </w:t>
      </w:r>
      <w:r>
        <w:rPr/>
        <w:t>国都技术股份有限公司</w:t>
      </w:r>
      <w:r>
        <w:rPr>
          <w:rFonts w:ascii="Times New Roman" w:hAnsi="Times New Roman" w:cs="Times New Roman" w:eastAsia="Times New Roman" w:hint="default"/>
        </w:rPr>
        <w:t>2018</w:t>
      </w:r>
      <w:r>
        <w:rPr/>
        <w:t>年股票期权激励计划草案及摘要的议案》、深圳市新国都技术股份有限公司</w:t>
      </w:r>
      <w:r>
        <w:rPr>
          <w:w w:val="100"/>
        </w:rPr>
        <w:t> </w:t>
      </w:r>
      <w:r>
        <w:rPr>
          <w:rFonts w:ascii="Times New Roman" w:hAnsi="Times New Roman" w:cs="Times New Roman" w:eastAsia="Times New Roman" w:hint="default"/>
          <w:spacing w:val="-2"/>
        </w:rPr>
        <w:t>2018</w:t>
      </w:r>
      <w:r>
        <w:rPr>
          <w:spacing w:val="-2"/>
        </w:rPr>
        <w:t>年股票期权激励计划实施考核办法》、《关于提请股东大会授权董事会办理公司</w:t>
      </w:r>
      <w:r>
        <w:rPr>
          <w:rFonts w:ascii="Times New Roman" w:hAnsi="Times New Roman" w:cs="Times New Roman" w:eastAsia="Times New Roman" w:hint="default"/>
          <w:spacing w:val="-2"/>
        </w:rPr>
        <w:t>2018</w:t>
      </w:r>
      <w:r>
        <w:rPr>
          <w:spacing w:val="-2"/>
        </w:rPr>
        <w:t>年股票期权激励</w:t>
      </w:r>
      <w:r>
        <w:rPr>
          <w:spacing w:val="-36"/>
        </w:rPr>
        <w:t> </w:t>
      </w:r>
      <w:r>
        <w:rPr>
          <w:spacing w:val="-36"/>
        </w:rPr>
      </w:r>
      <w:r>
        <w:rPr>
          <w:spacing w:val="-2"/>
        </w:rPr>
        <w:t>计划相关事宜的议案》，同意公司向公司中层管理人员、核心骨干人员共计</w:t>
      </w:r>
      <w:r>
        <w:rPr>
          <w:rFonts w:ascii="Times New Roman" w:hAnsi="Times New Roman" w:cs="Times New Roman" w:eastAsia="Times New Roman" w:hint="default"/>
          <w:spacing w:val="-2"/>
        </w:rPr>
        <w:t>34</w:t>
      </w:r>
      <w:r>
        <w:rPr>
          <w:spacing w:val="-2"/>
        </w:rPr>
        <w:t>人授予股票期权的事项。董</w:t>
      </w:r>
      <w:r>
        <w:rPr>
          <w:spacing w:val="-45"/>
        </w:rPr>
        <w:t> </w:t>
      </w:r>
      <w:r>
        <w:rPr>
          <w:spacing w:val="-45"/>
        </w:rPr>
      </w:r>
      <w:r>
        <w:rPr>
          <w:spacing w:val="-2"/>
        </w:rPr>
        <w:t>事会被授权确认激励对象参与股权激励计划的资格和条件，确定激励对象名单及其授予数量，确定标的股</w:t>
      </w:r>
      <w:r>
        <w:rPr>
          <w:spacing w:val="-44"/>
        </w:rPr>
        <w:t> </w:t>
      </w:r>
      <w:r>
        <w:rPr>
          <w:spacing w:val="-44"/>
        </w:rPr>
      </w:r>
      <w:r>
        <w:rPr/>
        <w:t>权的授予价格；在激励对象符合条件时向激励对象授予股票并办理授予股票和解锁股票所必需的全部事</w:t>
      </w:r>
      <w:r>
        <w:rPr>
          <w:w w:val="100"/>
        </w:rPr>
        <w:t> </w:t>
      </w:r>
      <w:r>
        <w:rPr/>
        <w:t>宜。</w:t>
      </w:r>
    </w:p>
    <w:p>
      <w:pPr>
        <w:pStyle w:val="Heading6"/>
        <w:spacing w:line="256" w:lineRule="auto" w:before="18"/>
        <w:ind w:right="1033" w:firstLine="504"/>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日，公司召开第四届董事会第十八次会议审议通过了《审议对</w:t>
      </w:r>
      <w:r>
        <w:rPr>
          <w:rFonts w:ascii="Times New Roman" w:hAnsi="Times New Roman" w:cs="Times New Roman" w:eastAsia="Times New Roman" w:hint="default"/>
          <w:spacing w:val="-2"/>
        </w:rPr>
        <w:t>2018</w:t>
      </w:r>
      <w:r>
        <w:rPr>
          <w:spacing w:val="-2"/>
        </w:rPr>
        <w:t>年股票期权激励计划</w:t>
      </w:r>
      <w:r>
        <w:rPr>
          <w:w w:val="100"/>
        </w:rPr>
        <w:t> </w:t>
      </w:r>
      <w:r>
        <w:rPr>
          <w:spacing w:val="-2"/>
        </w:rPr>
        <w:t>拟授予的股票期权行权价格及数量进行调整的议案》、《审议向</w:t>
      </w:r>
      <w:r>
        <w:rPr>
          <w:rFonts w:ascii="Times New Roman" w:hAnsi="Times New Roman" w:cs="Times New Roman" w:eastAsia="Times New Roman" w:hint="default"/>
          <w:spacing w:val="-2"/>
        </w:rPr>
        <w:t>2018</w:t>
      </w:r>
      <w:r>
        <w:rPr>
          <w:spacing w:val="-2"/>
        </w:rPr>
        <w:t>年股票期权激励计划激励对象授予股</w:t>
      </w:r>
      <w:r>
        <w:rPr>
          <w:spacing w:val="-39"/>
        </w:rPr>
        <w:t> </w:t>
      </w:r>
      <w:r>
        <w:rPr>
          <w:spacing w:val="-39"/>
        </w:rPr>
      </w:r>
      <w:r>
        <w:rPr/>
        <w:t>票期权的议案》，由于公司</w:t>
      </w:r>
      <w:r>
        <w:rPr>
          <w:rFonts w:ascii="Times New Roman" w:hAnsi="Times New Roman" w:cs="Times New Roman" w:eastAsia="Times New Roman" w:hint="default"/>
        </w:rPr>
        <w:t>2017</w:t>
      </w:r>
      <w:r>
        <w:rPr/>
        <w:t>年年度权益分派方案已于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日实施完毕。根据《</w:t>
      </w:r>
      <w:r>
        <w:rPr>
          <w:rFonts w:ascii="Times New Roman" w:hAnsi="Times New Roman" w:cs="Times New Roman" w:eastAsia="Times New Roman" w:hint="default"/>
        </w:rPr>
        <w:t>2018</w:t>
      </w:r>
      <w:r>
        <w:rPr/>
        <w:t>年股票期</w:t>
      </w:r>
      <w:r>
        <w:rPr>
          <w:w w:val="100"/>
        </w:rPr>
        <w:t> </w:t>
      </w:r>
      <w:r>
        <w:rPr>
          <w:spacing w:val="-2"/>
        </w:rPr>
        <w:t>权激励计划（草案）》对行权价格调整和股票期权数量调整的规定，公司</w:t>
      </w:r>
      <w:r>
        <w:rPr>
          <w:rFonts w:ascii="Times New Roman" w:hAnsi="Times New Roman" w:cs="Times New Roman" w:eastAsia="Times New Roman" w:hint="default"/>
          <w:spacing w:val="-2"/>
        </w:rPr>
        <w:t>2018</w:t>
      </w:r>
      <w:r>
        <w:rPr>
          <w:spacing w:val="-2"/>
        </w:rPr>
        <w:t>年股票期权激励计划授予的</w:t>
      </w:r>
      <w:r>
        <w:rPr>
          <w:spacing w:val="-44"/>
        </w:rPr>
        <w:t> </w:t>
      </w:r>
      <w:r>
        <w:rPr>
          <w:spacing w:val="-44"/>
        </w:rPr>
      </w:r>
      <w:r>
        <w:rPr/>
        <w:t>股票期权行权价格由</w:t>
      </w:r>
      <w:r>
        <w:rPr>
          <w:rFonts w:ascii="Times New Roman" w:hAnsi="Times New Roman" w:cs="Times New Roman" w:eastAsia="Times New Roman" w:hint="default"/>
        </w:rPr>
        <w:t>27.21</w:t>
      </w:r>
      <w:r>
        <w:rPr/>
        <w:t>元调整为</w:t>
      </w:r>
      <w:r>
        <w:rPr>
          <w:rFonts w:ascii="Times New Roman" w:hAnsi="Times New Roman" w:cs="Times New Roman" w:eastAsia="Times New Roman" w:hint="default"/>
        </w:rPr>
        <w:t>15.033</w:t>
      </w:r>
      <w:r>
        <w:rPr/>
        <w:t>元，拟授予的期权数量由</w:t>
      </w:r>
      <w:r>
        <w:rPr>
          <w:rFonts w:ascii="Times New Roman" w:hAnsi="Times New Roman" w:cs="Times New Roman" w:eastAsia="Times New Roman" w:hint="default"/>
        </w:rPr>
        <w:t>5,800,000</w:t>
      </w:r>
      <w:r>
        <w:rPr/>
        <w:t>份调整为</w:t>
      </w:r>
      <w:r>
        <w:rPr>
          <w:rFonts w:ascii="Times New Roman" w:hAnsi="Times New Roman" w:cs="Times New Roman" w:eastAsia="Times New Roman" w:hint="default"/>
        </w:rPr>
        <w:t>10,439,606</w:t>
      </w:r>
      <w:r>
        <w:rPr/>
        <w:t>份。公司</w:t>
      </w:r>
      <w:r>
        <w:rPr>
          <w:w w:val="100"/>
        </w:rPr>
        <w:t> </w:t>
      </w:r>
      <w:r>
        <w:rPr>
          <w:spacing w:val="-2"/>
        </w:rPr>
        <w:t>向符合条件的</w:t>
      </w:r>
      <w:r>
        <w:rPr>
          <w:rFonts w:ascii="Times New Roman" w:hAnsi="Times New Roman" w:cs="Times New Roman" w:eastAsia="Times New Roman" w:hint="default"/>
          <w:spacing w:val="-2"/>
        </w:rPr>
        <w:t>34</w:t>
      </w:r>
      <w:r>
        <w:rPr>
          <w:spacing w:val="-2"/>
        </w:rPr>
        <w:t>名激励对象授股票期权。公司独立董事对此发表了独立意见，监事会认为激励对象主体资</w:t>
      </w:r>
      <w:r>
        <w:rPr>
          <w:spacing w:val="-42"/>
        </w:rPr>
        <w:t> </w:t>
      </w:r>
      <w:r>
        <w:rPr>
          <w:spacing w:val="-42"/>
        </w:rPr>
      </w:r>
      <w:r>
        <w:rPr/>
        <w:t>格确认办法合法有效，确定的授权日符合相关规定。</w:t>
      </w:r>
    </w:p>
    <w:p>
      <w:pPr>
        <w:pStyle w:val="Heading6"/>
        <w:spacing w:line="256" w:lineRule="auto" w:before="22"/>
        <w:ind w:right="1033" w:firstLine="420"/>
        <w:jc w:val="left"/>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31</w:t>
      </w:r>
      <w:r>
        <w:rPr>
          <w:spacing w:val="-4"/>
        </w:rPr>
        <w:t>日，公司公告了《关于</w:t>
      </w:r>
      <w:r>
        <w:rPr>
          <w:rFonts w:ascii="Times New Roman" w:hAnsi="Times New Roman" w:cs="Times New Roman" w:eastAsia="Times New Roman" w:hint="default"/>
          <w:spacing w:val="-4"/>
        </w:rPr>
        <w:t>2018</w:t>
      </w:r>
      <w:r>
        <w:rPr>
          <w:spacing w:val="-4"/>
        </w:rPr>
        <w:t>年股票期权激励计划授予完成登记的公告》，公司完成了《深</w:t>
      </w:r>
      <w:r>
        <w:rPr>
          <w:w w:val="100"/>
        </w:rPr>
        <w:t> </w:t>
      </w:r>
      <w:r>
        <w:rPr/>
        <w:t>圳市新国都技术股份有限公司</w:t>
      </w:r>
      <w:r>
        <w:rPr>
          <w:rFonts w:ascii="Times New Roman" w:hAnsi="Times New Roman" w:cs="Times New Roman" w:eastAsia="Times New Roman" w:hint="default"/>
        </w:rPr>
        <w:t>2018</w:t>
      </w:r>
      <w:r>
        <w:rPr/>
        <w:t>年股票期权激励计划（草案）》股票期权的授予登记工作。</w:t>
      </w:r>
    </w:p>
    <w:p>
      <w:pPr>
        <w:pStyle w:val="Heading6"/>
        <w:spacing w:line="261" w:lineRule="auto" w:before="5"/>
        <w:ind w:right="1126" w:firstLine="420"/>
        <w:jc w:val="both"/>
      </w:pP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14</w:t>
      </w:r>
      <w:r>
        <w:rPr>
          <w:spacing w:val="-3"/>
        </w:rPr>
        <w:t>日召开第四届董事会第二十四次会议审议通过了《关于</w:t>
      </w:r>
      <w:r>
        <w:rPr>
          <w:rFonts w:ascii="Times New Roman" w:hAnsi="Times New Roman" w:cs="Times New Roman" w:eastAsia="Times New Roman" w:hint="default"/>
          <w:spacing w:val="-3"/>
        </w:rPr>
        <w:t>&lt;</w:t>
      </w:r>
      <w:r>
        <w:rPr>
          <w:spacing w:val="-3"/>
        </w:rPr>
        <w:t>深圳市新国都技术股份有</w:t>
      </w:r>
      <w:r>
        <w:rPr>
          <w:w w:val="100"/>
        </w:rPr>
        <w:t> </w:t>
      </w:r>
      <w:r>
        <w:rPr>
          <w:spacing w:val="-3"/>
        </w:rPr>
        <w:t>限公司</w:t>
      </w:r>
      <w:r>
        <w:rPr>
          <w:rFonts w:ascii="Times New Roman" w:hAnsi="Times New Roman" w:cs="Times New Roman" w:eastAsia="Times New Roman" w:hint="default"/>
          <w:spacing w:val="-3"/>
        </w:rPr>
        <w:t>2018</w:t>
      </w:r>
      <w:r>
        <w:rPr>
          <w:spacing w:val="-3"/>
        </w:rPr>
        <w:t>年股票期权激励计划（草案修订稿）</w:t>
      </w:r>
      <w:r>
        <w:rPr>
          <w:rFonts w:ascii="Times New Roman" w:hAnsi="Times New Roman" w:cs="Times New Roman" w:eastAsia="Times New Roman" w:hint="default"/>
          <w:spacing w:val="-3"/>
        </w:rPr>
        <w:t>&gt;</w:t>
      </w:r>
      <w:r>
        <w:rPr>
          <w:spacing w:val="-3"/>
        </w:rPr>
        <w:t>及摘要的议案》、《关于</w:t>
      </w:r>
      <w:r>
        <w:rPr>
          <w:rFonts w:ascii="Times New Roman" w:hAnsi="Times New Roman" w:cs="Times New Roman" w:eastAsia="Times New Roman" w:hint="default"/>
          <w:spacing w:val="-3"/>
        </w:rPr>
        <w:t>&lt;</w:t>
      </w:r>
      <w:r>
        <w:rPr>
          <w:spacing w:val="-3"/>
        </w:rPr>
        <w:t>深圳市新国都技术股份有限公</w:t>
      </w:r>
      <w:r>
        <w:rPr>
          <w:spacing w:val="-21"/>
        </w:rPr>
        <w:t> </w:t>
      </w:r>
      <w:r>
        <w:rPr>
          <w:spacing w:val="-21"/>
        </w:rPr>
      </w:r>
      <w:r>
        <w:rPr>
          <w:spacing w:val="-2"/>
        </w:rPr>
        <w:t>司</w:t>
      </w:r>
      <w:r>
        <w:rPr>
          <w:rFonts w:ascii="Times New Roman" w:hAnsi="Times New Roman" w:cs="Times New Roman" w:eastAsia="Times New Roman" w:hint="default"/>
          <w:spacing w:val="-2"/>
        </w:rPr>
        <w:t>2018</w:t>
      </w:r>
      <w:r>
        <w:rPr>
          <w:spacing w:val="-2"/>
        </w:rPr>
        <w:t>年股票期权激励计划实施考核办法（修订稿）</w:t>
      </w:r>
      <w:r>
        <w:rPr>
          <w:rFonts w:ascii="Times New Roman" w:hAnsi="Times New Roman" w:cs="Times New Roman" w:eastAsia="Times New Roman" w:hint="default"/>
          <w:spacing w:val="-2"/>
        </w:rPr>
        <w:t>&gt;</w:t>
      </w:r>
      <w:r>
        <w:rPr>
          <w:spacing w:val="-2"/>
        </w:rPr>
        <w:t>的议案》，会议同意</w:t>
      </w:r>
      <w:r>
        <w:rPr>
          <w:rFonts w:ascii="Times New Roman" w:hAnsi="Times New Roman" w:cs="Times New Roman" w:eastAsia="Times New Roman" w:hint="default"/>
          <w:spacing w:val="-2"/>
        </w:rPr>
        <w:t>2018</w:t>
      </w:r>
      <w:r>
        <w:rPr>
          <w:spacing w:val="-2"/>
        </w:rPr>
        <w:t>年股票期权激励计划的行</w:t>
      </w:r>
      <w:r>
        <w:rPr>
          <w:spacing w:val="-17"/>
        </w:rPr>
        <w:t> </w:t>
      </w:r>
      <w:r>
        <w:rPr>
          <w:spacing w:val="-17"/>
        </w:rPr>
      </w:r>
      <w:r>
        <w:rPr>
          <w:spacing w:val="-2"/>
        </w:rPr>
        <w:t>权条件增加公司层面的业绩考核要求，其他内容不变。并于同日于中国证监会指定创业板信息披露媒体巨</w:t>
      </w:r>
      <w:r>
        <w:rPr>
          <w:spacing w:val="-44"/>
        </w:rPr>
        <w:t> </w:t>
      </w:r>
      <w:r>
        <w:rPr>
          <w:spacing w:val="-44"/>
        </w:rPr>
      </w:r>
      <w:r>
        <w:rPr/>
        <w:t>潮资讯网发布了相关公告。</w:t>
      </w:r>
    </w:p>
    <w:p>
      <w:pPr>
        <w:pStyle w:val="Heading6"/>
        <w:spacing w:line="256" w:lineRule="auto" w:before="18"/>
        <w:ind w:right="1033" w:firstLine="420"/>
        <w:jc w:val="left"/>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日召开第四届董事会第二十七次会议审议通过了《关于对</w:t>
      </w:r>
      <w:r>
        <w:rPr>
          <w:rFonts w:ascii="Times New Roman" w:hAnsi="Times New Roman" w:cs="Times New Roman" w:eastAsia="Times New Roman" w:hint="default"/>
          <w:spacing w:val="-2"/>
        </w:rPr>
        <w:t>2018</w:t>
      </w:r>
      <w:r>
        <w:rPr>
          <w:spacing w:val="-2"/>
        </w:rPr>
        <w:t>年股票期权激励计</w:t>
      </w:r>
      <w:r>
        <w:rPr>
          <w:w w:val="100"/>
        </w:rPr>
        <w:t> </w:t>
      </w:r>
      <w:r>
        <w:rPr/>
        <w:t>划已获授的股票期权行权价格进行调整的议案》，公司实施</w:t>
      </w:r>
      <w:r>
        <w:rPr>
          <w:rFonts w:ascii="Times New Roman" w:hAnsi="Times New Roman" w:cs="Times New Roman" w:eastAsia="Times New Roman" w:hint="default"/>
        </w:rPr>
        <w:t>2018</w:t>
      </w:r>
      <w:r>
        <w:rPr/>
        <w:t>年半年度权益分派方案，以总股本</w:t>
      </w:r>
      <w:r>
        <w:rPr>
          <w:w w:val="100"/>
        </w:rPr>
        <w:t> </w:t>
      </w:r>
      <w:r>
        <w:rPr>
          <w:rFonts w:ascii="Times New Roman" w:hAnsi="Times New Roman" w:cs="Times New Roman" w:eastAsia="Times New Roman" w:hint="default"/>
        </w:rPr>
        <w:t>477,897,755</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w:t>
      </w:r>
      <w:r>
        <w:rPr/>
        <w:t>元人民币现金，该权益分派方案已于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日实施完</w:t>
      </w:r>
      <w:r>
        <w:rPr>
          <w:w w:val="100"/>
        </w:rPr>
        <w:t> </w:t>
      </w:r>
      <w:r>
        <w:rPr>
          <w:spacing w:val="-2"/>
        </w:rPr>
        <w:t>毕。经过本次调整，公司</w:t>
      </w:r>
      <w:r>
        <w:rPr>
          <w:rFonts w:ascii="Times New Roman" w:hAnsi="Times New Roman" w:cs="Times New Roman" w:eastAsia="Times New Roman" w:hint="default"/>
          <w:spacing w:val="-2"/>
        </w:rPr>
        <w:t>2018</w:t>
      </w:r>
      <w:r>
        <w:rPr>
          <w:spacing w:val="-2"/>
        </w:rPr>
        <w:t>年股票期权激励计划（草案）已授予的股票期权行权价格由</w:t>
      </w:r>
      <w:r>
        <w:rPr>
          <w:rFonts w:ascii="Times New Roman" w:hAnsi="Times New Roman" w:cs="Times New Roman" w:eastAsia="Times New Roman" w:hint="default"/>
          <w:spacing w:val="-2"/>
        </w:rPr>
        <w:t>15.033</w:t>
      </w:r>
      <w:r>
        <w:rPr>
          <w:spacing w:val="-2"/>
        </w:rPr>
        <w:t>元调整为</w:t>
      </w:r>
      <w:r>
        <w:rPr>
          <w:spacing w:val="-16"/>
        </w:rPr>
        <w:t> </w:t>
      </w:r>
      <w:r>
        <w:rPr>
          <w:spacing w:val="-16"/>
        </w:rPr>
      </w:r>
      <w:r>
        <w:rPr>
          <w:rFonts w:ascii="Times New Roman" w:hAnsi="Times New Roman" w:cs="Times New Roman" w:eastAsia="Times New Roman" w:hint="default"/>
        </w:rPr>
        <w:t>14.833</w:t>
      </w:r>
      <w:r>
        <w:rPr/>
        <w:t>元，期权数量为</w:t>
      </w:r>
      <w:r>
        <w:rPr>
          <w:rFonts w:ascii="Times New Roman" w:hAnsi="Times New Roman" w:cs="Times New Roman" w:eastAsia="Times New Roman" w:hint="default"/>
        </w:rPr>
        <w:t>10,439,606</w:t>
      </w:r>
      <w:r>
        <w:rPr/>
        <w:t>份。</w:t>
      </w:r>
    </w:p>
    <w:p>
      <w:pPr>
        <w:pStyle w:val="Heading6"/>
        <w:spacing w:line="256" w:lineRule="auto" w:before="5"/>
        <w:ind w:right="1033" w:firstLine="42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日召开第四届董事会第三十一次会议，审议通过了《关于公司</w:t>
      </w:r>
      <w:r>
        <w:rPr>
          <w:rFonts w:ascii="Times New Roman" w:hAnsi="Times New Roman" w:cs="Times New Roman" w:eastAsia="Times New Roman" w:hint="default"/>
        </w:rPr>
        <w:t>2018</w:t>
      </w:r>
      <w:r>
        <w:rPr/>
        <w:t>年股票期权激</w:t>
      </w:r>
      <w:r>
        <w:rPr>
          <w:w w:val="100"/>
        </w:rPr>
        <w:t> </w:t>
      </w:r>
      <w:r>
        <w:rPr>
          <w:spacing w:val="-2"/>
        </w:rPr>
        <w:t>励计划第一个行权期符合行权条件暨可行权的议案》，公司</w:t>
      </w:r>
      <w:r>
        <w:rPr>
          <w:rFonts w:ascii="Times New Roman" w:hAnsi="Times New Roman" w:cs="Times New Roman" w:eastAsia="Times New Roman" w:hint="default"/>
          <w:spacing w:val="-2"/>
        </w:rPr>
        <w:t>2018</w:t>
      </w:r>
      <w:r>
        <w:rPr>
          <w:spacing w:val="-2"/>
        </w:rPr>
        <w:t>年股票期权激励计划的第一个行权期行权</w:t>
      </w:r>
      <w:r>
        <w:rPr>
          <w:spacing w:val="-40"/>
        </w:rPr>
        <w:t> </w:t>
      </w:r>
      <w:r>
        <w:rPr>
          <w:spacing w:val="-40"/>
        </w:rPr>
      </w:r>
      <w:r>
        <w:rPr>
          <w:spacing w:val="-2"/>
        </w:rPr>
        <w:t>条件已满足，同意公司</w:t>
      </w:r>
      <w:r>
        <w:rPr>
          <w:rFonts w:ascii="Times New Roman" w:hAnsi="Times New Roman" w:cs="Times New Roman" w:eastAsia="Times New Roman" w:hint="default"/>
          <w:spacing w:val="-2"/>
        </w:rPr>
        <w:t>2018</w:t>
      </w:r>
      <w:r>
        <w:rPr>
          <w:spacing w:val="-2"/>
        </w:rPr>
        <w:t>年股票期权激励计划已获授股票期权的</w:t>
      </w:r>
      <w:r>
        <w:rPr>
          <w:rFonts w:ascii="Times New Roman" w:hAnsi="Times New Roman" w:cs="Times New Roman" w:eastAsia="Times New Roman" w:hint="default"/>
          <w:spacing w:val="-2"/>
        </w:rPr>
        <w:t>34</w:t>
      </w:r>
      <w:r>
        <w:rPr>
          <w:spacing w:val="-2"/>
        </w:rPr>
        <w:t>名激励对象在第一个行权期可自主行</w:t>
      </w:r>
      <w:r>
        <w:rPr>
          <w:spacing w:val="-42"/>
        </w:rPr>
        <w:t> </w:t>
      </w:r>
      <w:r>
        <w:rPr>
          <w:spacing w:val="-42"/>
        </w:rPr>
      </w:r>
      <w:r>
        <w:rPr/>
        <w:t>权共</w:t>
      </w:r>
      <w:r>
        <w:rPr>
          <w:rFonts w:ascii="Times New Roman" w:hAnsi="Times New Roman" w:cs="Times New Roman" w:eastAsia="Times New Roman" w:hint="default"/>
        </w:rPr>
        <w:t>5,219,795</w:t>
      </w:r>
      <w:r>
        <w:rPr/>
        <w:t>份股票期权，行权价格为</w:t>
      </w:r>
      <w:r>
        <w:rPr>
          <w:rFonts w:ascii="Times New Roman" w:hAnsi="Times New Roman" w:cs="Times New Roman" w:eastAsia="Times New Roman" w:hint="default"/>
        </w:rPr>
        <w:t>14.833</w:t>
      </w:r>
      <w:r>
        <w:rPr/>
        <w:t>元</w:t>
      </w:r>
      <w:r>
        <w:rPr>
          <w:rFonts w:ascii="Times New Roman" w:hAnsi="Times New Roman" w:cs="Times New Roman" w:eastAsia="Times New Roman" w:hint="default"/>
        </w:rPr>
        <w:t>/</w:t>
      </w:r>
      <w:r>
        <w:rPr/>
        <w:t>份。</w:t>
      </w:r>
    </w:p>
    <w:p>
      <w:pPr>
        <w:spacing w:after="0" w:line="256"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6"/>
        <w:spacing w:line="256" w:lineRule="auto" w:before="36"/>
        <w:ind w:right="1033" w:firstLine="420"/>
        <w:jc w:val="left"/>
      </w:pPr>
      <w:r>
        <w:rPr/>
        <w:t>公司于</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17</w:t>
      </w:r>
      <w:r>
        <w:rPr/>
        <w:t>日召开第四届董事会第四十一次会议，审议通过了《关于注销 </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年股票期</w:t>
      </w:r>
      <w:r>
        <w:rPr>
          <w:w w:val="100"/>
        </w:rPr>
        <w:t> </w:t>
      </w:r>
      <w:r>
        <w:rPr>
          <w:spacing w:val="-2"/>
        </w:rPr>
        <w:t>权激励计划部分已获授股票期权的议案》，公司原激励对象樊帆等</w:t>
      </w:r>
      <w:r>
        <w:rPr>
          <w:rFonts w:ascii="Times New Roman" w:hAnsi="Times New Roman" w:cs="Times New Roman" w:eastAsia="Times New Roman" w:hint="default"/>
          <w:spacing w:val="-2"/>
        </w:rPr>
        <w:t>10</w:t>
      </w:r>
      <w:r>
        <w:rPr>
          <w:spacing w:val="-2"/>
        </w:rPr>
        <w:t>人因个人及公司战略发展原因不再在</w:t>
      </w:r>
      <w:r>
        <w:rPr>
          <w:spacing w:val="-41"/>
        </w:rPr>
        <w:t> </w:t>
      </w:r>
      <w:r>
        <w:rPr>
          <w:spacing w:val="-41"/>
        </w:rPr>
      </w:r>
      <w:r>
        <w:rPr>
          <w:spacing w:val="-3"/>
        </w:rPr>
        <w:t>公司及全资子公司体系内任职，已不符合激励条件，激励对象已获授的股票期权合计</w:t>
      </w:r>
      <w:r>
        <w:rPr>
          <w:rFonts w:ascii="Times New Roman" w:hAnsi="Times New Roman" w:cs="Times New Roman" w:eastAsia="Times New Roman" w:hint="default"/>
          <w:spacing w:val="-3"/>
        </w:rPr>
        <w:t>331,279</w:t>
      </w:r>
      <w:r>
        <w:rPr>
          <w:rFonts w:ascii="Times New Roman" w:hAnsi="Times New Roman" w:cs="Times New Roman" w:eastAsia="Times New Roman" w:hint="default"/>
          <w:spacing w:val="34"/>
        </w:rPr>
        <w:t> </w:t>
      </w:r>
      <w:r>
        <w:rPr/>
        <w:t>份进行注销。</w:t>
      </w:r>
      <w:r>
        <w:rPr>
          <w:spacing w:val="-91"/>
        </w:rPr>
        <w:t> </w:t>
      </w:r>
      <w:r>
        <w:rPr>
          <w:spacing w:val="-91"/>
        </w:rPr>
      </w:r>
      <w:r>
        <w:rPr/>
        <w:t>本次注销后公司本次激励计划已获授股票期权数量变更为 </w:t>
      </w:r>
      <w:r>
        <w:rPr>
          <w:rFonts w:ascii="Times New Roman" w:hAnsi="Times New Roman" w:cs="Times New Roman" w:eastAsia="Times New Roman" w:hint="default"/>
        </w:rPr>
        <w:t>4,888,532</w:t>
      </w:r>
      <w:r>
        <w:rPr>
          <w:rFonts w:ascii="Times New Roman" w:hAnsi="Times New Roman" w:cs="Times New Roman" w:eastAsia="Times New Roman" w:hint="default"/>
          <w:spacing w:val="8"/>
        </w:rPr>
        <w:t> </w:t>
      </w:r>
      <w:r>
        <w:rPr/>
        <w:t>份。</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0"/>
          <w:szCs w:val="20"/>
        </w:rPr>
      </w:pPr>
    </w:p>
    <w:p>
      <w:pPr>
        <w:spacing w:line="376" w:lineRule="auto" w:before="0"/>
        <w:ind w:left="153" w:right="835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十四、承诺及或有事项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pStyle w:val="BodyText"/>
        <w:spacing w:line="240" w:lineRule="auto" w:before="177"/>
        <w:ind w:right="1033"/>
        <w:jc w:val="left"/>
      </w:pPr>
      <w:r>
        <w:rPr/>
        <w:t>资产负债表日存在的重要承诺</w:t>
      </w:r>
    </w:p>
    <w:p>
      <w:pPr>
        <w:pStyle w:val="Heading6"/>
        <w:spacing w:line="240" w:lineRule="auto" w:before="94"/>
        <w:ind w:right="10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日，本公司不存在需要披露的重要承诺事项。</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46" w:lineRule="auto" w:before="0"/>
        <w:ind w:left="153" w:right="175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）资产负债表日存在的重要或有事项</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截止</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日，本公司不存在需要披露的重要或有事项</w:t>
      </w:r>
    </w:p>
    <w:p>
      <w:pPr>
        <w:pStyle w:val="Heading5"/>
        <w:spacing w:line="240" w:lineRule="auto" w:before="54"/>
        <w:ind w:right="10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t>公司不存在需要披露的重要或有事项。</w:t>
      </w:r>
    </w:p>
    <w:p>
      <w:pPr>
        <w:spacing w:line="240" w:lineRule="auto" w:before="1"/>
        <w:rPr>
          <w:rFonts w:ascii="宋体" w:hAnsi="宋体" w:cs="宋体" w:eastAsia="宋体" w:hint="default"/>
          <w:sz w:val="22"/>
          <w:szCs w:val="22"/>
        </w:rPr>
      </w:pPr>
    </w:p>
    <w:p>
      <w:pPr>
        <w:spacing w:line="376" w:lineRule="auto" w:before="0"/>
        <w:ind w:left="153" w:right="78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十五、资产负债表日后事项</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、重要的非调整事项</w:t>
      </w:r>
      <w:r>
        <w:rPr>
          <w:rFonts w:ascii="Microsoft JhengHei" w:hAnsi="Microsoft JhengHei" w:cs="Microsoft JhengHei" w:eastAsia="Microsoft JhengHei" w:hint="default"/>
          <w:sz w:val="21"/>
          <w:szCs w:val="21"/>
        </w:rPr>
      </w:r>
    </w:p>
    <w:p>
      <w:pPr>
        <w:pStyle w:val="BodyText"/>
        <w:spacing w:line="240" w:lineRule="auto" w:before="17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2"/>
        <w:rPr>
          <w:rFonts w:ascii="宋体" w:hAnsi="宋体" w:cs="宋体" w:eastAsia="宋体" w:hint="default"/>
          <w:sz w:val="28"/>
          <w:szCs w:val="28"/>
        </w:rPr>
      </w:pPr>
    </w:p>
    <w:p>
      <w:pPr>
        <w:spacing w:line="4167" w:lineRule="exact"/>
        <w:ind w:left="148" w:right="0" w:firstLine="0"/>
        <w:rPr>
          <w:rFonts w:ascii="宋体" w:hAnsi="宋体" w:cs="宋体" w:eastAsia="宋体" w:hint="default"/>
          <w:sz w:val="20"/>
          <w:szCs w:val="20"/>
        </w:rPr>
      </w:pPr>
      <w:r>
        <w:rPr>
          <w:rFonts w:ascii="宋体" w:hAnsi="宋体" w:cs="宋体" w:eastAsia="宋体" w:hint="default"/>
          <w:position w:val="-82"/>
          <w:sz w:val="20"/>
          <w:szCs w:val="20"/>
        </w:rPr>
        <w:pict>
          <v:group style="width:479.05pt;height:208.4pt;mso-position-horizontal-relative:char;mso-position-vertical-relative:line" coordorigin="0,0" coordsize="9581,4168">
            <v:group style="position:absolute;left:12;top:14;width:2482;height:1873" coordorigin="12,14" coordsize="2482,1873">
              <v:shape style="position:absolute;left:12;top:14;width:2482;height:1873" coordorigin="12,14" coordsize="2482,1873" path="m12,1887l2494,1887,2494,14,12,14,12,1887xe" filled="true" fillcolor="#d2d2d2" stroked="false">
                <v:path arrowok="t"/>
                <v:fill type="solid"/>
              </v:shape>
            </v:group>
            <v:group style="position:absolute;left:23;top:1887;width:2;height:392" coordorigin="23,1887" coordsize="2,392">
              <v:shape style="position:absolute;left:23;top:1887;width:2;height:392" coordorigin="23,1887" coordsize="0,392" path="m23,1887l23,2278e" filled="false" stroked="true" strokeweight="1.08pt" strokecolor="#d2d2d2">
                <v:path arrowok="t"/>
              </v:shape>
            </v:group>
            <v:group style="position:absolute;left:2483;top:1887;width:2;height:392" coordorigin="2483,1887" coordsize="2,392">
              <v:shape style="position:absolute;left:2483;top:1887;width:2;height:392" coordorigin="2483,1887" coordsize="0,392" path="m2483,1887l2483,2278e" filled="false" stroked="true" strokeweight="1.08pt" strokecolor="#d2d2d2">
                <v:path arrowok="t"/>
              </v:shape>
            </v:group>
            <v:group style="position:absolute;left:12;top:2278;width:2482;height:1873" coordorigin="12,2278" coordsize="2482,1873">
              <v:shape style="position:absolute;left:12;top:2278;width:2482;height:1873" coordorigin="12,2278" coordsize="2482,1873" path="m12,4151l2494,4151,2494,2278,12,2278,12,4151xe" filled="true" fillcolor="#d2d2d2" stroked="false">
                <v:path arrowok="t"/>
                <v:fill type="solid"/>
              </v:shape>
            </v:group>
            <v:group style="position:absolute;left:34;top:1887;width:2439;height:392" coordorigin="34,1887" coordsize="2439,392">
              <v:shape style="position:absolute;left:34;top:1887;width:2439;height:392" coordorigin="34,1887" coordsize="2439,392" path="m34,2278l2472,2278,2472,1887,34,1887,34,2278xe" filled="true" fillcolor="#d2d2d2" stroked="false">
                <v:path arrowok="t"/>
                <v:fill type="solid"/>
              </v:shape>
            </v:group>
            <v:group style="position:absolute;left:10;top:10;width:2485;height:2" coordorigin="10,10" coordsize="2485,2">
              <v:shape style="position:absolute;left:10;top:10;width:2485;height:2" coordorigin="10,10" coordsize="2485,0" path="m10,10l2494,10e" filled="false" stroked="true" strokeweight=".48pt" strokecolor="#000000">
                <v:path arrowok="t"/>
              </v:shape>
            </v:group>
            <v:group style="position:absolute;left:2504;top:10;width:2286;height:2" coordorigin="2504,10" coordsize="2286,2">
              <v:shape style="position:absolute;left:2504;top:10;width:2286;height:2" coordorigin="2504,10" coordsize="2286,0" path="m2504,10l4789,10e" filled="false" stroked="true" strokeweight=".48pt" strokecolor="#000000">
                <v:path arrowok="t"/>
              </v:shape>
            </v:group>
            <v:group style="position:absolute;left:4799;top:10;width:2382;height:2" coordorigin="4799,10" coordsize="2382,2">
              <v:shape style="position:absolute;left:4799;top:10;width:2382;height:2" coordorigin="4799,10" coordsize="2382,0" path="m4799,10l7180,10e" filled="false" stroked="true" strokeweight=".48pt" strokecolor="#000000">
                <v:path arrowok="t"/>
              </v:shape>
            </v:group>
            <v:group style="position:absolute;left:7190;top:10;width:2382;height:2" coordorigin="7190,10" coordsize="2382,2">
              <v:shape style="position:absolute;left:7190;top:10;width:2382;height:2" coordorigin="7190,10" coordsize="2382,0" path="m7190,10l9571,10e" filled="false" stroked="true" strokeweight=".48pt" strokecolor="#000000">
                <v:path arrowok="t"/>
              </v:shape>
            </v:group>
            <v:group style="position:absolute;left:5;top:5;width:2;height:4158" coordorigin="5,5" coordsize="2,4158">
              <v:shape style="position:absolute;left:5;top:5;width:2;height:4158" coordorigin="5,5" coordsize="0,4158" path="m5,5l5,4163e" filled="false" stroked="true" strokeweight=".48pt" strokecolor="#000000">
                <v:path arrowok="t"/>
              </v:shape>
            </v:group>
            <v:group style="position:absolute;left:10;top:4158;width:2485;height:2" coordorigin="10,4158" coordsize="2485,2">
              <v:shape style="position:absolute;left:10;top:4158;width:2485;height:2" coordorigin="10,4158" coordsize="2485,0" path="m10,4158l2494,4158e" filled="false" stroked="true" strokeweight=".48001pt" strokecolor="#000000">
                <v:path arrowok="t"/>
              </v:shape>
            </v:group>
            <v:group style="position:absolute;left:2499;top:5;width:2;height:4158" coordorigin="2499,5" coordsize="2,4158">
              <v:shape style="position:absolute;left:2499;top:5;width:2;height:4158" coordorigin="2499,5" coordsize="0,4158" path="m2499,5l2499,4163e" filled="false" stroked="true" strokeweight=".48pt" strokecolor="#000000">
                <v:path arrowok="t"/>
              </v:shape>
            </v:group>
            <v:group style="position:absolute;left:4801;top:2278;width:2379;height:1873" coordorigin="4801,2278" coordsize="2379,1873">
              <v:shape style="position:absolute;left:4801;top:2278;width:2379;height:1873" coordorigin="4801,2278" coordsize="2379,1873" path="m4801,4151l7180,4151,7180,2278,4801,2278,4801,4151xe" filled="true" fillcolor="#ffffff" stroked="false">
                <v:path arrowok="t"/>
                <v:fill type="solid"/>
              </v:shape>
            </v:group>
            <v:group style="position:absolute;left:2504;top:4158;width:2286;height:2" coordorigin="2504,4158" coordsize="2286,2">
              <v:shape style="position:absolute;left:2504;top:4158;width:2286;height:2" coordorigin="2504,4158" coordsize="2286,0" path="m2504,4158l4789,4158e" filled="false" stroked="true" strokeweight=".48001pt" strokecolor="#000000">
                <v:path arrowok="t"/>
              </v:shape>
            </v:group>
            <v:group style="position:absolute;left:4794;top:5;width:2;height:4158" coordorigin="4794,5" coordsize="2,4158">
              <v:shape style="position:absolute;left:4794;top:5;width:2;height:4158" coordorigin="4794,5" coordsize="0,4158" path="m4794,5l4794,4163e" filled="false" stroked="true" strokeweight=".47998pt" strokecolor="#000000">
                <v:path arrowok="t"/>
              </v:shape>
            </v:group>
            <v:group style="position:absolute;left:4799;top:4158;width:2382;height:2" coordorigin="4799,4158" coordsize="2382,2">
              <v:shape style="position:absolute;left:4799;top:4158;width:2382;height:2" coordorigin="4799,4158" coordsize="2382,0" path="m4799,4158l7180,4158e" filled="false" stroked="true" strokeweight=".48001pt" strokecolor="#000000">
                <v:path arrowok="t"/>
              </v:shape>
            </v:group>
            <v:group style="position:absolute;left:7185;top:5;width:2;height:4158" coordorigin="7185,5" coordsize="2,4158">
              <v:shape style="position:absolute;left:7185;top:5;width:2;height:4158" coordorigin="7185,5" coordsize="0,4158" path="m7185,5l7185,4163e" filled="false" stroked="true" strokeweight=".47998pt" strokecolor="#000000">
                <v:path arrowok="t"/>
              </v:shape>
            </v:group>
            <v:group style="position:absolute;left:7190;top:4158;width:2382;height:2" coordorigin="7190,4158" coordsize="2382,2">
              <v:shape style="position:absolute;left:7190;top:4158;width:2382;height:2" coordorigin="7190,4158" coordsize="2382,0" path="m7190,4158l9571,4158e" filled="false" stroked="true" strokeweight=".48001pt" strokecolor="#000000">
                <v:path arrowok="t"/>
              </v:shape>
            </v:group>
            <v:group style="position:absolute;left:9576;top:5;width:2;height:4158" coordorigin="9576,5" coordsize="2,4158">
              <v:shape style="position:absolute;left:9576;top:5;width:2;height:4158" coordorigin="9576,5" coordsize="0,4158" path="m9576,5l9576,4163e" filled="false" stroked="true" strokeweight=".47998pt" strokecolor="#000000">
                <v:path arrowok="t"/>
              </v:shape>
              <v:shape style="position:absolute;left:34;top:199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自然灾害</w:t>
                      </w:r>
                    </w:p>
                  </w:txbxContent>
                </v:textbox>
                <w10:wrap type="none"/>
              </v:shape>
              <v:shape style="position:absolute;left:2528;top:119;width:2160;height:3925"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自新型冠状病毒肺炎疫情发</w:t>
                      </w:r>
                    </w:p>
                    <w:p>
                      <w:pPr>
                        <w:spacing w:line="316" w:lineRule="auto"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生以来，全国各省、市相继 启动了重大突发公共卫生事 件一级响应，各地采取多种 手段防控疫情，本公司所在 的行业发展态势较好，移动 支付以及其它新型支付方式 正在国内外迅速普及，行业 商业机会较好，可以利用目 前较为宽松积极的扶持政策 发展新型业务、 本次疫情对公司经营活动正</w:t>
                      </w:r>
                    </w:p>
                    <w:p>
                      <w:pPr>
                        <w:spacing w:before="19"/>
                        <w:ind w:left="0" w:right="0" w:firstLine="0"/>
                        <w:jc w:val="left"/>
                        <w:rPr>
                          <w:rFonts w:ascii="宋体" w:hAnsi="宋体" w:cs="宋体" w:eastAsia="宋体" w:hint="default"/>
                          <w:sz w:val="18"/>
                          <w:szCs w:val="18"/>
                        </w:rPr>
                      </w:pPr>
                      <w:r>
                        <w:rPr>
                          <w:rFonts w:ascii="宋体" w:hAnsi="宋体" w:cs="宋体" w:eastAsia="宋体" w:hint="default"/>
                          <w:sz w:val="18"/>
                          <w:szCs w:val="18"/>
                        </w:rPr>
                        <w:t>常开展影响较小。</w:t>
                      </w:r>
                    </w:p>
                  </w:txbxContent>
                </v:textbox>
                <w10:wrap type="none"/>
              </v:shape>
            </v:group>
          </v:group>
        </w:pict>
      </w:r>
      <w:r>
        <w:rPr>
          <w:rFonts w:ascii="宋体" w:hAnsi="宋体" w:cs="宋体" w:eastAsia="宋体" w:hint="default"/>
          <w:position w:val="-82"/>
          <w:sz w:val="20"/>
          <w:szCs w:val="20"/>
        </w:rPr>
      </w:r>
    </w:p>
    <w:p>
      <w:pPr>
        <w:spacing w:line="240" w:lineRule="auto" w:before="11"/>
        <w:rPr>
          <w:rFonts w:ascii="宋体" w:hAnsi="宋体" w:cs="宋体" w:eastAsia="宋体" w:hint="default"/>
          <w:sz w:val="18"/>
          <w:szCs w:val="18"/>
        </w:rPr>
      </w:pPr>
    </w:p>
    <w:p>
      <w:pPr>
        <w:pStyle w:val="Heading5"/>
        <w:spacing w:line="335" w:lineRule="exact"/>
        <w:ind w:right="1033"/>
        <w:jc w:val="left"/>
        <w:rPr>
          <w:b w:val="0"/>
          <w:bCs w:val="0"/>
        </w:rPr>
      </w:pPr>
      <w:r>
        <w:rPr/>
        <w:pict>
          <v:shape style="position:absolute;margin-left:245.207001pt;margin-top:-106.789001pt;width:170.25pt;height:93.65pt;mso-position-horizontal-relative:page;mso-position-vertical-relative:paragraph;z-index:-12572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240" w:lineRule="auto"/>
                    <w:ind w:left="0" w:right="0"/>
                    <w:jc w:val="left"/>
                  </w:pPr>
                  <w:r>
                    <w:rPr/>
                    <w:t>进入新领域，</w:t>
                  </w:r>
                </w:p>
              </w:txbxContent>
            </v:textbox>
            <w10:wrap type="none"/>
          </v:shape>
        </w:pict>
      </w:r>
      <w:r>
        <w:rPr>
          <w:rFonts w:ascii="Times New Roman" w:hAnsi="Times New Roman" w:cs="Times New Roman" w:eastAsia="Times New Roman" w:hint="default"/>
        </w:rPr>
        <w:t>2</w:t>
      </w:r>
      <w:r>
        <w:rPr/>
        <w:t>、利润分配情况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6"/>
        <w:spacing w:line="256" w:lineRule="auto" w:before="0"/>
        <w:ind w:right="1126" w:firstLine="42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日本公司召开第四届董事会第四十四次会议，审议通过了《关于公司</w:t>
      </w:r>
      <w:r>
        <w:rPr>
          <w:rFonts w:ascii="Times New Roman" w:hAnsi="Times New Roman" w:cs="Times New Roman" w:eastAsia="Times New Roman" w:hint="default"/>
          <w:spacing w:val="-2"/>
        </w:rPr>
        <w:t>2020</w:t>
      </w:r>
      <w:r>
        <w:rPr>
          <w:spacing w:val="-2"/>
        </w:rPr>
        <w:t>年非公开发</w:t>
      </w:r>
      <w:r>
        <w:rPr>
          <w:w w:val="100"/>
        </w:rPr>
        <w:t> </w:t>
      </w:r>
      <w:r>
        <w:rPr>
          <w:spacing w:val="-2"/>
        </w:rPr>
        <w:t>行股票方案的议案》、《关于公司</w:t>
      </w:r>
      <w:r>
        <w:rPr>
          <w:rFonts w:ascii="Times New Roman" w:hAnsi="Times New Roman" w:cs="Times New Roman" w:eastAsia="Times New Roman" w:hint="default"/>
          <w:spacing w:val="-2"/>
        </w:rPr>
        <w:t>2020</w:t>
      </w:r>
      <w:r>
        <w:rPr>
          <w:spacing w:val="-2"/>
        </w:rPr>
        <w:t>年非公开发行股票预案的议案》，本次非公开发行股票募集资金总</w:t>
      </w:r>
      <w:r>
        <w:rPr>
          <w:spacing w:val="-40"/>
        </w:rPr>
        <w:t> </w:t>
      </w:r>
      <w:r>
        <w:rPr>
          <w:spacing w:val="-40"/>
        </w:rPr>
      </w:r>
      <w:r>
        <w:rPr/>
        <w:t>额预计不超过 </w:t>
      </w:r>
      <w:r>
        <w:rPr>
          <w:rFonts w:ascii="Times New Roman" w:hAnsi="Times New Roman" w:cs="Times New Roman" w:eastAsia="Times New Roman" w:hint="default"/>
        </w:rPr>
        <w:t>115,000 </w:t>
      </w:r>
      <w:r>
        <w:rPr>
          <w:spacing w:val="-3"/>
        </w:rPr>
        <w:t>万元，扣除发行费用后，将全部用于补充公司流动资金。该议案尚需提交股东大会</w:t>
      </w:r>
      <w:r>
        <w:rPr>
          <w:spacing w:val="-84"/>
        </w:rPr>
        <w:t> </w:t>
      </w:r>
      <w:r>
        <w:rPr>
          <w:spacing w:val="-84"/>
        </w:rPr>
      </w:r>
      <w:r>
        <w:rPr/>
        <w:t>审议。</w:t>
      </w:r>
    </w:p>
    <w:p>
      <w:pPr>
        <w:pStyle w:val="Heading6"/>
        <w:spacing w:line="240" w:lineRule="auto" w:before="22"/>
        <w:ind w:left="573" w:right="1033"/>
        <w:jc w:val="left"/>
      </w:pPr>
      <w:r>
        <w:rPr>
          <w:rFonts w:ascii="Times New Roman" w:hAnsi="Times New Roman" w:cs="Times New Roman" w:eastAsia="Times New Roman" w:hint="default"/>
          <w:spacing w:val="-5"/>
        </w:rPr>
        <w:t>2</w:t>
      </w:r>
      <w:r>
        <w:rPr>
          <w:spacing w:val="-5"/>
        </w:rPr>
        <w:t>、本公司控股股东、实际控制人刘祥先生，同意以不超过 </w:t>
      </w:r>
      <w:r>
        <w:rPr>
          <w:rFonts w:ascii="Times New Roman" w:hAnsi="Times New Roman" w:cs="Times New Roman" w:eastAsia="Times New Roman" w:hint="default"/>
        </w:rPr>
        <w:t>45,000.00 </w:t>
      </w:r>
      <w:r>
        <w:rPr>
          <w:rFonts w:ascii="Times New Roman" w:hAnsi="Times New Roman" w:cs="Times New Roman" w:eastAsia="Times New Roman" w:hint="default"/>
          <w:spacing w:val="2"/>
        </w:rPr>
        <w:t> </w:t>
      </w:r>
      <w:r>
        <w:rPr/>
        <w:t>万元现金认购本公司本次发行的</w:t>
      </w:r>
    </w:p>
    <w:p>
      <w:pPr>
        <w:pStyle w:val="Heading6"/>
        <w:spacing w:line="256" w:lineRule="auto" w:before="21"/>
        <w:ind w:right="1128"/>
        <w:jc w:val="left"/>
      </w:pPr>
      <w:r>
        <w:rPr>
          <w:w w:val="100"/>
        </w:rPr>
        <w:t>不超过 </w:t>
      </w:r>
      <w:r>
        <w:rPr>
          <w:rFonts w:ascii="Times New Roman" w:hAnsi="Times New Roman" w:cs="Times New Roman" w:eastAsia="Times New Roman" w:hint="default"/>
          <w:spacing w:val="-1"/>
          <w:w w:val="100"/>
        </w:rPr>
        <w:t>34,856,700</w:t>
      </w:r>
      <w:r>
        <w:rPr>
          <w:rFonts w:ascii="Times New Roman" w:hAnsi="Times New Roman" w:cs="Times New Roman" w:eastAsia="Times New Roman" w:hint="default"/>
          <w:spacing w:val="19"/>
          <w:w w:val="100"/>
        </w:rPr>
        <w:t> </w:t>
      </w:r>
      <w:r>
        <w:rPr>
          <w:spacing w:val="-4"/>
          <w:w w:val="100"/>
        </w:rPr>
        <w:t>股股份。最终认购金额及认购数量将由本公司根据实际情况确定并经中国证监会核准的</w:t>
      </w:r>
      <w:r>
        <w:rPr>
          <w:w w:val="100"/>
        </w:rPr>
        <w:t> </w:t>
      </w:r>
      <w:r>
        <w:rPr/>
        <w:t>方案为准。</w:t>
      </w:r>
    </w:p>
    <w:p>
      <w:pPr>
        <w:pStyle w:val="Heading6"/>
        <w:spacing w:line="273" w:lineRule="auto" w:before="22"/>
        <w:ind w:right="1033" w:firstLine="420"/>
        <w:jc w:val="left"/>
      </w:pPr>
      <w:r>
        <w:rPr>
          <w:rFonts w:ascii="宋体" w:hAnsi="宋体" w:cs="宋体" w:eastAsia="宋体" w:hint="default"/>
        </w:rPr>
        <w:t>3</w:t>
      </w:r>
      <w:r>
        <w:rPr/>
        <w:t>、</w:t>
      </w:r>
      <w:r>
        <w:rPr>
          <w:rFonts w:ascii="宋体" w:hAnsi="宋体" w:cs="宋体" w:eastAsia="宋体" w:hint="default"/>
        </w:rPr>
        <w:t>2020</w:t>
      </w:r>
      <w:r>
        <w:rPr/>
        <w:t>年 </w:t>
      </w:r>
      <w:r>
        <w:rPr>
          <w:rFonts w:ascii="宋体" w:hAnsi="宋体" w:cs="宋体" w:eastAsia="宋体" w:hint="default"/>
        </w:rPr>
        <w:t>4 </w:t>
      </w:r>
      <w:r>
        <w:rPr/>
        <w:t>月 </w:t>
      </w:r>
      <w:r>
        <w:rPr>
          <w:rFonts w:ascii="宋体" w:hAnsi="宋体" w:cs="宋体" w:eastAsia="宋体" w:hint="default"/>
        </w:rPr>
        <w:t>13</w:t>
      </w:r>
      <w:r>
        <w:rPr>
          <w:rFonts w:ascii="宋体" w:hAnsi="宋体" w:cs="宋体" w:eastAsia="宋体" w:hint="default"/>
          <w:spacing w:val="-25"/>
        </w:rPr>
        <w:t> </w:t>
      </w:r>
      <w:r>
        <w:rPr/>
        <w:t>日公司召开第四届董事会第四十五次会议，审议通过了《关于</w:t>
      </w:r>
      <w:r>
        <w:rPr>
          <w:rFonts w:ascii="宋体" w:hAnsi="宋体" w:cs="宋体" w:eastAsia="宋体" w:hint="default"/>
        </w:rPr>
        <w:t>2019</w:t>
      </w:r>
      <w:r>
        <w:rPr/>
        <w:t>年度利润分配</w:t>
      </w:r>
      <w:r>
        <w:rPr>
          <w:w w:val="100"/>
        </w:rPr>
        <w:t> </w:t>
      </w:r>
      <w:r>
        <w:rPr>
          <w:spacing w:val="-5"/>
        </w:rPr>
        <w:t>的议案》，根据《公司法》、《公司章程》等规定，结合公司目前的实际经营状况以及历年利润分配情况、</w:t>
      </w:r>
      <w:r>
        <w:rPr>
          <w:spacing w:val="-4"/>
        </w:rPr>
        <w:t> </w:t>
      </w:r>
      <w:r>
        <w:rPr>
          <w:spacing w:val="-4"/>
        </w:rPr>
      </w:r>
      <w:r>
        <w:rPr/>
        <w:t>未来规划的考虑，公司 </w:t>
      </w:r>
      <w:r>
        <w:rPr>
          <w:rFonts w:ascii="宋体" w:hAnsi="宋体" w:cs="宋体" w:eastAsia="宋体" w:hint="default"/>
        </w:rPr>
        <w:t>2019</w:t>
      </w:r>
      <w:r>
        <w:rPr/>
        <w:t>年年度利润分配预案拟定为：以实施利润分配方案时经中国证券登记结算有</w:t>
      </w:r>
      <w:r>
        <w:rPr>
          <w:spacing w:val="-26"/>
        </w:rPr>
        <w:t> </w:t>
      </w:r>
      <w:r>
        <w:rPr>
          <w:spacing w:val="-26"/>
        </w:rPr>
      </w:r>
      <w:r>
        <w:rPr/>
        <w:t>限责任公司深圳分公司登记的总股本为基数，扣除公司回购股份专户中的</w:t>
      </w:r>
      <w:r>
        <w:rPr>
          <w:rFonts w:ascii="宋体" w:hAnsi="宋体" w:cs="宋体" w:eastAsia="宋体" w:hint="default"/>
        </w:rPr>
        <w:t>3,526,268</w:t>
      </w:r>
      <w:r>
        <w:rPr/>
        <w:t>股，向全体股东每</w:t>
      </w:r>
      <w:r>
        <w:rPr>
          <w:rFonts w:ascii="宋体" w:hAnsi="宋体" w:cs="宋体" w:eastAsia="宋体" w:hint="default"/>
        </w:rPr>
        <w:t>10</w:t>
      </w:r>
      <w:r>
        <w:rPr>
          <w:rFonts w:ascii="宋体" w:hAnsi="宋体" w:cs="宋体" w:eastAsia="宋体" w:hint="default"/>
          <w:spacing w:val="-26"/>
        </w:rPr>
        <w:t> </w:t>
      </w:r>
      <w:r>
        <w:rPr/>
        <w:t>股派发现金股利</w:t>
      </w:r>
      <w:r>
        <w:rPr>
          <w:rFonts w:ascii="宋体" w:hAnsi="宋体" w:cs="宋体" w:eastAsia="宋体" w:hint="default"/>
        </w:rPr>
        <w:t>2.5</w:t>
      </w:r>
      <w:r>
        <w:rPr/>
        <w:t>元人民币（含税）。董事会审议利润分配方案后股本发生变动的，将按照“现金分红</w:t>
      </w:r>
      <w:r>
        <w:rPr>
          <w:spacing w:val="-29"/>
        </w:rPr>
        <w:t> </w:t>
      </w:r>
      <w:r>
        <w:rPr>
          <w:spacing w:val="-29"/>
        </w:rPr>
      </w:r>
      <w:r>
        <w:rPr/>
        <w:t>比例、送红股总额、转增股本总额固定不变”的原则对分配比例进行调整。。</w:t>
      </w:r>
    </w:p>
    <w:p>
      <w:pPr>
        <w:pStyle w:val="Heading6"/>
        <w:spacing w:line="240" w:lineRule="auto"/>
        <w:ind w:left="573" w:right="1033"/>
        <w:jc w:val="left"/>
      </w:pPr>
      <w:r>
        <w:rPr/>
        <w:t>该议案尚需提交股东大会审议。</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4"/>
        <w:spacing w:line="367" w:lineRule="exact"/>
        <w:ind w:right="1033"/>
        <w:jc w:val="left"/>
        <w:rPr>
          <w:b w:val="0"/>
          <w:bCs w:val="0"/>
        </w:rPr>
      </w:pPr>
      <w:r>
        <w:rPr/>
        <w:t>十六、其他重要事项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10"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7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103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4"/>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691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十七、母公司财务报表主要项目注释</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pStyle w:val="Heading5"/>
        <w:spacing w:line="240" w:lineRule="auto" w:before="87"/>
        <w:ind w:right="10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3"/>
        <w:gridCol w:w="761"/>
        <w:gridCol w:w="764"/>
        <w:gridCol w:w="790"/>
        <w:gridCol w:w="775"/>
        <w:gridCol w:w="797"/>
        <w:gridCol w:w="799"/>
        <w:gridCol w:w="790"/>
        <w:gridCol w:w="932"/>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3"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5"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7"/>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23,991,7</w:t>
            </w:r>
          </w:p>
          <w:p>
            <w:pPr>
              <w:pStyle w:val="TableParagraph"/>
              <w:spacing w:line="240" w:lineRule="auto" w:before="102"/>
              <w:ind w:left="329" w:right="0"/>
              <w:jc w:val="left"/>
              <w:rPr>
                <w:rFonts w:ascii="Times New Roman" w:hAnsi="Times New Roman" w:cs="Times New Roman" w:eastAsia="Times New Roman" w:hint="default"/>
                <w:sz w:val="18"/>
                <w:szCs w:val="18"/>
              </w:rPr>
            </w:pPr>
            <w:r>
              <w:rPr>
                <w:rFonts w:ascii="Times New Roman"/>
                <w:sz w:val="18"/>
              </w:rPr>
              <w:t>82.72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6,715,36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2.40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27.99%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17,276,42</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0.32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33,736,96</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5.40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5,963,149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17.68%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27,773,815.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42</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0" w:space="0" w:color="D2D2D2"/>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23,991,7</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82.72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6,715,36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2.40</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27.99%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17,276,42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0.32</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33,736,96</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5.40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5,963,149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17.68%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27,773,815.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2D2D2"/>
              <w:right w:val="single" w:sz="4" w:space="0" w:color="000000"/>
            </w:tcBorders>
          </w:tcPr>
          <w:p>
            <w:pPr/>
          </w:p>
        </w:tc>
        <w:tc>
          <w:tcPr>
            <w:tcW w:w="763"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10" w:space="0" w:color="D2D2D2"/>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033"/>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0</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033"/>
        <w:jc w:val="left"/>
      </w:pPr>
      <w:r>
        <w:rPr/>
        <w:t>按单项计提坏账准备：</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0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6,715,362.40</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：以账龄作为主要风险 特征的应收账款组合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9" w:right="0"/>
              <w:jc w:val="left"/>
              <w:rPr>
                <w:rFonts w:ascii="Times New Roman" w:hAnsi="Times New Roman" w:cs="Times New Roman" w:eastAsia="Times New Roman" w:hint="default"/>
                <w:sz w:val="18"/>
                <w:szCs w:val="18"/>
              </w:rPr>
            </w:pPr>
            <w:r>
              <w:rPr>
                <w:rFonts w:ascii="Times New Roman"/>
                <w:sz w:val="18"/>
              </w:rPr>
              <w:t>11,296,743.99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6,715,362.40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：合并范围内单位应收 账款组合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12,695,038.73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23,991,782.72</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1413" w:right="0"/>
              <w:jc w:val="left"/>
              <w:rPr>
                <w:rFonts w:ascii="Times New Roman" w:hAnsi="Times New Roman" w:cs="Times New Roman" w:eastAsia="Times New Roman" w:hint="default"/>
                <w:sz w:val="18"/>
                <w:szCs w:val="18"/>
              </w:rPr>
            </w:pPr>
            <w:r>
              <w:rPr>
                <w:rFonts w:ascii="Times New Roman"/>
                <w:sz w:val="18"/>
              </w:rPr>
              <w:t>6,715,362.40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357"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4" w:space="669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3"/>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9"/>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12,917,829.82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2,304,003.04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5,053,055.25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3,716,894.61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3,716,894.61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23,991,782.72</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t>本期计提坏账准备情况：</w:t>
      </w:r>
    </w:p>
    <w:p>
      <w:pPr>
        <w:pStyle w:val="BodyText"/>
        <w:spacing w:line="240" w:lineRule="auto" w:before="117"/>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按组合计提预期 信用损失的应收 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5,963,149.98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1,749,807.24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997,594.82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6,715,362.40</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：以账龄作</w:t>
            </w:r>
            <w:r>
              <w:rPr>
                <w:rFonts w:ascii="宋体" w:hAnsi="宋体" w:cs="宋体" w:eastAsia="宋体" w:hint="default"/>
                <w:sz w:val="18"/>
                <w:szCs w:val="18"/>
              </w:rPr>
              <w:t> 为主要风险特征 的应收账款组合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5,963,149.98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1,749,807.24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997,594.82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6,715,362.40</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：合并范围</w:t>
            </w:r>
            <w:r>
              <w:rPr>
                <w:rFonts w:ascii="宋体" w:hAnsi="宋体" w:cs="宋体" w:eastAsia="宋体" w:hint="default"/>
                <w:sz w:val="18"/>
                <w:szCs w:val="18"/>
              </w:rPr>
              <w:t> 内单位应收账款 组合</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5,963,149.98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1,749,807.24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997,594.82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6,715,362.40</w:t>
            </w:r>
          </w:p>
        </w:tc>
      </w:tr>
    </w:tbl>
    <w:p>
      <w:pPr>
        <w:pStyle w:val="BodyText"/>
        <w:spacing w:line="240" w:lineRule="auto" w:before="49"/>
        <w:ind w:right="1033"/>
        <w:jc w:val="left"/>
      </w:pPr>
      <w:r>
        <w:rPr/>
        <w:t>其中本期坏账准备收回或转回金额重要的：</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997,594.82</w:t>
            </w:r>
          </w:p>
        </w:tc>
      </w:tr>
    </w:tbl>
    <w:p>
      <w:pPr>
        <w:pStyle w:val="BodyText"/>
        <w:spacing w:line="240" w:lineRule="auto" w:before="49"/>
        <w:ind w:right="1033"/>
        <w:jc w:val="left"/>
      </w:pPr>
      <w:r>
        <w:rPr/>
        <w:t>其中重要的应收账款核销情况：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033"/>
        <w:jc w:val="left"/>
      </w:pPr>
      <w:r>
        <w:rPr/>
        <w:t>应收账款核销说明：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44.18%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2,653,330.50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2,653,330.50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1,035,038.73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402,763.00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15,751,132.23</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65.65%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263,286,584.68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4,693,931.34</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263,286,584.68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4,693,931.34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1033"/>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年的应收股利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6"/>
        <w:rPr>
          <w:rFonts w:ascii="宋体" w:hAnsi="宋体" w:cs="宋体" w:eastAsia="宋体" w:hint="default"/>
          <w:sz w:val="16"/>
          <w:szCs w:val="16"/>
        </w:rPr>
      </w:pPr>
    </w:p>
    <w:p>
      <w:pPr>
        <w:pStyle w:val="Heading5"/>
        <w:spacing w:line="240" w:lineRule="auto"/>
        <w:ind w:right="10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职员借款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262,804.60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512,359.52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1,290,439.21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2,212,752.94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代垫社保款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123,623.52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159,885.76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261,213,568.00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14,257,927.32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3,007,592.00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277,148,362.65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5,892,590.22</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63"/>
        <w:gridCol w:w="2098"/>
        <w:gridCol w:w="2101"/>
        <w:gridCol w:w="1805"/>
      </w:tblGrid>
      <w:tr>
        <w:trPr>
          <w:trHeight w:val="402"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2"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1,198,658.88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1,198,658.88</w:t>
            </w:r>
          </w:p>
        </w:tc>
      </w:tr>
      <w:tr>
        <w:trPr>
          <w:trHeight w:val="162" w:hRule="exact"/>
        </w:trPr>
        <w:tc>
          <w:tcPr>
            <w:tcW w:w="1892"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2"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2"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12,854,521.66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12,854,521.66</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191,402.57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191,402.57</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13,861,777.97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13,861,777.97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4" w:space="489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275,692,161.40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448,548.58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612,314.64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395,338.03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395,338.03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277,148,362.65</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t>本期计提坏账准备情况：</w:t>
      </w:r>
    </w:p>
    <w:p>
      <w:pPr>
        <w:pStyle w:val="BodyText"/>
        <w:spacing w:line="240" w:lineRule="auto" w:before="117"/>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78"/>
        <w:gridCol w:w="1088"/>
        <w:gridCol w:w="1332"/>
        <w:gridCol w:w="1452"/>
        <w:gridCol w:w="1198"/>
        <w:gridCol w:w="1346"/>
        <w:gridCol w:w="1575"/>
      </w:tblGrid>
      <w:tr>
        <w:trPr>
          <w:trHeight w:val="402" w:hRule="exact"/>
        </w:trPr>
        <w:tc>
          <w:tcPr>
            <w:tcW w:w="1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78"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1,198,658.88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6" w:right="0"/>
              <w:jc w:val="left"/>
              <w:rPr>
                <w:rFonts w:ascii="Times New Roman" w:hAnsi="Times New Roman" w:cs="Times New Roman" w:eastAsia="Times New Roman" w:hint="default"/>
                <w:sz w:val="18"/>
                <w:szCs w:val="18"/>
              </w:rPr>
            </w:pPr>
            <w:r>
              <w:rPr>
                <w:rFonts w:ascii="Times New Roman"/>
                <w:sz w:val="18"/>
              </w:rPr>
              <w:t>12,854,521.66</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191,402.57</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8" w:right="0"/>
              <w:jc w:val="left"/>
              <w:rPr>
                <w:rFonts w:ascii="Times New Roman" w:hAnsi="Times New Roman" w:cs="Times New Roman" w:eastAsia="Times New Roman" w:hint="default"/>
                <w:sz w:val="18"/>
                <w:szCs w:val="18"/>
              </w:rPr>
            </w:pPr>
            <w:r>
              <w:rPr>
                <w:rFonts w:ascii="Times New Roman"/>
                <w:sz w:val="18"/>
              </w:rPr>
              <w:t>13,861,777.97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78"/>
        <w:gridCol w:w="1088"/>
        <w:gridCol w:w="1332"/>
        <w:gridCol w:w="1452"/>
        <w:gridCol w:w="1198"/>
        <w:gridCol w:w="1346"/>
        <w:gridCol w:w="1575"/>
      </w:tblGrid>
      <w:tr>
        <w:trPr>
          <w:trHeight w:val="404" w:hRule="exact"/>
        </w:trPr>
        <w:tc>
          <w:tcPr>
            <w:tcW w:w="1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1,198,658.88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12,854,521.66</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191,402.57</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8" w:right="0"/>
              <w:jc w:val="left"/>
              <w:rPr>
                <w:rFonts w:ascii="Times New Roman" w:hAnsi="Times New Roman" w:cs="Times New Roman" w:eastAsia="Times New Roman" w:hint="default"/>
                <w:sz w:val="18"/>
                <w:szCs w:val="18"/>
              </w:rPr>
            </w:pPr>
            <w:r>
              <w:rPr>
                <w:rFonts w:ascii="Times New Roman"/>
                <w:sz w:val="18"/>
              </w:rPr>
              <w:t>13,861,777.97</w:t>
            </w:r>
          </w:p>
        </w:tc>
      </w:tr>
    </w:tbl>
    <w:p>
      <w:pPr>
        <w:pStyle w:val="BodyText"/>
        <w:spacing w:line="240" w:lineRule="auto" w:before="49"/>
        <w:ind w:right="1033"/>
        <w:jc w:val="left"/>
      </w:pPr>
      <w:r>
        <w:rPr/>
        <w:t>其中本期坏账准备转回或收回金额重要的：</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191,402.57</w:t>
            </w:r>
          </w:p>
        </w:tc>
      </w:tr>
    </w:tbl>
    <w:p>
      <w:pPr>
        <w:pStyle w:val="BodyText"/>
        <w:spacing w:line="240" w:lineRule="auto" w:before="49"/>
        <w:ind w:right="1033"/>
        <w:jc w:val="left"/>
      </w:pPr>
      <w:r>
        <w:rPr/>
        <w:t>其中重要的其他应收款核销情况：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033"/>
        <w:jc w:val="left"/>
      </w:pPr>
      <w:r>
        <w:rPr/>
        <w:t>其他应收款核销说明：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8"/>
        <w:gridCol w:w="1868"/>
        <w:gridCol w:w="1944"/>
      </w:tblGrid>
      <w:tr>
        <w:trPr>
          <w:trHeight w:val="716"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10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0"/>
        <w:gridCol w:w="1357"/>
        <w:gridCol w:w="1368"/>
        <w:gridCol w:w="1367"/>
        <w:gridCol w:w="1367"/>
        <w:gridCol w:w="1366"/>
        <w:gridCol w:w="1358"/>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092" w:type="dxa"/>
            <w:gridSpan w:val="3"/>
            <w:vMerge/>
            <w:tcBorders>
              <w:left w:val="single" w:sz="4" w:space="0" w:color="000000"/>
              <w:bottom w:val="single" w:sz="4" w:space="0" w:color="000000"/>
              <w:right w:val="single" w:sz="4" w:space="0" w:color="000000"/>
            </w:tcBorders>
            <w:shd w:val="clear" w:color="auto" w:fill="D2D2D2"/>
          </w:tcPr>
          <w:p>
            <w:pPr/>
          </w:p>
        </w:tc>
        <w:tc>
          <w:tcPr>
            <w:tcW w:w="4091"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5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2,229,250,061.75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139,976,785.50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2,089,273,276.25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2,545,920,513.11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24,989,932.23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2,520,930,580.88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2,229,250,061.75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139,976,785.50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2,089,273,276.25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2,545,920,513.11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24,989,932.23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2,520,930,580.88</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7"/>
        <w:gridCol w:w="1167"/>
        <w:gridCol w:w="1166"/>
        <w:gridCol w:w="1164"/>
        <w:gridCol w:w="1166"/>
        <w:gridCol w:w="1215"/>
        <w:gridCol w:w="1212"/>
        <w:gridCol w:w="1215"/>
      </w:tblGrid>
      <w:tr>
        <w:trPr>
          <w:trHeight w:val="402" w:hRule="exact"/>
        </w:trPr>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278" w:right="98"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22" w:right="60"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2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计提减值准备</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苏州新国都电 子技术有限公 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393,285,472.9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7,739.34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393,293,212.2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深圳市新国都 软件有限公司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23,858.92</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23,858.92</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Nexgo,Inc</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42,937,933.02</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42,937,933.02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24,989,932.23</w:t>
            </w: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浙江中正智能 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252,098,416.8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22,129.25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28,808,909.67</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223,311,636.40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28,808,909.67</w:t>
            </w: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深圳市信联征 信有限公司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895,654.89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5,781.57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901,436.46</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深圳市新国都 支付技术有限 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530,440,717.5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80,581,757.56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611,022,475.08</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长沙公信诚丰 信息技术服务 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500,100,425.3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22,580.87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86,177,943.60</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413,945,062.63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86,177,943.60</w:t>
            </w: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嘉联支付有限 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716,995,613.7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5,377,056.44</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722,372,670.20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深圳市新国都 金服技术有限 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25,970,987.65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5,111.46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25,976,099.11</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04"/>
              <w:jc w:val="left"/>
              <w:rPr>
                <w:rFonts w:ascii="Times New Roman" w:hAnsi="Times New Roman" w:cs="Times New Roman" w:eastAsia="Times New Roman" w:hint="default"/>
                <w:sz w:val="18"/>
                <w:szCs w:val="18"/>
              </w:rPr>
            </w:pPr>
            <w:r>
              <w:rPr>
                <w:rFonts w:ascii="Times New Roman"/>
                <w:sz w:val="18"/>
              </w:rPr>
              <w:t>NexgoGlobalLi mited</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4,181,500.00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6,478,140.00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10,659,640.00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深圳市新国都 商服有限公司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深圳市都之家 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深圳市鼎嘉信 息科技有限公 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2,520,930,580.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103,500,296.4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420,170,747.8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114,986,853.2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2,089,273,276.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139,976,785.50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800"/>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5"/>
        <w:spacing w:line="335" w:lineRule="exact"/>
        <w:ind w:right="10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25,939,786.62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3,133,040.58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66,858,068.29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36,488,205.47</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1,162,620.86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305,344.43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2,992,266.52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2,021,168.81</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27,102,407.48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3,438,385.01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69,850,334.81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38,509,374.28</w:t>
            </w:r>
          </w:p>
        </w:tc>
      </w:tr>
    </w:tbl>
    <w:p>
      <w:pPr>
        <w:pStyle w:val="BodyText"/>
        <w:spacing w:line="240" w:lineRule="auto" w:before="49"/>
        <w:ind w:right="1033"/>
        <w:jc w:val="left"/>
      </w:pPr>
      <w:r>
        <w:rPr/>
        <w:t>是否已执行新收入准则</w:t>
      </w:r>
    </w:p>
    <w:p>
      <w:pPr>
        <w:pStyle w:val="BodyText"/>
        <w:spacing w:line="340" w:lineRule="auto" w:before="115"/>
        <w:ind w:right="94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2"/>
        <w:rPr>
          <w:rFonts w:ascii="宋体" w:hAnsi="宋体" w:cs="宋体" w:eastAsia="宋体" w:hint="default"/>
          <w:sz w:val="16"/>
          <w:szCs w:val="16"/>
        </w:rPr>
      </w:pPr>
    </w:p>
    <w:p>
      <w:pPr>
        <w:pStyle w:val="Heading5"/>
        <w:spacing w:line="240" w:lineRule="auto"/>
        <w:ind w:right="10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332,369,600.00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139,623,915.07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-24,960,551.99</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3,201,371.40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15,863,057.27</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15,969,033.82</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475,194,886.47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136,871,539.10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10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4"/>
        <w:spacing w:line="240" w:lineRule="auto"/>
        <w:ind w:right="1033"/>
        <w:jc w:val="left"/>
        <w:rPr>
          <w:b w:val="0"/>
          <w:bCs w:val="0"/>
        </w:rPr>
      </w:pPr>
      <w:r>
        <w:rPr/>
        <w:t>十八、补充资料</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134,042,898.84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58,789,944.51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5,739,265.81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-1,371,645.35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5,509,569.49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21,300.21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4"/>
              <w:ind w:right="15"/>
              <w:jc w:val="right"/>
              <w:rPr>
                <w:rFonts w:ascii="Times New Roman" w:hAnsi="Times New Roman" w:cs="Times New Roman" w:eastAsia="Times New Roman" w:hint="default"/>
                <w:sz w:val="18"/>
                <w:szCs w:val="18"/>
              </w:rPr>
            </w:pPr>
            <w:r>
              <w:rPr>
                <w:rFonts w:ascii="Times New Roman"/>
                <w:spacing w:val="-1"/>
                <w:sz w:val="18"/>
              </w:rPr>
              <w:t>191,669,594.11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033"/>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7"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0.51</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0.11</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10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314" w:lineRule="exact" w:before="30"/>
        <w:ind w:right="10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6"/>
        </w:rPr>
        <w:t> </w:t>
      </w:r>
      <w:r>
        <w:rPr>
          <w:spacing w:val="26"/>
        </w:rPr>
      </w:r>
      <w:r>
        <w:rPr/>
        <w:t>明该境外机构的名称</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5"/>
        <w:spacing w:line="240" w:lineRule="auto"/>
        <w:ind w:right="103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pStyle w:val="Heading1"/>
        <w:spacing w:line="240" w:lineRule="auto" w:before="77"/>
        <w:ind w:left="3285" w:right="1033"/>
        <w:jc w:val="left"/>
        <w:rPr>
          <w:b w:val="0"/>
          <w:bCs w:val="0"/>
        </w:rPr>
      </w:pPr>
      <w:bookmarkStart w:name="_bookmark12" w:id="13"/>
      <w:bookmarkEnd w:id="13"/>
      <w:r>
        <w:rPr>
          <w:b w:val="0"/>
          <w:bCs w:val="0"/>
        </w:rPr>
      </w:r>
      <w:r>
        <w:rPr/>
        <w:t>第十三节 </w:t>
      </w:r>
      <w:r>
        <w:rPr>
          <w:spacing w:val="8"/>
        </w:rPr>
        <w:t> </w:t>
      </w:r>
      <w:r>
        <w:rPr/>
        <w:t>备查文件目录</w:t>
      </w:r>
      <w:r>
        <w:rPr>
          <w:b w:val="0"/>
          <w:bCs w:val="0"/>
        </w:rPr>
      </w:r>
    </w:p>
    <w:p>
      <w:pPr>
        <w:spacing w:line="240" w:lineRule="auto" w:before="15"/>
        <w:rPr>
          <w:rFonts w:ascii="Microsoft JhengHei" w:hAnsi="Microsoft JhengHei" w:cs="Microsoft JhengHei" w:eastAsia="Microsoft JhengHei" w:hint="default"/>
          <w:b/>
          <w:bCs/>
          <w:sz w:val="29"/>
          <w:szCs w:val="29"/>
        </w:rPr>
      </w:pPr>
    </w:p>
    <w:p>
      <w:pPr>
        <w:pStyle w:val="BodyText"/>
        <w:spacing w:line="316" w:lineRule="auto"/>
        <w:ind w:right="1213"/>
        <w:jc w:val="left"/>
      </w:pPr>
      <w:r>
        <w:rPr/>
        <w:t>一、载有公司法定代表人、主管会计工作的公司负责人、公司会计机构负责人（会计主管人员）签名并盖章的财务报表。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2019</w:t>
      </w:r>
      <w:r>
        <w:rPr/>
        <w:t>年度报告文本原件</w:t>
      </w:r>
      <w:r>
        <w:rPr>
          <w:spacing w:val="-14"/>
        </w:rPr>
        <w:t> </w:t>
      </w:r>
      <w:r>
        <w:rPr/>
        <w:t>。</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536" type="#_x0000_t75" stroked="false">
          <v:imagedata r:id="rId1" o:title=""/>
        </v:shape>
      </w:pict>
    </w:r>
    <w:r>
      <w:rPr/>
      <w:pict>
        <v:shape style="position:absolute;margin-left:533.119995pt;margin-top:795.637939pt;width:6.5pt;height:11pt;mso-position-horizontal-relative:page;mso-position-vertical-relative:page;z-index:-12595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533.23999pt;margin-top:781.957947pt;width:6.6pt;height:11pt;mso-position-horizontal-relative:page;mso-position-vertical-relative:page;z-index:-12592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spacing w:val="1"/>
                  </w:rPr>
                  <w:t>7</w:t>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528.679993pt;margin-top:781.957947pt;width:11.15pt;height:11pt;mso-position-horizontal-relative:page;mso-position-vertical-relative:page;z-index:-12592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68</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176" type="#_x0000_t75" stroked="false">
          <v:imagedata r:id="rId1" o:title=""/>
        </v:shape>
      </w:pict>
    </w:r>
    <w:r>
      <w:rPr/>
      <w:pict>
        <v:shape style="position:absolute;margin-left:527.679993pt;margin-top:781.957947pt;width:13.15pt;height:11pt;mso-position-horizontal-relative:page;mso-position-vertical-relative:page;z-index:-1259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69</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128" type="#_x0000_t75" stroked="false">
          <v:imagedata r:id="rId1" o:title=""/>
        </v:shape>
      </w:pict>
    </w:r>
    <w:r>
      <w:rPr/>
      <w:pict>
        <v:shape style="position:absolute;margin-left:524.119995pt;margin-top:781.957947pt;width:15.7pt;height:11pt;mso-position-horizontal-relative:page;mso-position-vertical-relative:page;z-index:-12591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080" type="#_x0000_t75" stroked="false">
          <v:imagedata r:id="rId1" o:title=""/>
        </v:shape>
      </w:pict>
    </w:r>
    <w:r>
      <w:rPr/>
      <w:pict>
        <v:shape style="position:absolute;margin-left:523.119995pt;margin-top:781.957947pt;width:17.7pt;height:11pt;mso-position-horizontal-relative:page;mso-position-vertical-relative:page;z-index:-1259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032" type="#_x0000_t75" stroked="false">
          <v:imagedata r:id="rId1" o:title=""/>
        </v:shape>
      </w:pict>
    </w:r>
    <w:r>
      <w:rPr/>
      <w:pict>
        <v:shape style="position:absolute;margin-left:523.479980pt;margin-top:781.957947pt;width:17.3pt;height:11pt;mso-position-horizontal-relative:page;mso-position-vertical-relative:page;z-index:-1259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8984" type="#_x0000_t75" stroked="false">
          <v:imagedata r:id="rId1" o:title=""/>
        </v:shape>
      </w:pict>
    </w:r>
    <w:r>
      <w:rPr/>
      <w:pict>
        <v:shape style="position:absolute;margin-left:523.119995pt;margin-top:781.957947pt;width:17.7pt;height:11pt;mso-position-horizontal-relative:page;mso-position-vertical-relative:page;z-index:-1258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8936" type="#_x0000_t75" stroked="false">
          <v:imagedata r:id="rId1" o:title=""/>
        </v:shape>
      </w:pict>
    </w:r>
    <w:r>
      <w:rPr/>
      <w:pict>
        <v:shape style="position:absolute;margin-left:497.119995pt;margin-top:758.425598pt;width:42.6pt;height:11pt;mso-position-horizontal-relative:page;mso-position-vertical-relative:page;z-index:-1258912" type="#_x0000_t202" filled="false" stroked="false">
          <v:textbox inset="0,0,0,0">
            <w:txbxContent>
              <w:p>
                <w:pPr>
                  <w:pStyle w:val="BodyText"/>
                  <w:spacing w:line="200" w:lineRule="exact"/>
                  <w:ind w:left="20" w:right="0"/>
                  <w:jc w:val="left"/>
                </w:pPr>
                <w:r>
                  <w:rPr/>
                  <w:t>单位：</w:t>
                </w:r>
                <w:r>
                  <w:rPr>
                    <w:spacing w:val="1"/>
                  </w:rPr>
                  <w:t> </w:t>
                </w:r>
                <w:r>
                  <w:rPr/>
                  <w:t>元</w:t>
                </w:r>
              </w:p>
            </w:txbxContent>
          </v:textbox>
          <w10:wrap type="none"/>
        </v:shape>
      </w:pict>
    </w:r>
    <w:r>
      <w:rPr/>
      <w:pict>
        <v:shape style="position:absolute;margin-left:523.119995pt;margin-top:781.957947pt;width:17.7pt;height:11pt;mso-position-horizontal-relative:page;mso-position-vertical-relative:page;z-index:-1258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189</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8864" type="#_x0000_t75" stroked="false">
          <v:imagedata r:id="rId1" o:title=""/>
        </v:shape>
      </w:pict>
    </w:r>
    <w:r>
      <w:rPr/>
      <w:pict>
        <v:shape style="position:absolute;margin-left:523.119995pt;margin-top:781.957947pt;width:17.7pt;height:11pt;mso-position-horizontal-relative:page;mso-position-vertical-relative:page;z-index:-1258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191</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8816" type="#_x0000_t75" stroked="false">
          <v:imagedata r:id="rId1" o:title=""/>
        </v:shape>
      </w:pict>
    </w:r>
    <w:r>
      <w:rPr/>
      <w:pict>
        <v:shape style="position:absolute;margin-left:524.119995pt;margin-top:781.957947pt;width:15.7pt;height:11pt;mso-position-horizontal-relative:page;mso-position-vertical-relative:page;z-index:-12587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488" type="#_x0000_t75" stroked="false">
          <v:imagedata r:id="rId1" o:title=""/>
        </v:shape>
      </w:pict>
    </w:r>
    <w:r>
      <w:rPr/>
      <w:pict>
        <v:shape style="position:absolute;margin-left:527.679993pt;margin-top:781.957947pt;width:13.15pt;height:11pt;mso-position-horizontal-relative:page;mso-position-vertical-relative:page;z-index:-1259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8768" type="#_x0000_t75" stroked="false">
          <v:imagedata r:id="rId1" o:title=""/>
        </v:shape>
      </w:pict>
    </w:r>
    <w:r>
      <w:rPr/>
      <w:pict>
        <v:shape style="position:absolute;margin-left:523.119995pt;margin-top:781.957947pt;width:17.7pt;height:11pt;mso-position-horizontal-relative:page;mso-position-vertical-relative:page;z-index:-1258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528.679993pt;margin-top:781.957947pt;width:11.15pt;height:11pt;mso-position-horizontal-relative:page;mso-position-vertical-relative:page;z-index:-12594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41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533.23999pt;margin-top:781.957947pt;width:6.6pt;height:11pt;mso-position-horizontal-relative:page;mso-position-vertical-relative:page;z-index:-12594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spacing w:val="1"/>
                  </w:rPr>
                  <w:t>2</w:t>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528.679993pt;margin-top:781.957947pt;width:11.15pt;height:11pt;mso-position-horizontal-relative:page;mso-position-vertical-relative:page;z-index:-12593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43</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368" type="#_x0000_t75" stroked="false">
          <v:imagedata r:id="rId1" o:title=""/>
        </v:shape>
      </w:pict>
    </w:r>
    <w:r>
      <w:rPr/>
      <w:pict>
        <v:shape style="position:absolute;margin-left:528.679993pt;margin-top:781.957947pt;width:11.15pt;height:11pt;mso-position-horizontal-relative:page;mso-position-vertical-relative:page;z-index:-12593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44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533.23999pt;margin-top:781.957947pt;width:6.6pt;height:11pt;mso-position-horizontal-relative:page;mso-position-vertical-relative:page;z-index:-12593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spacing w:val="1"/>
                  </w:rPr>
                  <w:t>5</w:t>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528.679993pt;margin-top:781.957947pt;width:11.15pt;height:11pt;mso-position-horizontal-relative:page;mso-position-vertical-relative:page;z-index:-12592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46</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59272" type="#_x0000_t75" stroked="false">
          <v:imagedata r:id="rId1" o:title=""/>
        </v:shape>
      </w:pict>
    </w:r>
    <w:r>
      <w:rPr/>
      <w:pict>
        <v:shape style="position:absolute;margin-left:527.679993pt;margin-top:781.957947pt;width:13.15pt;height:11pt;mso-position-horizontal-relative:page;mso-position-vertical-relative:page;z-index:-1259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47</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1259560" type="#_x0000_t202" filled="false" stroked="false">
          <v:textbox inset="0,0,0,0">
            <w:txbxContent>
              <w:p>
                <w:pPr>
                  <w:pStyle w:val="BodyText"/>
                  <w:spacing w:line="214" w:lineRule="exact"/>
                  <w:ind w:left="20" w:right="0"/>
                  <w:jc w:val="left"/>
                </w:pPr>
                <w:r>
                  <w:rPr/>
                  <w:t>深圳市新国都股份有限公司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43"/>
      <w:ind w:left="153"/>
    </w:pPr>
    <w:rPr>
      <w:rFonts w:ascii="Microsoft JhengHei" w:hAnsi="Microsoft JhengHei" w:eastAsia="Microsoft JhengHei"/>
      <w:b/>
      <w:bCs/>
      <w:sz w:val="21"/>
      <w:szCs w:val="21"/>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2793"/>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3"/>
      <w:outlineLvl w:val="2"/>
    </w:pPr>
    <w:rPr>
      <w:rFonts w:ascii="Microsoft JhengHei" w:hAnsi="Microsoft JhengHei" w:eastAsia="Microsoft JhengHei"/>
      <w:b/>
      <w:bCs/>
      <w:sz w:val="28"/>
      <w:szCs w:val="28"/>
    </w:rPr>
  </w:style>
  <w:style w:styleId="Heading3" w:type="paragraph">
    <w:name w:val="Heading 3"/>
    <w:basedOn w:val="Normal"/>
    <w:uiPriority w:val="1"/>
    <w:qFormat/>
    <w:pPr>
      <w:spacing w:before="61"/>
      <w:ind w:left="153" w:firstLine="559"/>
      <w:outlineLvl w:val="3"/>
    </w:pPr>
    <w:rPr>
      <w:rFonts w:ascii="宋体" w:hAnsi="宋体" w:eastAsia="宋体"/>
      <w:sz w:val="28"/>
      <w:szCs w:val="28"/>
    </w:rPr>
  </w:style>
  <w:style w:styleId="Heading4" w:type="paragraph">
    <w:name w:val="Heading 4"/>
    <w:basedOn w:val="Normal"/>
    <w:uiPriority w:val="1"/>
    <w:qFormat/>
    <w:pPr>
      <w:ind w:left="153"/>
      <w:outlineLvl w:val="4"/>
    </w:pPr>
    <w:rPr>
      <w:rFonts w:ascii="Microsoft JhengHei" w:hAnsi="Microsoft JhengHei" w:eastAsia="Microsoft JhengHei"/>
      <w:b/>
      <w:bCs/>
      <w:sz w:val="24"/>
      <w:szCs w:val="24"/>
    </w:rPr>
  </w:style>
  <w:style w:styleId="Heading5" w:type="paragraph">
    <w:name w:val="Heading 5"/>
    <w:basedOn w:val="Normal"/>
    <w:uiPriority w:val="1"/>
    <w:qFormat/>
    <w:pPr>
      <w:ind w:left="153"/>
      <w:outlineLvl w:val="5"/>
    </w:pPr>
    <w:rPr>
      <w:rFonts w:ascii="Microsoft JhengHei" w:hAnsi="Microsoft JhengHei" w:eastAsia="Microsoft JhengHei"/>
      <w:b/>
      <w:bCs/>
      <w:sz w:val="21"/>
      <w:szCs w:val="21"/>
    </w:rPr>
  </w:style>
  <w:style w:styleId="Heading6" w:type="paragraph">
    <w:name w:val="Heading 6"/>
    <w:basedOn w:val="Normal"/>
    <w:uiPriority w:val="1"/>
    <w:qFormat/>
    <w:pPr>
      <w:spacing w:before="7"/>
      <w:ind w:left="153"/>
      <w:outlineLvl w:val="6"/>
    </w:pPr>
    <w:rPr>
      <w:rFonts w:ascii="宋体" w:hAnsi="宋体" w:eastAsia="宋体"/>
      <w:sz w:val="21"/>
      <w:szCs w:val="21"/>
    </w:rPr>
  </w:style>
  <w:style w:styleId="Heading7" w:type="paragraph">
    <w:name w:val="Heading 7"/>
    <w:basedOn w:val="Normal"/>
    <w:uiPriority w:val="1"/>
    <w:qFormat/>
    <w:pPr>
      <w:ind w:left="153"/>
      <w:outlineLvl w:val="7"/>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xgd.com/" TargetMode="External"/><Relationship Id="rId10" Type="http://schemas.openxmlformats.org/officeDocument/2006/relationships/hyperlink" Target="mailto:xgd-zqb@xgd.com" TargetMode="External"/><Relationship Id="rId11" Type="http://schemas.openxmlformats.org/officeDocument/2006/relationships/hyperlink" Target="mailto:songjing@xgd.com" TargetMode="External"/><Relationship Id="rId12" Type="http://schemas.openxmlformats.org/officeDocument/2006/relationships/hyperlink" Target="mailto:fangyuan@xgd.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image" Target="media/image1.jpe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image" Target="media/image3.png"/><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深圳市新国都股份有限公司</dc:creator>
  <dc:title>深圳市新国都股份有限公司2019年年度报告全文</dc:title>
  <dcterms:created xsi:type="dcterms:W3CDTF">2020-05-19T03:31:54Z</dcterms:created>
  <dcterms:modified xsi:type="dcterms:W3CDTF">2020-05-19T03:31:54Z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2020-04-13T00:00:00Z</vt:filetime>
  </property>
  <property fmtid="{D5CDD505-2E9C-101B-9397-08002B2CF9AE}" pid="3" name="Creator">
    <vt:lpwstr>Microsoft® Word 2013</vt:lpwstr>
  </property>
  <property fmtid="{D5CDD505-2E9C-101B-9397-08002B2CF9AE}" pid="4" name="LastSaved">
    <vt:filetime>2020-05-18T00:00:00Z</vt:filetime>
  </property>
</Properties>
</file>